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05E6" w14:textId="77777777" w:rsidR="00CA3B3F" w:rsidRPr="003D3C60" w:rsidRDefault="00CA3B3F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val="en-GB"/>
        </w:rPr>
      </w:pPr>
    </w:p>
    <w:p w14:paraId="666A3054" w14:textId="77777777" w:rsidR="00CA3B3F" w:rsidRPr="003D3C60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D3C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Annex 2 to the Description of Kauno </w:t>
      </w:r>
      <w:proofErr w:type="spellStart"/>
      <w:r w:rsidRPr="003D3C60">
        <w:rPr>
          <w:rFonts w:ascii="Times New Roman" w:eastAsia="Times New Roman" w:hAnsi="Times New Roman" w:cs="Times New Roman"/>
          <w:sz w:val="24"/>
          <w:szCs w:val="24"/>
          <w:lang w:val="en-GB"/>
        </w:rPr>
        <w:t>kolegija</w:t>
      </w:r>
      <w:proofErr w:type="spellEnd"/>
      <w:r w:rsidRPr="003D3C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Gender Equality Plan for 2026–2030</w:t>
      </w:r>
    </w:p>
    <w:p w14:paraId="12CCF663" w14:textId="77777777" w:rsidR="00CA3B3F" w:rsidRPr="003D3C60" w:rsidRDefault="00000000">
      <w:pPr>
        <w:pStyle w:val="Heading1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GB"/>
        </w:rPr>
      </w:pPr>
      <w:r w:rsidRPr="003D3C60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GB"/>
        </w:rPr>
        <w:t>KAUNO KOLEGIJA GENDER EQUALITY PLAN FOR 2026–2030</w:t>
      </w:r>
    </w:p>
    <w:p w14:paraId="5C14EEB5" w14:textId="77777777" w:rsidR="00CA3B3F" w:rsidRPr="003D3C60" w:rsidRDefault="00CA3B3F">
      <w:pPr>
        <w:rPr>
          <w:lang w:val="en-GB"/>
        </w:rPr>
      </w:pPr>
    </w:p>
    <w:tbl>
      <w:tblPr>
        <w:tblStyle w:val="a0"/>
        <w:tblW w:w="14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7"/>
        <w:gridCol w:w="2741"/>
        <w:gridCol w:w="3055"/>
        <w:gridCol w:w="2106"/>
        <w:gridCol w:w="1474"/>
        <w:gridCol w:w="2770"/>
      </w:tblGrid>
      <w:tr w:rsidR="00992564" w:rsidRPr="003D3C60" w14:paraId="1D866E17" w14:textId="77777777" w:rsidTr="00C37BFE">
        <w:trPr>
          <w:trHeight w:val="516"/>
          <w:tblHeader/>
        </w:trPr>
        <w:tc>
          <w:tcPr>
            <w:tcW w:w="2417" w:type="dxa"/>
            <w:shd w:val="clear" w:color="auto" w:fill="EDEDED" w:themeFill="accent3" w:themeFillTint="33"/>
          </w:tcPr>
          <w:p w14:paraId="2A167F2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Aim</w:t>
            </w:r>
          </w:p>
        </w:tc>
        <w:tc>
          <w:tcPr>
            <w:tcW w:w="2741" w:type="dxa"/>
            <w:shd w:val="clear" w:color="auto" w:fill="EDEDED" w:themeFill="accent3" w:themeFillTint="33"/>
          </w:tcPr>
          <w:p w14:paraId="3C19D0F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Objectives</w:t>
            </w:r>
          </w:p>
        </w:tc>
        <w:tc>
          <w:tcPr>
            <w:tcW w:w="3055" w:type="dxa"/>
            <w:shd w:val="clear" w:color="auto" w:fill="EDEDED" w:themeFill="accent3" w:themeFillTint="33"/>
          </w:tcPr>
          <w:p w14:paraId="45736C7A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Measures</w:t>
            </w:r>
          </w:p>
        </w:tc>
        <w:tc>
          <w:tcPr>
            <w:tcW w:w="2106" w:type="dxa"/>
            <w:shd w:val="clear" w:color="auto" w:fill="EDEDED" w:themeFill="accent3" w:themeFillTint="33"/>
          </w:tcPr>
          <w:p w14:paraId="781553B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Responsible Unit</w:t>
            </w:r>
          </w:p>
        </w:tc>
        <w:tc>
          <w:tcPr>
            <w:tcW w:w="1474" w:type="dxa"/>
            <w:shd w:val="clear" w:color="auto" w:fill="EDEDED" w:themeFill="accent3" w:themeFillTint="33"/>
          </w:tcPr>
          <w:p w14:paraId="653A8E8A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Deadline</w:t>
            </w:r>
          </w:p>
        </w:tc>
        <w:tc>
          <w:tcPr>
            <w:tcW w:w="2770" w:type="dxa"/>
            <w:shd w:val="clear" w:color="auto" w:fill="EDEDED" w:themeFill="accent3" w:themeFillTint="33"/>
          </w:tcPr>
          <w:p w14:paraId="127B4157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Evaluation Criterion</w:t>
            </w:r>
          </w:p>
        </w:tc>
      </w:tr>
      <w:tr w:rsidR="00992564" w:rsidRPr="003D3C60" w14:paraId="56EE392B" w14:textId="77777777">
        <w:tc>
          <w:tcPr>
            <w:tcW w:w="14563" w:type="dxa"/>
            <w:gridSpan w:val="6"/>
          </w:tcPr>
          <w:p w14:paraId="493A26C5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I. Gender balance in governance and decision-making</w:t>
            </w:r>
          </w:p>
        </w:tc>
      </w:tr>
      <w:tr w:rsidR="00992564" w:rsidRPr="003D3C60" w14:paraId="35263B98" w14:textId="77777777">
        <w:tc>
          <w:tcPr>
            <w:tcW w:w="2417" w:type="dxa"/>
            <w:vMerge w:val="restart"/>
          </w:tcPr>
          <w:p w14:paraId="0C140C27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0" w:name="_heading=h.nqiateuqhlr4" w:colFirst="0" w:colLast="0"/>
            <w:bookmarkEnd w:id="0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 Strive for gender balance in governance and decision-making.</w:t>
            </w:r>
          </w:p>
        </w:tc>
        <w:tc>
          <w:tcPr>
            <w:tcW w:w="2741" w:type="dxa"/>
          </w:tcPr>
          <w:p w14:paraId="7822EC5C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1.1. Ensure evidence-based gender balance in governance and decision-making processes.</w:t>
            </w:r>
          </w:p>
        </w:tc>
        <w:tc>
          <w:tcPr>
            <w:tcW w:w="3055" w:type="dxa"/>
          </w:tcPr>
          <w:p w14:paraId="6ED28E77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1.1.1. The principle of gender equality is incorporated into the College’s strategic documents as a core value. </w:t>
            </w:r>
          </w:p>
          <w:p w14:paraId="1EB04D9D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1.1.2.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Recommendations are provided to administrative units regarding the format for collecting data on the implementation of gender policy.</w:t>
            </w:r>
          </w:p>
          <w:p w14:paraId="6C9E468A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1.1.3. A report on gender balance is prepared and made publicly available.</w:t>
            </w:r>
          </w:p>
        </w:tc>
        <w:tc>
          <w:tcPr>
            <w:tcW w:w="2106" w:type="dxa"/>
          </w:tcPr>
          <w:p w14:paraId="0F05196B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Strategic Planning and Quality Management Unit; Head of Community Well-being</w:t>
            </w:r>
          </w:p>
        </w:tc>
        <w:tc>
          <w:tcPr>
            <w:tcW w:w="1474" w:type="dxa"/>
          </w:tcPr>
          <w:p w14:paraId="51ACC5F5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Since 2026</w:t>
            </w:r>
          </w:p>
        </w:tc>
        <w:tc>
          <w:tcPr>
            <w:tcW w:w="2770" w:type="dxa"/>
          </w:tcPr>
          <w:p w14:paraId="6C3328A9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The principle of gender equality has been incorporated into all key institutional documents.</w:t>
            </w:r>
          </w:p>
          <w:p w14:paraId="01ABC160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 Report on Gender Equality.</w:t>
            </w:r>
          </w:p>
        </w:tc>
      </w:tr>
      <w:tr w:rsidR="00992564" w:rsidRPr="003D3C60" w14:paraId="6BF1855F" w14:textId="77777777">
        <w:tc>
          <w:tcPr>
            <w:tcW w:w="2417" w:type="dxa"/>
            <w:vMerge/>
          </w:tcPr>
          <w:p w14:paraId="16C90726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3923E784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1.2. Enhance the involvement of the underrepresented gender in governance and decision-making bodies.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31757AF6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1.2.1. Representatives of both genders are included, where possible, in the committees, commissions, and working groups established by </w:t>
            </w:r>
            <w:proofErr w:type="spellStart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Kolegija</w:t>
            </w:r>
            <w:proofErr w:type="spellEnd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  <w:p w14:paraId="02FAF834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1.2.2. Application of the invitation principle for the underrepresented gender.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14:paraId="71108548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Management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21D60350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14:paraId="2A49CAB0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The share of committees, commissions, and working groups with at least one representative of each gender, %</w:t>
            </w:r>
          </w:p>
        </w:tc>
      </w:tr>
      <w:tr w:rsidR="00992564" w:rsidRPr="003D3C60" w14:paraId="7430FF2D" w14:textId="77777777">
        <w:tc>
          <w:tcPr>
            <w:tcW w:w="2417" w:type="dxa"/>
            <w:vMerge/>
          </w:tcPr>
          <w:p w14:paraId="2B9679A3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46C519E3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1.3. Periodically assess gender balance monitoring indicators in the field of management.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127EF1BC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1.3.1. The aim is to ensure that the underrepresented gender constitutes at least 30% of management bodies and decision-making positions. </w:t>
            </w:r>
          </w:p>
          <w:p w14:paraId="2B0C6BB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 xml:space="preserve">1.3.2. Regular analyses are conducted to monitor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the gender balance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of employees participating in committees, commissions, and working groups.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14:paraId="168D7B6A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Head of Community Well-being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4CC457DD" w14:textId="70BF1977" w:rsidR="00CA3B3F" w:rsidRPr="003D3C60" w:rsidRDefault="003D3C6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Annually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14:paraId="236BA8A1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Regular monitoring of gender balance in leadership positions based on collected and analysed data.</w:t>
            </w:r>
          </w:p>
        </w:tc>
      </w:tr>
      <w:tr w:rsidR="00992564" w:rsidRPr="003D3C60" w14:paraId="0826056C" w14:textId="77777777">
        <w:tc>
          <w:tcPr>
            <w:tcW w:w="14563" w:type="dxa"/>
            <w:gridSpan w:val="6"/>
            <w:tcBorders>
              <w:top w:val="nil"/>
            </w:tcBorders>
          </w:tcPr>
          <w:p w14:paraId="16BA679F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II. Gender equality in employment and career development</w:t>
            </w:r>
          </w:p>
        </w:tc>
      </w:tr>
      <w:tr w:rsidR="00992564" w:rsidRPr="003D3C60" w14:paraId="33DD9E8B" w14:textId="77777777">
        <w:trPr>
          <w:trHeight w:val="3258"/>
        </w:trPr>
        <w:tc>
          <w:tcPr>
            <w:tcW w:w="2417" w:type="dxa"/>
            <w:vMerge w:val="restart"/>
            <w:tcBorders>
              <w:bottom w:val="single" w:sz="4" w:space="0" w:color="000000"/>
            </w:tcBorders>
          </w:tcPr>
          <w:p w14:paraId="35AABEB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2. Ensure equal opportunities for all genders to gain employment, develop professionally, and pursue a career at Kauno </w:t>
            </w:r>
            <w:proofErr w:type="spellStart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kolegija</w:t>
            </w:r>
            <w:proofErr w:type="spellEnd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</w:tc>
        <w:tc>
          <w:tcPr>
            <w:tcW w:w="2741" w:type="dxa"/>
          </w:tcPr>
          <w:p w14:paraId="7263ABC6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ind w:firstLine="20"/>
              <w:jc w:val="both"/>
              <w:rPr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2.1. Ensure the application of gender equality and inclusion principles in recruitment processes.</w:t>
            </w:r>
          </w:p>
        </w:tc>
        <w:tc>
          <w:tcPr>
            <w:tcW w:w="3055" w:type="dxa"/>
          </w:tcPr>
          <w:p w14:paraId="74C1D2B2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2.1.1. Job advertisements include information about Kauno </w:t>
            </w:r>
            <w:proofErr w:type="spellStart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kolegija’s</w:t>
            </w:r>
            <w:proofErr w:type="spellEnd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commitment to the principle of equal opportunities.</w:t>
            </w:r>
          </w:p>
          <w:p w14:paraId="4ABCFBF6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2.1.2. Gender-neutral language is used throughout recruitment communication.</w:t>
            </w:r>
          </w:p>
          <w:p w14:paraId="4F1AEB9A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2.1.3. When updating the documents regulating staff recruitment procedures, the gender equality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aspect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is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integrated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.</w:t>
            </w:r>
          </w:p>
          <w:p w14:paraId="56CD479D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2.1.4. The aim is to ensure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 the participation of representatives of both genders in staff recruitment and selection committees.</w:t>
            </w:r>
          </w:p>
        </w:tc>
        <w:tc>
          <w:tcPr>
            <w:tcW w:w="2106" w:type="dxa"/>
          </w:tcPr>
          <w:p w14:paraId="1C41359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Human Resources Unit; Head of Community Well-being</w:t>
            </w:r>
          </w:p>
        </w:tc>
        <w:tc>
          <w:tcPr>
            <w:tcW w:w="1474" w:type="dxa"/>
          </w:tcPr>
          <w:p w14:paraId="0CB2B13D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</w:tcPr>
          <w:p w14:paraId="3E462589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All job advertisements are formulated in gender-neutral language.</w:t>
            </w:r>
          </w:p>
          <w:p w14:paraId="241AD156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Representatives of both genders participate in recruitment and selection committees.</w:t>
            </w:r>
          </w:p>
        </w:tc>
      </w:tr>
      <w:tr w:rsidR="00992564" w:rsidRPr="003D3C60" w14:paraId="5AD33C86" w14:textId="77777777">
        <w:tc>
          <w:tcPr>
            <w:tcW w:w="2417" w:type="dxa"/>
            <w:vMerge/>
            <w:tcBorders>
              <w:bottom w:val="single" w:sz="4" w:space="0" w:color="000000"/>
            </w:tcBorders>
          </w:tcPr>
          <w:p w14:paraId="58180D37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2741" w:type="dxa"/>
          </w:tcPr>
          <w:p w14:paraId="2DBFE534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2.2. Ensure the accessibility of training and professional development opportunities for employees of both genders.</w:t>
            </w:r>
          </w:p>
        </w:tc>
        <w:tc>
          <w:tcPr>
            <w:tcW w:w="3055" w:type="dxa"/>
          </w:tcPr>
          <w:p w14:paraId="35C8B6C9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2.2.1. The promotion of competency development opportunities, equally accessible to all employees, is continued.</w:t>
            </w:r>
          </w:p>
          <w:p w14:paraId="70190E04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2"/>
              </w:tabs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2.2.2. Monitoring of employee participation in competence development events by gender is carried out.</w:t>
            </w:r>
          </w:p>
        </w:tc>
        <w:tc>
          <w:tcPr>
            <w:tcW w:w="2106" w:type="dxa"/>
          </w:tcPr>
          <w:p w14:paraId="0C3B96DC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Lifelong Learning Centre;</w:t>
            </w:r>
          </w:p>
          <w:p w14:paraId="65171C82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</w:t>
            </w:r>
          </w:p>
        </w:tc>
        <w:tc>
          <w:tcPr>
            <w:tcW w:w="1474" w:type="dxa"/>
          </w:tcPr>
          <w:p w14:paraId="42AD95F9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</w:tcPr>
          <w:p w14:paraId="185F36C5" w14:textId="77777777" w:rsidR="00CA3B3F" w:rsidRPr="003D3C60" w:rsidRDefault="00000000" w:rsidP="00CF2BF3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Competence development activities are accessible to both genders. </w:t>
            </w:r>
          </w:p>
          <w:p w14:paraId="17C4D7B8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75947180" w14:textId="77777777" w:rsidR="00CA3B3F" w:rsidRPr="003D3C60" w:rsidRDefault="00000000" w:rsidP="00CF2BF3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Monitoring of employee participation in competence development events by gender.</w:t>
            </w:r>
          </w:p>
        </w:tc>
      </w:tr>
      <w:tr w:rsidR="00992564" w:rsidRPr="003D3C60" w14:paraId="4C9635BE" w14:textId="77777777">
        <w:tc>
          <w:tcPr>
            <w:tcW w:w="2417" w:type="dxa"/>
            <w:vMerge/>
            <w:tcBorders>
              <w:bottom w:val="single" w:sz="4" w:space="0" w:color="000000"/>
            </w:tcBorders>
          </w:tcPr>
          <w:p w14:paraId="74C5D8C9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651A9DBD" w14:textId="77777777" w:rsidR="00CA3B3F" w:rsidRPr="003D3C60" w:rsidRDefault="00000000" w:rsidP="00CF2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  <w:tab w:val="left" w:pos="18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2.3. Integrate the gender dimension into employee 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 xml:space="preserve">career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planning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and promotion processes. </w:t>
            </w:r>
          </w:p>
        </w:tc>
        <w:tc>
          <w:tcPr>
            <w:tcW w:w="3055" w:type="dxa"/>
          </w:tcPr>
          <w:p w14:paraId="49224C47" w14:textId="77777777" w:rsidR="00CA3B3F" w:rsidRPr="003D3C60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2.3.1. All career opportunities are publicly communicated in a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transparent manner and are accessible to all employees.</w:t>
            </w:r>
          </w:p>
          <w:p w14:paraId="43D519DB" w14:textId="77777777" w:rsidR="00CA3B3F" w:rsidRPr="003D3C60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2.3.2. Additional measures are foreseen to mitigate the negative impact of career interruptions.</w:t>
            </w:r>
          </w:p>
        </w:tc>
        <w:tc>
          <w:tcPr>
            <w:tcW w:w="2106" w:type="dxa"/>
          </w:tcPr>
          <w:p w14:paraId="614DCD22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Human Resources Unit; Head of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Community Well-being</w:t>
            </w:r>
          </w:p>
        </w:tc>
        <w:tc>
          <w:tcPr>
            <w:tcW w:w="1474" w:type="dxa"/>
          </w:tcPr>
          <w:p w14:paraId="00C384BF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On an ongoing basis</w:t>
            </w:r>
          </w:p>
        </w:tc>
        <w:tc>
          <w:tcPr>
            <w:tcW w:w="2770" w:type="dxa"/>
          </w:tcPr>
          <w:p w14:paraId="67C83C5F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Gender-based analysis of recruitment competitions. </w:t>
            </w:r>
          </w:p>
          <w:p w14:paraId="07C0F011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Since 2026, annual monitoring of researchers’ careers is introduced.</w:t>
            </w:r>
          </w:p>
          <w:p w14:paraId="0FC67C2B" w14:textId="77777777" w:rsidR="00CA3B3F" w:rsidRPr="003D3C60" w:rsidRDefault="00CA3B3F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564" w:rsidRPr="003D3C60" w14:paraId="37AC8B41" w14:textId="77777777"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399895BD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2DB533B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2.4. Ensure pay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transparency and fairness by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providing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equal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opportunities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for employees of both genders to receive equal pay for the same or equivalent work.</w:t>
            </w:r>
          </w:p>
        </w:tc>
        <w:tc>
          <w:tcPr>
            <w:tcW w:w="3055" w:type="dxa"/>
          </w:tcPr>
          <w:p w14:paraId="1B8E25A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2.4.1. A pay analysis is conducted by position and department, taking into account the gender aspect.</w:t>
            </w:r>
          </w:p>
          <w:p w14:paraId="37479BFD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2.4.2. Data on the gender pay gap between men and women is included in the annual gender equality report.</w:t>
            </w:r>
          </w:p>
          <w:p w14:paraId="5137F959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2.4.3. If significant differences are identified, recommendations for improving the remuneration policy are prepared. </w:t>
            </w:r>
          </w:p>
        </w:tc>
        <w:tc>
          <w:tcPr>
            <w:tcW w:w="2106" w:type="dxa"/>
          </w:tcPr>
          <w:p w14:paraId="6B65AD43" w14:textId="4AA73E0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Department of Finance Management and Accounting;</w:t>
            </w:r>
            <w:r w:rsid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Human Resources Unit;</w:t>
            </w:r>
          </w:p>
          <w:p w14:paraId="36B4CCB1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Head of Community Well-being</w:t>
            </w:r>
          </w:p>
        </w:tc>
        <w:tc>
          <w:tcPr>
            <w:tcW w:w="1474" w:type="dxa"/>
          </w:tcPr>
          <w:p w14:paraId="511D64C3" w14:textId="7DD760BD" w:rsidR="00CA3B3F" w:rsidRPr="003D3C60" w:rsidRDefault="003D3C6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Annually</w:t>
            </w:r>
          </w:p>
        </w:tc>
        <w:tc>
          <w:tcPr>
            <w:tcW w:w="2770" w:type="dxa"/>
          </w:tcPr>
          <w:p w14:paraId="6FAF6B19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The wage gap between men and women in equivalent positions is less than 5%.</w:t>
            </w:r>
          </w:p>
        </w:tc>
      </w:tr>
      <w:tr w:rsidR="00992564" w:rsidRPr="003D3C60" w14:paraId="18D588D6" w14:textId="77777777">
        <w:tc>
          <w:tcPr>
            <w:tcW w:w="14563" w:type="dxa"/>
            <w:gridSpan w:val="6"/>
          </w:tcPr>
          <w:p w14:paraId="7167091D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III. Work–life balance and organisational culture</w:t>
            </w:r>
          </w:p>
        </w:tc>
      </w:tr>
      <w:tr w:rsidR="00992564" w:rsidRPr="003D3C60" w14:paraId="56108E5D" w14:textId="77777777">
        <w:trPr>
          <w:trHeight w:val="3126"/>
        </w:trPr>
        <w:tc>
          <w:tcPr>
            <w:tcW w:w="2417" w:type="dxa"/>
            <w:vMerge w:val="restart"/>
          </w:tcPr>
          <w:p w14:paraId="52EF316A" w14:textId="77777777" w:rsidR="00CA3B3F" w:rsidRPr="003D3C60" w:rsidRDefault="00000000" w:rsidP="00CF2BF3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3. Create conditions for employees and students to balance professional (academic) and personal life while strengthening an inclusive organisational culture.</w:t>
            </w:r>
          </w:p>
        </w:tc>
        <w:tc>
          <w:tcPr>
            <w:tcW w:w="2741" w:type="dxa"/>
            <w:vMerge w:val="restart"/>
          </w:tcPr>
          <w:p w14:paraId="3D4787C6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3.1. Ensure clear and accessible information about opportunities to balance work (studies) and personal life.</w:t>
            </w:r>
          </w:p>
          <w:p w14:paraId="7C308FB7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55" w:type="dxa"/>
          </w:tcPr>
          <w:p w14:paraId="6E06690C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3.1.1. Information is published about the work–life balance measures available to employees at </w:t>
            </w:r>
            <w:proofErr w:type="spellStart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Kolegija</w:t>
            </w:r>
            <w:proofErr w:type="spellEnd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  <w:p w14:paraId="06F8DE16" w14:textId="77777777" w:rsidR="00CA3B3F" w:rsidRPr="003D3C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on the intranet;</w:t>
            </w:r>
          </w:p>
          <w:p w14:paraId="146C94B0" w14:textId="77777777" w:rsidR="00CA3B3F" w:rsidRPr="003D3C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during events for new employees (information sessions, induction training);</w:t>
            </w:r>
          </w:p>
          <w:p w14:paraId="2490DB3D" w14:textId="77777777" w:rsidR="00CA3B3F" w:rsidRPr="003D3C6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ind w:left="0" w:firstLine="0"/>
              <w:jc w:val="both"/>
              <w:rPr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in the information booklet for new employees.</w:t>
            </w:r>
          </w:p>
        </w:tc>
        <w:tc>
          <w:tcPr>
            <w:tcW w:w="2106" w:type="dxa"/>
          </w:tcPr>
          <w:p w14:paraId="64376895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Human Resources Unit; Head of Community Well-being </w:t>
            </w:r>
          </w:p>
          <w:p w14:paraId="3CB40986" w14:textId="77777777" w:rsidR="00CA3B3F" w:rsidRPr="003D3C60" w:rsidRDefault="00CA3B3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74" w:type="dxa"/>
            <w:vMerge w:val="restart"/>
          </w:tcPr>
          <w:p w14:paraId="61DE3B03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  <w:vMerge w:val="restart"/>
          </w:tcPr>
          <w:p w14:paraId="258ABA0F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All employees and students are aware of the available work (study) and personal life reconciliation measures.</w:t>
            </w:r>
          </w:p>
        </w:tc>
      </w:tr>
      <w:tr w:rsidR="00992564" w:rsidRPr="003D3C60" w14:paraId="5F875428" w14:textId="77777777">
        <w:trPr>
          <w:trHeight w:val="1331"/>
        </w:trPr>
        <w:tc>
          <w:tcPr>
            <w:tcW w:w="2417" w:type="dxa"/>
            <w:vMerge/>
          </w:tcPr>
          <w:p w14:paraId="54327979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vMerge/>
          </w:tcPr>
          <w:p w14:paraId="2F6B022E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055" w:type="dxa"/>
          </w:tcPr>
          <w:p w14:paraId="373F75C7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3.1.2. Information on study and personal life reconciliation measures is published on: the Intranet, the website of </w:t>
            </w:r>
            <w:proofErr w:type="spellStart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Kolegija</w:t>
            </w:r>
            <w:proofErr w:type="spellEnd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and in the Study Programme Guide.</w:t>
            </w:r>
          </w:p>
        </w:tc>
        <w:tc>
          <w:tcPr>
            <w:tcW w:w="2106" w:type="dxa"/>
          </w:tcPr>
          <w:p w14:paraId="18962FAF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Student Affairs and Career Unit</w:t>
            </w:r>
          </w:p>
        </w:tc>
        <w:tc>
          <w:tcPr>
            <w:tcW w:w="1474" w:type="dxa"/>
            <w:vMerge/>
          </w:tcPr>
          <w:p w14:paraId="54AFFEA0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70" w:type="dxa"/>
            <w:vMerge/>
          </w:tcPr>
          <w:p w14:paraId="7EC826D9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564" w:rsidRPr="003D3C60" w14:paraId="28E765E6" w14:textId="77777777">
        <w:tc>
          <w:tcPr>
            <w:tcW w:w="2417" w:type="dxa"/>
            <w:vMerge/>
          </w:tcPr>
          <w:p w14:paraId="65B47026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563F580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3.2. Organise training sessions on emotional well-being and work–life balance for the entire community.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57216999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  <w:tab w:val="left" w:pos="540"/>
                <w:tab w:val="left" w:pos="768"/>
              </w:tabs>
              <w:ind w:left="34" w:hanging="3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3.2.1. Regular seminars are organised on psychological well-being and stress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 management, the impact of bias and stereotypes on decision-making, and the importance of emotional support, empathy, and active listening by managers. </w:t>
            </w:r>
          </w:p>
          <w:p w14:paraId="37DCF6FD" w14:textId="77777777" w:rsidR="00CA3B3F" w:rsidRPr="003D3C60" w:rsidRDefault="00000000">
            <w:pPr>
              <w:tabs>
                <w:tab w:val="left" w:pos="312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3.2.2. These topics are integrated into the internal competence development system.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14:paraId="32FC0AAC" w14:textId="5687471A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Lifelong Learning </w:t>
            </w:r>
            <w:r w:rsidR="003D3C60">
              <w:rPr>
                <w:rFonts w:ascii="Times New Roman" w:eastAsia="Times New Roman" w:hAnsi="Times New Roman" w:cs="Times New Roman"/>
                <w:lang w:val="en-GB"/>
              </w:rPr>
              <w:t>Centre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0A323C42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At least once a year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14:paraId="443E664D" w14:textId="36091A1B" w:rsidR="00CA3B3F" w:rsidRPr="003D3C60" w:rsidRDefault="003D3C6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Training sessions </w:t>
            </w:r>
            <w:r w:rsidR="00000000" w:rsidRPr="003D3C60">
              <w:rPr>
                <w:rFonts w:ascii="Times New Roman" w:eastAsia="Times New Roman" w:hAnsi="Times New Roman" w:cs="Times New Roman"/>
                <w:lang w:val="en-GB"/>
              </w:rPr>
              <w:t>conducted for staff on work–life balance topics.</w:t>
            </w:r>
          </w:p>
        </w:tc>
      </w:tr>
      <w:tr w:rsidR="00992564" w:rsidRPr="003D3C60" w14:paraId="3A4F4CB2" w14:textId="77777777" w:rsidTr="00C37BFE">
        <w:tc>
          <w:tcPr>
            <w:tcW w:w="2417" w:type="dxa"/>
            <w:vMerge/>
            <w:tcBorders>
              <w:bottom w:val="nil"/>
            </w:tcBorders>
          </w:tcPr>
          <w:p w14:paraId="503CFECC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tcBorders>
              <w:bottom w:val="single" w:sz="4" w:space="0" w:color="000000"/>
            </w:tcBorders>
          </w:tcPr>
          <w:p w14:paraId="4F07B492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1" w:name="_heading=h.qw8dewd7ny1m" w:colFirst="0" w:colLast="0"/>
            <w:bookmarkEnd w:id="1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3.3. Ensure the availability of psychological and emotional support for all employees.</w:t>
            </w: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75A7246B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3.3.1. Psychological support options for employees and students are publicised.</w:t>
            </w:r>
          </w:p>
        </w:tc>
        <w:tc>
          <w:tcPr>
            <w:tcW w:w="2106" w:type="dxa"/>
            <w:tcBorders>
              <w:bottom w:val="single" w:sz="4" w:space="0" w:color="000000"/>
            </w:tcBorders>
          </w:tcPr>
          <w:p w14:paraId="282D25D7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 w14:paraId="67118471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  <w:tcBorders>
              <w:bottom w:val="single" w:sz="4" w:space="0" w:color="000000"/>
            </w:tcBorders>
          </w:tcPr>
          <w:p w14:paraId="2612CD00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Number of individuals who used psychological support</w:t>
            </w:r>
          </w:p>
        </w:tc>
      </w:tr>
      <w:tr w:rsidR="00992564" w:rsidRPr="003D3C60" w14:paraId="531EF0BF" w14:textId="77777777">
        <w:trPr>
          <w:trHeight w:val="1314"/>
        </w:trPr>
        <w:tc>
          <w:tcPr>
            <w:tcW w:w="2417" w:type="dxa"/>
            <w:tcBorders>
              <w:top w:val="nil"/>
            </w:tcBorders>
          </w:tcPr>
          <w:p w14:paraId="0F3E1E63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  <w:tcBorders>
              <w:top w:val="nil"/>
            </w:tcBorders>
          </w:tcPr>
          <w:p w14:paraId="5D2067A6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2" w:name="_heading=h.usngpg7kfoh5" w:colFirst="0" w:colLast="0"/>
            <w:bookmarkEnd w:id="2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3.4. Conduct regular employee surveys on the assessment of organisational culture and well-being from a gender perspective.</w:t>
            </w:r>
          </w:p>
        </w:tc>
        <w:tc>
          <w:tcPr>
            <w:tcW w:w="3055" w:type="dxa"/>
            <w:tcBorders>
              <w:top w:val="nil"/>
            </w:tcBorders>
          </w:tcPr>
          <w:p w14:paraId="3F35212C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3.4.1. Anonymous employee survey on gender equality.</w:t>
            </w:r>
          </w:p>
          <w:p w14:paraId="744674F7" w14:textId="77777777" w:rsidR="00CA3B3F" w:rsidRPr="003D3C60" w:rsidRDefault="00000000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3.4.2. Survey results are analysed by gender, and conclusions are presented to the management.</w:t>
            </w:r>
          </w:p>
        </w:tc>
        <w:tc>
          <w:tcPr>
            <w:tcW w:w="2106" w:type="dxa"/>
            <w:tcBorders>
              <w:top w:val="nil"/>
            </w:tcBorders>
          </w:tcPr>
          <w:p w14:paraId="4E021BB8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Head of Community Well-being;</w:t>
            </w:r>
          </w:p>
          <w:p w14:paraId="41EE4294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Strategic Planning and Quality Management Unit</w:t>
            </w:r>
          </w:p>
        </w:tc>
        <w:tc>
          <w:tcPr>
            <w:tcW w:w="1474" w:type="dxa"/>
            <w:tcBorders>
              <w:top w:val="nil"/>
            </w:tcBorders>
          </w:tcPr>
          <w:p w14:paraId="6C7CEE58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Every two years starting from 2026</w:t>
            </w:r>
          </w:p>
        </w:tc>
        <w:tc>
          <w:tcPr>
            <w:tcW w:w="2770" w:type="dxa"/>
            <w:tcBorders>
              <w:top w:val="nil"/>
            </w:tcBorders>
          </w:tcPr>
          <w:p w14:paraId="0FD0AA38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1 survey every two years</w:t>
            </w:r>
          </w:p>
        </w:tc>
      </w:tr>
      <w:tr w:rsidR="00992564" w:rsidRPr="003D3C60" w14:paraId="4DB62F4D" w14:textId="77777777">
        <w:tc>
          <w:tcPr>
            <w:tcW w:w="14563" w:type="dxa"/>
            <w:gridSpan w:val="6"/>
          </w:tcPr>
          <w:p w14:paraId="6506B763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IV. Integration of the gender aspect into research and study content</w:t>
            </w:r>
          </w:p>
        </w:tc>
      </w:tr>
      <w:tr w:rsidR="00992564" w:rsidRPr="003D3C60" w14:paraId="197FD697" w14:textId="77777777">
        <w:tc>
          <w:tcPr>
            <w:tcW w:w="2417" w:type="dxa"/>
            <w:tcBorders>
              <w:bottom w:val="nil"/>
            </w:tcBorders>
          </w:tcPr>
          <w:p w14:paraId="61416ABF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4. Integrate the gender dimension into research activities and study programmes, and enhance the competences of the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academic community in this field.</w:t>
            </w:r>
          </w:p>
        </w:tc>
        <w:tc>
          <w:tcPr>
            <w:tcW w:w="2741" w:type="dxa"/>
          </w:tcPr>
          <w:p w14:paraId="25A9100F" w14:textId="70AB5C87" w:rsidR="00CA3B3F" w:rsidRPr="003D3C60" w:rsidRDefault="00000000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firstLine="20"/>
              <w:jc w:val="both"/>
              <w:rPr>
                <w:color w:val="000000"/>
                <w:lang w:val="en-GB"/>
              </w:rPr>
            </w:pPr>
            <w:bookmarkStart w:id="3" w:name="_heading=h.o4y3gf8hc4ub" w:colFirst="0" w:colLast="0"/>
            <w:bookmarkEnd w:id="3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 xml:space="preserve">4.1. Increase </w:t>
            </w:r>
            <w:r w:rsid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faculty members’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awareness of the application of the gender dimension in academic activities.</w:t>
            </w:r>
          </w:p>
        </w:tc>
        <w:tc>
          <w:tcPr>
            <w:tcW w:w="3055" w:type="dxa"/>
          </w:tcPr>
          <w:p w14:paraId="61D9CDCA" w14:textId="00D81F6E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4.1.1. National guidelines on the integration of gender equality principles into teaching work are presented to </w:t>
            </w:r>
            <w:r w:rsidR="003D3C60">
              <w:rPr>
                <w:rFonts w:ascii="Times New Roman" w:eastAsia="Times New Roman" w:hAnsi="Times New Roman" w:cs="Times New Roman"/>
                <w:lang w:val="en-GB"/>
              </w:rPr>
              <w:t>faculty members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  <w:p w14:paraId="7BB89D04" w14:textId="77777777" w:rsidR="00CA3B3F" w:rsidRPr="003D3C60" w:rsidRDefault="00000000">
            <w:pPr>
              <w:tabs>
                <w:tab w:val="left" w:pos="463"/>
                <w:tab w:val="left" w:pos="741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4.1.2. Information events on the integration of gender equality principles into teaching work are organised.</w:t>
            </w:r>
          </w:p>
          <w:p w14:paraId="746C8C19" w14:textId="77777777" w:rsidR="00CA3B3F" w:rsidRPr="003D3C60" w:rsidRDefault="00000000">
            <w:pPr>
              <w:tabs>
                <w:tab w:val="left" w:pos="463"/>
                <w:tab w:val="left" w:pos="741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4.1.3. Good practice on the application of gender equality principles in study subjects is disseminated.</w:t>
            </w:r>
          </w:p>
        </w:tc>
        <w:tc>
          <w:tcPr>
            <w:tcW w:w="2106" w:type="dxa"/>
          </w:tcPr>
          <w:p w14:paraId="03479FC9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Vice Deans for Studies;</w:t>
            </w:r>
          </w:p>
          <w:p w14:paraId="6DC98981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Well-being;</w:t>
            </w:r>
          </w:p>
          <w:p w14:paraId="67AD0F80" w14:textId="7B5F66D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Lifelong Learning </w:t>
            </w:r>
            <w:r w:rsidR="003D3C60">
              <w:rPr>
                <w:rFonts w:ascii="Times New Roman" w:eastAsia="Times New Roman" w:hAnsi="Times New Roman" w:cs="Times New Roman"/>
                <w:lang w:val="en-GB"/>
              </w:rPr>
              <w:t>Centre</w:t>
            </w:r>
          </w:p>
          <w:p w14:paraId="75389928" w14:textId="77777777" w:rsidR="00CA3B3F" w:rsidRPr="003D3C60" w:rsidRDefault="00CA3B3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74" w:type="dxa"/>
          </w:tcPr>
          <w:p w14:paraId="175896CF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Since 2026</w:t>
            </w:r>
          </w:p>
        </w:tc>
        <w:tc>
          <w:tcPr>
            <w:tcW w:w="2770" w:type="dxa"/>
          </w:tcPr>
          <w:p w14:paraId="3C9E3FAB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At least 1 event per year for the academic community on the application of national guidelines.</w:t>
            </w:r>
          </w:p>
          <w:p w14:paraId="1DFD4D01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lastRenderedPageBreak/>
              <w:t>A database of good practice examples formed on the intranet (at least 5 examples).</w:t>
            </w:r>
          </w:p>
        </w:tc>
      </w:tr>
      <w:tr w:rsidR="00992564" w:rsidRPr="003D3C60" w14:paraId="0C6F101D" w14:textId="77777777">
        <w:tc>
          <w:tcPr>
            <w:tcW w:w="2417" w:type="dxa"/>
            <w:tcBorders>
              <w:top w:val="nil"/>
              <w:bottom w:val="single" w:sz="4" w:space="0" w:color="000000"/>
            </w:tcBorders>
          </w:tcPr>
          <w:p w14:paraId="58580D4F" w14:textId="77777777" w:rsidR="00CA3B3F" w:rsidRPr="003D3C60" w:rsidRDefault="00CA3B3F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45038137" w14:textId="77777777" w:rsidR="00CA3B3F" w:rsidRPr="003D3C60" w:rsidRDefault="00000000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4.2. </w:t>
            </w:r>
            <w:bookmarkStart w:id="4" w:name="_Hlk208517704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Integrate the gender dimension into applied research and artistic activities.</w:t>
            </w:r>
            <w:bookmarkEnd w:id="4"/>
          </w:p>
        </w:tc>
        <w:tc>
          <w:tcPr>
            <w:tcW w:w="3055" w:type="dxa"/>
          </w:tcPr>
          <w:p w14:paraId="3280FBF0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4.2.1. Researchers of different genders are included in research groups, as well as in project proposal preparation and implementation teams.</w:t>
            </w:r>
          </w:p>
          <w:p w14:paraId="194E01AD" w14:textId="77777777" w:rsidR="00CA3B3F" w:rsidRPr="003D3C60" w:rsidRDefault="00CA3B3F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106" w:type="dxa"/>
          </w:tcPr>
          <w:p w14:paraId="60A31B5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Vice Dean for Science (and Arts);</w:t>
            </w:r>
          </w:p>
          <w:p w14:paraId="6C5DD6F6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Applied Research Department;</w:t>
            </w:r>
          </w:p>
          <w:p w14:paraId="670C9832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Project Management Unit</w:t>
            </w:r>
          </w:p>
        </w:tc>
        <w:tc>
          <w:tcPr>
            <w:tcW w:w="1474" w:type="dxa"/>
          </w:tcPr>
          <w:p w14:paraId="6937A7A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</w:tcPr>
          <w:p w14:paraId="17289F2C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Annual</w:t>
            </w: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analysis of research groups and research (arts) project applications by gender.</w:t>
            </w:r>
          </w:p>
        </w:tc>
      </w:tr>
      <w:tr w:rsidR="00992564" w:rsidRPr="003D3C60" w14:paraId="32B03193" w14:textId="77777777">
        <w:tc>
          <w:tcPr>
            <w:tcW w:w="2417" w:type="dxa"/>
            <w:tcBorders>
              <w:top w:val="single" w:sz="4" w:space="0" w:color="000000"/>
              <w:bottom w:val="nil"/>
            </w:tcBorders>
          </w:tcPr>
          <w:p w14:paraId="1BC9D3B2" w14:textId="77777777" w:rsidR="00CA3B3F" w:rsidRPr="003D3C60" w:rsidRDefault="00CA3B3F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28CB1F1E" w14:textId="77777777" w:rsidR="00223824" w:rsidRPr="003D3C60" w:rsidRDefault="00223824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1375985E" w14:textId="77777777" w:rsidR="00CA3B3F" w:rsidRPr="003D3C60" w:rsidRDefault="00CA3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  <w:p w14:paraId="21631927" w14:textId="77777777" w:rsidR="00223824" w:rsidRPr="003D3C60" w:rsidRDefault="00223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3055" w:type="dxa"/>
          </w:tcPr>
          <w:p w14:paraId="71C8C030" w14:textId="77777777" w:rsidR="00C37BFE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4.2.2. National or EU guidelines on gender aspects in research are applied (e.g., Horizon Europe recommendations).</w:t>
            </w:r>
          </w:p>
          <w:p w14:paraId="3D81D52B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4.2.3. Information sessions are organised or methodological materials are disseminated to researchers on the impact of integrating the gender dimension on research quality and competitiveness.</w:t>
            </w:r>
          </w:p>
        </w:tc>
        <w:tc>
          <w:tcPr>
            <w:tcW w:w="2106" w:type="dxa"/>
          </w:tcPr>
          <w:p w14:paraId="38DBA378" w14:textId="77777777" w:rsidR="00CA3B3F" w:rsidRPr="003D3C60" w:rsidRDefault="00CA3B3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474" w:type="dxa"/>
          </w:tcPr>
          <w:p w14:paraId="5D1B0C0F" w14:textId="77777777" w:rsidR="00CA3B3F" w:rsidRPr="003D3C60" w:rsidRDefault="00CA3B3F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70" w:type="dxa"/>
          </w:tcPr>
          <w:p w14:paraId="71AA70A4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992564" w:rsidRPr="003D3C60" w14:paraId="03611965" w14:textId="77777777">
        <w:tc>
          <w:tcPr>
            <w:tcW w:w="2417" w:type="dxa"/>
            <w:tcBorders>
              <w:top w:val="nil"/>
              <w:bottom w:val="nil"/>
            </w:tcBorders>
          </w:tcPr>
          <w:p w14:paraId="2C6AA0C1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11A5E97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5" w:name="_heading=h.mc6qsnq5fl3" w:colFirst="0" w:colLast="0"/>
            <w:bookmarkEnd w:id="5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4.3. Foster an organisational culture that upholds the principles of gender equality.</w:t>
            </w:r>
          </w:p>
        </w:tc>
        <w:tc>
          <w:tcPr>
            <w:tcW w:w="3055" w:type="dxa"/>
          </w:tcPr>
          <w:p w14:paraId="24FAAD3C" w14:textId="77777777" w:rsidR="00CA3B3F" w:rsidRPr="003D3C60" w:rsidRDefault="00000000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4.3.1. Gender equality issues are integrated into general capacity-building events.</w:t>
            </w:r>
          </w:p>
          <w:p w14:paraId="3FD4AE50" w14:textId="77777777" w:rsidR="00CA3B3F" w:rsidRPr="003D3C60" w:rsidRDefault="00000000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4.3.2. Creation and maintenance of an internal information space (intranet) with guidelines, recommendations, and video materials.</w:t>
            </w:r>
          </w:p>
          <w:p w14:paraId="5D3012E5" w14:textId="77777777" w:rsidR="00CA3B3F" w:rsidRPr="003D3C60" w:rsidRDefault="00000000">
            <w:pPr>
              <w:tabs>
                <w:tab w:val="left" w:pos="463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4.3.3. Involvement of students in discussions or project-based 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activities on the gender aspect in the study environment. </w:t>
            </w:r>
          </w:p>
        </w:tc>
        <w:tc>
          <w:tcPr>
            <w:tcW w:w="2106" w:type="dxa"/>
          </w:tcPr>
          <w:p w14:paraId="1851C13F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Lifelong Learning Centre;</w:t>
            </w:r>
          </w:p>
          <w:p w14:paraId="136F5080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Well-being;</w:t>
            </w:r>
          </w:p>
          <w:p w14:paraId="30700456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Applied Research Department;</w:t>
            </w:r>
          </w:p>
          <w:p w14:paraId="546315C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Marketing and Communications Unit;</w:t>
            </w:r>
          </w:p>
          <w:p w14:paraId="7848735F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Vice Deans for Studies</w:t>
            </w:r>
          </w:p>
        </w:tc>
        <w:tc>
          <w:tcPr>
            <w:tcW w:w="1474" w:type="dxa"/>
          </w:tcPr>
          <w:p w14:paraId="0E7F072A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>2026</w:t>
            </w:r>
          </w:p>
        </w:tc>
        <w:tc>
          <w:tcPr>
            <w:tcW w:w="2770" w:type="dxa"/>
          </w:tcPr>
          <w:p w14:paraId="3A428F47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 internal information space on gender aspects in research and studies has been created in the intranet.</w:t>
            </w:r>
          </w:p>
          <w:p w14:paraId="267F7967" w14:textId="013A0B0F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At least one community event </w:t>
            </w:r>
            <w:r w:rsidR="003D3C60">
              <w:rPr>
                <w:rFonts w:ascii="Times New Roman" w:eastAsia="Times New Roman" w:hAnsi="Times New Roman" w:cs="Times New Roman"/>
                <w:lang w:val="en-GB"/>
              </w:rPr>
              <w:t>focused on gender equality is held annually, involving both students and faculty members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>.</w:t>
            </w:r>
          </w:p>
        </w:tc>
      </w:tr>
      <w:tr w:rsidR="00992564" w:rsidRPr="003D3C60" w14:paraId="6E6F479A" w14:textId="77777777">
        <w:tc>
          <w:tcPr>
            <w:tcW w:w="2417" w:type="dxa"/>
            <w:tcBorders>
              <w:top w:val="nil"/>
            </w:tcBorders>
          </w:tcPr>
          <w:p w14:paraId="3F17FB47" w14:textId="77777777" w:rsidR="00CA3B3F" w:rsidRPr="003D3C60" w:rsidRDefault="00CA3B3F">
            <w:pPr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160FA67E" w14:textId="77777777" w:rsidR="00CA3B3F" w:rsidRPr="003D3C60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bookmarkStart w:id="6" w:name="_heading=h.3ewla37m1ehd" w:colFirst="0" w:colLast="0"/>
            <w:bookmarkEnd w:id="6"/>
            <w:r w:rsidRPr="003D3C60">
              <w:rPr>
                <w:rFonts w:ascii="Times New Roman" w:eastAsia="Times New Roman" w:hAnsi="Times New Roman" w:cs="Times New Roman"/>
                <w:lang w:val="en-GB"/>
              </w:rPr>
              <w:t>4.4. Organise information campaigns promoting gender diversity in underrepresented fields of study.</w:t>
            </w:r>
          </w:p>
        </w:tc>
        <w:tc>
          <w:tcPr>
            <w:tcW w:w="3055" w:type="dxa"/>
          </w:tcPr>
          <w:p w14:paraId="7172DF20" w14:textId="77777777" w:rsidR="00CA3B3F" w:rsidRPr="003D3C60" w:rsidRDefault="00000000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4.4.1. Information campaigns for school students on study opportunities, highlighting the benefits of gender diversity.</w:t>
            </w:r>
          </w:p>
          <w:p w14:paraId="5EE6C709" w14:textId="77777777" w:rsidR="00CA3B3F" w:rsidRPr="003D3C60" w:rsidRDefault="00000000" w:rsidP="00C37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3"/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4.4.2. Success stories about choosing a field of study that is non-typical for one’s gender.</w:t>
            </w:r>
          </w:p>
        </w:tc>
        <w:tc>
          <w:tcPr>
            <w:tcW w:w="2106" w:type="dxa"/>
          </w:tcPr>
          <w:p w14:paraId="566E7A36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Student Affairs and Career Unit; Marketing and Communications Unit</w:t>
            </w:r>
          </w:p>
        </w:tc>
        <w:tc>
          <w:tcPr>
            <w:tcW w:w="1474" w:type="dxa"/>
          </w:tcPr>
          <w:p w14:paraId="67535091" w14:textId="5125454B" w:rsidR="00CA3B3F" w:rsidRPr="003D3C60" w:rsidRDefault="003D3C6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Annually</w:t>
            </w:r>
          </w:p>
        </w:tc>
        <w:tc>
          <w:tcPr>
            <w:tcW w:w="2770" w:type="dxa"/>
          </w:tcPr>
          <w:p w14:paraId="0246BA8C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At least 2 annual information campaigns on gender diversity in studies.</w:t>
            </w:r>
          </w:p>
        </w:tc>
      </w:tr>
      <w:tr w:rsidR="00992564" w:rsidRPr="003D3C60" w14:paraId="2485C4CC" w14:textId="77777777">
        <w:tc>
          <w:tcPr>
            <w:tcW w:w="14563" w:type="dxa"/>
            <w:gridSpan w:val="6"/>
          </w:tcPr>
          <w:p w14:paraId="3E1AC85F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V. Measures against gender-based violence, including sexual harassment</w:t>
            </w:r>
          </w:p>
        </w:tc>
      </w:tr>
      <w:tr w:rsidR="00992564" w:rsidRPr="003D3C60" w14:paraId="01457D84" w14:textId="77777777">
        <w:tc>
          <w:tcPr>
            <w:tcW w:w="2417" w:type="dxa"/>
            <w:vMerge w:val="restart"/>
          </w:tcPr>
          <w:p w14:paraId="3ADB893F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5. Create a safe environment with zero tolerance for gender-based harassment and sexual harassment, ensuring a clear procedure for reporting and resolution. </w:t>
            </w:r>
          </w:p>
        </w:tc>
        <w:tc>
          <w:tcPr>
            <w:tcW w:w="2741" w:type="dxa"/>
          </w:tcPr>
          <w:p w14:paraId="132D0623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7" w:name="_heading=h.he0jxlveaqq6" w:colFirst="0" w:colLast="0"/>
            <w:bookmarkEnd w:id="7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5.1. Strengthen the anonymous reporting system for gender-based harassment and regulate its application.</w:t>
            </w:r>
          </w:p>
        </w:tc>
        <w:tc>
          <w:tcPr>
            <w:tcW w:w="3055" w:type="dxa"/>
          </w:tcPr>
          <w:p w14:paraId="415134CC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5.1.1. Internal documents define the procedures for submitting and handling anonymous reports.</w:t>
            </w:r>
          </w:p>
        </w:tc>
        <w:tc>
          <w:tcPr>
            <w:tcW w:w="2106" w:type="dxa"/>
          </w:tcPr>
          <w:p w14:paraId="636345E8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Human Resources Unit; Head of Community Well-being;</w:t>
            </w:r>
          </w:p>
          <w:p w14:paraId="727DC047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Legal and Document Management Unit</w:t>
            </w:r>
          </w:p>
        </w:tc>
        <w:tc>
          <w:tcPr>
            <w:tcW w:w="1474" w:type="dxa"/>
          </w:tcPr>
          <w:p w14:paraId="5D464C51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2026</w:t>
            </w:r>
          </w:p>
        </w:tc>
        <w:tc>
          <w:tcPr>
            <w:tcW w:w="2770" w:type="dxa"/>
          </w:tcPr>
          <w:p w14:paraId="6CEAA83F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Updated procedure for submitting and handling anonymous reports. </w:t>
            </w:r>
          </w:p>
        </w:tc>
      </w:tr>
      <w:tr w:rsidR="00992564" w:rsidRPr="003D3C60" w14:paraId="57A63FD1" w14:textId="77777777">
        <w:tc>
          <w:tcPr>
            <w:tcW w:w="2417" w:type="dxa"/>
            <w:vMerge/>
          </w:tcPr>
          <w:p w14:paraId="61ECD18C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552FC239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5.2. Carry out regular staff training and communication on violence prevention and zero tolerance for violence.</w:t>
            </w:r>
          </w:p>
        </w:tc>
        <w:tc>
          <w:tcPr>
            <w:tcW w:w="3055" w:type="dxa"/>
          </w:tcPr>
          <w:p w14:paraId="243AEC43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5.2.1. Training programmes for staff include topics on violence prevention and response methods.</w:t>
            </w:r>
          </w:p>
          <w:p w14:paraId="03867ADE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5.2.2. Regularly published communication messages</w:t>
            </w:r>
            <w:r w:rsidRPr="003D3C60">
              <w:rPr>
                <w:rFonts w:ascii="Times New Roman" w:eastAsia="Times New Roman" w:hAnsi="Times New Roman" w:cs="Times New Roman"/>
                <w:lang w:val="en-GB"/>
              </w:rPr>
              <w:t xml:space="preserve"> on violence prevention and zero tolerance for violence.</w:t>
            </w:r>
          </w:p>
        </w:tc>
        <w:tc>
          <w:tcPr>
            <w:tcW w:w="2106" w:type="dxa"/>
          </w:tcPr>
          <w:p w14:paraId="592456C9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Human Resources Unit; Head of Community Well-being;</w:t>
            </w:r>
          </w:p>
          <w:p w14:paraId="62224970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Lifelong Learning Centre;</w:t>
            </w:r>
          </w:p>
          <w:p w14:paraId="58684785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Marketing and Communications Unit</w:t>
            </w:r>
          </w:p>
        </w:tc>
        <w:tc>
          <w:tcPr>
            <w:tcW w:w="1474" w:type="dxa"/>
          </w:tcPr>
          <w:p w14:paraId="338CA07E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On an ongoing basis</w:t>
            </w:r>
          </w:p>
        </w:tc>
        <w:tc>
          <w:tcPr>
            <w:tcW w:w="2770" w:type="dxa"/>
          </w:tcPr>
          <w:p w14:paraId="34F5E02F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Number of trainings/communication messages implemented.</w:t>
            </w:r>
          </w:p>
        </w:tc>
      </w:tr>
      <w:tr w:rsidR="00992564" w:rsidRPr="003D3C60" w14:paraId="2A6E8156" w14:textId="77777777">
        <w:tc>
          <w:tcPr>
            <w:tcW w:w="2417" w:type="dxa"/>
            <w:vMerge/>
          </w:tcPr>
          <w:p w14:paraId="1FEB1F7A" w14:textId="77777777" w:rsidR="00CA3B3F" w:rsidRPr="003D3C60" w:rsidRDefault="00CA3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741" w:type="dxa"/>
          </w:tcPr>
          <w:p w14:paraId="1A234A0A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5.3. Regularly monitor the number of cases and evaluate the effectiveness of the measures.</w:t>
            </w:r>
          </w:p>
        </w:tc>
        <w:tc>
          <w:tcPr>
            <w:tcW w:w="3055" w:type="dxa"/>
          </w:tcPr>
          <w:p w14:paraId="56DC1662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5.3.1. Case statistics are maintained in compliance with confidentiality principles.</w:t>
            </w:r>
          </w:p>
          <w:p w14:paraId="545382A5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5.3.2. The activity report includes an evaluation of the effectiveness of the measures applied.</w:t>
            </w:r>
          </w:p>
        </w:tc>
        <w:tc>
          <w:tcPr>
            <w:tcW w:w="2106" w:type="dxa"/>
          </w:tcPr>
          <w:p w14:paraId="22C7D400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</w:t>
            </w:r>
          </w:p>
        </w:tc>
        <w:tc>
          <w:tcPr>
            <w:tcW w:w="1474" w:type="dxa"/>
          </w:tcPr>
          <w:p w14:paraId="671CD898" w14:textId="483C56C5" w:rsidR="00CA3B3F" w:rsidRPr="003D3C60" w:rsidRDefault="003D3C6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Annually</w:t>
            </w:r>
          </w:p>
        </w:tc>
        <w:tc>
          <w:tcPr>
            <w:tcW w:w="2770" w:type="dxa"/>
          </w:tcPr>
          <w:p w14:paraId="58AE1BD4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Number of cases</w:t>
            </w:r>
          </w:p>
        </w:tc>
      </w:tr>
      <w:tr w:rsidR="00992564" w:rsidRPr="003D3C60" w14:paraId="6A8C0865" w14:textId="77777777">
        <w:tc>
          <w:tcPr>
            <w:tcW w:w="14563" w:type="dxa"/>
            <w:gridSpan w:val="6"/>
          </w:tcPr>
          <w:p w14:paraId="6C649A9A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b/>
                <w:lang w:val="en-GB"/>
              </w:rPr>
            </w:pPr>
            <w:bookmarkStart w:id="8" w:name="_heading=h.kwjc9c20gu9w" w:colFirst="0" w:colLast="0"/>
            <w:bookmarkEnd w:id="8"/>
            <w:r w:rsidRPr="003D3C60">
              <w:rPr>
                <w:rFonts w:ascii="Times New Roman" w:eastAsia="Times New Roman" w:hAnsi="Times New Roman" w:cs="Times New Roman"/>
                <w:b/>
                <w:lang w:val="en-GB"/>
              </w:rPr>
              <w:t>VI. Monitoring the Implementation of the Gender Equality Plan</w:t>
            </w:r>
          </w:p>
        </w:tc>
      </w:tr>
      <w:tr w:rsidR="00992564" w:rsidRPr="003D3C60" w14:paraId="7F0BED95" w14:textId="77777777">
        <w:tc>
          <w:tcPr>
            <w:tcW w:w="2417" w:type="dxa"/>
          </w:tcPr>
          <w:p w14:paraId="192AEDAD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bookmarkStart w:id="9" w:name="_heading=h.jlcqp62s0t8y" w:colFirst="0" w:colLast="0"/>
            <w:bookmarkEnd w:id="9"/>
            <w:r w:rsidRPr="003D3C60">
              <w:rPr>
                <w:rFonts w:ascii="Times New Roman" w:eastAsia="Times New Roman" w:hAnsi="Times New Roman" w:cs="Times New Roman"/>
                <w:lang w:val="en-GB"/>
              </w:rPr>
              <w:lastRenderedPageBreak/>
              <w:t xml:space="preserve">6. Ensure consistent monitoring and accountability in the implementation of the Gender Equality Plan. </w:t>
            </w:r>
          </w:p>
        </w:tc>
        <w:tc>
          <w:tcPr>
            <w:tcW w:w="2741" w:type="dxa"/>
          </w:tcPr>
          <w:p w14:paraId="1EECB74D" w14:textId="77777777" w:rsidR="00CA3B3F" w:rsidRPr="003D3C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bookmarkStart w:id="10" w:name="_heading=h.887o5jizsc2i" w:colFirst="0" w:colLast="0"/>
            <w:bookmarkEnd w:id="10"/>
            <w:r w:rsidRPr="003D3C6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6.1. Ensure consistent data collection and monitoring of the implementation of the Gender Equality Plan.</w:t>
            </w:r>
          </w:p>
        </w:tc>
        <w:tc>
          <w:tcPr>
            <w:tcW w:w="3055" w:type="dxa"/>
          </w:tcPr>
          <w:p w14:paraId="7A40DA50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6.1.1. Gender-disaggregated data are collected annually for the preparation of the annual report.</w:t>
            </w:r>
          </w:p>
          <w:p w14:paraId="25042AFF" w14:textId="77777777" w:rsidR="00CA3B3F" w:rsidRPr="003D3C60" w:rsidRDefault="00000000">
            <w:pPr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6.1.2. An annual Gender Equality Plan progress report is prepared.</w:t>
            </w:r>
          </w:p>
        </w:tc>
        <w:tc>
          <w:tcPr>
            <w:tcW w:w="2106" w:type="dxa"/>
          </w:tcPr>
          <w:p w14:paraId="2BF23CE6" w14:textId="77777777" w:rsidR="00CA3B3F" w:rsidRPr="003D3C60" w:rsidRDefault="0000000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Head of Community Well-being</w:t>
            </w:r>
          </w:p>
        </w:tc>
        <w:tc>
          <w:tcPr>
            <w:tcW w:w="1474" w:type="dxa"/>
          </w:tcPr>
          <w:p w14:paraId="0717093E" w14:textId="2EAEF39E" w:rsidR="00CA3B3F" w:rsidRPr="003D3C60" w:rsidRDefault="003D3C60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Annually</w:t>
            </w:r>
          </w:p>
        </w:tc>
        <w:tc>
          <w:tcPr>
            <w:tcW w:w="2770" w:type="dxa"/>
          </w:tcPr>
          <w:p w14:paraId="19CA4028" w14:textId="77777777" w:rsidR="00CA3B3F" w:rsidRPr="003D3C60" w:rsidRDefault="0000000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3D3C60">
              <w:rPr>
                <w:rFonts w:ascii="Times New Roman" w:eastAsia="Times New Roman" w:hAnsi="Times New Roman" w:cs="Times New Roman"/>
                <w:lang w:val="en-GB"/>
              </w:rPr>
              <w:t>A Gender Equality Plan progress report has been prepared.</w:t>
            </w:r>
          </w:p>
        </w:tc>
      </w:tr>
    </w:tbl>
    <w:p w14:paraId="07A67008" w14:textId="77777777" w:rsidR="00CA3B3F" w:rsidRPr="003D3C60" w:rsidRDefault="00CA3B3F">
      <w:pPr>
        <w:rPr>
          <w:lang w:val="en-GB"/>
        </w:rPr>
      </w:pPr>
    </w:p>
    <w:p w14:paraId="1724A2F9" w14:textId="77777777" w:rsidR="00CA3B3F" w:rsidRPr="003D3C60" w:rsidRDefault="00000000">
      <w:pPr>
        <w:rPr>
          <w:lang w:val="en-GB"/>
        </w:rPr>
      </w:pPr>
      <w:r w:rsidRPr="003D3C60">
        <w:rPr>
          <w:lang w:val="en-GB"/>
        </w:rPr>
        <w:br/>
      </w:r>
    </w:p>
    <w:sectPr w:rsidR="00CA3B3F" w:rsidRPr="003D3C60">
      <w:footerReference w:type="default" r:id="rId8"/>
      <w:pgSz w:w="16838" w:h="11906" w:orient="landscape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CBD8" w14:textId="77777777" w:rsidR="00BA0C9E" w:rsidRDefault="00BA0C9E">
      <w:pPr>
        <w:spacing w:after="0" w:line="240" w:lineRule="auto"/>
      </w:pPr>
      <w:r>
        <w:separator/>
      </w:r>
    </w:p>
  </w:endnote>
  <w:endnote w:type="continuationSeparator" w:id="0">
    <w:p w14:paraId="039E2033" w14:textId="77777777" w:rsidR="00BA0C9E" w:rsidRDefault="00BA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20820"/>
      <w:docPartObj>
        <w:docPartGallery w:val="Page Numbers (Bottom of Page)"/>
        <w:docPartUnique/>
      </w:docPartObj>
    </w:sdtPr>
    <w:sdtContent>
      <w:p w14:paraId="11B52576" w14:textId="77777777" w:rsidR="00C37BFE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6</w:t>
        </w:r>
        <w:r>
          <w:fldChar w:fldCharType="end"/>
        </w:r>
      </w:p>
    </w:sdtContent>
  </w:sdt>
  <w:p w14:paraId="6D6AD524" w14:textId="77777777" w:rsidR="00C37BFE" w:rsidRDefault="00C37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38B8" w14:textId="77777777" w:rsidR="00BA0C9E" w:rsidRDefault="00BA0C9E">
      <w:pPr>
        <w:spacing w:after="0" w:line="240" w:lineRule="auto"/>
      </w:pPr>
      <w:r>
        <w:separator/>
      </w:r>
    </w:p>
  </w:footnote>
  <w:footnote w:type="continuationSeparator" w:id="0">
    <w:p w14:paraId="0643D484" w14:textId="77777777" w:rsidR="00BA0C9E" w:rsidRDefault="00BA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BC3"/>
    <w:multiLevelType w:val="multilevel"/>
    <w:tmpl w:val="8C24E0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4F346A"/>
    <w:multiLevelType w:val="multilevel"/>
    <w:tmpl w:val="E85EF76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93631">
    <w:abstractNumId w:val="0"/>
  </w:num>
  <w:num w:numId="2" w16cid:durableId="266080056">
    <w:abstractNumId w:val="1"/>
  </w:num>
  <w:num w:numId="3" w16cid:durableId="513420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3F"/>
    <w:rsid w:val="00126D94"/>
    <w:rsid w:val="00223824"/>
    <w:rsid w:val="00275B46"/>
    <w:rsid w:val="003D3C60"/>
    <w:rsid w:val="005A25EB"/>
    <w:rsid w:val="005E57B0"/>
    <w:rsid w:val="00992564"/>
    <w:rsid w:val="00BA0C9E"/>
    <w:rsid w:val="00C37BFE"/>
    <w:rsid w:val="00CA3B3F"/>
    <w:rsid w:val="00CF2BF3"/>
    <w:rsid w:val="00D1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4462E"/>
  <w15:docId w15:val="{D5BE49B2-E638-4FD7-96F6-4E8C0F44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76" w:lineRule="auto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ntrat1Diagrama">
    <w:name w:val="Antraštė 1 Diagrama"/>
    <w:basedOn w:val="DefaultParagraphFont"/>
    <w:uiPriority w:val="9"/>
    <w:rsid w:val="00F177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alloonText">
    <w:name w:val="Balloon Text"/>
    <w:link w:val="BalloonTextChar"/>
    <w:uiPriority w:val="99"/>
    <w:semiHidden/>
    <w:unhideWhenUsed/>
    <w:rsid w:val="00F1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4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774B"/>
    <w:rPr>
      <w:b/>
      <w:bCs/>
    </w:rPr>
  </w:style>
  <w:style w:type="paragraph" w:styleId="NormalWeb">
    <w:name w:val="Normal (Web)"/>
    <w:uiPriority w:val="99"/>
    <w:unhideWhenUsed/>
    <w:rsid w:val="0026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uiPriority w:val="34"/>
    <w:qFormat/>
    <w:rsid w:val="00264A6C"/>
    <w:pPr>
      <w:ind w:left="720"/>
      <w:contextualSpacing/>
    </w:pPr>
  </w:style>
  <w:style w:type="paragraph" w:styleId="ListBullet">
    <w:name w:val="List Bullet"/>
    <w:uiPriority w:val="99"/>
    <w:unhideWhenUsed/>
    <w:rsid w:val="00264A6C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Bullet2">
    <w:name w:val="List Bullet 2"/>
    <w:uiPriority w:val="99"/>
    <w:unhideWhenUsed/>
    <w:rsid w:val="004C5EF4"/>
    <w:pPr>
      <w:tabs>
        <w:tab w:val="num" w:pos="720"/>
      </w:tabs>
      <w:spacing w:after="200" w:line="276" w:lineRule="auto"/>
      <w:ind w:left="720" w:hanging="720"/>
      <w:contextualSpacing/>
    </w:pPr>
    <w:rPr>
      <w:rFonts w:eastAsiaTheme="minorEastAsia"/>
      <w:lang w:val="en-US"/>
    </w:rPr>
  </w:style>
  <w:style w:type="character" w:customStyle="1" w:styleId="Antrat3Diagrama">
    <w:name w:val="Antraštė 3 Diagrama"/>
    <w:basedOn w:val="DefaultParagraphFont"/>
    <w:uiPriority w:val="9"/>
    <w:semiHidden/>
    <w:rsid w:val="002F33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a">
    <w:name w:val="a"/>
    <w:basedOn w:val="TableNormal0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name w:val="a0"/>
    <w:basedOn w:val="TableNormal0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E"/>
  </w:style>
  <w:style w:type="paragraph" w:styleId="Footer">
    <w:name w:val="footer"/>
    <w:basedOn w:val="Normal"/>
    <w:link w:val="FooterChar"/>
    <w:uiPriority w:val="99"/>
    <w:unhideWhenUsed/>
    <w:rsid w:val="00C37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dZaj/iBnhiD+eQGtBX1/1KOyA==">CgMxLjAyDmgubnFpYXRldXFobHI0Mg5oLnF3OGRld2Q3bnkxbTIOaC51c25ncGc3a2ZvaDUyDmgubzR5M2dmOGhjNHViMg1oLm1jNnFzbnE1ZmwzMg5oLjNld2xhMzdtMWVoZDIOaC5oZTBqeGx2ZWFxcTYyDmgua3dqYzljMjBndTl3Mg5oLmpsY3FwNjJzMHQ4eTIOaC44ODdvNWppenNjMmk4AHIhMVFfSHc1SmRKWHdYT3FRNlNndWhQNXg1anZ6d1dZaG9a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10052</Characters>
  <Application>Microsoft Office Word</Application>
  <DocSecurity>0</DocSecurity>
  <Lines>591</Lines>
  <Paragraphs>188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Adomaitienė</dc:creator>
  <cp:lastModifiedBy>Lina Abraitienė</cp:lastModifiedBy>
  <cp:revision>3</cp:revision>
  <dcterms:created xsi:type="dcterms:W3CDTF">2025-09-18T06:35:00Z</dcterms:created>
  <dcterms:modified xsi:type="dcterms:W3CDTF">2025-10-02T11:13:00Z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0d35b324-a239-46b3-ae53-409d80ff1d79</vt:lpwstr>
  </property>
</Properties>
</file>