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F859" w14:textId="77777777" w:rsidR="006A20ED" w:rsidRDefault="006A20ED" w:rsidP="006A20ED">
      <w:pPr>
        <w:spacing w:before="120" w:after="120" w:line="336" w:lineRule="auto"/>
        <w:jc w:val="center"/>
        <w:rPr>
          <w:rFonts w:ascii="Times New Roman" w:eastAsia="Canva Sans Bold" w:hAnsi="Times New Roman" w:cs="Times New Roman"/>
          <w:b/>
          <w:bCs/>
          <w:color w:val="000000"/>
          <w:sz w:val="40"/>
          <w:szCs w:val="40"/>
        </w:rPr>
      </w:pPr>
      <w:r w:rsidRPr="00B17848">
        <w:rPr>
          <w:rFonts w:ascii="Times New Roman" w:hAnsi="Times New Roman" w:cs="Times New Roman"/>
          <w:noProof/>
        </w:rPr>
        <w:drawing>
          <wp:inline distT="0" distB="0" distL="0" distR="0" wp14:anchorId="4159B144" wp14:editId="28F2499B">
            <wp:extent cx="5734050" cy="1720215"/>
            <wp:effectExtent l="0" t="0" r="0" b="0"/>
            <wp:docPr id="541906737" name="Drawing 1" descr="4883d9d18d932da4f7f661722fb3ec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883d9d18d932da4f7f661722fb3ec34.png"/>
                    <pic:cNvPicPr>
                      <a:picLocks noChangeAspect="1"/>
                    </pic:cNvPicPr>
                  </pic:nvPicPr>
                  <pic:blipFill>
                    <a:blip r:embed="rId8"/>
                    <a:srcRect/>
                    <a:stretch>
                      <a:fillRect/>
                    </a:stretch>
                  </pic:blipFill>
                  <pic:spPr>
                    <a:xfrm>
                      <a:off x="0" y="0"/>
                      <a:ext cx="5734050" cy="1720215"/>
                    </a:xfrm>
                    <a:prstGeom prst="rect">
                      <a:avLst/>
                    </a:prstGeom>
                  </pic:spPr>
                </pic:pic>
              </a:graphicData>
            </a:graphic>
          </wp:inline>
        </w:drawing>
      </w:r>
    </w:p>
    <w:p w14:paraId="3D424B36" w14:textId="77777777" w:rsidR="006A20ED" w:rsidRDefault="006A20ED" w:rsidP="006A20ED">
      <w:pPr>
        <w:spacing w:before="120" w:after="120" w:line="336" w:lineRule="auto"/>
        <w:jc w:val="center"/>
        <w:rPr>
          <w:rFonts w:ascii="Times New Roman" w:eastAsia="Canva Sans Bold" w:hAnsi="Times New Roman" w:cs="Times New Roman"/>
          <w:b/>
          <w:bCs/>
          <w:color w:val="000000"/>
          <w:sz w:val="28"/>
          <w:szCs w:val="28"/>
        </w:rPr>
      </w:pPr>
    </w:p>
    <w:p w14:paraId="3D979BDD" w14:textId="464E19D8" w:rsidR="00FF3A11" w:rsidRPr="006A20ED" w:rsidRDefault="00000000" w:rsidP="006A20ED">
      <w:pPr>
        <w:spacing w:before="120" w:after="120" w:line="336" w:lineRule="auto"/>
        <w:jc w:val="center"/>
        <w:rPr>
          <w:rFonts w:ascii="Times New Roman" w:hAnsi="Times New Roman" w:cs="Times New Roman"/>
          <w:sz w:val="28"/>
          <w:szCs w:val="28"/>
        </w:rPr>
      </w:pPr>
      <w:r w:rsidRPr="006A20ED">
        <w:rPr>
          <w:rFonts w:ascii="Times New Roman" w:eastAsia="Canva Sans Bold" w:hAnsi="Times New Roman" w:cs="Times New Roman"/>
          <w:b/>
          <w:bCs/>
          <w:color w:val="000000"/>
          <w:sz w:val="28"/>
          <w:szCs w:val="28"/>
        </w:rPr>
        <w:t>Su programos „Europos horizontas“ tematikomis susijusios krypties kelrodžio parengimas Lietuvos agrarinių ir miškų mokslų centro darbuotojams</w:t>
      </w:r>
    </w:p>
    <w:p w14:paraId="7C434E8A"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Canva Sans" w:hAnsi="Times New Roman" w:cs="Times New Roman"/>
          <w:color w:val="000000"/>
        </w:rPr>
        <w:t xml:space="preserve"> </w:t>
      </w:r>
    </w:p>
    <w:p w14:paraId="3D28FB7E" w14:textId="77777777" w:rsidR="00FF3A11" w:rsidRPr="00B17848" w:rsidRDefault="00000000">
      <w:pPr>
        <w:spacing w:before="120" w:after="120" w:line="336" w:lineRule="auto"/>
        <w:jc w:val="center"/>
        <w:rPr>
          <w:rFonts w:ascii="Times New Roman" w:hAnsi="Times New Roman" w:cs="Times New Roman"/>
        </w:rPr>
      </w:pPr>
      <w:r w:rsidRPr="00B17848">
        <w:rPr>
          <w:rFonts w:ascii="Times New Roman" w:eastAsia="Canva Sans" w:hAnsi="Times New Roman" w:cs="Times New Roman"/>
          <w:color w:val="000000"/>
        </w:rPr>
        <w:t xml:space="preserve">Finansavimo sutarties Nr.10-038-T-0277 </w:t>
      </w:r>
    </w:p>
    <w:p w14:paraId="6844F83F"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Canva Sans" w:hAnsi="Times New Roman" w:cs="Times New Roman"/>
          <w:color w:val="000000"/>
        </w:rPr>
        <w:t xml:space="preserve"> </w:t>
      </w:r>
    </w:p>
    <w:p w14:paraId="38F4832C" w14:textId="77777777" w:rsidR="00FF3A11" w:rsidRPr="00B17848" w:rsidRDefault="00000000">
      <w:pPr>
        <w:spacing w:before="120" w:after="120" w:line="336" w:lineRule="auto"/>
        <w:jc w:val="center"/>
        <w:rPr>
          <w:rFonts w:ascii="Times New Roman" w:hAnsi="Times New Roman" w:cs="Times New Roman"/>
        </w:rPr>
      </w:pPr>
      <w:r w:rsidRPr="00B17848">
        <w:rPr>
          <w:rFonts w:ascii="Times New Roman" w:eastAsia="Canva Sans" w:hAnsi="Times New Roman" w:cs="Times New Roman"/>
          <w:color w:val="000000"/>
        </w:rPr>
        <w:t xml:space="preserve">Projektas  finansuojamas Ekonomikos gaivinimo ir atsparumo didinimo plano „Naujos kartos Lietuva“ ir Lietuvos Respublikos valstybės biudžeto lėšom </w:t>
      </w:r>
    </w:p>
    <w:p w14:paraId="1758F33F"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2B6CDF6E" wp14:editId="0AC44998">
            <wp:extent cx="1392791" cy="392193"/>
            <wp:effectExtent l="0" t="0" r="0" b="0"/>
            <wp:docPr id="2" name="Drawing 2" descr="b3e65a6656a612c52e5138137c4d87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3e65a6656a612c52e5138137c4d87a3.png"/>
                    <pic:cNvPicPr>
                      <a:picLocks noChangeAspect="1"/>
                    </pic:cNvPicPr>
                  </pic:nvPicPr>
                  <pic:blipFill>
                    <a:blip r:embed="rId9"/>
                    <a:stretch>
                      <a:fillRect/>
                    </a:stretch>
                  </pic:blipFill>
                  <pic:spPr>
                    <a:xfrm>
                      <a:off x="0" y="0"/>
                      <a:ext cx="1392791" cy="392193"/>
                    </a:xfrm>
                    <a:prstGeom prst="rect">
                      <a:avLst/>
                    </a:prstGeom>
                  </pic:spPr>
                </pic:pic>
              </a:graphicData>
            </a:graphic>
          </wp:inline>
        </w:drawing>
      </w:r>
    </w:p>
    <w:p w14:paraId="4A787D92"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Canva Sans Bold" w:hAnsi="Times New Roman" w:cs="Times New Roman"/>
          <w:b/>
          <w:bCs/>
          <w:color w:val="000000"/>
        </w:rPr>
        <w:t xml:space="preserve"> </w:t>
      </w:r>
    </w:p>
    <w:p w14:paraId="0B762109"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7256B337" w14:textId="28DEEBB6" w:rsidR="00FF3A11" w:rsidRPr="00B17848" w:rsidRDefault="00000000" w:rsidP="006A20ED">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03264CAE"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6C43542D" w14:textId="77777777" w:rsidR="006A20ED" w:rsidRDefault="006A20ED">
      <w:pPr>
        <w:spacing w:before="120" w:after="120" w:line="336" w:lineRule="auto"/>
        <w:jc w:val="center"/>
        <w:rPr>
          <w:rFonts w:ascii="Times New Roman" w:eastAsia="IBM Plex Sans" w:hAnsi="Times New Roman" w:cs="Times New Roman"/>
          <w:color w:val="000000"/>
        </w:rPr>
      </w:pPr>
    </w:p>
    <w:p w14:paraId="3FE49E3F" w14:textId="77777777" w:rsidR="006A20ED" w:rsidRDefault="006A20ED">
      <w:pPr>
        <w:spacing w:before="120" w:after="120" w:line="336" w:lineRule="auto"/>
        <w:jc w:val="center"/>
        <w:rPr>
          <w:rFonts w:ascii="Times New Roman" w:eastAsia="IBM Plex Sans" w:hAnsi="Times New Roman" w:cs="Times New Roman"/>
          <w:color w:val="000000"/>
        </w:rPr>
      </w:pPr>
    </w:p>
    <w:p w14:paraId="1452B90B" w14:textId="77777777" w:rsidR="006A20ED" w:rsidRDefault="006A20ED">
      <w:pPr>
        <w:spacing w:before="120" w:after="120" w:line="336" w:lineRule="auto"/>
        <w:jc w:val="center"/>
        <w:rPr>
          <w:rFonts w:ascii="Times New Roman" w:eastAsia="IBM Plex Sans" w:hAnsi="Times New Roman" w:cs="Times New Roman"/>
          <w:color w:val="000000"/>
        </w:rPr>
      </w:pPr>
    </w:p>
    <w:p w14:paraId="1DA959ED" w14:textId="77777777" w:rsidR="006A20ED" w:rsidRPr="006A20ED" w:rsidRDefault="006A20ED">
      <w:pPr>
        <w:spacing w:before="120" w:after="120" w:line="336" w:lineRule="auto"/>
        <w:jc w:val="center"/>
        <w:rPr>
          <w:rFonts w:ascii="Times New Roman" w:eastAsia="IBM Plex Sans" w:hAnsi="Times New Roman" w:cs="Times New Roman"/>
          <w:b/>
          <w:bCs/>
          <w:color w:val="000000"/>
        </w:rPr>
      </w:pPr>
    </w:p>
    <w:p w14:paraId="6F586C6D" w14:textId="44918508" w:rsidR="00FF3A11" w:rsidRPr="006A20ED" w:rsidRDefault="00000000">
      <w:pPr>
        <w:spacing w:before="120" w:after="120" w:line="336" w:lineRule="auto"/>
        <w:jc w:val="center"/>
        <w:rPr>
          <w:rFonts w:ascii="Times New Roman" w:hAnsi="Times New Roman" w:cs="Times New Roman"/>
          <w:b/>
          <w:bCs/>
        </w:rPr>
      </w:pPr>
      <w:r w:rsidRPr="006A20ED">
        <w:rPr>
          <w:rFonts w:ascii="Times New Roman" w:eastAsia="IBM Plex Sans" w:hAnsi="Times New Roman" w:cs="Times New Roman"/>
          <w:b/>
          <w:bCs/>
          <w:color w:val="000000"/>
        </w:rPr>
        <w:t xml:space="preserve">2025 </w:t>
      </w:r>
    </w:p>
    <w:p w14:paraId="2E447ACD" w14:textId="77777777" w:rsidR="00FF3A11" w:rsidRPr="006A20ED" w:rsidRDefault="00000000">
      <w:pPr>
        <w:spacing w:before="120" w:after="120" w:line="336" w:lineRule="auto"/>
        <w:jc w:val="center"/>
        <w:rPr>
          <w:rFonts w:ascii="Times New Roman" w:hAnsi="Times New Roman" w:cs="Times New Roman"/>
          <w:b/>
          <w:bCs/>
        </w:rPr>
      </w:pPr>
      <w:r w:rsidRPr="006A20ED">
        <w:rPr>
          <w:rFonts w:ascii="Times New Roman" w:eastAsia="IBM Plex Sans" w:hAnsi="Times New Roman" w:cs="Times New Roman"/>
          <w:b/>
          <w:bCs/>
          <w:color w:val="000000"/>
        </w:rPr>
        <w:t xml:space="preserve">Akademija, Kėdainių raj. </w:t>
      </w:r>
    </w:p>
    <w:p w14:paraId="1427D5EE" w14:textId="77777777" w:rsidR="00FF3A11" w:rsidRPr="00B17848" w:rsidRDefault="00000000">
      <w:pPr>
        <w:spacing w:before="120" w:after="120"/>
        <w:rPr>
          <w:rFonts w:ascii="Times New Roman" w:hAnsi="Times New Roman" w:cs="Times New Roman"/>
        </w:rPr>
      </w:pPr>
      <w:r w:rsidRPr="00B17848">
        <w:rPr>
          <w:rFonts w:ascii="Times New Roman" w:hAnsi="Times New Roman" w:cs="Times New Roman"/>
        </w:rPr>
        <w:br w:type="page"/>
      </w:r>
    </w:p>
    <w:p w14:paraId="2DA69101" w14:textId="77777777" w:rsidR="00FF3A11" w:rsidRPr="006A20ED" w:rsidRDefault="00000000">
      <w:pPr>
        <w:spacing w:before="120" w:after="120" w:line="336" w:lineRule="auto"/>
        <w:rPr>
          <w:rFonts w:ascii="Times New Roman" w:hAnsi="Times New Roman" w:cs="Times New Roman"/>
          <w:b/>
          <w:bCs/>
        </w:rPr>
      </w:pPr>
      <w:r w:rsidRPr="006A20ED">
        <w:rPr>
          <w:rFonts w:ascii="Times New Roman" w:eastAsia="Montserrat" w:hAnsi="Times New Roman" w:cs="Times New Roman"/>
          <w:b/>
          <w:bCs/>
          <w:color w:val="00646A"/>
        </w:rPr>
        <w:lastRenderedPageBreak/>
        <w:t xml:space="preserve">Įvadas </w:t>
      </w:r>
    </w:p>
    <w:p w14:paraId="6A15B179" w14:textId="77777777" w:rsidR="00FF3A11" w:rsidRPr="00B17848" w:rsidRDefault="00FF3A11">
      <w:pPr>
        <w:pBdr>
          <w:bottom w:val="single" w:sz="6" w:space="0" w:color="076C72"/>
        </w:pBdr>
        <w:spacing w:before="120" w:after="120" w:line="0" w:lineRule="auto"/>
        <w:rPr>
          <w:rFonts w:ascii="Times New Roman" w:hAnsi="Times New Roman" w:cs="Times New Roman"/>
        </w:rPr>
      </w:pPr>
    </w:p>
    <w:p w14:paraId="5D464E30" w14:textId="1986110D"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 xml:space="preserve">Vienas iš </w:t>
      </w:r>
      <w:r w:rsidR="006A20ED">
        <w:rPr>
          <w:rFonts w:ascii="Times New Roman" w:eastAsia="IBM Plex Sans" w:hAnsi="Times New Roman" w:cs="Times New Roman"/>
          <w:color w:val="000000"/>
        </w:rPr>
        <w:t>strateginių</w:t>
      </w:r>
      <w:r w:rsidRPr="00B17848">
        <w:rPr>
          <w:rFonts w:ascii="Times New Roman" w:eastAsia="IBM Plex Sans" w:hAnsi="Times New Roman" w:cs="Times New Roman"/>
          <w:color w:val="000000"/>
        </w:rPr>
        <w:t xml:space="preserve"> Lietuvos agrarinių ir miškų mokslų centro (LAMMC)</w:t>
      </w:r>
      <w:r w:rsidRPr="006A20ED">
        <w:rPr>
          <w:rFonts w:ascii="Times New Roman" w:eastAsia="IBM Plex Sans" w:hAnsi="Times New Roman" w:cs="Times New Roman"/>
          <w:b/>
          <w:bCs/>
          <w:color w:val="000000"/>
        </w:rPr>
        <w:t xml:space="preserve"> tikslų</w:t>
      </w:r>
      <w:r w:rsidRPr="00B17848">
        <w:rPr>
          <w:rFonts w:ascii="Times New Roman" w:eastAsia="IBM Plex Sans" w:hAnsi="Times New Roman" w:cs="Times New Roman"/>
          <w:color w:val="000000"/>
        </w:rPr>
        <w:t xml:space="preserve"> yra mokslinių tyrimų ir inovacijų plėtra, šiam tikslui pasiekti yra būtinas tarptautinis bendradarbiavimas, siekiant būti konkurencingiems dėl ES skiriamų lėšų aktualiems moksliniams tyrimams vykdyti.  Lietuvos sėkmės rodiklis </w:t>
      </w:r>
      <w:r w:rsidRPr="00B17848">
        <w:rPr>
          <w:rFonts w:ascii="Times New Roman" w:eastAsia="IBM Plex Sans Italics" w:hAnsi="Times New Roman" w:cs="Times New Roman"/>
          <w:i/>
          <w:iCs/>
          <w:color w:val="000000"/>
        </w:rPr>
        <w:t>Horizon2020</w:t>
      </w:r>
      <w:r w:rsidRPr="00B17848">
        <w:rPr>
          <w:rFonts w:ascii="Times New Roman" w:eastAsia="IBM Plex Sans" w:hAnsi="Times New Roman" w:cs="Times New Roman"/>
          <w:color w:val="000000"/>
        </w:rPr>
        <w:t xml:space="preserve"> programoje buvo beveik dvigubai didesnis lyginant su ankstesnėmis programomis (atitinkamai 3,292 ir 1,671 finansuotinų paraiškų), tačiau jis daugiau kaip 20 kartų mažesnis už aukščiausią sėkmės rodiklį (Jungtinės Karalystės sėkmės rodiklis </w:t>
      </w:r>
      <w:proofErr w:type="spellStart"/>
      <w:r w:rsidRPr="00B17848">
        <w:rPr>
          <w:rFonts w:ascii="Times New Roman" w:eastAsia="IBM Plex Sans Italics" w:hAnsi="Times New Roman" w:cs="Times New Roman"/>
          <w:i/>
          <w:iCs/>
          <w:color w:val="000000"/>
        </w:rPr>
        <w:t>Horizon</w:t>
      </w:r>
      <w:proofErr w:type="spellEnd"/>
      <w:r w:rsidRPr="00B17848">
        <w:rPr>
          <w:rFonts w:ascii="Times New Roman" w:eastAsia="IBM Plex Sans Italics" w:hAnsi="Times New Roman" w:cs="Times New Roman"/>
          <w:i/>
          <w:iCs/>
          <w:color w:val="000000"/>
        </w:rPr>
        <w:t xml:space="preserve"> 2020</w:t>
      </w:r>
      <w:r w:rsidRPr="00B17848">
        <w:rPr>
          <w:rFonts w:ascii="Times New Roman" w:eastAsia="IBM Plex Sans" w:hAnsi="Times New Roman" w:cs="Times New Roman"/>
          <w:color w:val="000000"/>
        </w:rPr>
        <w:t xml:space="preserve"> programoje 66,425). Viena iš Lietuvos Respublikos švietimo, mokslo ir sporto ministerijos mokslo plėtros programos pažangos priemonės Nr. 12-001-01-02-01 siektinų rodiklių yra Gebėjimų ir paskatų rengti tarptautines MTEP paraiškas kompetencijų kėlimas. Šiuo projektu prisidedama prie minėtų rodiklių siekimo. Projekto vykdymo metu parengtas Lietuvos agrarinių ir miškų mokslų centro (LAMMC) tarptautiškumo veiklos strategijos kelrodis.  </w:t>
      </w:r>
    </w:p>
    <w:p w14:paraId="6D328278" w14:textId="77777777" w:rsidR="00FF3A11" w:rsidRPr="00B17848" w:rsidRDefault="00000000">
      <w:pPr>
        <w:spacing w:before="120" w:after="120" w:line="336" w:lineRule="auto"/>
        <w:ind w:firstLine="480"/>
        <w:jc w:val="both"/>
        <w:rPr>
          <w:rFonts w:ascii="Times New Roman" w:hAnsi="Times New Roman" w:cs="Times New Roman"/>
        </w:rPr>
      </w:pPr>
      <w:r w:rsidRPr="00811B9F">
        <w:rPr>
          <w:rFonts w:ascii="Times New Roman" w:eastAsia="IBM Plex Sans" w:hAnsi="Times New Roman" w:cs="Times New Roman"/>
          <w:color w:val="000000"/>
        </w:rPr>
        <w:t>Kelrodis -</w:t>
      </w:r>
      <w:r w:rsidRPr="00B17848">
        <w:rPr>
          <w:rFonts w:ascii="Times New Roman" w:eastAsia="IBM Plex Sans" w:hAnsi="Times New Roman" w:cs="Times New Roman"/>
          <w:color w:val="000000"/>
        </w:rPr>
        <w:t xml:space="preserve"> tai strateginis dokumentas, apibrėžiantis LAMMC tikslus ir siektinus rezultatus tarptautinėje mokslo rinkoje, analizuojantis konkurencines galimybes ir strategines partnerystes, leidžiančias pasiekti aukštesnių sėkmės rodiklių teikiant projektų paraiškas. Taip pat šis dokumentas padeda įsivertinti pagrindines LAMMC stiprybes ir silpnybes, galimybes ir grėsmes dalyvaujant programos „Europos horizontas“ ar vėlesniuose FP10 programos kvietimuose.  LAMMC tarptautiškumo veiklos strategijos kelrodis apimtų pagrindinius žingsnius ar etapus, priemones ir būdus, reikalingus pakelti mokslininkų bei administracijos darbuotojų kompetencijas, kurios leis tinkamai pasirengti projekto paraiškų rengimui, naujų strateginių partnerysčių formavimui ko pasėkoje bus padidintas sėkmingų paraiškų pateikimo skaičius Europos Horizontas ar vėlesnėse finansavimo programose.  </w:t>
      </w:r>
    </w:p>
    <w:p w14:paraId="3DB2DB5A" w14:textId="19688A0F" w:rsidR="006A20ED" w:rsidRDefault="006A20ED">
      <w:pPr>
        <w:rPr>
          <w:rFonts w:ascii="Times New Roman" w:hAnsi="Times New Roman" w:cs="Times New Roman"/>
        </w:rPr>
      </w:pPr>
      <w:r>
        <w:rPr>
          <w:rFonts w:ascii="Times New Roman" w:hAnsi="Times New Roman" w:cs="Times New Roman"/>
        </w:rPr>
        <w:br w:type="page"/>
      </w:r>
    </w:p>
    <w:p w14:paraId="4A210AC4" w14:textId="77777777" w:rsidR="006A20ED" w:rsidRPr="006A20ED" w:rsidRDefault="00000000" w:rsidP="006A20ED">
      <w:pPr>
        <w:spacing w:before="120" w:after="120" w:line="336" w:lineRule="auto"/>
        <w:rPr>
          <w:rFonts w:ascii="Times New Roman" w:hAnsi="Times New Roman" w:cs="Times New Roman"/>
          <w:b/>
          <w:bCs/>
        </w:rPr>
      </w:pPr>
      <w:r w:rsidRPr="006A20ED">
        <w:rPr>
          <w:rFonts w:ascii="Times New Roman" w:eastAsia="Montserrat" w:hAnsi="Times New Roman" w:cs="Times New Roman"/>
          <w:b/>
          <w:bCs/>
          <w:color w:val="00646A"/>
        </w:rPr>
        <w:lastRenderedPageBreak/>
        <w:t xml:space="preserve">Kelrodžio tikslas </w:t>
      </w:r>
    </w:p>
    <w:p w14:paraId="70A6D1C0" w14:textId="77777777" w:rsidR="006A20ED" w:rsidRPr="00B17848" w:rsidRDefault="006A20ED" w:rsidP="006A20ED">
      <w:pPr>
        <w:pBdr>
          <w:bottom w:val="single" w:sz="6" w:space="0" w:color="076C72"/>
        </w:pBdr>
        <w:spacing w:before="120" w:after="120" w:line="0" w:lineRule="auto"/>
        <w:rPr>
          <w:rFonts w:ascii="Times New Roman" w:hAnsi="Times New Roman" w:cs="Times New Roman"/>
        </w:rPr>
      </w:pPr>
    </w:p>
    <w:p w14:paraId="3E938A71" w14:textId="3A4ADF41"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Sukurti sisteminį, įgyvendinamą ir tvarų Lietuvos agrarinių ir miškų mokslų centro (LAMMC) tarptautiškumo strategijos kelrodį, kuris sustiprintų Centro mokslininkų gebėjimus dalyvauti tarptautinėse MTEP programose, ypač „Europos horizontas“ ar vėlesnėse</w:t>
      </w:r>
      <w:r w:rsidR="006A20ED">
        <w:rPr>
          <w:rFonts w:ascii="Times New Roman" w:eastAsia="IBM Plex Sans" w:hAnsi="Times New Roman" w:cs="Times New Roman"/>
          <w:color w:val="000000"/>
        </w:rPr>
        <w:t xml:space="preserve"> programose</w:t>
      </w:r>
      <w:r w:rsidRPr="00B17848">
        <w:rPr>
          <w:rFonts w:ascii="Times New Roman" w:eastAsia="IBM Plex Sans" w:hAnsi="Times New Roman" w:cs="Times New Roman"/>
          <w:color w:val="000000"/>
        </w:rPr>
        <w:t xml:space="preserve">, bei užtikrintų konkurencingą poziciją Europos mokslo erdvėje.  </w:t>
      </w:r>
    </w:p>
    <w:p w14:paraId="3D32EA71" w14:textId="77777777" w:rsidR="00FF3A11" w:rsidRPr="00811B9F" w:rsidRDefault="00000000">
      <w:pPr>
        <w:spacing w:before="120" w:after="120" w:line="336" w:lineRule="auto"/>
        <w:jc w:val="both"/>
        <w:rPr>
          <w:rFonts w:ascii="Times New Roman" w:eastAsia="Montserrat" w:hAnsi="Times New Roman" w:cs="Times New Roman"/>
          <w:b/>
          <w:bCs/>
          <w:color w:val="00646A"/>
        </w:rPr>
      </w:pPr>
      <w:r w:rsidRPr="00811B9F">
        <w:rPr>
          <w:rFonts w:ascii="Times New Roman" w:eastAsia="Montserrat" w:hAnsi="Times New Roman" w:cs="Times New Roman"/>
          <w:b/>
          <w:bCs/>
          <w:color w:val="00646A"/>
        </w:rPr>
        <w:t xml:space="preserve">Uždaviniai </w:t>
      </w:r>
    </w:p>
    <w:p w14:paraId="3F0AF5BF" w14:textId="6C7524BF" w:rsidR="006A20ED" w:rsidRPr="00B17848" w:rsidRDefault="006A20ED">
      <w:pPr>
        <w:spacing w:before="120" w:after="120" w:line="336" w:lineRule="auto"/>
        <w:jc w:val="both"/>
        <w:rPr>
          <w:rFonts w:ascii="Times New Roman" w:hAnsi="Times New Roman" w:cs="Times New Roman"/>
        </w:rPr>
      </w:pPr>
      <w:r>
        <w:rPr>
          <w:rFonts w:ascii="Times New Roman" w:eastAsia="Montserrat" w:hAnsi="Times New Roman" w:cs="Times New Roman"/>
          <w:noProof/>
          <w:color w:val="00646A"/>
        </w:rPr>
        <w:drawing>
          <wp:inline distT="0" distB="0" distL="0" distR="0" wp14:anchorId="0DEF8BF2" wp14:editId="159E1415">
            <wp:extent cx="5486400" cy="3200400"/>
            <wp:effectExtent l="0" t="19050" r="19050" b="19050"/>
            <wp:docPr id="188864729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558BF46" w14:textId="3BCC02B9" w:rsidR="00FF3A11" w:rsidRDefault="00FF3A11">
      <w:pPr>
        <w:spacing w:before="120" w:after="120"/>
        <w:jc w:val="center"/>
        <w:rPr>
          <w:rFonts w:ascii="Times New Roman" w:hAnsi="Times New Roman" w:cs="Times New Roman"/>
        </w:rPr>
      </w:pPr>
    </w:p>
    <w:p w14:paraId="227886EC" w14:textId="0C15086D" w:rsidR="00811B9F" w:rsidRDefault="008264FA">
      <w:pPr>
        <w:spacing w:before="120" w:after="120"/>
        <w:jc w:val="center"/>
        <w:rPr>
          <w:rFonts w:ascii="Times New Roman" w:hAnsi="Times New Roman" w:cs="Times New Roman"/>
        </w:rPr>
      </w:pPr>
      <w:r w:rsidRPr="008264FA">
        <w:rPr>
          <w:rFonts w:ascii="Times New Roman" w:hAnsi="Times New Roman" w:cs="Times New Roman"/>
          <w:b/>
          <w:bCs/>
        </w:rPr>
        <w:t>1 pav.</w:t>
      </w:r>
      <w:r>
        <w:rPr>
          <w:rFonts w:ascii="Times New Roman" w:hAnsi="Times New Roman" w:cs="Times New Roman"/>
        </w:rPr>
        <w:t xml:space="preserve"> Kelrodžio uždaviniai. </w:t>
      </w:r>
    </w:p>
    <w:p w14:paraId="3F041B95" w14:textId="77777777" w:rsidR="008264FA" w:rsidRPr="008264FA" w:rsidRDefault="008264FA">
      <w:pPr>
        <w:spacing w:before="120" w:after="120"/>
        <w:jc w:val="center"/>
        <w:rPr>
          <w:rFonts w:ascii="Times New Roman" w:hAnsi="Times New Roman" w:cs="Times New Roman"/>
        </w:rPr>
      </w:pPr>
    </w:p>
    <w:p w14:paraId="18AED28C" w14:textId="09A5E197"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 xml:space="preserve">Kelrodžio įgyvendinimui išsikelti trys </w:t>
      </w:r>
      <w:r w:rsidR="00811B9F" w:rsidRPr="00B17848">
        <w:rPr>
          <w:rFonts w:ascii="Times New Roman" w:eastAsia="IBM Plex Sans" w:hAnsi="Times New Roman" w:cs="Times New Roman"/>
          <w:color w:val="000000"/>
        </w:rPr>
        <w:t>pagrindiniai</w:t>
      </w:r>
      <w:r w:rsidRPr="00B17848">
        <w:rPr>
          <w:rFonts w:ascii="Times New Roman" w:eastAsia="IBM Plex Sans" w:hAnsi="Times New Roman" w:cs="Times New Roman"/>
          <w:color w:val="000000"/>
        </w:rPr>
        <w:t xml:space="preserve"> tikslai: didinti LAMMC mokslininkų bei administracijos kompetencijas rengiant tarptautines MTEP paraiškas. Skatinti aktyvesnį tarptautinį bendradarbiavimą ir konsorciumų kūrimą. Formuoti Centro </w:t>
      </w:r>
      <w:r w:rsidR="00811B9F" w:rsidRPr="00B17848">
        <w:rPr>
          <w:rFonts w:ascii="Times New Roman" w:eastAsia="IBM Plex Sans" w:hAnsi="Times New Roman" w:cs="Times New Roman"/>
          <w:color w:val="000000"/>
        </w:rPr>
        <w:t>bendruomenei</w:t>
      </w:r>
      <w:r w:rsidRPr="00B17848">
        <w:rPr>
          <w:rFonts w:ascii="Times New Roman" w:eastAsia="IBM Plex Sans" w:hAnsi="Times New Roman" w:cs="Times New Roman"/>
          <w:color w:val="000000"/>
        </w:rPr>
        <w:t xml:space="preserve"> patrauklią darbo kultūrą, parengiant nuoseklų veiksmų planą, kaip didinantį paraiškų sėkmės rodiklį, bet išlaikant balansą tarp horizontaliųjų principų. Visais minimais veiksmai siekiama Sustiprinti LAMMC, kaip patikimo partnerio reputaciją tarptautiniu mastu. </w:t>
      </w:r>
    </w:p>
    <w:p w14:paraId="05D010D7" w14:textId="2C45CBC7" w:rsidR="00811B9F" w:rsidRDefault="00811B9F">
      <w:pPr>
        <w:rPr>
          <w:rFonts w:ascii="Times New Roman" w:hAnsi="Times New Roman" w:cs="Times New Roman"/>
          <w:noProof/>
        </w:rPr>
      </w:pPr>
      <w:r>
        <w:rPr>
          <w:rFonts w:ascii="Times New Roman" w:hAnsi="Times New Roman" w:cs="Times New Roman"/>
          <w:noProof/>
        </w:rPr>
        <w:br w:type="page"/>
      </w:r>
    </w:p>
    <w:p w14:paraId="1A22C2A1" w14:textId="77777777" w:rsidR="00FF3A11" w:rsidRPr="00811B9F" w:rsidRDefault="00000000">
      <w:pPr>
        <w:spacing w:before="120" w:after="120" w:line="336" w:lineRule="auto"/>
        <w:rPr>
          <w:rFonts w:ascii="Times New Roman" w:hAnsi="Times New Roman" w:cs="Times New Roman"/>
          <w:b/>
          <w:bCs/>
        </w:rPr>
      </w:pPr>
      <w:r w:rsidRPr="00811B9F">
        <w:rPr>
          <w:rFonts w:ascii="Times New Roman" w:eastAsia="Montserrat" w:hAnsi="Times New Roman" w:cs="Times New Roman"/>
          <w:b/>
          <w:bCs/>
          <w:color w:val="00646A"/>
        </w:rPr>
        <w:lastRenderedPageBreak/>
        <w:t xml:space="preserve">Kas mes esame? </w:t>
      </w:r>
    </w:p>
    <w:p w14:paraId="429148A5" w14:textId="77777777"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 xml:space="preserve">LAMMC vykdo aukšto lygio agrarinių, </w:t>
      </w:r>
      <w:proofErr w:type="spellStart"/>
      <w:r w:rsidRPr="00B17848">
        <w:rPr>
          <w:rFonts w:ascii="Times New Roman" w:eastAsia="IBM Plex Sans" w:hAnsi="Times New Roman" w:cs="Times New Roman"/>
          <w:color w:val="000000"/>
        </w:rPr>
        <w:t>miškotyros</w:t>
      </w:r>
      <w:proofErr w:type="spellEnd"/>
      <w:r w:rsidRPr="00B17848">
        <w:rPr>
          <w:rFonts w:ascii="Times New Roman" w:eastAsia="IBM Plex Sans" w:hAnsi="Times New Roman" w:cs="Times New Roman"/>
          <w:color w:val="000000"/>
        </w:rPr>
        <w:t>, ekologinių ir biologinių mokslų tyrimus, turi ilgametę patirtį selekcijos ir taikomųjų mokslų srityse. LAMMC mokslininkai aktyviai dalyvauja nacionalinėse darbo grupėse, yra projektų ir šalies strateginių dokumentų vertinimo ekspertinių grupių nariai, o pastaraisiais metais reikšmingai padidėjo jų indėlis į tarptautinių darbo ir ekspertinių grupių, teikiančių siūlymus Europos Komisijai, veiklą. Mokslininkai sukauptomis žiniomis ir tyrimų rezultatais aktyviai dalijasi nacionalinių ir tarptautinių konferencijų metu. Centro mokslininkai turi patirties įgyvendinant „</w:t>
      </w:r>
      <w:proofErr w:type="spellStart"/>
      <w:r w:rsidRPr="00B17848">
        <w:rPr>
          <w:rFonts w:ascii="Times New Roman" w:eastAsia="IBM Plex Sans" w:hAnsi="Times New Roman" w:cs="Times New Roman"/>
          <w:color w:val="000000"/>
        </w:rPr>
        <w:t>Horizon</w:t>
      </w:r>
      <w:proofErr w:type="spellEnd"/>
      <w:r w:rsidRPr="00B17848">
        <w:rPr>
          <w:rFonts w:ascii="Times New Roman" w:eastAsia="IBM Plex Sans" w:hAnsi="Times New Roman" w:cs="Times New Roman"/>
          <w:color w:val="000000"/>
        </w:rPr>
        <w:t xml:space="preserve"> 2020“ ir „</w:t>
      </w:r>
      <w:proofErr w:type="spellStart"/>
      <w:r w:rsidRPr="00B17848">
        <w:rPr>
          <w:rFonts w:ascii="Times New Roman" w:eastAsia="IBM Plex Sans" w:hAnsi="Times New Roman" w:cs="Times New Roman"/>
          <w:color w:val="000000"/>
        </w:rPr>
        <w:t>Horizon</w:t>
      </w:r>
      <w:proofErr w:type="spellEnd"/>
      <w:r w:rsidRPr="00B17848">
        <w:rPr>
          <w:rFonts w:ascii="Times New Roman" w:eastAsia="IBM Plex Sans" w:hAnsi="Times New Roman" w:cs="Times New Roman"/>
          <w:color w:val="000000"/>
        </w:rPr>
        <w:t xml:space="preserve"> </w:t>
      </w:r>
      <w:proofErr w:type="spellStart"/>
      <w:r w:rsidRPr="00B17848">
        <w:rPr>
          <w:rFonts w:ascii="Times New Roman" w:eastAsia="IBM Plex Sans" w:hAnsi="Times New Roman" w:cs="Times New Roman"/>
          <w:color w:val="000000"/>
        </w:rPr>
        <w:t>Europe</w:t>
      </w:r>
      <w:proofErr w:type="spellEnd"/>
      <w:r w:rsidRPr="00B17848">
        <w:rPr>
          <w:rFonts w:ascii="Times New Roman" w:eastAsia="IBM Plex Sans" w:hAnsi="Times New Roman" w:cs="Times New Roman"/>
          <w:color w:val="000000"/>
        </w:rPr>
        <w:t xml:space="preserve">“ bei kitų tarptautinių programų projektus, tačiau paraiškų rengimo ir sėkmės rodikliai ženkliai atsilieka nuo ES lyderių.  </w:t>
      </w:r>
    </w:p>
    <w:p w14:paraId="5A9CB795" w14:textId="77777777" w:rsidR="00FF3A11" w:rsidRPr="00811B9F" w:rsidRDefault="00000000">
      <w:pPr>
        <w:spacing w:before="120" w:after="120" w:line="336" w:lineRule="auto"/>
        <w:rPr>
          <w:rFonts w:ascii="Times New Roman" w:hAnsi="Times New Roman" w:cs="Times New Roman"/>
          <w:b/>
          <w:bCs/>
        </w:rPr>
      </w:pPr>
      <w:r w:rsidRPr="00811B9F">
        <w:rPr>
          <w:rFonts w:ascii="Times New Roman" w:eastAsia="Montserrat" w:hAnsi="Times New Roman" w:cs="Times New Roman"/>
          <w:b/>
          <w:bCs/>
          <w:color w:val="00646A"/>
        </w:rPr>
        <w:t xml:space="preserve">Kelrodžio rengimo strategija </w:t>
      </w: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6203"/>
        <w:gridCol w:w="2827"/>
      </w:tblGrid>
      <w:tr w:rsidR="00FF3A11" w:rsidRPr="00B17848" w14:paraId="53A7F850" w14:textId="77777777">
        <w:tc>
          <w:tcPr>
            <w:tcW w:w="6202" w:type="dxa"/>
            <w:tcMar>
              <w:top w:w="0" w:type="dxa"/>
              <w:left w:w="0" w:type="dxa"/>
              <w:bottom w:w="0" w:type="dxa"/>
              <w:right w:w="0" w:type="dxa"/>
            </w:tcMar>
          </w:tcPr>
          <w:p w14:paraId="493BC092" w14:textId="77777777"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 xml:space="preserve">Kelrodžio rengimo metu numatoma bendradarbiauti su ilgametę patirtį turinčiais užsienio ekspertais iš Jungtinės Karalystės ir Airijos, kurie konsultuotų LAMMC mokslininkus ir administracijos darbuotojus tarptautiškumo strategijos kelrodžio rengimo klausimais. Planuojama, kad bus numatomi periodiniai tematiniai susitikimai su Centro mokslininkais ir administracijos darbuotojais, kuriuose dalyvaus ir užsienio ekspertai, susitikimų metu bus analizuojamas rengiamas kelrodis, bei jame gvildenamos problemos.  </w:t>
            </w:r>
          </w:p>
        </w:tc>
        <w:tc>
          <w:tcPr>
            <w:tcW w:w="2827" w:type="dxa"/>
            <w:tcMar>
              <w:top w:w="0" w:type="dxa"/>
              <w:left w:w="0" w:type="dxa"/>
              <w:bottom w:w="0" w:type="dxa"/>
              <w:right w:w="0" w:type="dxa"/>
            </w:tcMar>
          </w:tcPr>
          <w:p w14:paraId="14577B08"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02BC66A9" wp14:editId="10BB0404">
                  <wp:extent cx="1795145" cy="1152558"/>
                  <wp:effectExtent l="0" t="0" r="0" b="0"/>
                  <wp:docPr id="16" name="Drawing 16" descr="5f4d601e94102345530fe0d174025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f4d601e94102345530fe0d174025e80.png"/>
                          <pic:cNvPicPr>
                            <a:picLocks noChangeAspect="1"/>
                          </pic:cNvPicPr>
                        </pic:nvPicPr>
                        <pic:blipFill>
                          <a:blip r:embed="rId15"/>
                          <a:srcRect l="6834" r="6834"/>
                          <a:stretch>
                            <a:fillRect/>
                          </a:stretch>
                        </pic:blipFill>
                        <pic:spPr>
                          <a:xfrm>
                            <a:off x="0" y="0"/>
                            <a:ext cx="1795145" cy="1152558"/>
                          </a:xfrm>
                          <a:prstGeom prst="rect">
                            <a:avLst/>
                          </a:prstGeom>
                        </pic:spPr>
                      </pic:pic>
                    </a:graphicData>
                  </a:graphic>
                </wp:inline>
              </w:drawing>
            </w:r>
          </w:p>
          <w:p w14:paraId="7B179B26"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Arimo" w:hAnsi="Times New Roman" w:cs="Times New Roman"/>
                <w:color w:val="000000"/>
              </w:rPr>
              <w:t xml:space="preserve"> </w:t>
            </w:r>
          </w:p>
        </w:tc>
      </w:tr>
    </w:tbl>
    <w:p w14:paraId="6DEE0A79" w14:textId="43406375"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 xml:space="preserve">Taip pat planuojama pasinaudoti EARMA (mokslo vadybininkų) tinklu (LAMMC nuo 2023 metų yra šios organizacijos nariai), bendradarbiaujant su šioje organizacijoje dirbančiais mokslo vadybininkais ir administratoriais būtų parengtas aukšto lygio kelrodis, kuris būtų ne tik strateginis dokumentas, bet ir darbinė patarimų knyga – kelrodis tiek mokslininkams, tiek ir administracijos darbuotojams rengiant projektų paraiškas ar bandant suburti tinkamas kompetencijas reprezentuojantį konsorciumą mokslinės idėjos įgyvendinimui. Taip pat vienas iš pridėtinių šio projekto įgyvendinimo verčių būtų pakeltos visų grupių darbuotojų kompetencijos dirbant su tarptautiniais ekspertais, pagilintos projektų rengimo žinios ir pasidalinta gerąja patirtimi su užsienio ekspertais. Tai papildomai ugdys LAMMC </w:t>
      </w:r>
      <w:r w:rsidR="00811B9F" w:rsidRPr="00B17848">
        <w:rPr>
          <w:rFonts w:ascii="Times New Roman" w:eastAsia="IBM Plex Sans" w:hAnsi="Times New Roman" w:cs="Times New Roman"/>
          <w:color w:val="000000"/>
        </w:rPr>
        <w:t>administracijos</w:t>
      </w:r>
      <w:r w:rsidRPr="00B17848">
        <w:rPr>
          <w:rFonts w:ascii="Times New Roman" w:eastAsia="IBM Plex Sans" w:hAnsi="Times New Roman" w:cs="Times New Roman"/>
          <w:color w:val="000000"/>
        </w:rPr>
        <w:t xml:space="preserve"> darbuotojų ge</w:t>
      </w:r>
      <w:r w:rsidR="00811B9F">
        <w:rPr>
          <w:rFonts w:ascii="Times New Roman" w:eastAsia="IBM Plex Sans" w:hAnsi="Times New Roman" w:cs="Times New Roman"/>
          <w:color w:val="000000"/>
        </w:rPr>
        <w:t>b</w:t>
      </w:r>
      <w:r w:rsidRPr="00B17848">
        <w:rPr>
          <w:rFonts w:ascii="Times New Roman" w:eastAsia="IBM Plex Sans" w:hAnsi="Times New Roman" w:cs="Times New Roman"/>
          <w:color w:val="000000"/>
        </w:rPr>
        <w:t xml:space="preserve">ėjimus tokius projektus įgyvendinti ir koordinuoti bei didins mokslininkų žinomumą bei pripažinimą. </w:t>
      </w:r>
    </w:p>
    <w:p w14:paraId="4C03AC72" w14:textId="77777777" w:rsidR="00811B9F" w:rsidRDefault="00811B9F">
      <w:pPr>
        <w:spacing w:before="120" w:after="120" w:line="336" w:lineRule="auto"/>
        <w:rPr>
          <w:rFonts w:ascii="Times New Roman" w:eastAsia="IBM Plex Sans Bold" w:hAnsi="Times New Roman" w:cs="Times New Roman"/>
          <w:b/>
          <w:bCs/>
          <w:color w:val="00646A"/>
        </w:rPr>
      </w:pPr>
    </w:p>
    <w:p w14:paraId="20933FAC" w14:textId="77777777" w:rsidR="00811B9F" w:rsidRDefault="00811B9F">
      <w:pPr>
        <w:spacing w:before="120" w:after="120" w:line="336" w:lineRule="auto"/>
        <w:rPr>
          <w:rFonts w:ascii="Times New Roman" w:eastAsia="IBM Plex Sans Bold" w:hAnsi="Times New Roman" w:cs="Times New Roman"/>
          <w:b/>
          <w:bCs/>
          <w:color w:val="00646A"/>
        </w:rPr>
      </w:pPr>
    </w:p>
    <w:p w14:paraId="58956878" w14:textId="2EB23215" w:rsidR="00FF3A11" w:rsidRPr="00B17848" w:rsidRDefault="00000000">
      <w:pPr>
        <w:spacing w:before="120" w:after="120" w:line="336" w:lineRule="auto"/>
        <w:rPr>
          <w:rFonts w:ascii="Times New Roman" w:hAnsi="Times New Roman" w:cs="Times New Roman"/>
        </w:rPr>
      </w:pPr>
      <w:r w:rsidRPr="00B17848">
        <w:rPr>
          <w:rFonts w:ascii="Times New Roman" w:eastAsia="IBM Plex Sans Bold" w:hAnsi="Times New Roman" w:cs="Times New Roman"/>
          <w:b/>
          <w:bCs/>
          <w:color w:val="00646A"/>
        </w:rPr>
        <w:lastRenderedPageBreak/>
        <w:t xml:space="preserve"> Ką mes atlikome </w:t>
      </w:r>
    </w:p>
    <w:p w14:paraId="76D5B5DB" w14:textId="77777777" w:rsidR="00FF3A11" w:rsidRPr="00B17848" w:rsidRDefault="00FF3A11">
      <w:pPr>
        <w:pBdr>
          <w:bottom w:val="single" w:sz="6" w:space="0" w:color="076C72"/>
        </w:pBdr>
        <w:spacing w:before="120" w:after="120" w:line="0" w:lineRule="auto"/>
        <w:rPr>
          <w:rFonts w:ascii="Times New Roman" w:hAnsi="Times New Roman" w:cs="Times New Roman"/>
        </w:rPr>
      </w:pPr>
    </w:p>
    <w:p w14:paraId="7FAE92D5" w14:textId="677D9D22" w:rsidR="00FF3A11" w:rsidRPr="00B17848" w:rsidRDefault="002C6DC1">
      <w:pPr>
        <w:spacing w:before="120" w:after="120" w:line="336" w:lineRule="auto"/>
        <w:ind w:firstLine="480"/>
        <w:jc w:val="both"/>
        <w:rPr>
          <w:rFonts w:ascii="Times New Roman" w:hAnsi="Times New Roman" w:cs="Times New Roman"/>
        </w:rPr>
      </w:pPr>
      <w:r w:rsidRPr="002C6DC1">
        <w:rPr>
          <w:rFonts w:ascii="Times New Roman" w:eastAsia="IBM Plex Sans" w:hAnsi="Times New Roman" w:cs="Times New Roman"/>
          <w:color w:val="000000"/>
        </w:rPr>
        <w:t>Projekto įgyvendinimo laikotarpiu buvo intensyviai dirbama tiek horizontaliai, tiek vertikaliai – nuosekliai bendradarbiaujant su skirtingais padaliniais, interesų grupėmis ir vadovybe, kad būtų užtikrintas visapusiškas pasirengimas ir kokybiškas kelrodžio gairių parengimas.</w:t>
      </w: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3010"/>
        <w:gridCol w:w="3010"/>
        <w:gridCol w:w="3010"/>
      </w:tblGrid>
      <w:tr w:rsidR="00FF3A11" w:rsidRPr="00B17848" w14:paraId="11ADD629" w14:textId="77777777">
        <w:tc>
          <w:tcPr>
            <w:tcW w:w="3010" w:type="dxa"/>
            <w:shd w:val="clear" w:color="auto" w:fill="076C72"/>
            <w:tcMar>
              <w:top w:w="0" w:type="dxa"/>
              <w:left w:w="0" w:type="dxa"/>
              <w:bottom w:w="0" w:type="dxa"/>
              <w:right w:w="0" w:type="dxa"/>
            </w:tcMar>
          </w:tcPr>
          <w:p w14:paraId="6743F461" w14:textId="77777777" w:rsidR="00FF3A11" w:rsidRPr="00B17848" w:rsidRDefault="00000000">
            <w:pPr>
              <w:spacing w:before="120" w:after="120" w:line="336" w:lineRule="auto"/>
              <w:jc w:val="center"/>
              <w:rPr>
                <w:rFonts w:ascii="Times New Roman" w:hAnsi="Times New Roman" w:cs="Times New Roman"/>
              </w:rPr>
            </w:pPr>
            <w:r w:rsidRPr="00B17848">
              <w:rPr>
                <w:rFonts w:ascii="Times New Roman" w:eastAsia="IBM Plex Sans Bold" w:hAnsi="Times New Roman" w:cs="Times New Roman"/>
                <w:b/>
                <w:bCs/>
                <w:color w:val="FFFFFF"/>
              </w:rPr>
              <w:t xml:space="preserve">Esamos situacijos analizė </w:t>
            </w:r>
          </w:p>
        </w:tc>
        <w:tc>
          <w:tcPr>
            <w:tcW w:w="3010" w:type="dxa"/>
            <w:shd w:val="clear" w:color="auto" w:fill="076C72"/>
            <w:tcMar>
              <w:top w:w="0" w:type="dxa"/>
              <w:left w:w="0" w:type="dxa"/>
              <w:bottom w:w="0" w:type="dxa"/>
              <w:right w:w="0" w:type="dxa"/>
            </w:tcMar>
          </w:tcPr>
          <w:p w14:paraId="350328F2" w14:textId="77777777" w:rsidR="00FF3A11" w:rsidRPr="00B17848" w:rsidRDefault="00000000">
            <w:pPr>
              <w:spacing w:before="120" w:after="120" w:line="336" w:lineRule="auto"/>
              <w:jc w:val="center"/>
              <w:rPr>
                <w:rFonts w:ascii="Times New Roman" w:hAnsi="Times New Roman" w:cs="Times New Roman"/>
              </w:rPr>
            </w:pPr>
            <w:r w:rsidRPr="00B17848">
              <w:rPr>
                <w:rFonts w:ascii="Times New Roman" w:eastAsia="IBM Plex Sans Bold" w:hAnsi="Times New Roman" w:cs="Times New Roman"/>
                <w:b/>
                <w:bCs/>
                <w:color w:val="FFFFFF"/>
              </w:rPr>
              <w:t xml:space="preserve">Mokymai </w:t>
            </w:r>
          </w:p>
        </w:tc>
        <w:tc>
          <w:tcPr>
            <w:tcW w:w="3010" w:type="dxa"/>
            <w:shd w:val="clear" w:color="auto" w:fill="076C72"/>
            <w:tcMar>
              <w:top w:w="0" w:type="dxa"/>
              <w:left w:w="0" w:type="dxa"/>
              <w:bottom w:w="0" w:type="dxa"/>
              <w:right w:w="0" w:type="dxa"/>
            </w:tcMar>
          </w:tcPr>
          <w:p w14:paraId="5546A17B" w14:textId="77777777" w:rsidR="00FF3A11" w:rsidRPr="00B17848" w:rsidRDefault="00000000">
            <w:pPr>
              <w:spacing w:before="120" w:after="120" w:line="336" w:lineRule="auto"/>
              <w:jc w:val="center"/>
              <w:rPr>
                <w:rFonts w:ascii="Times New Roman" w:hAnsi="Times New Roman" w:cs="Times New Roman"/>
              </w:rPr>
            </w:pPr>
            <w:r w:rsidRPr="00B17848">
              <w:rPr>
                <w:rFonts w:ascii="Times New Roman" w:eastAsia="IBM Plex Sans Bold" w:hAnsi="Times New Roman" w:cs="Times New Roman"/>
                <w:b/>
                <w:bCs/>
                <w:color w:val="FFFFFF"/>
              </w:rPr>
              <w:t xml:space="preserve">Konsultacijos </w:t>
            </w:r>
          </w:p>
        </w:tc>
      </w:tr>
      <w:tr w:rsidR="00FF3A11" w:rsidRPr="00B17848" w14:paraId="3DBDB054" w14:textId="77777777" w:rsidTr="008264FA">
        <w:trPr>
          <w:trHeight w:val="2881"/>
        </w:trPr>
        <w:tc>
          <w:tcPr>
            <w:tcW w:w="3010" w:type="dxa"/>
            <w:tcMar>
              <w:top w:w="0" w:type="dxa"/>
              <w:left w:w="0" w:type="dxa"/>
              <w:bottom w:w="0" w:type="dxa"/>
              <w:right w:w="0" w:type="dxa"/>
            </w:tcMar>
          </w:tcPr>
          <w:p w14:paraId="54FD9AA4"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7195BDC8" wp14:editId="189E9892">
                  <wp:extent cx="1911350" cy="2006442"/>
                  <wp:effectExtent l="0" t="0" r="0" b="0"/>
                  <wp:docPr id="17" name="Drawing 17" descr="31cb9e1b257052057793fe68249605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1cb9e1b257052057793fe682496058e.jpg"/>
                          <pic:cNvPicPr>
                            <a:picLocks noChangeAspect="1"/>
                          </pic:cNvPicPr>
                        </pic:nvPicPr>
                        <pic:blipFill>
                          <a:blip r:embed="rId16"/>
                          <a:srcRect t="10634" b="10634"/>
                          <a:stretch>
                            <a:fillRect/>
                          </a:stretch>
                        </pic:blipFill>
                        <pic:spPr>
                          <a:xfrm>
                            <a:off x="0" y="0"/>
                            <a:ext cx="1911350" cy="2006442"/>
                          </a:xfrm>
                          <a:prstGeom prst="rect">
                            <a:avLst/>
                          </a:prstGeom>
                        </pic:spPr>
                      </pic:pic>
                    </a:graphicData>
                  </a:graphic>
                </wp:inline>
              </w:drawing>
            </w:r>
          </w:p>
          <w:p w14:paraId="202264D0" w14:textId="14FF0BBA" w:rsidR="00FF3A11" w:rsidRPr="008264FA"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tc>
        <w:tc>
          <w:tcPr>
            <w:tcW w:w="3010" w:type="dxa"/>
            <w:tcMar>
              <w:top w:w="0" w:type="dxa"/>
              <w:left w:w="0" w:type="dxa"/>
              <w:bottom w:w="0" w:type="dxa"/>
              <w:right w:w="0" w:type="dxa"/>
            </w:tcMar>
          </w:tcPr>
          <w:p w14:paraId="6282543B"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174FD6B5" wp14:editId="4ADFD1B0">
                  <wp:extent cx="1789213" cy="2020078"/>
                  <wp:effectExtent l="0" t="0" r="0" b="0"/>
                  <wp:docPr id="18" name="Drawing 18" descr="19c011112df906a453033af04fe188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c011112df906a453033af04fe1886a.jpg"/>
                          <pic:cNvPicPr>
                            <a:picLocks noChangeAspect="1"/>
                          </pic:cNvPicPr>
                        </pic:nvPicPr>
                        <pic:blipFill>
                          <a:blip r:embed="rId17"/>
                          <a:srcRect t="7661" b="7661"/>
                          <a:stretch>
                            <a:fillRect/>
                          </a:stretch>
                        </pic:blipFill>
                        <pic:spPr>
                          <a:xfrm>
                            <a:off x="0" y="0"/>
                            <a:ext cx="1792523" cy="2023815"/>
                          </a:xfrm>
                          <a:prstGeom prst="rect">
                            <a:avLst/>
                          </a:prstGeom>
                        </pic:spPr>
                      </pic:pic>
                    </a:graphicData>
                  </a:graphic>
                </wp:inline>
              </w:drawing>
            </w:r>
          </w:p>
          <w:p w14:paraId="3CE63F04"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tc>
        <w:tc>
          <w:tcPr>
            <w:tcW w:w="3010" w:type="dxa"/>
            <w:tcMar>
              <w:top w:w="0" w:type="dxa"/>
              <w:left w:w="0" w:type="dxa"/>
              <w:bottom w:w="0" w:type="dxa"/>
              <w:right w:w="0" w:type="dxa"/>
            </w:tcMar>
          </w:tcPr>
          <w:p w14:paraId="680C3F49"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4D5DD5A5" wp14:editId="401B6EAE">
                  <wp:extent cx="1875345" cy="2005965"/>
                  <wp:effectExtent l="0" t="0" r="0" b="0"/>
                  <wp:docPr id="19" name="Drawing 19" descr="c9e845b071801f5ca3ab94615f3508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9e845b071801f5ca3ab94615f35088f.jpg"/>
                          <pic:cNvPicPr>
                            <a:picLocks noChangeAspect="1"/>
                          </pic:cNvPicPr>
                        </pic:nvPicPr>
                        <pic:blipFill>
                          <a:blip r:embed="rId18"/>
                          <a:srcRect t="9888" b="9888"/>
                          <a:stretch>
                            <a:fillRect/>
                          </a:stretch>
                        </pic:blipFill>
                        <pic:spPr>
                          <a:xfrm>
                            <a:off x="0" y="0"/>
                            <a:ext cx="1877740" cy="2008527"/>
                          </a:xfrm>
                          <a:prstGeom prst="rect">
                            <a:avLst/>
                          </a:prstGeom>
                        </pic:spPr>
                      </pic:pic>
                    </a:graphicData>
                  </a:graphic>
                </wp:inline>
              </w:drawing>
            </w:r>
          </w:p>
          <w:p w14:paraId="38E4D49F"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tc>
      </w:tr>
    </w:tbl>
    <w:p w14:paraId="7AF6E849" w14:textId="6D3A4083" w:rsidR="008264FA" w:rsidRDefault="008264FA" w:rsidP="008264FA">
      <w:pPr>
        <w:spacing w:before="120" w:after="120" w:line="336" w:lineRule="auto"/>
        <w:jc w:val="center"/>
        <w:rPr>
          <w:rFonts w:ascii="Times New Roman" w:eastAsia="Montserrat" w:hAnsi="Times New Roman" w:cs="Times New Roman"/>
          <w:color w:val="00646A"/>
        </w:rPr>
      </w:pPr>
      <w:r w:rsidRPr="008264FA">
        <w:rPr>
          <w:rFonts w:ascii="Times New Roman" w:eastAsia="IBM Plex Sans" w:hAnsi="Times New Roman" w:cs="Times New Roman"/>
          <w:b/>
          <w:bCs/>
          <w:color w:val="000000"/>
        </w:rPr>
        <w:t>2 pav.</w:t>
      </w:r>
      <w:r w:rsidRPr="008264FA">
        <w:rPr>
          <w:rFonts w:ascii="Times New Roman" w:eastAsia="IBM Plex Sans" w:hAnsi="Times New Roman" w:cs="Times New Roman"/>
          <w:color w:val="000000"/>
        </w:rPr>
        <w:t xml:space="preserve"> Akimirkos i</w:t>
      </w:r>
      <w:r>
        <w:rPr>
          <w:rFonts w:ascii="Times New Roman" w:eastAsia="IBM Plex Sans" w:hAnsi="Times New Roman" w:cs="Times New Roman"/>
          <w:color w:val="000000"/>
        </w:rPr>
        <w:t>š skirtingų mokymų</w:t>
      </w:r>
    </w:p>
    <w:p w14:paraId="0D1CA8A6" w14:textId="177191E6" w:rsidR="00FF3A11" w:rsidRPr="00716AF4" w:rsidRDefault="00000000">
      <w:pPr>
        <w:spacing w:before="120" w:after="120" w:line="336" w:lineRule="auto"/>
        <w:rPr>
          <w:rFonts w:ascii="Times New Roman" w:hAnsi="Times New Roman" w:cs="Times New Roman"/>
        </w:rPr>
      </w:pPr>
      <w:r w:rsidRPr="00716AF4">
        <w:rPr>
          <w:rFonts w:ascii="Times New Roman" w:eastAsia="Montserrat" w:hAnsi="Times New Roman" w:cs="Times New Roman"/>
          <w:color w:val="00646A"/>
        </w:rPr>
        <w:t xml:space="preserve"> I etapas: Esamos situacijos analizė </w:t>
      </w:r>
    </w:p>
    <w:p w14:paraId="1F7EB02A" w14:textId="31587900" w:rsidR="00FF3A11" w:rsidRPr="002C6DC1" w:rsidRDefault="00000000" w:rsidP="00F72BF6">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Šiame etape buvo išsikelta keletas uždavinių</w:t>
      </w:r>
      <w:r w:rsidR="002C6DC1">
        <w:rPr>
          <w:rFonts w:ascii="Times New Roman" w:eastAsia="IBM Plex Sans" w:hAnsi="Times New Roman" w:cs="Times New Roman"/>
          <w:color w:val="000000"/>
        </w:rPr>
        <w:t>:</w:t>
      </w:r>
      <w:r w:rsidR="00F72BF6">
        <w:rPr>
          <w:rFonts w:ascii="Times New Roman" w:eastAsia="IBM Plex Sans" w:hAnsi="Times New Roman" w:cs="Times New Roman"/>
          <w:color w:val="000000"/>
        </w:rPr>
        <w:t xml:space="preserve"> </w:t>
      </w:r>
      <w:r w:rsidRPr="002C6DC1">
        <w:rPr>
          <w:rFonts w:ascii="Times New Roman" w:eastAsia="IBM Plex Sans" w:hAnsi="Times New Roman" w:cs="Times New Roman"/>
          <w:color w:val="000000"/>
        </w:rPr>
        <w:t>surinkti duomenis apie LAMMC dalyvavimą tarptautinėse programose</w:t>
      </w:r>
      <w:r w:rsidR="002C6DC1" w:rsidRPr="002C6DC1">
        <w:rPr>
          <w:rFonts w:ascii="Times New Roman" w:eastAsia="IBM Plex Sans" w:hAnsi="Times New Roman" w:cs="Times New Roman"/>
          <w:color w:val="000000"/>
        </w:rPr>
        <w:t xml:space="preserve">; </w:t>
      </w:r>
      <w:r w:rsidR="00F72BF6">
        <w:rPr>
          <w:rFonts w:ascii="Times New Roman" w:eastAsia="IBM Plex Sans" w:hAnsi="Times New Roman" w:cs="Times New Roman"/>
          <w:color w:val="000000"/>
        </w:rPr>
        <w:t xml:space="preserve"> </w:t>
      </w:r>
      <w:r w:rsidRPr="002C6DC1">
        <w:rPr>
          <w:rFonts w:ascii="Times New Roman" w:eastAsia="IBM Plex Sans" w:hAnsi="Times New Roman" w:cs="Times New Roman"/>
          <w:color w:val="000000"/>
        </w:rPr>
        <w:t>įvertinti kompetencijų lygį ir atlikti SSGG analizę, kuri buvo atlikta dviem pjūviais (</w:t>
      </w:r>
      <w:r w:rsidR="002C6DC1" w:rsidRPr="002C6DC1">
        <w:rPr>
          <w:rFonts w:ascii="Times New Roman" w:eastAsia="IBM Plex Sans" w:hAnsi="Times New Roman" w:cs="Times New Roman"/>
          <w:color w:val="000000"/>
        </w:rPr>
        <w:t>analizuojami</w:t>
      </w:r>
      <w:r w:rsidRPr="002C6DC1">
        <w:rPr>
          <w:rFonts w:ascii="Times New Roman" w:eastAsia="IBM Plex Sans" w:hAnsi="Times New Roman" w:cs="Times New Roman"/>
          <w:color w:val="000000"/>
        </w:rPr>
        <w:t xml:space="preserve"> mokslininkų ir atskirai administracijos darbuotojų atsakymai).  </w:t>
      </w:r>
    </w:p>
    <w:tbl>
      <w:tblPr>
        <w:tblW w:w="903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3210"/>
        <w:gridCol w:w="5820"/>
      </w:tblGrid>
      <w:tr w:rsidR="00FF3A11" w:rsidRPr="00B17848" w14:paraId="6F43C958" w14:textId="77777777">
        <w:tc>
          <w:tcPr>
            <w:tcW w:w="3210" w:type="dxa"/>
            <w:tcMar>
              <w:top w:w="0" w:type="dxa"/>
              <w:left w:w="0" w:type="dxa"/>
              <w:bottom w:w="0" w:type="dxa"/>
              <w:right w:w="0" w:type="dxa"/>
            </w:tcMar>
          </w:tcPr>
          <w:p w14:paraId="5A38F626" w14:textId="59934582" w:rsidR="00FF3A11" w:rsidRPr="00B17848" w:rsidRDefault="002C6DC1" w:rsidP="002C6DC1">
            <w:pPr>
              <w:spacing w:before="120" w:after="120" w:line="336" w:lineRule="auto"/>
              <w:rPr>
                <w:rFonts w:ascii="Times New Roman" w:hAnsi="Times New Roman" w:cs="Times New Roman"/>
              </w:rPr>
            </w:pPr>
            <w:r w:rsidRPr="002C6DC1">
              <w:rPr>
                <w:rFonts w:ascii="Times New Roman" w:eastAsia="IBM Plex Sans" w:hAnsi="Times New Roman" w:cs="Times New Roman"/>
                <w:b/>
                <w:bCs/>
                <w:color w:val="000000"/>
              </w:rPr>
              <w:t>Pirmajame etape</w:t>
            </w:r>
            <w:r w:rsidRPr="00B17848">
              <w:rPr>
                <w:rFonts w:ascii="Times New Roman" w:eastAsia="IBM Plex Sans" w:hAnsi="Times New Roman" w:cs="Times New Roman"/>
                <w:color w:val="000000"/>
              </w:rPr>
              <w:t xml:space="preserve"> buvo įvertintas LAMMC mokslingu įsitraukimas į tarptautinių projektų įgyvendinimą. Rezultatai parodė, kad esame įsitraukę į daugiau kaip 8 tarptautines programas, tačiau vadovavome tik vienam projektui finansuotam pagal Baltijos mokslinių tyrimų programą. </w:t>
            </w:r>
            <w:r w:rsidRPr="00B17848">
              <w:rPr>
                <w:rFonts w:ascii="Times New Roman" w:eastAsia="Arimo" w:hAnsi="Times New Roman" w:cs="Times New Roman"/>
                <w:color w:val="000000"/>
              </w:rPr>
              <w:t xml:space="preserve"> </w:t>
            </w:r>
          </w:p>
        </w:tc>
        <w:tc>
          <w:tcPr>
            <w:tcW w:w="5819" w:type="dxa"/>
            <w:tcMar>
              <w:top w:w="0" w:type="dxa"/>
              <w:left w:w="0" w:type="dxa"/>
              <w:bottom w:w="0" w:type="dxa"/>
              <w:right w:w="0" w:type="dxa"/>
            </w:tcMar>
          </w:tcPr>
          <w:p w14:paraId="66490342" w14:textId="77777777" w:rsidR="002C6DC1" w:rsidRDefault="002C6DC1" w:rsidP="002C6DC1">
            <w:pPr>
              <w:spacing w:before="120" w:after="120"/>
              <w:ind w:right="-603"/>
              <w:jc w:val="center"/>
              <w:rPr>
                <w:rFonts w:ascii="Times New Roman" w:hAnsi="Times New Roman" w:cs="Times New Roman"/>
              </w:rPr>
            </w:pPr>
          </w:p>
          <w:p w14:paraId="4A34777D" w14:textId="77777777" w:rsidR="002C6DC1" w:rsidRDefault="002C6DC1" w:rsidP="002C6DC1">
            <w:pPr>
              <w:spacing w:before="120" w:after="120"/>
              <w:ind w:right="-603"/>
              <w:jc w:val="center"/>
              <w:rPr>
                <w:rFonts w:ascii="Times New Roman" w:hAnsi="Times New Roman" w:cs="Times New Roman"/>
              </w:rPr>
            </w:pPr>
          </w:p>
          <w:p w14:paraId="5648072A" w14:textId="1A0EF0B1" w:rsidR="00FF3A11" w:rsidRPr="00B17848" w:rsidRDefault="00000000" w:rsidP="002C6DC1">
            <w:pPr>
              <w:spacing w:before="120" w:after="120"/>
              <w:ind w:right="-603"/>
              <w:jc w:val="center"/>
              <w:rPr>
                <w:rFonts w:ascii="Times New Roman" w:hAnsi="Times New Roman" w:cs="Times New Roman"/>
              </w:rPr>
            </w:pPr>
            <w:r w:rsidRPr="00B17848">
              <w:rPr>
                <w:rFonts w:ascii="Times New Roman" w:hAnsi="Times New Roman" w:cs="Times New Roman"/>
                <w:noProof/>
              </w:rPr>
              <w:drawing>
                <wp:inline distT="0" distB="0" distL="0" distR="0" wp14:anchorId="7BB8AC84" wp14:editId="668AD333">
                  <wp:extent cx="2948342" cy="1485227"/>
                  <wp:effectExtent l="0" t="0" r="0" b="0"/>
                  <wp:docPr id="20" name="Drawing 20" descr="f2e911875fe805ca841f7eba05624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2e911875fe805ca841f7eba05624748.png"/>
                          <pic:cNvPicPr>
                            <a:picLocks noChangeAspect="1"/>
                          </pic:cNvPicPr>
                        </pic:nvPicPr>
                        <pic:blipFill>
                          <a:blip r:embed="rId19"/>
                          <a:stretch>
                            <a:fillRect/>
                          </a:stretch>
                        </pic:blipFill>
                        <pic:spPr>
                          <a:xfrm>
                            <a:off x="0" y="0"/>
                            <a:ext cx="2957175" cy="1489677"/>
                          </a:xfrm>
                          <a:prstGeom prst="rect">
                            <a:avLst/>
                          </a:prstGeom>
                        </pic:spPr>
                      </pic:pic>
                    </a:graphicData>
                  </a:graphic>
                </wp:inline>
              </w:drawing>
            </w:r>
          </w:p>
          <w:p w14:paraId="2447BDA9" w14:textId="33489A6E" w:rsidR="00FF3A11" w:rsidRPr="008264FA" w:rsidRDefault="008264FA" w:rsidP="008264FA">
            <w:pPr>
              <w:spacing w:before="120" w:after="120" w:line="336" w:lineRule="auto"/>
              <w:jc w:val="center"/>
              <w:rPr>
                <w:rFonts w:ascii="Times New Roman" w:hAnsi="Times New Roman" w:cs="Times New Roman"/>
              </w:rPr>
            </w:pPr>
            <w:r w:rsidRPr="008264FA">
              <w:rPr>
                <w:rFonts w:ascii="Times New Roman" w:eastAsia="Arimo" w:hAnsi="Times New Roman" w:cs="Times New Roman"/>
                <w:b/>
                <w:bCs/>
                <w:color w:val="000000"/>
                <w:lang w:val="en-US"/>
              </w:rPr>
              <w:t xml:space="preserve">3 </w:t>
            </w:r>
            <w:proofErr w:type="gramStart"/>
            <w:r w:rsidRPr="008264FA">
              <w:rPr>
                <w:rFonts w:ascii="Times New Roman" w:eastAsia="Arimo" w:hAnsi="Times New Roman" w:cs="Times New Roman"/>
                <w:b/>
                <w:bCs/>
                <w:color w:val="000000"/>
                <w:lang w:val="en-US"/>
              </w:rPr>
              <w:t>pav</w:t>
            </w:r>
            <w:proofErr w:type="gramEnd"/>
            <w:r w:rsidRPr="008264FA">
              <w:rPr>
                <w:rFonts w:ascii="Times New Roman" w:eastAsia="Arimo" w:hAnsi="Times New Roman" w:cs="Times New Roman"/>
                <w:b/>
                <w:bCs/>
                <w:color w:val="000000"/>
                <w:lang w:val="en-US"/>
              </w:rPr>
              <w:t>.</w:t>
            </w:r>
            <w:r>
              <w:rPr>
                <w:rFonts w:ascii="Times New Roman" w:eastAsia="Arimo" w:hAnsi="Times New Roman" w:cs="Times New Roman"/>
                <w:color w:val="000000"/>
                <w:lang w:val="en-US"/>
              </w:rPr>
              <w:t xml:space="preserve"> </w:t>
            </w:r>
            <w:proofErr w:type="spellStart"/>
            <w:r>
              <w:rPr>
                <w:rFonts w:ascii="Times New Roman" w:eastAsia="Arimo" w:hAnsi="Times New Roman" w:cs="Times New Roman"/>
                <w:color w:val="000000"/>
                <w:lang w:val="en-US"/>
              </w:rPr>
              <w:t>Projektų</w:t>
            </w:r>
            <w:proofErr w:type="spellEnd"/>
            <w:r>
              <w:rPr>
                <w:rFonts w:ascii="Times New Roman" w:eastAsia="Arimo" w:hAnsi="Times New Roman" w:cs="Times New Roman"/>
                <w:color w:val="000000"/>
                <w:lang w:val="en-US"/>
              </w:rPr>
              <w:t xml:space="preserve"> </w:t>
            </w:r>
            <w:proofErr w:type="spellStart"/>
            <w:r>
              <w:rPr>
                <w:rFonts w:ascii="Times New Roman" w:eastAsia="Arimo" w:hAnsi="Times New Roman" w:cs="Times New Roman"/>
                <w:color w:val="000000"/>
                <w:lang w:val="en-US"/>
              </w:rPr>
              <w:t>finansavimas</w:t>
            </w:r>
            <w:proofErr w:type="spellEnd"/>
          </w:p>
        </w:tc>
      </w:tr>
    </w:tbl>
    <w:p w14:paraId="30FA86B1" w14:textId="1613E85F" w:rsidR="00716AF4" w:rsidRPr="00716AF4" w:rsidRDefault="00716AF4" w:rsidP="00716AF4">
      <w:pPr>
        <w:spacing w:before="120" w:after="120" w:line="336" w:lineRule="auto"/>
        <w:ind w:firstLine="480"/>
        <w:jc w:val="both"/>
        <w:rPr>
          <w:rFonts w:ascii="Times New Roman" w:eastAsia="IBM Plex Sans" w:hAnsi="Times New Roman" w:cs="Times New Roman"/>
          <w:color w:val="000000"/>
        </w:rPr>
      </w:pPr>
      <w:r>
        <w:rPr>
          <w:rFonts w:ascii="Times New Roman" w:eastAsia="IBM Plex Sans" w:hAnsi="Times New Roman" w:cs="Times New Roman"/>
          <w:b/>
          <w:bCs/>
          <w:color w:val="000000"/>
        </w:rPr>
        <w:lastRenderedPageBreak/>
        <w:t>Įgyvendinant pirmojo etapo a</w:t>
      </w:r>
      <w:r w:rsidR="002C6DC1" w:rsidRPr="002C6DC1">
        <w:rPr>
          <w:rFonts w:ascii="Times New Roman" w:eastAsia="IBM Plex Sans" w:hAnsi="Times New Roman" w:cs="Times New Roman"/>
          <w:b/>
          <w:bCs/>
          <w:color w:val="000000"/>
        </w:rPr>
        <w:t>ntr</w:t>
      </w:r>
      <w:r>
        <w:rPr>
          <w:rFonts w:ascii="Times New Roman" w:eastAsia="IBM Plex Sans" w:hAnsi="Times New Roman" w:cs="Times New Roman"/>
          <w:b/>
          <w:bCs/>
          <w:color w:val="000000"/>
        </w:rPr>
        <w:t>ą</w:t>
      </w:r>
      <w:r w:rsidR="002C6DC1" w:rsidRPr="002C6DC1">
        <w:rPr>
          <w:rFonts w:ascii="Times New Roman" w:eastAsia="IBM Plex Sans" w:hAnsi="Times New Roman" w:cs="Times New Roman"/>
          <w:b/>
          <w:bCs/>
          <w:color w:val="000000"/>
        </w:rPr>
        <w:t>j</w:t>
      </w:r>
      <w:r>
        <w:rPr>
          <w:rFonts w:ascii="Times New Roman" w:eastAsia="IBM Plex Sans" w:hAnsi="Times New Roman" w:cs="Times New Roman"/>
          <w:b/>
          <w:bCs/>
          <w:color w:val="000000"/>
        </w:rPr>
        <w:t>ą dalį</w:t>
      </w:r>
      <w:r w:rsidRPr="00B17848">
        <w:rPr>
          <w:rFonts w:ascii="Times New Roman" w:eastAsia="IBM Plex Sans" w:hAnsi="Times New Roman" w:cs="Times New Roman"/>
          <w:color w:val="000000"/>
        </w:rPr>
        <w:t xml:space="preserve"> buvo atlikta apklausa, kurioje dalyvavo 64 respondentai, tai sudaro daugiau, kaip 50 procentų visų Centro </w:t>
      </w:r>
      <w:r w:rsidR="002C6DC1" w:rsidRPr="00B17848">
        <w:rPr>
          <w:rFonts w:ascii="Times New Roman" w:eastAsia="IBM Plex Sans" w:hAnsi="Times New Roman" w:cs="Times New Roman"/>
          <w:color w:val="000000"/>
        </w:rPr>
        <w:t>mokslo</w:t>
      </w:r>
      <w:r w:rsidRPr="00B17848">
        <w:rPr>
          <w:rFonts w:ascii="Times New Roman" w:eastAsia="IBM Plex Sans" w:hAnsi="Times New Roman" w:cs="Times New Roman"/>
          <w:color w:val="000000"/>
        </w:rPr>
        <w:t xml:space="preserve"> darbuotojų. </w:t>
      </w:r>
      <w:r>
        <w:rPr>
          <w:rFonts w:ascii="Times New Roman" w:eastAsia="IBM Plex Sans" w:hAnsi="Times New Roman" w:cs="Times New Roman"/>
          <w:color w:val="000000"/>
        </w:rPr>
        <w:t xml:space="preserve">Centro </w:t>
      </w:r>
      <w:r w:rsidRPr="00716AF4">
        <w:rPr>
          <w:rFonts w:ascii="Times New Roman" w:eastAsia="IBM Plex Sans" w:hAnsi="Times New Roman" w:cs="Times New Roman"/>
          <w:color w:val="000000"/>
        </w:rPr>
        <w:t>situacijos analizė, atlikta remiantis mokslininkų ir administracijos darbuotojų įžvalgomis. Analizė apima vidinius ir išorinius veiksnius, išskiriant stiprybes, silpnybes, galimybes ir grėsmes.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Stiprybės atskleidžia organizacijos potencialą ir kompetencijas, leidžiančias efektyviai įgyvendinti veiklas bei siekti strateginių tikslų. Vertinimų metu išryškėjo šie pagrindiniai privalumai:</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Tarptautinis bendradarbiavimas – aktyvus dalyvavimas tarptautiniuose moksliniuose tinkluose ir projektuose.</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Specializuotos žinios ir aukšta profesinė kompetencija – stiprios ekspertinės pozicijos įvairiose mokslo srityse.</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Patirtis ir komandinio darbo įgūdžiai – sklandus tarpusavio bendradarbiavimas, efektyvus žinių ir patirties pasidalijimas.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Geri komunikacijos įgūdžiai ir atsakomybė – gebėjimas aiškiai komunikuoti, tinkamai atstovauti veiklas ir patikimai vykdyti prisiimtas užduotis.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Lankstumas – greitas prisitaikymas prie pokyčių ir projektų dinamikos.</w:t>
      </w:r>
      <w:r>
        <w:rPr>
          <w:rFonts w:ascii="Times New Roman" w:eastAsia="IBM Plex Sans" w:hAnsi="Times New Roman" w:cs="Times New Roman"/>
          <w:color w:val="000000"/>
        </w:rPr>
        <w:t xml:space="preserve"> </w:t>
      </w:r>
    </w:p>
    <w:p w14:paraId="142DC13F" w14:textId="4C584564" w:rsidR="00716AF4" w:rsidRPr="00716AF4" w:rsidRDefault="00716AF4" w:rsidP="00716AF4">
      <w:pPr>
        <w:spacing w:before="120" w:after="120" w:line="336" w:lineRule="auto"/>
        <w:ind w:firstLine="480"/>
        <w:jc w:val="both"/>
        <w:rPr>
          <w:rFonts w:ascii="Times New Roman" w:eastAsia="IBM Plex Sans" w:hAnsi="Times New Roman" w:cs="Times New Roman"/>
          <w:color w:val="000000"/>
        </w:rPr>
      </w:pPr>
      <w:r w:rsidRPr="00716AF4">
        <w:rPr>
          <w:rFonts w:ascii="Times New Roman" w:eastAsia="IBM Plex Sans" w:hAnsi="Times New Roman" w:cs="Times New Roman"/>
          <w:color w:val="000000"/>
        </w:rPr>
        <w:t>Silpnybės atskleidžia sritis, kuriose organizacija susiduria su iššūkiais ar trūkumais. Vertinant mokslininkų ir administracijos nuomones, išskirtos šios pagrindinės problemos: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Žmogiškųjų išteklių trūkumas – nepakankamas tyrėjų skaičius, trūksta darbo grupių ir jaunų mokslininkų.</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Neužtikrintas finansavimas – riboti vidiniai finansiniai ištekliai, nepakankamos lėšos tyrimams ir infrastruktūrai.</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Prasti anglų kalbos įgūdžiai – kai kurių darbuotojų kalbinės kompetencijos riboja galimybes dalyvauti tarptautinėse veiklose.</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Valdymo ir organizaciniai trūkumai – neefektyvus laiko planavimas, lyderystės stoka, riboti viešojo kalbėjimo ir statistikos įgūdžiai.</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Pasenusi arba nepakankama infrastruktūra – ribotos fizinės ir technologinės galimybės atlikti modernius tyrimus.</w:t>
      </w:r>
    </w:p>
    <w:p w14:paraId="394858A2" w14:textId="77777777" w:rsidR="00716AF4" w:rsidRDefault="00716AF4" w:rsidP="00716AF4">
      <w:pPr>
        <w:spacing w:before="120" w:after="120" w:line="336" w:lineRule="auto"/>
        <w:ind w:firstLine="480"/>
        <w:jc w:val="both"/>
        <w:rPr>
          <w:rFonts w:ascii="Times New Roman" w:eastAsia="IBM Plex Sans" w:hAnsi="Times New Roman" w:cs="Times New Roman"/>
          <w:color w:val="000000"/>
        </w:rPr>
      </w:pPr>
      <w:r w:rsidRPr="00716AF4">
        <w:rPr>
          <w:rFonts w:ascii="Times New Roman" w:eastAsia="IBM Plex Sans" w:hAnsi="Times New Roman" w:cs="Times New Roman"/>
          <w:color w:val="000000"/>
        </w:rPr>
        <w:t>Išorinės galimybės suteikia organizacijai erdvės augti, plėsti veiklas ir aktyviau integruotis į tarptautines mokslo bendruomenes. Dažniausiai minėtos galimybės: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Tarptautinės partnerystės ir projektai – platesnės galimybės įsitraukti į bendrus tyrimus ir inicijuoti naujas partnerystes.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Papildomas ir tikslinis finansavimas – nacionalinės ir tarptautinės finansavimo programos (pvz., „</w:t>
      </w:r>
      <w:proofErr w:type="spellStart"/>
      <w:r w:rsidRPr="00716AF4">
        <w:rPr>
          <w:rFonts w:ascii="Times New Roman" w:eastAsia="IBM Plex Sans" w:hAnsi="Times New Roman" w:cs="Times New Roman"/>
          <w:color w:val="000000"/>
        </w:rPr>
        <w:t>Horizon</w:t>
      </w:r>
      <w:proofErr w:type="spellEnd"/>
      <w:r w:rsidRPr="00716AF4">
        <w:rPr>
          <w:rFonts w:ascii="Times New Roman" w:eastAsia="IBM Plex Sans" w:hAnsi="Times New Roman" w:cs="Times New Roman"/>
          <w:color w:val="000000"/>
        </w:rPr>
        <w:t xml:space="preserve"> </w:t>
      </w:r>
      <w:proofErr w:type="spellStart"/>
      <w:r w:rsidRPr="00716AF4">
        <w:rPr>
          <w:rFonts w:ascii="Times New Roman" w:eastAsia="IBM Plex Sans" w:hAnsi="Times New Roman" w:cs="Times New Roman"/>
          <w:color w:val="000000"/>
        </w:rPr>
        <w:t>Europe</w:t>
      </w:r>
      <w:proofErr w:type="spellEnd"/>
      <w:r w:rsidRPr="00716AF4">
        <w:rPr>
          <w:rFonts w:ascii="Times New Roman" w:eastAsia="IBM Plex Sans" w:hAnsi="Times New Roman" w:cs="Times New Roman"/>
          <w:color w:val="000000"/>
        </w:rPr>
        <w:t>“).</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Tarpdisciplininės ir populiarios mokslo temos – augantis susidomėjimas žaliosiomis technologijomis, sveikatos mokslais, inovacijomis.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Bendradarbiavimas su verslu – potencialas vykdyti bendrus projektus ir pritaikyti tyrimų rezultatus praktikoje.</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Komandų stiprinimas ir naujų tyrimų grupių kūrimas – galimybė pritraukti jaunus talentus ir formuoti tarpdisciplinines komandas.</w:t>
      </w:r>
    </w:p>
    <w:p w14:paraId="7A8DF38A" w14:textId="5442261D" w:rsidR="00716AF4" w:rsidRPr="00716AF4" w:rsidRDefault="00716AF4" w:rsidP="00716AF4">
      <w:pPr>
        <w:spacing w:before="120" w:after="120" w:line="336" w:lineRule="auto"/>
        <w:ind w:firstLine="480"/>
        <w:jc w:val="both"/>
        <w:rPr>
          <w:rFonts w:ascii="Times New Roman" w:eastAsia="IBM Plex Sans" w:hAnsi="Times New Roman" w:cs="Times New Roman"/>
          <w:color w:val="000000"/>
        </w:rPr>
      </w:pPr>
      <w:r w:rsidRPr="00716AF4">
        <w:rPr>
          <w:rFonts w:ascii="Times New Roman" w:eastAsia="IBM Plex Sans" w:hAnsi="Times New Roman" w:cs="Times New Roman"/>
          <w:color w:val="000000"/>
        </w:rPr>
        <w:t>Grėsmės atspindi išorinius veiksnius, galinčius riboti organizacijos veiklos plėtrą ar mažinti konkurencingumą. Pagrindinės išryškėjusios grėsmės:</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Nepakankamas arba nestabilus finansavimas – ribotos finansavimo galimybės ir priklausomybė nuo trumpalaikių programų.</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 xml:space="preserve">Konkurencinė aplinka – auganti konkurencija dėl projektų, talentų ir partnerių tiek nacionaliniu, </w:t>
      </w:r>
      <w:r w:rsidRPr="00716AF4">
        <w:rPr>
          <w:rFonts w:ascii="Times New Roman" w:eastAsia="IBM Plex Sans" w:hAnsi="Times New Roman" w:cs="Times New Roman"/>
          <w:color w:val="000000"/>
        </w:rPr>
        <w:lastRenderedPageBreak/>
        <w:t>tiek tarptautiniu mastu.</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Technologiniai pokyčiai – rizika nespėti prisitaikyti prie sparčios skaitmenizacijos ir naujų technologijų.</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Mažas doktorantų ir studentų skaičius – siaurėjanti akademinė bendruomenė ir mažesnis potencialas atsinaujinti.</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Nesubalansuota ar kintanti švietimo sistema – prastesnė parengiamųjų studijų kokybė gali turėti ilgalaikį neigiamą poveikį personalo formavimui.</w:t>
      </w:r>
    </w:p>
    <w:p w14:paraId="32B6E8F1" w14:textId="77777777" w:rsidR="00FF3A11"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1FAFA66C" wp14:editId="30904518">
            <wp:extent cx="5734050" cy="2788181"/>
            <wp:effectExtent l="0" t="0" r="0" b="0"/>
            <wp:docPr id="21" name="Drawing 21" descr="a8cfea762d09d6d66b4c6e9df3a59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8cfea762d09d6d66b4c6e9df3a59458.png"/>
                    <pic:cNvPicPr>
                      <a:picLocks noChangeAspect="1"/>
                    </pic:cNvPicPr>
                  </pic:nvPicPr>
                  <pic:blipFill>
                    <a:blip r:embed="rId20"/>
                    <a:stretch>
                      <a:fillRect/>
                    </a:stretch>
                  </pic:blipFill>
                  <pic:spPr>
                    <a:xfrm>
                      <a:off x="0" y="0"/>
                      <a:ext cx="5734050" cy="2788181"/>
                    </a:xfrm>
                    <a:prstGeom prst="rect">
                      <a:avLst/>
                    </a:prstGeom>
                  </pic:spPr>
                </pic:pic>
              </a:graphicData>
            </a:graphic>
          </wp:inline>
        </w:drawing>
      </w:r>
    </w:p>
    <w:p w14:paraId="61DAA0A6" w14:textId="4C29F136" w:rsidR="008264FA" w:rsidRPr="008264FA" w:rsidRDefault="008264FA" w:rsidP="008264FA">
      <w:pPr>
        <w:spacing w:before="120" w:after="120" w:line="336" w:lineRule="auto"/>
        <w:ind w:firstLine="480"/>
        <w:jc w:val="center"/>
        <w:rPr>
          <w:rFonts w:ascii="Times New Roman" w:eastAsia="Arimo" w:hAnsi="Times New Roman" w:cs="Times New Roman"/>
          <w:color w:val="000000"/>
          <w:lang w:val="pt-BR"/>
        </w:rPr>
      </w:pPr>
      <w:r w:rsidRPr="008264FA">
        <w:rPr>
          <w:rFonts w:ascii="Times New Roman" w:eastAsia="Arimo" w:hAnsi="Times New Roman" w:cs="Times New Roman"/>
          <w:b/>
          <w:bCs/>
          <w:color w:val="000000"/>
          <w:lang w:val="pt-BR"/>
        </w:rPr>
        <w:t>4 pav.</w:t>
      </w:r>
      <w:r w:rsidRPr="008264FA">
        <w:rPr>
          <w:rFonts w:ascii="Times New Roman" w:eastAsia="Arimo" w:hAnsi="Times New Roman" w:cs="Times New Roman"/>
          <w:color w:val="000000"/>
          <w:lang w:val="pt-BR"/>
        </w:rPr>
        <w:t xml:space="preserve"> SSGG analizės s</w:t>
      </w:r>
      <w:r>
        <w:rPr>
          <w:rFonts w:ascii="Times New Roman" w:eastAsia="Arimo" w:hAnsi="Times New Roman" w:cs="Times New Roman"/>
          <w:color w:val="000000"/>
          <w:lang w:val="pt-BR"/>
        </w:rPr>
        <w:t>uvestinė</w:t>
      </w:r>
    </w:p>
    <w:p w14:paraId="2DF0DEBE" w14:textId="77777777" w:rsidR="00F72BF6" w:rsidRDefault="00F72BF6" w:rsidP="00716AF4">
      <w:pPr>
        <w:spacing w:before="120" w:after="120" w:line="336" w:lineRule="auto"/>
        <w:ind w:firstLine="480"/>
        <w:jc w:val="both"/>
        <w:rPr>
          <w:rFonts w:ascii="Times New Roman" w:eastAsia="IBM Plex Sans" w:hAnsi="Times New Roman" w:cs="Times New Roman"/>
          <w:i/>
          <w:iCs/>
          <w:color w:val="000000"/>
        </w:rPr>
      </w:pPr>
    </w:p>
    <w:p w14:paraId="244A4251" w14:textId="2A26CF71" w:rsidR="00716AF4" w:rsidRPr="00B17848" w:rsidRDefault="00716AF4" w:rsidP="00716AF4">
      <w:pPr>
        <w:spacing w:before="120" w:after="120" w:line="336" w:lineRule="auto"/>
        <w:ind w:firstLine="480"/>
        <w:jc w:val="both"/>
        <w:rPr>
          <w:rFonts w:ascii="Times New Roman" w:hAnsi="Times New Roman" w:cs="Times New Roman"/>
        </w:rPr>
      </w:pPr>
      <w:r w:rsidRPr="00716AF4">
        <w:rPr>
          <w:rFonts w:ascii="Times New Roman" w:eastAsia="IBM Plex Sans" w:hAnsi="Times New Roman" w:cs="Times New Roman"/>
          <w:i/>
          <w:iCs/>
          <w:color w:val="000000"/>
        </w:rPr>
        <w:t>Išvada.</w:t>
      </w:r>
      <w:r>
        <w:rPr>
          <w:rFonts w:ascii="Times New Roman" w:eastAsia="IBM Plex Sans" w:hAnsi="Times New Roman" w:cs="Times New Roman"/>
          <w:color w:val="000000"/>
        </w:rPr>
        <w:t xml:space="preserve"> </w:t>
      </w:r>
      <w:r w:rsidRPr="00716AF4">
        <w:rPr>
          <w:rFonts w:ascii="Times New Roman" w:eastAsia="IBM Plex Sans" w:hAnsi="Times New Roman" w:cs="Times New Roman"/>
          <w:color w:val="000000"/>
        </w:rPr>
        <w:t>Atlikta SSGG analizė parodė, kad organizacija turi stiprų ekspertinį pagrindą, aktyviai vysto tarptautinį bendradarbiavimą ir turi potencialo plėtrai per naujus projektus bei partnerystes. Tačiau siekiant tvaraus augimo būtina spręsti žmogiškųjų išteklių ir finansavimo problemas, modernizuoti infrastruktūrą bei stiprinti organizacinius procesus.</w:t>
      </w:r>
    </w:p>
    <w:p w14:paraId="44F0E06D" w14:textId="77777777" w:rsidR="008264FA" w:rsidRDefault="008264FA">
      <w:pPr>
        <w:rPr>
          <w:rFonts w:ascii="Times New Roman" w:hAnsi="Times New Roman" w:cs="Times New Roman"/>
        </w:rPr>
      </w:pPr>
      <w:r>
        <w:rPr>
          <w:rFonts w:ascii="Times New Roman" w:hAnsi="Times New Roman" w:cs="Times New Roman"/>
        </w:rPr>
        <w:br w:type="page"/>
      </w:r>
    </w:p>
    <w:p w14:paraId="2FE479FF" w14:textId="2F756001" w:rsidR="00FF3A11" w:rsidRPr="00716AF4" w:rsidRDefault="00000000">
      <w:pPr>
        <w:spacing w:before="120" w:after="120" w:line="336" w:lineRule="auto"/>
        <w:rPr>
          <w:rFonts w:ascii="Times New Roman" w:hAnsi="Times New Roman" w:cs="Times New Roman"/>
        </w:rPr>
      </w:pPr>
      <w:r w:rsidRPr="00716AF4">
        <w:rPr>
          <w:rFonts w:ascii="Times New Roman" w:eastAsia="Montserrat" w:hAnsi="Times New Roman" w:cs="Times New Roman"/>
          <w:color w:val="00646A"/>
        </w:rPr>
        <w:lastRenderedPageBreak/>
        <w:t xml:space="preserve">II etapas – Kompetencijų stiprinimas </w:t>
      </w:r>
    </w:p>
    <w:p w14:paraId="353127C3" w14:textId="77777777" w:rsidR="00F72BF6" w:rsidRDefault="00F72BF6" w:rsidP="00F72BF6">
      <w:pPr>
        <w:spacing w:before="120" w:after="120"/>
        <w:jc w:val="both"/>
        <w:rPr>
          <w:rFonts w:ascii="Times New Roman" w:eastAsia="IBM Plex Sans" w:hAnsi="Times New Roman" w:cs="Times New Roman"/>
          <w:color w:val="000000"/>
        </w:rPr>
      </w:pPr>
      <w:r w:rsidRPr="00F72BF6">
        <w:rPr>
          <w:rFonts w:ascii="Times New Roman" w:eastAsia="IBM Plex Sans" w:hAnsi="Times New Roman" w:cs="Times New Roman"/>
          <w:color w:val="000000"/>
        </w:rPr>
        <w:t>Siekiant stiprinti darbuotojų kompetencijas, buvo organizuojami įvairūs mokymai ir seminarai, kuriuose dalyvavo skirtingų sričių ekspertai. Jų metu buvo nuodugniai aptariami paraiškų rengimo procesai, partnerių paieškos strategijos, konsorciumų formavimo principai, bendradarbiavimo modeliai bei praktiniai aspektai, padedantys stiprinti organizacijos pasirengimą dalyvauti tarptautiniuose projektuose.</w:t>
      </w:r>
    </w:p>
    <w:p w14:paraId="5A95BAE3" w14:textId="77777777" w:rsidR="00F72BF6" w:rsidRDefault="00F72BF6" w:rsidP="00F72BF6">
      <w:pPr>
        <w:spacing w:before="120" w:after="120"/>
        <w:jc w:val="both"/>
        <w:rPr>
          <w:rFonts w:ascii="Times New Roman" w:eastAsia="IBM Plex Sans" w:hAnsi="Times New Roman" w:cs="Times New Roman"/>
          <w:color w:val="000000"/>
        </w:rPr>
      </w:pPr>
    </w:p>
    <w:p w14:paraId="20004847" w14:textId="08475FC1" w:rsidR="00FF3A11" w:rsidRPr="00B17848" w:rsidRDefault="00000000" w:rsidP="00F72BF6">
      <w:pPr>
        <w:spacing w:before="120" w:after="120"/>
        <w:jc w:val="both"/>
        <w:rPr>
          <w:rFonts w:ascii="Times New Roman" w:hAnsi="Times New Roman" w:cs="Times New Roman"/>
        </w:rPr>
      </w:pPr>
      <w:r w:rsidRPr="00B17848">
        <w:rPr>
          <w:rFonts w:ascii="Times New Roman" w:hAnsi="Times New Roman" w:cs="Times New Roman"/>
          <w:noProof/>
        </w:rPr>
        <w:drawing>
          <wp:inline distT="0" distB="0" distL="0" distR="0" wp14:anchorId="29B7649D" wp14:editId="7B9BAC08">
            <wp:extent cx="5734050" cy="2289080"/>
            <wp:effectExtent l="0" t="0" r="0" b="0"/>
            <wp:docPr id="22" name="Drawing 22" descr="22f104b2eafc522b7c466fd7493adf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f104b2eafc522b7c466fd7493adf98.jpg"/>
                    <pic:cNvPicPr>
                      <a:picLocks noChangeAspect="1"/>
                    </pic:cNvPicPr>
                  </pic:nvPicPr>
                  <pic:blipFill>
                    <a:blip r:embed="rId21"/>
                    <a:srcRect t="32480" b="14291"/>
                    <a:stretch>
                      <a:fillRect/>
                    </a:stretch>
                  </pic:blipFill>
                  <pic:spPr>
                    <a:xfrm>
                      <a:off x="0" y="0"/>
                      <a:ext cx="5734050" cy="2289080"/>
                    </a:xfrm>
                    <a:prstGeom prst="rect">
                      <a:avLst/>
                    </a:prstGeom>
                  </pic:spPr>
                </pic:pic>
              </a:graphicData>
            </a:graphic>
          </wp:inline>
        </w:drawing>
      </w:r>
    </w:p>
    <w:p w14:paraId="45E19B71" w14:textId="6B063C6B" w:rsidR="00FF3A11" w:rsidRPr="00B17848" w:rsidRDefault="008264FA">
      <w:pPr>
        <w:spacing w:before="120" w:after="120" w:line="336" w:lineRule="auto"/>
        <w:ind w:firstLine="480"/>
        <w:jc w:val="both"/>
        <w:rPr>
          <w:rFonts w:ascii="Times New Roman" w:hAnsi="Times New Roman" w:cs="Times New Roman"/>
        </w:rPr>
      </w:pPr>
      <w:r>
        <w:rPr>
          <w:rFonts w:ascii="Times New Roman" w:eastAsia="Arimo" w:hAnsi="Times New Roman" w:cs="Times New Roman"/>
          <w:b/>
          <w:bCs/>
          <w:color w:val="000000"/>
        </w:rPr>
        <w:t>5</w:t>
      </w:r>
      <w:r w:rsidRPr="008264FA">
        <w:rPr>
          <w:rFonts w:ascii="Times New Roman" w:eastAsia="Arimo" w:hAnsi="Times New Roman" w:cs="Times New Roman"/>
          <w:b/>
          <w:bCs/>
          <w:color w:val="000000"/>
        </w:rPr>
        <w:t xml:space="preserve"> pav.</w:t>
      </w:r>
      <w:r w:rsidRPr="008264FA">
        <w:rPr>
          <w:rFonts w:ascii="Times New Roman" w:eastAsia="Arimo" w:hAnsi="Times New Roman" w:cs="Times New Roman"/>
          <w:color w:val="000000"/>
        </w:rPr>
        <w:t xml:space="preserve"> </w:t>
      </w:r>
      <w:r w:rsidRPr="00B17848">
        <w:rPr>
          <w:rFonts w:ascii="Times New Roman" w:eastAsia="IBM Plex Sans" w:hAnsi="Times New Roman" w:cs="Times New Roman"/>
          <w:color w:val="000000"/>
        </w:rPr>
        <w:t xml:space="preserve">2024 metų spalio 15-16 dienomis vyko pradinis </w:t>
      </w:r>
      <w:r w:rsidR="00716AF4" w:rsidRPr="00B17848">
        <w:rPr>
          <w:rFonts w:ascii="Times New Roman" w:eastAsia="IBM Plex Sans" w:hAnsi="Times New Roman" w:cs="Times New Roman"/>
          <w:color w:val="000000"/>
        </w:rPr>
        <w:t>susitikimas</w:t>
      </w:r>
      <w:r w:rsidRPr="00B17848">
        <w:rPr>
          <w:rFonts w:ascii="Times New Roman" w:eastAsia="IBM Plex Sans" w:hAnsi="Times New Roman" w:cs="Times New Roman"/>
          <w:color w:val="000000"/>
        </w:rPr>
        <w:t xml:space="preserve"> ir darbinė sesija su Simon Kerridge, kuris konsultavo identifikuojant esmines stiprybes ir s</w:t>
      </w:r>
      <w:r w:rsidR="00716AF4">
        <w:rPr>
          <w:rFonts w:ascii="Times New Roman" w:eastAsia="IBM Plex Sans" w:hAnsi="Times New Roman" w:cs="Times New Roman"/>
          <w:color w:val="000000"/>
        </w:rPr>
        <w:t>i</w:t>
      </w:r>
      <w:r w:rsidRPr="00B17848">
        <w:rPr>
          <w:rFonts w:ascii="Times New Roman" w:eastAsia="IBM Plex Sans" w:hAnsi="Times New Roman" w:cs="Times New Roman"/>
          <w:color w:val="000000"/>
        </w:rPr>
        <w:t>lp</w:t>
      </w:r>
      <w:r w:rsidR="00716AF4">
        <w:rPr>
          <w:rFonts w:ascii="Times New Roman" w:eastAsia="IBM Plex Sans" w:hAnsi="Times New Roman" w:cs="Times New Roman"/>
          <w:color w:val="000000"/>
        </w:rPr>
        <w:t>n</w:t>
      </w:r>
      <w:r w:rsidRPr="00B17848">
        <w:rPr>
          <w:rFonts w:ascii="Times New Roman" w:eastAsia="IBM Plex Sans" w:hAnsi="Times New Roman" w:cs="Times New Roman"/>
          <w:color w:val="000000"/>
        </w:rPr>
        <w:t xml:space="preserve">ybes rengiant tarptautines paraiškas ir dėliojant tarptautiškumo skatinimo programą.  </w:t>
      </w:r>
      <w:r w:rsidR="00716AF4">
        <w:rPr>
          <w:rFonts w:ascii="Times New Roman" w:eastAsia="IBM Plex Sans" w:hAnsi="Times New Roman" w:cs="Times New Roman"/>
          <w:color w:val="000000"/>
        </w:rPr>
        <w:t xml:space="preserve">Mokymai buvo orientuoti į vyriausius mokslo darbuotojus ir skyrių vedėjus, siekiant identifikuoti strateginius tikslus. </w:t>
      </w:r>
    </w:p>
    <w:p w14:paraId="7B151B1C"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73BDF1F0"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1E23964F" wp14:editId="564A21A6">
            <wp:extent cx="5734050" cy="1939868"/>
            <wp:effectExtent l="0" t="0" r="0" b="0"/>
            <wp:docPr id="23" name="Drawing 23" descr="4311998d87a935e857413381b4e80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311998d87a935e857413381b4e80abc.png"/>
                    <pic:cNvPicPr>
                      <a:picLocks noChangeAspect="1"/>
                    </pic:cNvPicPr>
                  </pic:nvPicPr>
                  <pic:blipFill>
                    <a:blip r:embed="rId22"/>
                    <a:srcRect t="41412" b="13479"/>
                    <a:stretch>
                      <a:fillRect/>
                    </a:stretch>
                  </pic:blipFill>
                  <pic:spPr>
                    <a:xfrm>
                      <a:off x="0" y="0"/>
                      <a:ext cx="5734050" cy="1939868"/>
                    </a:xfrm>
                    <a:prstGeom prst="rect">
                      <a:avLst/>
                    </a:prstGeom>
                  </pic:spPr>
                </pic:pic>
              </a:graphicData>
            </a:graphic>
          </wp:inline>
        </w:drawing>
      </w:r>
    </w:p>
    <w:p w14:paraId="58F76C43" w14:textId="743EAA03" w:rsidR="00FF3A11" w:rsidRPr="00B17848" w:rsidRDefault="008264FA">
      <w:pPr>
        <w:spacing w:before="120" w:after="120" w:line="336" w:lineRule="auto"/>
        <w:ind w:firstLine="480"/>
        <w:jc w:val="both"/>
        <w:rPr>
          <w:rFonts w:ascii="Times New Roman" w:hAnsi="Times New Roman" w:cs="Times New Roman"/>
        </w:rPr>
      </w:pPr>
      <w:r>
        <w:rPr>
          <w:rFonts w:ascii="Times New Roman" w:eastAsia="Arimo" w:hAnsi="Times New Roman" w:cs="Times New Roman"/>
          <w:b/>
          <w:bCs/>
          <w:color w:val="000000"/>
        </w:rPr>
        <w:t>6</w:t>
      </w:r>
      <w:r w:rsidRPr="008264FA">
        <w:rPr>
          <w:rFonts w:ascii="Times New Roman" w:eastAsia="Arimo" w:hAnsi="Times New Roman" w:cs="Times New Roman"/>
          <w:b/>
          <w:bCs/>
          <w:color w:val="000000"/>
        </w:rPr>
        <w:t xml:space="preserve"> pav.</w:t>
      </w:r>
      <w:r w:rsidRPr="008264FA">
        <w:rPr>
          <w:rFonts w:ascii="Times New Roman" w:eastAsia="Arimo" w:hAnsi="Times New Roman" w:cs="Times New Roman"/>
          <w:color w:val="000000"/>
        </w:rPr>
        <w:t xml:space="preserve"> </w:t>
      </w:r>
      <w:r w:rsidRPr="00B17848">
        <w:rPr>
          <w:rFonts w:ascii="Times New Roman" w:eastAsia="IBM Plex Sans" w:hAnsi="Times New Roman" w:cs="Times New Roman"/>
          <w:color w:val="000000"/>
        </w:rPr>
        <w:t xml:space="preserve">2025 metų balandžio 29-30 dienomis </w:t>
      </w:r>
      <w:r>
        <w:rPr>
          <w:rFonts w:ascii="Times New Roman" w:eastAsia="IBM Plex Sans" w:hAnsi="Times New Roman" w:cs="Times New Roman"/>
          <w:color w:val="000000"/>
        </w:rPr>
        <w:t>v</w:t>
      </w:r>
      <w:r w:rsidRPr="008264FA">
        <w:rPr>
          <w:rFonts w:ascii="Times New Roman" w:eastAsia="IBM Plex Sans" w:hAnsi="Times New Roman" w:cs="Times New Roman"/>
          <w:color w:val="000000"/>
        </w:rPr>
        <w:t>yko antrasis projekto susitikimas, kurio metu dalyviai pristatė galimas būsimo projekto idėjas, aptarė jų įgyvendinimo perspektyvas, o taip pat dalyvavo mokymuose, skirtuose viešojo kalbėjimo įgūdžiams tobulinti, įskaitant argumentavimo, pristatymo struktūros ir auditorijos įtraukimo technikas.</w:t>
      </w:r>
    </w:p>
    <w:p w14:paraId="27012BB8" w14:textId="77777777" w:rsidR="00FF3A11" w:rsidRPr="00B17848" w:rsidRDefault="00000000">
      <w:pPr>
        <w:spacing w:before="120" w:after="120" w:line="336" w:lineRule="auto"/>
        <w:rPr>
          <w:rFonts w:ascii="Times New Roman" w:hAnsi="Times New Roman" w:cs="Times New Roman"/>
        </w:rPr>
      </w:pPr>
      <w:r w:rsidRPr="00B17848">
        <w:rPr>
          <w:rFonts w:ascii="Times New Roman" w:eastAsia="IBM Plex Sans" w:hAnsi="Times New Roman" w:cs="Times New Roman"/>
          <w:color w:val="000000"/>
        </w:rPr>
        <w:t xml:space="preserve"> </w:t>
      </w:r>
    </w:p>
    <w:p w14:paraId="72F70277" w14:textId="77777777" w:rsidR="00FF3A11" w:rsidRPr="00B17848" w:rsidRDefault="00000000">
      <w:pPr>
        <w:spacing w:before="120" w:after="120"/>
        <w:jc w:val="center"/>
        <w:rPr>
          <w:rFonts w:ascii="Times New Roman" w:hAnsi="Times New Roman" w:cs="Times New Roman"/>
        </w:rPr>
      </w:pPr>
      <w:r w:rsidRPr="00B17848">
        <w:rPr>
          <w:rFonts w:ascii="Times New Roman" w:hAnsi="Times New Roman" w:cs="Times New Roman"/>
          <w:noProof/>
        </w:rPr>
        <w:lastRenderedPageBreak/>
        <w:drawing>
          <wp:inline distT="0" distB="0" distL="0" distR="0" wp14:anchorId="74F9CC0C" wp14:editId="2E15D408">
            <wp:extent cx="5734050" cy="2791944"/>
            <wp:effectExtent l="0" t="0" r="0" b="0"/>
            <wp:docPr id="24" name="Drawing 24" descr="4f8cf6aaac2c24e973aa7cdbee86d8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f8cf6aaac2c24e973aa7cdbee86d8b0.png"/>
                    <pic:cNvPicPr>
                      <a:picLocks noChangeAspect="1"/>
                    </pic:cNvPicPr>
                  </pic:nvPicPr>
                  <pic:blipFill>
                    <a:blip r:embed="rId23"/>
                    <a:srcRect t="29882" b="5196"/>
                    <a:stretch>
                      <a:fillRect/>
                    </a:stretch>
                  </pic:blipFill>
                  <pic:spPr>
                    <a:xfrm>
                      <a:off x="0" y="0"/>
                      <a:ext cx="5734050" cy="2791944"/>
                    </a:xfrm>
                    <a:prstGeom prst="rect">
                      <a:avLst/>
                    </a:prstGeom>
                  </pic:spPr>
                </pic:pic>
              </a:graphicData>
            </a:graphic>
          </wp:inline>
        </w:drawing>
      </w:r>
    </w:p>
    <w:p w14:paraId="09267A28" w14:textId="40AE7079" w:rsidR="00FF3A11" w:rsidRPr="00B17848" w:rsidRDefault="008264FA" w:rsidP="008264FA">
      <w:pPr>
        <w:spacing w:before="120" w:after="120" w:line="336" w:lineRule="auto"/>
        <w:jc w:val="both"/>
        <w:rPr>
          <w:rFonts w:ascii="Times New Roman" w:hAnsi="Times New Roman" w:cs="Times New Roman"/>
        </w:rPr>
      </w:pPr>
      <w:r>
        <w:rPr>
          <w:rFonts w:ascii="Times New Roman" w:eastAsia="Arimo" w:hAnsi="Times New Roman" w:cs="Times New Roman"/>
          <w:b/>
          <w:bCs/>
          <w:color w:val="000000"/>
        </w:rPr>
        <w:t xml:space="preserve">7 </w:t>
      </w:r>
      <w:r w:rsidRPr="008264FA">
        <w:rPr>
          <w:rFonts w:ascii="Times New Roman" w:eastAsia="Arimo" w:hAnsi="Times New Roman" w:cs="Times New Roman"/>
          <w:b/>
          <w:bCs/>
          <w:color w:val="000000"/>
        </w:rPr>
        <w:t>pav.</w:t>
      </w:r>
      <w:r w:rsidRPr="008264FA">
        <w:rPr>
          <w:rFonts w:ascii="Times New Roman" w:eastAsia="Arimo" w:hAnsi="Times New Roman" w:cs="Times New Roman"/>
          <w:color w:val="000000"/>
        </w:rPr>
        <w:t xml:space="preserve"> </w:t>
      </w:r>
      <w:r w:rsidRPr="00B17848">
        <w:rPr>
          <w:rFonts w:ascii="Times New Roman" w:eastAsia="IBM Plex Sans" w:hAnsi="Times New Roman" w:cs="Times New Roman"/>
          <w:color w:val="000000"/>
        </w:rPr>
        <w:t xml:space="preserve">2025 metų balandžio 30 dieną </w:t>
      </w:r>
      <w:proofErr w:type="spellStart"/>
      <w:r w:rsidRPr="00B17848">
        <w:rPr>
          <w:rFonts w:ascii="Times New Roman" w:eastAsia="IBM Plex Sans" w:hAnsi="Times New Roman" w:cs="Times New Roman"/>
          <w:color w:val="000000"/>
        </w:rPr>
        <w:t>Sean</w:t>
      </w:r>
      <w:proofErr w:type="spellEnd"/>
      <w:r w:rsidRPr="00B17848">
        <w:rPr>
          <w:rFonts w:ascii="Times New Roman" w:eastAsia="IBM Plex Sans" w:hAnsi="Times New Roman" w:cs="Times New Roman"/>
          <w:color w:val="000000"/>
        </w:rPr>
        <w:t xml:space="preserve"> </w:t>
      </w:r>
      <w:proofErr w:type="spellStart"/>
      <w:r w:rsidRPr="00B17848">
        <w:rPr>
          <w:rFonts w:ascii="Times New Roman" w:eastAsia="IBM Plex Sans" w:hAnsi="Times New Roman" w:cs="Times New Roman"/>
          <w:color w:val="000000"/>
        </w:rPr>
        <w:t>McCarthy</w:t>
      </w:r>
      <w:proofErr w:type="spellEnd"/>
      <w:r>
        <w:rPr>
          <w:rFonts w:ascii="Times New Roman" w:eastAsia="IBM Plex Sans" w:hAnsi="Times New Roman" w:cs="Times New Roman"/>
          <w:color w:val="000000"/>
        </w:rPr>
        <w:t xml:space="preserve"> (</w:t>
      </w:r>
      <w:r w:rsidRPr="008264FA">
        <w:rPr>
          <w:rFonts w:ascii="Times New Roman" w:eastAsia="IBM Plex Sans" w:hAnsi="Times New Roman" w:cs="Times New Roman"/>
          <w:color w:val="000000"/>
        </w:rPr>
        <w:t xml:space="preserve">Dr. </w:t>
      </w:r>
      <w:proofErr w:type="spellStart"/>
      <w:r w:rsidRPr="008264FA">
        <w:rPr>
          <w:rFonts w:ascii="Times New Roman" w:eastAsia="IBM Plex Sans" w:hAnsi="Times New Roman" w:cs="Times New Roman"/>
          <w:color w:val="000000"/>
        </w:rPr>
        <w:t>Seanas</w:t>
      </w:r>
      <w:proofErr w:type="spellEnd"/>
      <w:r w:rsidRPr="008264FA">
        <w:rPr>
          <w:rFonts w:ascii="Times New Roman" w:eastAsia="IBM Plex Sans" w:hAnsi="Times New Roman" w:cs="Times New Roman"/>
          <w:color w:val="000000"/>
        </w:rPr>
        <w:t xml:space="preserve"> </w:t>
      </w:r>
      <w:proofErr w:type="spellStart"/>
      <w:r w:rsidRPr="008264FA">
        <w:rPr>
          <w:rFonts w:ascii="Times New Roman" w:eastAsia="IBM Plex Sans" w:hAnsi="Times New Roman" w:cs="Times New Roman"/>
          <w:color w:val="000000"/>
        </w:rPr>
        <w:t>McCarthy</w:t>
      </w:r>
      <w:proofErr w:type="spellEnd"/>
      <w:r w:rsidRPr="008264FA">
        <w:rPr>
          <w:rFonts w:ascii="Times New Roman" w:eastAsia="IBM Plex Sans" w:hAnsi="Times New Roman" w:cs="Times New Roman"/>
          <w:color w:val="000000"/>
        </w:rPr>
        <w:t xml:space="preserve"> nuo 1980 m. aktyviai dalyvauja Europos mokslinių tyrimų veiklose – jis dirbo tyrėju, tyrimų vadovu, tyrimų grupės lyderiu ir įmonės direktoriumi. Šiuo metu jis specializuojasi padėdamas organizacijoms kurti ir įgyvendinti Europos mokslinių tyrimų strategijas</w:t>
      </w:r>
      <w:r>
        <w:rPr>
          <w:rFonts w:ascii="Times New Roman" w:eastAsia="IBM Plex Sans" w:hAnsi="Times New Roman" w:cs="Times New Roman"/>
          <w:color w:val="000000"/>
        </w:rPr>
        <w:t>)</w:t>
      </w:r>
      <w:r w:rsidRPr="00B17848">
        <w:rPr>
          <w:rFonts w:ascii="Times New Roman" w:eastAsia="IBM Plex Sans" w:hAnsi="Times New Roman" w:cs="Times New Roman"/>
          <w:color w:val="000000"/>
        </w:rPr>
        <w:t xml:space="preserve"> vedė seminarą apie Europos Horizonto filosofiją.  </w:t>
      </w:r>
    </w:p>
    <w:p w14:paraId="24290BCD" w14:textId="67B0B5A0" w:rsidR="00FF3A11" w:rsidRDefault="00000000" w:rsidP="008264FA">
      <w:pPr>
        <w:spacing w:before="120" w:after="120" w:line="336" w:lineRule="auto"/>
        <w:ind w:firstLine="480"/>
        <w:jc w:val="both"/>
        <w:rPr>
          <w:rFonts w:ascii="Times New Roman" w:eastAsia="IBM Plex Sans" w:hAnsi="Times New Roman" w:cs="Times New Roman"/>
          <w:color w:val="000000"/>
        </w:rPr>
      </w:pPr>
      <w:r w:rsidRPr="00B17848">
        <w:rPr>
          <w:rFonts w:ascii="Times New Roman" w:eastAsia="IBM Plex Sans" w:hAnsi="Times New Roman" w:cs="Times New Roman"/>
          <w:color w:val="000000"/>
        </w:rPr>
        <w:t xml:space="preserve">Taip pat 2025 metų spalio - lapkričio mėn. buvo organizuojamas 6 užsiėmimų ciklas jauniesiems mokslo darbuotojams ir doktorantams, viešojo kalbėjimo įgūdžiams ugdyti ir išmokti pristatyti savo projektų idėjas plačiajai </w:t>
      </w:r>
      <w:r w:rsidR="008264FA" w:rsidRPr="00B17848">
        <w:rPr>
          <w:rFonts w:ascii="Times New Roman" w:eastAsia="IBM Plex Sans" w:hAnsi="Times New Roman" w:cs="Times New Roman"/>
          <w:color w:val="000000"/>
        </w:rPr>
        <w:t>visuomenei</w:t>
      </w:r>
      <w:r w:rsidRPr="00B17848">
        <w:rPr>
          <w:rFonts w:ascii="Times New Roman" w:eastAsia="IBM Plex Sans" w:hAnsi="Times New Roman" w:cs="Times New Roman"/>
          <w:color w:val="000000"/>
        </w:rPr>
        <w:t xml:space="preserve">.  </w:t>
      </w:r>
    </w:p>
    <w:p w14:paraId="05C5B1BD" w14:textId="7F1DA3B3" w:rsidR="008264FA" w:rsidRDefault="008264FA">
      <w:pPr>
        <w:rPr>
          <w:rFonts w:ascii="Times New Roman" w:eastAsia="IBM Plex Sans" w:hAnsi="Times New Roman" w:cs="Times New Roman"/>
          <w:color w:val="000000"/>
        </w:rPr>
      </w:pPr>
      <w:r>
        <w:rPr>
          <w:rFonts w:ascii="Times New Roman" w:eastAsia="IBM Plex Sans" w:hAnsi="Times New Roman" w:cs="Times New Roman"/>
          <w:color w:val="000000"/>
        </w:rPr>
        <w:br w:type="page"/>
      </w:r>
    </w:p>
    <w:p w14:paraId="55B684F3" w14:textId="6CF4C8BB" w:rsidR="00FF3A11" w:rsidRPr="008264FA" w:rsidRDefault="00000000">
      <w:pPr>
        <w:spacing w:before="120" w:after="120" w:line="336" w:lineRule="auto"/>
        <w:rPr>
          <w:rFonts w:ascii="Times New Roman" w:hAnsi="Times New Roman" w:cs="Times New Roman"/>
          <w:b/>
          <w:bCs/>
        </w:rPr>
      </w:pPr>
      <w:r w:rsidRPr="008264FA">
        <w:rPr>
          <w:rFonts w:ascii="Times New Roman" w:eastAsia="IBM Plex Sans" w:hAnsi="Times New Roman" w:cs="Times New Roman"/>
          <w:b/>
          <w:bCs/>
          <w:color w:val="000000"/>
        </w:rPr>
        <w:lastRenderedPageBreak/>
        <w:t xml:space="preserve"> </w:t>
      </w:r>
      <w:r w:rsidRPr="008264FA">
        <w:rPr>
          <w:rFonts w:ascii="Times New Roman" w:eastAsia="Montserrat" w:hAnsi="Times New Roman" w:cs="Times New Roman"/>
          <w:b/>
          <w:bCs/>
          <w:color w:val="00646A"/>
        </w:rPr>
        <w:t xml:space="preserve">III etapas – Strateginių partnerysčių plėtra:  </w:t>
      </w:r>
    </w:p>
    <w:p w14:paraId="56173112" w14:textId="188E9B02" w:rsidR="00FF3A11" w:rsidRPr="00B17848" w:rsidRDefault="00000000">
      <w:pPr>
        <w:spacing w:before="120" w:after="120" w:line="336" w:lineRule="auto"/>
        <w:ind w:firstLine="480"/>
        <w:jc w:val="both"/>
        <w:rPr>
          <w:rFonts w:ascii="Times New Roman" w:hAnsi="Times New Roman" w:cs="Times New Roman"/>
        </w:rPr>
      </w:pPr>
      <w:r w:rsidRPr="00B17848">
        <w:rPr>
          <w:rFonts w:ascii="Times New Roman" w:eastAsia="IBM Plex Sans" w:hAnsi="Times New Roman" w:cs="Times New Roman"/>
          <w:color w:val="000000"/>
        </w:rPr>
        <w:t xml:space="preserve">Išsiaiškinus kompetencijas ir galimybes buvo sukurtos finansavimo matricos, kurios leidžia greičiau rasti tinkamą fondą idėjai finansuoti,  bei bendradarbiavimo žemėlapiai, šie žemėlapiai bus </w:t>
      </w:r>
      <w:r w:rsidR="008264FA" w:rsidRPr="00B17848">
        <w:rPr>
          <w:rFonts w:ascii="Times New Roman" w:eastAsia="IBM Plex Sans" w:hAnsi="Times New Roman" w:cs="Times New Roman"/>
          <w:color w:val="000000"/>
        </w:rPr>
        <w:t>pateikiami</w:t>
      </w:r>
      <w:r w:rsidRPr="00B17848">
        <w:rPr>
          <w:rFonts w:ascii="Times New Roman" w:eastAsia="IBM Plex Sans" w:hAnsi="Times New Roman" w:cs="Times New Roman"/>
          <w:color w:val="000000"/>
        </w:rPr>
        <w:t xml:space="preserve"> su tarptautiškumo sk</w:t>
      </w:r>
      <w:r w:rsidR="008264FA">
        <w:rPr>
          <w:rFonts w:ascii="Times New Roman" w:eastAsia="IBM Plex Sans" w:hAnsi="Times New Roman" w:cs="Times New Roman"/>
          <w:color w:val="000000"/>
        </w:rPr>
        <w:t>a</w:t>
      </w:r>
      <w:r w:rsidRPr="00B17848">
        <w:rPr>
          <w:rFonts w:ascii="Times New Roman" w:eastAsia="IBM Plex Sans" w:hAnsi="Times New Roman" w:cs="Times New Roman"/>
          <w:color w:val="000000"/>
        </w:rPr>
        <w:t>tinimo prog</w:t>
      </w:r>
      <w:r w:rsidR="008264FA">
        <w:rPr>
          <w:rFonts w:ascii="Times New Roman" w:eastAsia="IBM Plex Sans" w:hAnsi="Times New Roman" w:cs="Times New Roman"/>
          <w:color w:val="000000"/>
        </w:rPr>
        <w:t>ra</w:t>
      </w:r>
      <w:r w:rsidRPr="00B17848">
        <w:rPr>
          <w:rFonts w:ascii="Times New Roman" w:eastAsia="IBM Plex Sans" w:hAnsi="Times New Roman" w:cs="Times New Roman"/>
          <w:color w:val="000000"/>
        </w:rPr>
        <w:t xml:space="preserve">ma.  </w:t>
      </w:r>
      <w:r w:rsidR="008264FA">
        <w:rPr>
          <w:rFonts w:ascii="Times New Roman" w:eastAsia="IBM Plex Sans" w:hAnsi="Times New Roman" w:cs="Times New Roman"/>
          <w:color w:val="000000"/>
        </w:rPr>
        <w:t xml:space="preserve">Buvo parengtos trijų tipų matricos: </w:t>
      </w:r>
      <w:r w:rsidR="00F72BF6">
        <w:rPr>
          <w:rFonts w:ascii="Times New Roman" w:eastAsia="IBM Plex Sans" w:hAnsi="Times New Roman" w:cs="Times New Roman"/>
          <w:color w:val="000000"/>
        </w:rPr>
        <w:t xml:space="preserve">finansavimo matrica orientuota į fundamentinius tyrimus ir idėjas skirtas gilintis į mokslą. </w:t>
      </w:r>
    </w:p>
    <w:p w14:paraId="0904E0B6" w14:textId="77777777" w:rsidR="00FF3A11"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1674117F" wp14:editId="734D23E8">
            <wp:extent cx="5739163" cy="2941320"/>
            <wp:effectExtent l="0" t="0" r="0" b="0"/>
            <wp:docPr id="25" name="Drawing 25" descr="da312dc37e56603122161a8bfbfbd0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312dc37e56603122161a8bfbfbd0da.png"/>
                    <pic:cNvPicPr>
                      <a:picLocks noChangeAspect="1"/>
                    </pic:cNvPicPr>
                  </pic:nvPicPr>
                  <pic:blipFill>
                    <a:blip r:embed="rId24"/>
                    <a:stretch>
                      <a:fillRect/>
                    </a:stretch>
                  </pic:blipFill>
                  <pic:spPr>
                    <a:xfrm>
                      <a:off x="0" y="0"/>
                      <a:ext cx="5742924" cy="2943248"/>
                    </a:xfrm>
                    <a:prstGeom prst="rect">
                      <a:avLst/>
                    </a:prstGeom>
                  </pic:spPr>
                </pic:pic>
              </a:graphicData>
            </a:graphic>
          </wp:inline>
        </w:drawing>
      </w:r>
    </w:p>
    <w:p w14:paraId="1A347DC7" w14:textId="63E9C07D" w:rsidR="00F72BF6" w:rsidRPr="00F72BF6" w:rsidRDefault="00F72BF6" w:rsidP="00F72BF6">
      <w:pPr>
        <w:spacing w:before="120" w:after="120" w:line="336" w:lineRule="auto"/>
        <w:jc w:val="center"/>
        <w:rPr>
          <w:rFonts w:ascii="Times New Roman" w:hAnsi="Times New Roman" w:cs="Times New Roman"/>
        </w:rPr>
      </w:pPr>
      <w:r w:rsidRPr="00F72BF6">
        <w:rPr>
          <w:rFonts w:ascii="Times New Roman" w:eastAsia="Arimo" w:hAnsi="Times New Roman" w:cs="Times New Roman"/>
          <w:b/>
          <w:bCs/>
          <w:color w:val="000000"/>
          <w:lang w:val="pt-BR"/>
        </w:rPr>
        <w:t>8</w:t>
      </w:r>
      <w:r>
        <w:rPr>
          <w:rFonts w:ascii="Times New Roman" w:eastAsia="Arimo" w:hAnsi="Times New Roman" w:cs="Times New Roman"/>
          <w:b/>
          <w:bCs/>
          <w:color w:val="000000"/>
        </w:rPr>
        <w:t xml:space="preserve"> </w:t>
      </w:r>
      <w:r w:rsidRPr="008264FA">
        <w:rPr>
          <w:rFonts w:ascii="Times New Roman" w:eastAsia="Arimo" w:hAnsi="Times New Roman" w:cs="Times New Roman"/>
          <w:b/>
          <w:bCs/>
          <w:color w:val="000000"/>
        </w:rPr>
        <w:t>pav.</w:t>
      </w:r>
      <w:r w:rsidRPr="00F72BF6">
        <w:rPr>
          <w:rFonts w:ascii="Times New Roman" w:eastAsia="IBM Plex Sans Bold" w:hAnsi="Times New Roman" w:cs="Times New Roman"/>
          <w:b/>
          <w:bCs/>
          <w:color w:val="000000"/>
        </w:rPr>
        <w:t xml:space="preserve"> </w:t>
      </w:r>
      <w:r w:rsidRPr="00F72BF6">
        <w:rPr>
          <w:rFonts w:ascii="Times New Roman" w:eastAsia="IBM Plex Sans Bold" w:hAnsi="Times New Roman" w:cs="Times New Roman"/>
          <w:color w:val="000000"/>
        </w:rPr>
        <w:t>Finansavimo matrica karjeros augimui</w:t>
      </w:r>
      <w:r>
        <w:rPr>
          <w:rFonts w:ascii="Times New Roman" w:eastAsia="IBM Plex Sans Bold" w:hAnsi="Times New Roman" w:cs="Times New Roman"/>
          <w:color w:val="000000"/>
        </w:rPr>
        <w:t xml:space="preserve">. </w:t>
      </w:r>
    </w:p>
    <w:p w14:paraId="55AEF058" w14:textId="6ACA0997" w:rsidR="008264FA" w:rsidRPr="00B17848" w:rsidRDefault="008264FA">
      <w:pPr>
        <w:spacing w:before="120" w:after="120"/>
        <w:jc w:val="center"/>
        <w:rPr>
          <w:rFonts w:ascii="Times New Roman" w:hAnsi="Times New Roman" w:cs="Times New Roman"/>
        </w:rPr>
      </w:pPr>
    </w:p>
    <w:p w14:paraId="1B2D5121" w14:textId="4331928F" w:rsidR="00FF3A11" w:rsidRPr="00B17848" w:rsidRDefault="00000000" w:rsidP="00F72BF6">
      <w:pPr>
        <w:spacing w:before="120" w:after="120" w:line="336" w:lineRule="auto"/>
        <w:jc w:val="both"/>
        <w:rPr>
          <w:rFonts w:ascii="Times New Roman" w:hAnsi="Times New Roman" w:cs="Times New Roman"/>
        </w:rPr>
      </w:pPr>
      <w:r w:rsidRPr="00B17848">
        <w:rPr>
          <w:rFonts w:ascii="Times New Roman" w:eastAsia="IBM Plex Sans Bold" w:hAnsi="Times New Roman" w:cs="Times New Roman"/>
          <w:b/>
          <w:bCs/>
          <w:color w:val="000000"/>
        </w:rPr>
        <w:t xml:space="preserve">Finansavimo matrica bendradarbiavimo skatinimui: </w:t>
      </w:r>
      <w:r w:rsidR="00F72BF6" w:rsidRPr="00F72BF6">
        <w:rPr>
          <w:rFonts w:ascii="Times New Roman" w:eastAsia="IBM Plex Sans Bold" w:hAnsi="Times New Roman" w:cs="Times New Roman"/>
          <w:color w:val="000000"/>
        </w:rPr>
        <w:t xml:space="preserve">orientuota į partnerysčių veiklą, skirta mokslo žinių sklaidai įvairius lygmeniu: tarptautiniu, nacionaliniu, siekiant megzti dialogą su suinteresuotomis grupėmis ir politikos vystytojais. </w:t>
      </w:r>
    </w:p>
    <w:p w14:paraId="348E1C81" w14:textId="77777777" w:rsidR="00FF3A11"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2F93D8BF" wp14:editId="7E1C0FFA">
            <wp:extent cx="5397191" cy="2766060"/>
            <wp:effectExtent l="0" t="0" r="0" b="0"/>
            <wp:docPr id="26" name="Drawing 26" descr="ac4e5b4c2702c37a7db0e605e22ca1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4e5b4c2702c37a7db0e605e22ca1d2.png"/>
                    <pic:cNvPicPr>
                      <a:picLocks noChangeAspect="1"/>
                    </pic:cNvPicPr>
                  </pic:nvPicPr>
                  <pic:blipFill>
                    <a:blip r:embed="rId25"/>
                    <a:stretch>
                      <a:fillRect/>
                    </a:stretch>
                  </pic:blipFill>
                  <pic:spPr>
                    <a:xfrm>
                      <a:off x="0" y="0"/>
                      <a:ext cx="5403870" cy="2769483"/>
                    </a:xfrm>
                    <a:prstGeom prst="rect">
                      <a:avLst/>
                    </a:prstGeom>
                  </pic:spPr>
                </pic:pic>
              </a:graphicData>
            </a:graphic>
          </wp:inline>
        </w:drawing>
      </w:r>
    </w:p>
    <w:p w14:paraId="064EAEC9" w14:textId="0030F62F" w:rsidR="00F72BF6" w:rsidRPr="00B17848" w:rsidRDefault="00F72BF6">
      <w:pPr>
        <w:spacing w:before="120" w:after="120"/>
        <w:jc w:val="center"/>
        <w:rPr>
          <w:rFonts w:ascii="Times New Roman" w:hAnsi="Times New Roman" w:cs="Times New Roman"/>
        </w:rPr>
      </w:pPr>
      <w:r>
        <w:rPr>
          <w:rFonts w:ascii="Times New Roman" w:eastAsia="Arimo" w:hAnsi="Times New Roman" w:cs="Times New Roman"/>
          <w:b/>
          <w:bCs/>
          <w:color w:val="000000"/>
        </w:rPr>
        <w:t xml:space="preserve">9 </w:t>
      </w:r>
      <w:r w:rsidRPr="008264FA">
        <w:rPr>
          <w:rFonts w:ascii="Times New Roman" w:eastAsia="Arimo" w:hAnsi="Times New Roman" w:cs="Times New Roman"/>
          <w:b/>
          <w:bCs/>
          <w:color w:val="000000"/>
        </w:rPr>
        <w:t>pav.</w:t>
      </w:r>
      <w:r>
        <w:rPr>
          <w:rFonts w:ascii="Times New Roman" w:eastAsia="Arimo" w:hAnsi="Times New Roman" w:cs="Times New Roman"/>
          <w:b/>
          <w:bCs/>
          <w:color w:val="000000"/>
        </w:rPr>
        <w:t xml:space="preserve"> </w:t>
      </w:r>
      <w:r w:rsidRPr="00F72BF6">
        <w:rPr>
          <w:rFonts w:ascii="Times New Roman" w:eastAsia="Arimo" w:hAnsi="Times New Roman" w:cs="Times New Roman"/>
          <w:color w:val="000000"/>
        </w:rPr>
        <w:t>Finansavimo matrica bendradarbiavimo skatinimui</w:t>
      </w:r>
    </w:p>
    <w:p w14:paraId="4AE85F93" w14:textId="327A70BF" w:rsidR="00FF3A11" w:rsidRPr="00B17848" w:rsidRDefault="00000000" w:rsidP="00F72BF6">
      <w:pPr>
        <w:spacing w:before="120" w:after="120" w:line="336" w:lineRule="auto"/>
        <w:jc w:val="both"/>
        <w:rPr>
          <w:rFonts w:ascii="Times New Roman" w:hAnsi="Times New Roman" w:cs="Times New Roman"/>
        </w:rPr>
      </w:pPr>
      <w:r w:rsidRPr="00B17848">
        <w:rPr>
          <w:rFonts w:ascii="Times New Roman" w:eastAsia="IBM Plex Sans Bold" w:hAnsi="Times New Roman" w:cs="Times New Roman"/>
          <w:b/>
          <w:bCs/>
          <w:color w:val="000000"/>
        </w:rPr>
        <w:lastRenderedPageBreak/>
        <w:t xml:space="preserve">Finansavimo matrica mokslo ir verslo skatinimui: </w:t>
      </w:r>
      <w:r w:rsidR="00F72BF6" w:rsidRPr="00F72BF6">
        <w:rPr>
          <w:rFonts w:ascii="Times New Roman" w:eastAsia="IBM Plex Sans Bold" w:hAnsi="Times New Roman" w:cs="Times New Roman"/>
          <w:color w:val="000000"/>
        </w:rPr>
        <w:t>įvertinti ir suderinti įvairias finansavimo galimybes, skirtas mokslo ir verslo bendradarbiavimui, inovacijų kūrimui ir projektų įgyvendinimui. Ji padeda suprasti, kokie instrumentai yra prieinami skirtingoms veikloms ir skirtinguose vystymo etapuose.</w:t>
      </w:r>
    </w:p>
    <w:p w14:paraId="4FA754A8" w14:textId="77777777" w:rsidR="00FF3A11" w:rsidRDefault="00000000">
      <w:pPr>
        <w:spacing w:before="120" w:after="120"/>
        <w:jc w:val="center"/>
        <w:rPr>
          <w:rFonts w:ascii="Times New Roman" w:hAnsi="Times New Roman" w:cs="Times New Roman"/>
        </w:rPr>
      </w:pPr>
      <w:r w:rsidRPr="00B17848">
        <w:rPr>
          <w:rFonts w:ascii="Times New Roman" w:hAnsi="Times New Roman" w:cs="Times New Roman"/>
          <w:noProof/>
        </w:rPr>
        <w:drawing>
          <wp:inline distT="0" distB="0" distL="0" distR="0" wp14:anchorId="497E1D31" wp14:editId="78C220BA">
            <wp:extent cx="6096003" cy="2834640"/>
            <wp:effectExtent l="0" t="0" r="0" b="0"/>
            <wp:docPr id="27" name="Drawing 27" descr="31a6e5c5283052127779cc3b3c1295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1a6e5c5283052127779cc3b3c1295b9.png"/>
                    <pic:cNvPicPr>
                      <a:picLocks noChangeAspect="1"/>
                    </pic:cNvPicPr>
                  </pic:nvPicPr>
                  <pic:blipFill>
                    <a:blip r:embed="rId26"/>
                    <a:stretch>
                      <a:fillRect/>
                    </a:stretch>
                  </pic:blipFill>
                  <pic:spPr>
                    <a:xfrm>
                      <a:off x="0" y="0"/>
                      <a:ext cx="6102745" cy="2837775"/>
                    </a:xfrm>
                    <a:prstGeom prst="rect">
                      <a:avLst/>
                    </a:prstGeom>
                  </pic:spPr>
                </pic:pic>
              </a:graphicData>
            </a:graphic>
          </wp:inline>
        </w:drawing>
      </w:r>
    </w:p>
    <w:p w14:paraId="0F4417EA" w14:textId="0045BDD0" w:rsidR="00F72BF6" w:rsidRPr="00B17848" w:rsidRDefault="00F72BF6" w:rsidP="00F72BF6">
      <w:pPr>
        <w:spacing w:before="120" w:after="120" w:line="336" w:lineRule="auto"/>
        <w:jc w:val="center"/>
        <w:rPr>
          <w:rFonts w:ascii="Times New Roman" w:hAnsi="Times New Roman" w:cs="Times New Roman"/>
        </w:rPr>
      </w:pPr>
      <w:r>
        <w:rPr>
          <w:rFonts w:ascii="Times New Roman" w:eastAsia="Arimo" w:hAnsi="Times New Roman" w:cs="Times New Roman"/>
          <w:b/>
          <w:bCs/>
          <w:color w:val="000000"/>
        </w:rPr>
        <w:t xml:space="preserve">10 </w:t>
      </w:r>
      <w:r w:rsidRPr="008264FA">
        <w:rPr>
          <w:rFonts w:ascii="Times New Roman" w:eastAsia="Arimo" w:hAnsi="Times New Roman" w:cs="Times New Roman"/>
          <w:b/>
          <w:bCs/>
          <w:color w:val="000000"/>
        </w:rPr>
        <w:t>pav.</w:t>
      </w:r>
      <w:r w:rsidRPr="00F72BF6">
        <w:rPr>
          <w:rFonts w:ascii="Times New Roman" w:eastAsia="IBM Plex Sans Bold" w:hAnsi="Times New Roman" w:cs="Times New Roman"/>
          <w:b/>
          <w:bCs/>
          <w:color w:val="000000"/>
        </w:rPr>
        <w:t xml:space="preserve"> </w:t>
      </w:r>
      <w:r w:rsidRPr="00F72BF6">
        <w:rPr>
          <w:rFonts w:ascii="Times New Roman" w:eastAsia="IBM Plex Sans Bold" w:hAnsi="Times New Roman" w:cs="Times New Roman"/>
          <w:color w:val="000000"/>
        </w:rPr>
        <w:t>Finansavimo matrica mokslo ir verslo skatinimui.</w:t>
      </w:r>
    </w:p>
    <w:p w14:paraId="669AB4C0" w14:textId="4256161E" w:rsidR="00F72BF6" w:rsidRPr="00B17848" w:rsidRDefault="00F72BF6" w:rsidP="00F72BF6">
      <w:pPr>
        <w:spacing w:before="120" w:after="120"/>
        <w:jc w:val="center"/>
        <w:rPr>
          <w:rFonts w:ascii="Times New Roman" w:hAnsi="Times New Roman" w:cs="Times New Roman"/>
        </w:rPr>
      </w:pPr>
    </w:p>
    <w:p w14:paraId="61678B18" w14:textId="0E8F7F80" w:rsidR="00FF3A11" w:rsidRPr="000F4A88" w:rsidRDefault="00000000">
      <w:pPr>
        <w:spacing w:before="120" w:after="120" w:line="336" w:lineRule="auto"/>
        <w:rPr>
          <w:rFonts w:ascii="Times New Roman" w:hAnsi="Times New Roman" w:cs="Times New Roman"/>
          <w:b/>
          <w:bCs/>
        </w:rPr>
      </w:pPr>
      <w:r w:rsidRPr="00B17848">
        <w:rPr>
          <w:rFonts w:ascii="Times New Roman" w:eastAsia="IBM Plex Sans" w:hAnsi="Times New Roman" w:cs="Times New Roman"/>
          <w:color w:val="000000"/>
        </w:rPr>
        <w:br/>
      </w:r>
      <w:r w:rsidRPr="000F4A88">
        <w:rPr>
          <w:rFonts w:ascii="Times New Roman" w:eastAsia="Montserrat" w:hAnsi="Times New Roman" w:cs="Times New Roman"/>
          <w:b/>
          <w:bCs/>
          <w:color w:val="00646A"/>
        </w:rPr>
        <w:t xml:space="preserve">IV etapas – Strategijos dokumento rengimas:  </w:t>
      </w:r>
    </w:p>
    <w:p w14:paraId="5C4FFE4B" w14:textId="69AD0D2D" w:rsidR="00FF3A11" w:rsidRDefault="00000000">
      <w:pPr>
        <w:spacing w:before="120" w:after="120" w:line="336" w:lineRule="auto"/>
        <w:ind w:firstLine="480"/>
        <w:jc w:val="both"/>
        <w:rPr>
          <w:rFonts w:ascii="Times New Roman" w:eastAsia="IBM Plex Sans" w:hAnsi="Times New Roman" w:cs="Times New Roman"/>
          <w:color w:val="000000"/>
        </w:rPr>
      </w:pPr>
      <w:r w:rsidRPr="00B17848">
        <w:rPr>
          <w:rFonts w:ascii="Times New Roman" w:eastAsia="IBM Plex Sans" w:hAnsi="Times New Roman" w:cs="Times New Roman"/>
          <w:color w:val="000000"/>
        </w:rPr>
        <w:t>Šiame etape išsikelt</w:t>
      </w:r>
      <w:r w:rsidR="00F72BF6">
        <w:rPr>
          <w:rFonts w:ascii="Times New Roman" w:eastAsia="IBM Plex Sans" w:hAnsi="Times New Roman" w:cs="Times New Roman"/>
          <w:color w:val="000000"/>
        </w:rPr>
        <w:t>as tikslas</w:t>
      </w:r>
      <w:r w:rsidRPr="00B17848">
        <w:rPr>
          <w:rFonts w:ascii="Times New Roman" w:eastAsia="IBM Plex Sans" w:hAnsi="Times New Roman" w:cs="Times New Roman"/>
          <w:color w:val="000000"/>
        </w:rPr>
        <w:t xml:space="preserve"> parengti LAMMC tarptautiškumo veiklos strategiją, kurioje pagrindinė skatinimo priemonės įvardijamos: mokymai ir konsultacijos su tarptautiniais ekspertais; mentorystės programa rengiant paraiškas;  EARMA tinklo bendradarbiavimas ir žinių mainai;  Tarptautinio matomumo ir komunikacijos stiprinimas;  Motyvacinės priemonės mokslininkams ir administracijai. </w:t>
      </w:r>
    </w:p>
    <w:p w14:paraId="4D78D3B7" w14:textId="19E9FFEE" w:rsidR="002878C9" w:rsidRPr="002878C9" w:rsidRDefault="002878C9">
      <w:pPr>
        <w:spacing w:before="120" w:after="120" w:line="336" w:lineRule="auto"/>
        <w:ind w:firstLine="480"/>
        <w:jc w:val="both"/>
        <w:rPr>
          <w:rFonts w:ascii="Times New Roman" w:hAnsi="Times New Roman" w:cs="Times New Roman"/>
        </w:rPr>
      </w:pPr>
      <w:r>
        <w:rPr>
          <w:rFonts w:ascii="Times New Roman" w:eastAsia="IBM Plex Sans" w:hAnsi="Times New Roman" w:cs="Times New Roman"/>
          <w:color w:val="000000"/>
        </w:rPr>
        <w:t xml:space="preserve">Lietuvos agrarinių ir miškų mokslų centro tarptautiškumo strategija rengiama, planuojama publikavimo data </w:t>
      </w:r>
      <w:r w:rsidRPr="002878C9">
        <w:rPr>
          <w:rFonts w:ascii="Times New Roman" w:eastAsia="IBM Plex Sans" w:hAnsi="Times New Roman" w:cs="Times New Roman"/>
          <w:color w:val="000000"/>
        </w:rPr>
        <w:t>2026 metų</w:t>
      </w:r>
      <w:r>
        <w:rPr>
          <w:rFonts w:ascii="Times New Roman" w:eastAsia="IBM Plex Sans" w:hAnsi="Times New Roman" w:cs="Times New Roman"/>
          <w:color w:val="000000"/>
        </w:rPr>
        <w:t xml:space="preserve"> pirmas ketvirtis.</w:t>
      </w:r>
    </w:p>
    <w:p w14:paraId="40D75E63" w14:textId="77777777" w:rsidR="002878C9" w:rsidRDefault="00000000">
      <w:pPr>
        <w:spacing w:before="120" w:after="120" w:line="336" w:lineRule="auto"/>
        <w:rPr>
          <w:rFonts w:ascii="Times New Roman" w:eastAsia="IBM Plex Sans" w:hAnsi="Times New Roman" w:cs="Times New Roman"/>
          <w:color w:val="000000"/>
        </w:rPr>
      </w:pPr>
      <w:r w:rsidRPr="00B17848">
        <w:rPr>
          <w:rFonts w:ascii="Times New Roman" w:eastAsia="IBM Plex Sans" w:hAnsi="Times New Roman" w:cs="Times New Roman"/>
          <w:color w:val="000000"/>
        </w:rPr>
        <w:t xml:space="preserve"> </w:t>
      </w:r>
    </w:p>
    <w:p w14:paraId="1BE10F71" w14:textId="77777777" w:rsidR="002878C9" w:rsidRDefault="002878C9">
      <w:pPr>
        <w:spacing w:before="120" w:after="120" w:line="336" w:lineRule="auto"/>
        <w:rPr>
          <w:rFonts w:ascii="Times New Roman" w:eastAsia="IBM Plex Sans" w:hAnsi="Times New Roman" w:cs="Times New Roman"/>
          <w:color w:val="000000"/>
        </w:rPr>
      </w:pPr>
    </w:p>
    <w:p w14:paraId="19455BDF" w14:textId="77777777" w:rsidR="002878C9" w:rsidRDefault="002878C9">
      <w:pPr>
        <w:spacing w:before="120" w:after="120" w:line="336" w:lineRule="auto"/>
        <w:rPr>
          <w:rFonts w:ascii="Times New Roman" w:eastAsia="IBM Plex Sans" w:hAnsi="Times New Roman" w:cs="Times New Roman"/>
          <w:color w:val="000000"/>
        </w:rPr>
      </w:pPr>
    </w:p>
    <w:p w14:paraId="44E95B38" w14:textId="77777777" w:rsidR="002878C9" w:rsidRDefault="002878C9">
      <w:pPr>
        <w:spacing w:before="120" w:after="120" w:line="336" w:lineRule="auto"/>
        <w:rPr>
          <w:rFonts w:ascii="Times New Roman" w:eastAsia="IBM Plex Sans" w:hAnsi="Times New Roman" w:cs="Times New Roman"/>
          <w:color w:val="000000"/>
        </w:rPr>
      </w:pPr>
    </w:p>
    <w:p w14:paraId="61331812" w14:textId="77777777" w:rsidR="002878C9" w:rsidRDefault="002878C9">
      <w:pPr>
        <w:spacing w:before="120" w:after="120" w:line="336" w:lineRule="auto"/>
        <w:rPr>
          <w:rFonts w:ascii="Times New Roman" w:eastAsia="IBM Plex Sans" w:hAnsi="Times New Roman" w:cs="Times New Roman"/>
          <w:color w:val="000000"/>
        </w:rPr>
      </w:pPr>
    </w:p>
    <w:p w14:paraId="1B9F166E" w14:textId="77777777" w:rsidR="002878C9" w:rsidRDefault="002878C9">
      <w:pPr>
        <w:spacing w:before="120" w:after="120" w:line="336" w:lineRule="auto"/>
        <w:rPr>
          <w:rFonts w:ascii="Times New Roman" w:eastAsia="Montserrat" w:hAnsi="Times New Roman" w:cs="Times New Roman"/>
          <w:color w:val="00646A"/>
        </w:rPr>
      </w:pPr>
    </w:p>
    <w:p w14:paraId="15631A91" w14:textId="35ABD1DF" w:rsidR="00FF3A11" w:rsidRPr="000F4A88" w:rsidRDefault="00000000">
      <w:pPr>
        <w:spacing w:before="120" w:after="120" w:line="336" w:lineRule="auto"/>
        <w:rPr>
          <w:rFonts w:ascii="Times New Roman" w:hAnsi="Times New Roman" w:cs="Times New Roman"/>
          <w:b/>
          <w:bCs/>
        </w:rPr>
      </w:pPr>
      <w:r w:rsidRPr="000F4A88">
        <w:rPr>
          <w:rFonts w:ascii="Times New Roman" w:eastAsia="Montserrat" w:hAnsi="Times New Roman" w:cs="Times New Roman"/>
          <w:b/>
          <w:bCs/>
          <w:color w:val="00646A"/>
        </w:rPr>
        <w:lastRenderedPageBreak/>
        <w:t xml:space="preserve">V etapas – Įgyvendinimas ir stebėsena: </w:t>
      </w:r>
    </w:p>
    <w:p w14:paraId="5E48CA15" w14:textId="277CF009" w:rsidR="002878C9" w:rsidRPr="002878C9" w:rsidRDefault="002878C9" w:rsidP="000F4A88">
      <w:pPr>
        <w:pStyle w:val="ListParagraph"/>
        <w:numPr>
          <w:ilvl w:val="0"/>
          <w:numId w:val="3"/>
        </w:numPr>
        <w:spacing w:before="120" w:after="120" w:line="336" w:lineRule="auto"/>
        <w:ind w:left="142" w:hanging="284"/>
        <w:jc w:val="both"/>
        <w:rPr>
          <w:rFonts w:ascii="Times New Roman" w:hAnsi="Times New Roman" w:cs="Times New Roman"/>
          <w:lang w:val="pt-BR"/>
        </w:rPr>
      </w:pPr>
      <w:r w:rsidRPr="002878C9">
        <w:rPr>
          <w:rFonts w:ascii="Times New Roman" w:hAnsi="Times New Roman" w:cs="Times New Roman"/>
          <w:b/>
          <w:bCs/>
          <w:lang w:val="pt-BR"/>
        </w:rPr>
        <w:t>lentel</w:t>
      </w:r>
      <w:r w:rsidRPr="002878C9">
        <w:rPr>
          <w:rFonts w:ascii="Times New Roman" w:hAnsi="Times New Roman" w:cs="Times New Roman"/>
          <w:b/>
          <w:bCs/>
        </w:rPr>
        <w:t>ė.</w:t>
      </w:r>
      <w:r>
        <w:rPr>
          <w:rFonts w:ascii="Times New Roman" w:hAnsi="Times New Roman" w:cs="Times New Roman"/>
        </w:rPr>
        <w:t xml:space="preserve"> </w:t>
      </w:r>
      <w:r w:rsidRPr="002878C9">
        <w:rPr>
          <w:rFonts w:ascii="Times New Roman" w:hAnsi="Times New Roman" w:cs="Times New Roman"/>
        </w:rPr>
        <w:t>LAMMC dalyvavimo „Europos horizonto“ programoje sėkmės strategijos lentelė</w:t>
      </w:r>
      <w:r>
        <w:rPr>
          <w:rFonts w:ascii="Times New Roman" w:hAnsi="Times New Roman" w:cs="Times New Roman"/>
        </w:rPr>
        <w:t>.</w:t>
      </w:r>
    </w:p>
    <w:tbl>
      <w:tblPr>
        <w:tblStyle w:val="ListTable3-Accent3"/>
        <w:tblW w:w="0" w:type="auto"/>
        <w:tblLook w:val="04A0" w:firstRow="1" w:lastRow="0" w:firstColumn="1" w:lastColumn="0" w:noHBand="0" w:noVBand="1"/>
      </w:tblPr>
      <w:tblGrid>
        <w:gridCol w:w="1851"/>
        <w:gridCol w:w="2024"/>
        <w:gridCol w:w="4171"/>
        <w:gridCol w:w="1528"/>
      </w:tblGrid>
      <w:tr w:rsidR="000F4A88" w:rsidRPr="002878C9" w14:paraId="2603BD43" w14:textId="094CC09E" w:rsidTr="000F4A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51" w:type="dxa"/>
            <w:hideMark/>
          </w:tcPr>
          <w:p w14:paraId="3D958A58" w14:textId="77777777" w:rsidR="000F4A88" w:rsidRPr="002878C9" w:rsidRDefault="000F4A88" w:rsidP="000F4A88">
            <w:pPr>
              <w:jc w:val="both"/>
              <w:rPr>
                <w:rFonts w:ascii="Times New Roman" w:hAnsi="Times New Roman" w:cs="Times New Roman"/>
              </w:rPr>
            </w:pPr>
            <w:r w:rsidRPr="002878C9">
              <w:rPr>
                <w:rFonts w:ascii="Times New Roman" w:hAnsi="Times New Roman" w:cs="Times New Roman"/>
              </w:rPr>
              <w:t>Strateginė kryptis</w:t>
            </w:r>
          </w:p>
        </w:tc>
        <w:tc>
          <w:tcPr>
            <w:tcW w:w="2024" w:type="dxa"/>
            <w:hideMark/>
          </w:tcPr>
          <w:p w14:paraId="2CE92A89" w14:textId="77777777" w:rsidR="000F4A88" w:rsidRPr="002878C9" w:rsidRDefault="000F4A88" w:rsidP="000F4A8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Tikslas</w:t>
            </w:r>
          </w:p>
        </w:tc>
        <w:tc>
          <w:tcPr>
            <w:tcW w:w="4171" w:type="dxa"/>
            <w:hideMark/>
          </w:tcPr>
          <w:p w14:paraId="08119813" w14:textId="77777777" w:rsidR="000F4A88" w:rsidRPr="002878C9" w:rsidRDefault="000F4A88" w:rsidP="000F4A8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Pagrindinės priemonės</w:t>
            </w:r>
          </w:p>
        </w:tc>
        <w:tc>
          <w:tcPr>
            <w:tcW w:w="1528" w:type="dxa"/>
          </w:tcPr>
          <w:p w14:paraId="60861F13" w14:textId="733D06FF" w:rsidR="000F4A88" w:rsidRPr="002878C9" w:rsidRDefault="000F4A88" w:rsidP="000F4A8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0F4A88">
              <w:rPr>
                <w:rFonts w:ascii="Times New Roman" w:hAnsi="Times New Roman" w:cs="Times New Roman"/>
              </w:rPr>
              <w:t>Sėkmės matavimo rodikliai</w:t>
            </w:r>
          </w:p>
        </w:tc>
      </w:tr>
      <w:tr w:rsidR="000F4A88" w:rsidRPr="002878C9" w14:paraId="0C607CA8" w14:textId="14630627" w:rsidTr="000F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dxa"/>
            <w:hideMark/>
          </w:tcPr>
          <w:p w14:paraId="78807B31" w14:textId="310C15B6" w:rsidR="000F4A88" w:rsidRPr="002878C9" w:rsidRDefault="000F4A88" w:rsidP="000F4A88">
            <w:pPr>
              <w:rPr>
                <w:rFonts w:ascii="Times New Roman" w:hAnsi="Times New Roman" w:cs="Times New Roman"/>
              </w:rPr>
            </w:pPr>
            <w:r w:rsidRPr="002878C9">
              <w:rPr>
                <w:rFonts w:ascii="Times New Roman" w:hAnsi="Times New Roman" w:cs="Times New Roman"/>
              </w:rPr>
              <w:t>Mokslo kompetencijų stiprinimas</w:t>
            </w:r>
          </w:p>
        </w:tc>
        <w:tc>
          <w:tcPr>
            <w:tcW w:w="2024" w:type="dxa"/>
            <w:hideMark/>
          </w:tcPr>
          <w:p w14:paraId="74030E6B"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Stiprinti tyrėjų gebėjimus rengti konkurencingas paraiškas</w:t>
            </w:r>
          </w:p>
        </w:tc>
        <w:tc>
          <w:tcPr>
            <w:tcW w:w="4171" w:type="dxa"/>
            <w:hideMark/>
          </w:tcPr>
          <w:p w14:paraId="344D1662" w14:textId="72BF74F9"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Mokymai apie „Europos horizontą“ ir vertinimo kriterijus </w:t>
            </w:r>
            <w:r w:rsidRPr="002878C9">
              <w:rPr>
                <w:rFonts w:ascii="Times New Roman" w:hAnsi="Times New Roman" w:cs="Times New Roman"/>
              </w:rPr>
              <w:br/>
              <w:t>•</w:t>
            </w:r>
            <w:r>
              <w:rPr>
                <w:rFonts w:ascii="Times New Roman" w:hAnsi="Times New Roman" w:cs="Times New Roman"/>
              </w:rPr>
              <w:t xml:space="preserve"> </w:t>
            </w:r>
            <w:r w:rsidRPr="002878C9">
              <w:rPr>
                <w:rFonts w:ascii="Times New Roman" w:hAnsi="Times New Roman" w:cs="Times New Roman"/>
              </w:rPr>
              <w:t xml:space="preserve">Mentorystės programa </w:t>
            </w:r>
            <w:r w:rsidRPr="002878C9">
              <w:rPr>
                <w:rFonts w:ascii="Times New Roman" w:hAnsi="Times New Roman" w:cs="Times New Roman"/>
              </w:rPr>
              <w:br/>
              <w:t xml:space="preserve">• Seminarai apie poveikio planavimą, duomenų valdymą ir projektų valdymą </w:t>
            </w:r>
            <w:r w:rsidRPr="002878C9">
              <w:rPr>
                <w:rFonts w:ascii="Times New Roman" w:hAnsi="Times New Roman" w:cs="Times New Roman"/>
              </w:rPr>
              <w:br/>
              <w:t>• Anglų kalbos, viešojo kalbėjimo ir mokslinio rašymo tobulinimas</w:t>
            </w:r>
          </w:p>
        </w:tc>
        <w:tc>
          <w:tcPr>
            <w:tcW w:w="1528" w:type="dxa"/>
          </w:tcPr>
          <w:p w14:paraId="35EFCF60" w14:textId="7F9D1B44"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4A88">
              <w:rPr>
                <w:rFonts w:ascii="Times New Roman" w:hAnsi="Times New Roman" w:cs="Times New Roman"/>
              </w:rPr>
              <w:t>Mokymuose dalyvavusių darbuotojų skaičius – ne mažiau kaip 200</w:t>
            </w:r>
          </w:p>
        </w:tc>
      </w:tr>
      <w:tr w:rsidR="000F4A88" w:rsidRPr="002878C9" w14:paraId="15CB13B1" w14:textId="4BF35B1C" w:rsidTr="000F4A88">
        <w:tc>
          <w:tcPr>
            <w:cnfStyle w:val="001000000000" w:firstRow="0" w:lastRow="0" w:firstColumn="1" w:lastColumn="0" w:oddVBand="0" w:evenVBand="0" w:oddHBand="0" w:evenHBand="0" w:firstRowFirstColumn="0" w:firstRowLastColumn="0" w:lastRowFirstColumn="0" w:lastRowLastColumn="0"/>
            <w:tcW w:w="1851" w:type="dxa"/>
            <w:hideMark/>
          </w:tcPr>
          <w:p w14:paraId="6C9ADE58" w14:textId="13F99707" w:rsidR="000F4A88" w:rsidRPr="002878C9" w:rsidRDefault="000F4A88" w:rsidP="000F4A88">
            <w:pPr>
              <w:rPr>
                <w:rFonts w:ascii="Times New Roman" w:hAnsi="Times New Roman" w:cs="Times New Roman"/>
              </w:rPr>
            </w:pPr>
            <w:r w:rsidRPr="002878C9">
              <w:rPr>
                <w:rFonts w:ascii="Times New Roman" w:hAnsi="Times New Roman" w:cs="Times New Roman"/>
              </w:rPr>
              <w:t>Teminių prioritetų išgryninimas</w:t>
            </w:r>
          </w:p>
        </w:tc>
        <w:tc>
          <w:tcPr>
            <w:tcW w:w="2024" w:type="dxa"/>
            <w:hideMark/>
          </w:tcPr>
          <w:p w14:paraId="0C50C158" w14:textId="77777777"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Susikoncentruoti į temas, kuriose LAMMC turi didžiausią potencialą</w:t>
            </w:r>
          </w:p>
        </w:tc>
        <w:tc>
          <w:tcPr>
            <w:tcW w:w="4171" w:type="dxa"/>
            <w:hideMark/>
          </w:tcPr>
          <w:p w14:paraId="11160BB0" w14:textId="1BFEF275"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Paskirti teminių krypčių koordinatorius </w:t>
            </w:r>
            <w:r w:rsidRPr="002878C9">
              <w:rPr>
                <w:rFonts w:ascii="Times New Roman" w:hAnsi="Times New Roman" w:cs="Times New Roman"/>
              </w:rPr>
              <w:br/>
              <w:t xml:space="preserve">• Formuoti teminius tyrimų branduolius </w:t>
            </w:r>
            <w:r w:rsidRPr="002878C9">
              <w:rPr>
                <w:rFonts w:ascii="Times New Roman" w:hAnsi="Times New Roman" w:cs="Times New Roman"/>
              </w:rPr>
              <w:br/>
              <w:t>• Koordinuoti dalyvavimą atitinkamuose kvietimuose</w:t>
            </w:r>
          </w:p>
        </w:tc>
        <w:tc>
          <w:tcPr>
            <w:tcW w:w="1528" w:type="dxa"/>
          </w:tcPr>
          <w:p w14:paraId="51FB14B7" w14:textId="42B5EA16"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Nustatyti 4–6 prioritetines tyrimų kryptis </w:t>
            </w:r>
            <w:r w:rsidRPr="002878C9">
              <w:rPr>
                <w:rFonts w:ascii="Times New Roman" w:hAnsi="Times New Roman" w:cs="Times New Roman"/>
              </w:rPr>
              <w:br/>
            </w:r>
          </w:p>
        </w:tc>
      </w:tr>
      <w:tr w:rsidR="000F4A88" w:rsidRPr="002878C9" w14:paraId="02754A84" w14:textId="28569EA0" w:rsidTr="000F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dxa"/>
            <w:hideMark/>
          </w:tcPr>
          <w:p w14:paraId="2ABF1BFC" w14:textId="20DF7BBF" w:rsidR="000F4A88" w:rsidRPr="002878C9" w:rsidRDefault="000F4A88" w:rsidP="000F4A88">
            <w:pPr>
              <w:rPr>
                <w:rFonts w:ascii="Times New Roman" w:hAnsi="Times New Roman" w:cs="Times New Roman"/>
              </w:rPr>
            </w:pPr>
            <w:r w:rsidRPr="002878C9">
              <w:rPr>
                <w:rFonts w:ascii="Times New Roman" w:hAnsi="Times New Roman" w:cs="Times New Roman"/>
              </w:rPr>
              <w:t>Tarptautinių partnerių tinklo plėtra</w:t>
            </w:r>
          </w:p>
        </w:tc>
        <w:tc>
          <w:tcPr>
            <w:tcW w:w="2024" w:type="dxa"/>
            <w:hideMark/>
          </w:tcPr>
          <w:p w14:paraId="00A14C3F"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Didinti matomumą ir įsitraukimą į Europos tyrimų bendruomenes</w:t>
            </w:r>
          </w:p>
        </w:tc>
        <w:tc>
          <w:tcPr>
            <w:tcW w:w="4171" w:type="dxa"/>
            <w:hideMark/>
          </w:tcPr>
          <w:p w14:paraId="46F6BB1E"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Identifikuoti strateginius tarptautinius partnerius </w:t>
            </w:r>
            <w:r w:rsidRPr="002878C9">
              <w:rPr>
                <w:rFonts w:ascii="Times New Roman" w:hAnsi="Times New Roman" w:cs="Times New Roman"/>
              </w:rPr>
              <w:br/>
              <w:t xml:space="preserve">• Dalyvauti ES tinkluose, konferencijose, platformose </w:t>
            </w:r>
            <w:r w:rsidRPr="002878C9">
              <w:rPr>
                <w:rFonts w:ascii="Times New Roman" w:hAnsi="Times New Roman" w:cs="Times New Roman"/>
              </w:rPr>
              <w:br/>
              <w:t xml:space="preserve">• Iniciatyviai siūlyti partnerystes konsorciumams </w:t>
            </w:r>
            <w:r w:rsidRPr="002878C9">
              <w:rPr>
                <w:rFonts w:ascii="Times New Roman" w:hAnsi="Times New Roman" w:cs="Times New Roman"/>
              </w:rPr>
              <w:br/>
              <w:t>• Dalyvauti vertinimo komitetuose ir asociacijose</w:t>
            </w:r>
          </w:p>
        </w:tc>
        <w:tc>
          <w:tcPr>
            <w:tcW w:w="1528" w:type="dxa"/>
          </w:tcPr>
          <w:p w14:paraId="1E103A6A"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F4A88" w:rsidRPr="002878C9" w14:paraId="515E72F9" w14:textId="6F9DC9A0" w:rsidTr="000F4A88">
        <w:tc>
          <w:tcPr>
            <w:cnfStyle w:val="001000000000" w:firstRow="0" w:lastRow="0" w:firstColumn="1" w:lastColumn="0" w:oddVBand="0" w:evenVBand="0" w:oddHBand="0" w:evenHBand="0" w:firstRowFirstColumn="0" w:firstRowLastColumn="0" w:lastRowFirstColumn="0" w:lastRowLastColumn="0"/>
            <w:tcW w:w="1851" w:type="dxa"/>
            <w:hideMark/>
          </w:tcPr>
          <w:p w14:paraId="68B85602" w14:textId="19E0EA0A" w:rsidR="000F4A88" w:rsidRPr="002878C9" w:rsidRDefault="000F4A88" w:rsidP="000F4A88">
            <w:pPr>
              <w:rPr>
                <w:rFonts w:ascii="Times New Roman" w:hAnsi="Times New Roman" w:cs="Times New Roman"/>
              </w:rPr>
            </w:pPr>
            <w:r w:rsidRPr="002878C9">
              <w:rPr>
                <w:rFonts w:ascii="Times New Roman" w:hAnsi="Times New Roman" w:cs="Times New Roman"/>
              </w:rPr>
              <w:t>Vidinių procesų efektyvinimas</w:t>
            </w:r>
          </w:p>
        </w:tc>
        <w:tc>
          <w:tcPr>
            <w:tcW w:w="2024" w:type="dxa"/>
            <w:hideMark/>
          </w:tcPr>
          <w:p w14:paraId="02C88371" w14:textId="77777777"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Sukurti patikimą projektų parengimo ir valdymo sistemą</w:t>
            </w:r>
          </w:p>
        </w:tc>
        <w:tc>
          <w:tcPr>
            <w:tcW w:w="4171" w:type="dxa"/>
            <w:hideMark/>
          </w:tcPr>
          <w:p w14:paraId="61674211" w14:textId="77777777"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Sukurti projektų valdymo procesų žemėlapį </w:t>
            </w:r>
            <w:r w:rsidRPr="002878C9">
              <w:rPr>
                <w:rFonts w:ascii="Times New Roman" w:hAnsi="Times New Roman" w:cs="Times New Roman"/>
              </w:rPr>
              <w:br/>
              <w:t xml:space="preserve">• Sustiprinti administracinę paramą (šablonai, kokybės patikros) </w:t>
            </w:r>
            <w:r w:rsidRPr="002878C9">
              <w:rPr>
                <w:rFonts w:ascii="Times New Roman" w:hAnsi="Times New Roman" w:cs="Times New Roman"/>
              </w:rPr>
              <w:br/>
              <w:t xml:space="preserve">• Įsteigti Projektų paramos grupę </w:t>
            </w:r>
            <w:r w:rsidRPr="002878C9">
              <w:rPr>
                <w:rFonts w:ascii="Times New Roman" w:hAnsi="Times New Roman" w:cs="Times New Roman"/>
              </w:rPr>
              <w:br/>
              <w:t>• Užtikrinti tyrėjams laiko resursus paraiškų rengimui</w:t>
            </w:r>
          </w:p>
        </w:tc>
        <w:tc>
          <w:tcPr>
            <w:tcW w:w="1528" w:type="dxa"/>
          </w:tcPr>
          <w:p w14:paraId="134CE628" w14:textId="10840F2C"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Parengti procesų apraš</w:t>
            </w:r>
            <w:r w:rsidR="0054460F">
              <w:rPr>
                <w:rFonts w:ascii="Times New Roman" w:hAnsi="Times New Roman" w:cs="Times New Roman"/>
              </w:rPr>
              <w:t>ai</w:t>
            </w:r>
          </w:p>
        </w:tc>
      </w:tr>
      <w:tr w:rsidR="000F4A88" w:rsidRPr="002878C9" w14:paraId="6AFB5491" w14:textId="082636B8" w:rsidTr="000F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dxa"/>
            <w:hideMark/>
          </w:tcPr>
          <w:p w14:paraId="2F6DA169" w14:textId="70948307" w:rsidR="000F4A88" w:rsidRPr="002878C9" w:rsidRDefault="000F4A88" w:rsidP="000F4A88">
            <w:pPr>
              <w:rPr>
                <w:rFonts w:ascii="Times New Roman" w:hAnsi="Times New Roman" w:cs="Times New Roman"/>
              </w:rPr>
            </w:pPr>
            <w:r w:rsidRPr="002878C9">
              <w:rPr>
                <w:rFonts w:ascii="Times New Roman" w:hAnsi="Times New Roman" w:cs="Times New Roman"/>
              </w:rPr>
              <w:t>Komunikacijos ir matomumo didinimas</w:t>
            </w:r>
          </w:p>
        </w:tc>
        <w:tc>
          <w:tcPr>
            <w:tcW w:w="2024" w:type="dxa"/>
            <w:hideMark/>
          </w:tcPr>
          <w:p w14:paraId="1BD602A7"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Didinti LAMMC žinomumą tarptautinėje erdvėje</w:t>
            </w:r>
          </w:p>
        </w:tc>
        <w:tc>
          <w:tcPr>
            <w:tcW w:w="4171" w:type="dxa"/>
            <w:hideMark/>
          </w:tcPr>
          <w:p w14:paraId="7C307B69"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Parengti kompetencijų profilius ir laboratorijų aprašus anglų k. </w:t>
            </w:r>
            <w:r w:rsidRPr="002878C9">
              <w:rPr>
                <w:rFonts w:ascii="Times New Roman" w:hAnsi="Times New Roman" w:cs="Times New Roman"/>
              </w:rPr>
              <w:br/>
              <w:t xml:space="preserve">• Kurti profesionalias komunikacijos priemones </w:t>
            </w:r>
            <w:r w:rsidRPr="002878C9">
              <w:rPr>
                <w:rFonts w:ascii="Times New Roman" w:hAnsi="Times New Roman" w:cs="Times New Roman"/>
              </w:rPr>
              <w:br/>
              <w:t>• Aktyviai skelbti tyrimų rezultatus tarptautiniuose kanaluose</w:t>
            </w:r>
          </w:p>
        </w:tc>
        <w:tc>
          <w:tcPr>
            <w:tcW w:w="1528" w:type="dxa"/>
          </w:tcPr>
          <w:p w14:paraId="3D0DEE6F" w14:textId="7A215661"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F4A88">
              <w:rPr>
                <w:rFonts w:ascii="Times New Roman" w:hAnsi="Times New Roman" w:cs="Times New Roman"/>
              </w:rPr>
              <w:t>Tarptautinio matomumo indeksas – +30 % augimas.</w:t>
            </w:r>
          </w:p>
        </w:tc>
      </w:tr>
      <w:tr w:rsidR="000F4A88" w:rsidRPr="002878C9" w14:paraId="21FABB47" w14:textId="5A80FE00" w:rsidTr="000F4A88">
        <w:tc>
          <w:tcPr>
            <w:cnfStyle w:val="001000000000" w:firstRow="0" w:lastRow="0" w:firstColumn="1" w:lastColumn="0" w:oddVBand="0" w:evenVBand="0" w:oddHBand="0" w:evenHBand="0" w:firstRowFirstColumn="0" w:firstRowLastColumn="0" w:lastRowFirstColumn="0" w:lastRowLastColumn="0"/>
            <w:tcW w:w="1851" w:type="dxa"/>
            <w:hideMark/>
          </w:tcPr>
          <w:p w14:paraId="46E82E65" w14:textId="7AF5974E" w:rsidR="000F4A88" w:rsidRPr="002878C9" w:rsidRDefault="000F4A88" w:rsidP="000F4A88">
            <w:pPr>
              <w:rPr>
                <w:rFonts w:ascii="Times New Roman" w:hAnsi="Times New Roman" w:cs="Times New Roman"/>
              </w:rPr>
            </w:pPr>
            <w:r w:rsidRPr="002878C9">
              <w:rPr>
                <w:rFonts w:ascii="Times New Roman" w:hAnsi="Times New Roman" w:cs="Times New Roman"/>
              </w:rPr>
              <w:t xml:space="preserve">Konsorciumų kūrimas ir </w:t>
            </w:r>
            <w:proofErr w:type="spellStart"/>
            <w:r w:rsidRPr="002878C9">
              <w:rPr>
                <w:rFonts w:ascii="Times New Roman" w:hAnsi="Times New Roman" w:cs="Times New Roman"/>
              </w:rPr>
              <w:t>lyderiavimas</w:t>
            </w:r>
            <w:proofErr w:type="spellEnd"/>
          </w:p>
        </w:tc>
        <w:tc>
          <w:tcPr>
            <w:tcW w:w="2024" w:type="dxa"/>
            <w:hideMark/>
          </w:tcPr>
          <w:p w14:paraId="5448ABF0" w14:textId="77777777"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Ne tik dalyvauti, bet ir koordinuoti projektus</w:t>
            </w:r>
          </w:p>
        </w:tc>
        <w:tc>
          <w:tcPr>
            <w:tcW w:w="4171" w:type="dxa"/>
            <w:hideMark/>
          </w:tcPr>
          <w:p w14:paraId="02F8E876" w14:textId="77777777" w:rsidR="000F4A88" w:rsidRPr="002878C9" w:rsidRDefault="000F4A88" w:rsidP="000F4A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Identifikuoti temas, kuriose LAMMC gali būti koordinatorius </w:t>
            </w:r>
            <w:r w:rsidRPr="002878C9">
              <w:rPr>
                <w:rFonts w:ascii="Times New Roman" w:hAnsi="Times New Roman" w:cs="Times New Roman"/>
              </w:rPr>
              <w:br/>
              <w:t xml:space="preserve">• Rengti projektų idėjų sesijas su partneriais </w:t>
            </w:r>
            <w:r w:rsidRPr="002878C9">
              <w:rPr>
                <w:rFonts w:ascii="Times New Roman" w:hAnsi="Times New Roman" w:cs="Times New Roman"/>
              </w:rPr>
              <w:br/>
              <w:t xml:space="preserve">• Skirti patyrusius koordinatorius ir suteikti jiems paramą </w:t>
            </w:r>
            <w:r w:rsidRPr="002878C9">
              <w:rPr>
                <w:rFonts w:ascii="Times New Roman" w:hAnsi="Times New Roman" w:cs="Times New Roman"/>
              </w:rPr>
              <w:br/>
              <w:t>• Vystyti ekspertizę ES politikos prioritetuose</w:t>
            </w:r>
          </w:p>
        </w:tc>
        <w:tc>
          <w:tcPr>
            <w:tcW w:w="1528" w:type="dxa"/>
          </w:tcPr>
          <w:p w14:paraId="707C3BE8" w14:textId="6913216C" w:rsidR="000F4A88" w:rsidRPr="00337F47" w:rsidRDefault="000F4A88" w:rsidP="00337F47">
            <w:pPr>
              <w:ind w:left="28" w:hanging="28"/>
              <w:cnfStyle w:val="000000000000" w:firstRow="0" w:lastRow="0" w:firstColumn="0" w:lastColumn="0" w:oddVBand="0" w:evenVBand="0" w:oddHBand="0" w:evenHBand="0" w:firstRowFirstColumn="0" w:firstRowLastColumn="0" w:lastRowFirstColumn="0" w:lastRowLastColumn="0"/>
              <w:rPr>
                <w:rFonts w:ascii="Times New Roman" w:eastAsia="IBM Plex Sans" w:hAnsi="Times New Roman" w:cs="Times New Roman"/>
                <w:color w:val="000000"/>
              </w:rPr>
            </w:pPr>
            <w:r w:rsidRPr="00337F47">
              <w:rPr>
                <w:rFonts w:ascii="Times New Roman" w:eastAsia="IBM Plex Sans" w:hAnsi="Times New Roman" w:cs="Times New Roman"/>
                <w:color w:val="000000"/>
              </w:rPr>
              <w:t xml:space="preserve">Parengtų paraiškų skaičius – +50 %; </w:t>
            </w:r>
            <w:r w:rsidRPr="00337F47">
              <w:rPr>
                <w:rFonts w:ascii="Times New Roman" w:hAnsi="Times New Roman" w:cs="Times New Roman"/>
              </w:rPr>
              <w:t xml:space="preserve">2. </w:t>
            </w:r>
            <w:r w:rsidRPr="00337F47">
              <w:rPr>
                <w:rFonts w:ascii="Times New Roman" w:eastAsia="IBM Plex Sans" w:hAnsi="Times New Roman" w:cs="Times New Roman"/>
                <w:color w:val="000000"/>
              </w:rPr>
              <w:t>Finansuotų projektų dalis – bent 10 %.</w:t>
            </w:r>
          </w:p>
          <w:p w14:paraId="1AE7D083" w14:textId="77777777" w:rsidR="00337F47" w:rsidRDefault="00337F47" w:rsidP="00337F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19D3280" w14:textId="59FAD802" w:rsidR="00337F47" w:rsidRPr="00337F47" w:rsidRDefault="00337F47" w:rsidP="00337F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F4A88" w:rsidRPr="002878C9" w14:paraId="07F1E65F" w14:textId="26A70C94" w:rsidTr="000F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dxa"/>
            <w:hideMark/>
          </w:tcPr>
          <w:p w14:paraId="2AEF666B" w14:textId="63A362C0" w:rsidR="000F4A88" w:rsidRPr="002878C9" w:rsidRDefault="000F4A88" w:rsidP="000F4A88">
            <w:pPr>
              <w:rPr>
                <w:rFonts w:ascii="Times New Roman" w:hAnsi="Times New Roman" w:cs="Times New Roman"/>
              </w:rPr>
            </w:pPr>
            <w:r w:rsidRPr="002878C9">
              <w:rPr>
                <w:rFonts w:ascii="Times New Roman" w:hAnsi="Times New Roman" w:cs="Times New Roman"/>
              </w:rPr>
              <w:lastRenderedPageBreak/>
              <w:t>Vertės kūrimas sektoriui ir politikai</w:t>
            </w:r>
          </w:p>
        </w:tc>
        <w:tc>
          <w:tcPr>
            <w:tcW w:w="2024" w:type="dxa"/>
            <w:hideMark/>
          </w:tcPr>
          <w:p w14:paraId="3D38D643"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Užtikrinti mokslinių tyrimų poveikį šalies žemės ir miškų ūkiui</w:t>
            </w:r>
          </w:p>
        </w:tc>
        <w:tc>
          <w:tcPr>
            <w:tcW w:w="4171" w:type="dxa"/>
            <w:hideMark/>
          </w:tcPr>
          <w:p w14:paraId="48809571" w14:textId="77777777" w:rsidR="000F4A88" w:rsidRPr="002878C9" w:rsidRDefault="000F4A88"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78C9">
              <w:rPr>
                <w:rFonts w:ascii="Times New Roman" w:hAnsi="Times New Roman" w:cs="Times New Roman"/>
              </w:rPr>
              <w:t xml:space="preserve">• Įtraukti tyrimus į nacionalinės politikos formavimą </w:t>
            </w:r>
            <w:r w:rsidRPr="002878C9">
              <w:rPr>
                <w:rFonts w:ascii="Times New Roman" w:hAnsi="Times New Roman" w:cs="Times New Roman"/>
              </w:rPr>
              <w:br/>
              <w:t xml:space="preserve">• Bendradarbiauti su ūkininkais, miškininkais ir pramone </w:t>
            </w:r>
            <w:r w:rsidRPr="002878C9">
              <w:rPr>
                <w:rFonts w:ascii="Times New Roman" w:hAnsi="Times New Roman" w:cs="Times New Roman"/>
              </w:rPr>
              <w:br/>
              <w:t xml:space="preserve">• Plėtoti inovacijų testavimo infrastruktūrą </w:t>
            </w:r>
            <w:r w:rsidRPr="002878C9">
              <w:rPr>
                <w:rFonts w:ascii="Times New Roman" w:hAnsi="Times New Roman" w:cs="Times New Roman"/>
              </w:rPr>
              <w:br/>
              <w:t xml:space="preserve">• Skatinti </w:t>
            </w:r>
            <w:proofErr w:type="spellStart"/>
            <w:r w:rsidRPr="002878C9">
              <w:rPr>
                <w:rFonts w:ascii="Times New Roman" w:hAnsi="Times New Roman" w:cs="Times New Roman"/>
              </w:rPr>
              <w:t>komercinimą</w:t>
            </w:r>
            <w:proofErr w:type="spellEnd"/>
            <w:r w:rsidRPr="002878C9">
              <w:rPr>
                <w:rFonts w:ascii="Times New Roman" w:hAnsi="Times New Roman" w:cs="Times New Roman"/>
              </w:rPr>
              <w:t xml:space="preserve"> ir patentavimą</w:t>
            </w:r>
          </w:p>
        </w:tc>
        <w:tc>
          <w:tcPr>
            <w:tcW w:w="1528" w:type="dxa"/>
          </w:tcPr>
          <w:p w14:paraId="719A4674" w14:textId="118DCFCD" w:rsidR="000F4A88" w:rsidRPr="002878C9" w:rsidRDefault="0054460F" w:rsidP="000F4A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Atžalinių</w:t>
            </w:r>
            <w:proofErr w:type="spellEnd"/>
            <w:r>
              <w:rPr>
                <w:rFonts w:ascii="Times New Roman" w:hAnsi="Times New Roman" w:cs="Times New Roman"/>
              </w:rPr>
              <w:t xml:space="preserve"> įmonių steigimas ir išsilaikymas rinkoje</w:t>
            </w:r>
          </w:p>
        </w:tc>
      </w:tr>
    </w:tbl>
    <w:p w14:paraId="571451DD" w14:textId="77777777" w:rsidR="002878C9" w:rsidRPr="002878C9" w:rsidRDefault="002878C9" w:rsidP="002878C9">
      <w:pPr>
        <w:spacing w:before="120" w:after="120" w:line="336" w:lineRule="auto"/>
        <w:jc w:val="both"/>
        <w:rPr>
          <w:rFonts w:ascii="Times New Roman" w:hAnsi="Times New Roman" w:cs="Times New Roman"/>
        </w:rPr>
      </w:pPr>
    </w:p>
    <w:sectPr w:rsidR="002878C9" w:rsidRPr="002878C9" w:rsidSect="008264FA">
      <w:pgSz w:w="11910" w:h="16845"/>
      <w:pgMar w:top="1701"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embedRegular r:id="rId1" w:fontKey="{C693FFD6-4DC9-4A15-9ABA-1E1AF7A3495B}"/>
    <w:embedBold r:id="rId2" w:fontKey="{B793F9F9-754C-4F05-9D5D-29930F3A3CDE}"/>
    <w:embedItalic r:id="rId3" w:fontKey="{78563139-DB3A-43B7-8DF5-B6D54F7E12F3}"/>
  </w:font>
  <w:font w:name="Aptos">
    <w:charset w:val="00"/>
    <w:family w:val="swiss"/>
    <w:pitch w:val="variable"/>
    <w:sig w:usb0="20000287" w:usb1="00000003" w:usb2="00000000" w:usb3="00000000" w:csb0="0000019F" w:csb1="00000000"/>
    <w:embedRegular r:id="rId4" w:fontKey="{44FE3FF5-D81B-4E27-AF37-25A4AF54718A}"/>
    <w:embedBold r:id="rId5" w:fontKey="{71C3E8BD-7FD6-4063-8CAB-4075410B6723}"/>
  </w:font>
  <w:font w:name="Canva Sans Bold">
    <w:charset w:val="00"/>
    <w:family w:val="auto"/>
    <w:pitch w:val="default"/>
    <w:embedBold r:id="rId6" w:fontKey="{7F843379-7A66-4846-8BC3-C9982DF2734C}"/>
  </w:font>
  <w:font w:name="Canva Sans">
    <w:charset w:val="00"/>
    <w:family w:val="auto"/>
    <w:pitch w:val="default"/>
    <w:embedRegular r:id="rId7" w:fontKey="{6D93B0EB-3AAC-48FA-BB29-6E32124AA9F8}"/>
  </w:font>
  <w:font w:name="Montserrat">
    <w:charset w:val="00"/>
    <w:family w:val="auto"/>
    <w:pitch w:val="variable"/>
    <w:sig w:usb0="2000020F" w:usb1="00000003" w:usb2="00000000" w:usb3="00000000" w:csb0="00000197" w:csb1="00000000"/>
    <w:embedRegular r:id="rId8" w:fontKey="{DAB2640D-3B4C-4387-8306-E3C67E5A2997}"/>
    <w:embedBold r:id="rId9" w:fontKey="{DAA6D0A2-3ED7-4F74-A5B1-FDF0824E6FF4}"/>
  </w:font>
  <w:font w:name="IBM Plex Sans Italics">
    <w:charset w:val="00"/>
    <w:family w:val="auto"/>
    <w:pitch w:val="default"/>
    <w:embedItalic r:id="rId10" w:fontKey="{C646601A-8492-4D4A-B1B9-1553322974AE}"/>
  </w:font>
  <w:font w:name="Arimo">
    <w:charset w:val="00"/>
    <w:family w:val="auto"/>
    <w:pitch w:val="default"/>
    <w:embedRegular r:id="rId11" w:fontKey="{DE7AF6D8-54FC-463C-A399-D4107F3CDB3E}"/>
    <w:embedBold r:id="rId12" w:fontKey="{46EC131A-7595-4082-8B74-118FCA8F82FE}"/>
  </w:font>
  <w:font w:name="IBM Plex Sans Bold">
    <w:charset w:val="00"/>
    <w:family w:val="auto"/>
    <w:pitch w:val="default"/>
    <w:embedRegular r:id="rId13" w:fontKey="{E96326CD-8F49-43E4-85ED-0A0A9EA974BA}"/>
    <w:embedBold r:id="rId14" w:fontKey="{A0A2864A-7B50-44AF-ACF2-331889680B57}"/>
  </w:font>
  <w:font w:name="Aptos Display">
    <w:charset w:val="00"/>
    <w:family w:val="swiss"/>
    <w:pitch w:val="variable"/>
    <w:sig w:usb0="20000287" w:usb1="00000003" w:usb2="00000000" w:usb3="00000000" w:csb0="0000019F" w:csb1="00000000"/>
    <w:embedRegular r:id="rId15" w:fontKey="{A7A30C6D-FB81-43E2-B9D0-2722D836344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E31"/>
    <w:multiLevelType w:val="hybridMultilevel"/>
    <w:tmpl w:val="E6F845EE"/>
    <w:lvl w:ilvl="0" w:tplc="D5385428">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 w15:restartNumberingAfterBreak="0">
    <w:nsid w:val="02103EF1"/>
    <w:multiLevelType w:val="hybridMultilevel"/>
    <w:tmpl w:val="2A1E14FE"/>
    <w:lvl w:ilvl="0" w:tplc="B2D043D4">
      <w:start w:val="1"/>
      <w:numFmt w:val="bullet"/>
      <w:lvlText w:val=""/>
      <w:lvlJc w:val="left"/>
      <w:pPr>
        <w:ind w:left="400" w:hanging="360"/>
      </w:pPr>
      <w:rPr>
        <w:rFonts w:ascii="Symbol" w:hAnsi="Symbol"/>
      </w:rPr>
    </w:lvl>
    <w:lvl w:ilvl="1" w:tplc="932442FC">
      <w:start w:val="1"/>
      <w:numFmt w:val="bullet"/>
      <w:lvlText w:val="o"/>
      <w:lvlJc w:val="left"/>
      <w:pPr>
        <w:ind w:left="800" w:hanging="360"/>
      </w:pPr>
      <w:rPr>
        <w:rFonts w:ascii="Courier New" w:hAnsi="Courier New"/>
      </w:rPr>
    </w:lvl>
    <w:lvl w:ilvl="2" w:tplc="290AE034">
      <w:start w:val="1"/>
      <w:numFmt w:val="bullet"/>
      <w:lvlText w:val=""/>
      <w:lvlJc w:val="left"/>
      <w:pPr>
        <w:ind w:left="1200" w:hanging="360"/>
      </w:pPr>
      <w:rPr>
        <w:rFonts w:ascii="Wingdings" w:hAnsi="Wingdings"/>
      </w:rPr>
    </w:lvl>
    <w:lvl w:ilvl="3" w:tplc="C868C91E">
      <w:start w:val="1"/>
      <w:numFmt w:val="bullet"/>
      <w:lvlText w:val=""/>
      <w:lvlJc w:val="left"/>
      <w:pPr>
        <w:ind w:left="1600" w:hanging="360"/>
      </w:pPr>
      <w:rPr>
        <w:rFonts w:ascii="Symbol" w:hAnsi="Symbol"/>
      </w:rPr>
    </w:lvl>
    <w:lvl w:ilvl="4" w:tplc="15BAFED0">
      <w:start w:val="1"/>
      <w:numFmt w:val="bullet"/>
      <w:lvlText w:val="o"/>
      <w:lvlJc w:val="left"/>
      <w:pPr>
        <w:ind w:left="2000" w:hanging="360"/>
      </w:pPr>
      <w:rPr>
        <w:rFonts w:ascii="Courier New" w:hAnsi="Courier New"/>
      </w:rPr>
    </w:lvl>
    <w:lvl w:ilvl="5" w:tplc="2A625450">
      <w:start w:val="1"/>
      <w:numFmt w:val="bullet"/>
      <w:lvlText w:val=""/>
      <w:lvlJc w:val="left"/>
      <w:pPr>
        <w:ind w:left="2400" w:hanging="360"/>
      </w:pPr>
      <w:rPr>
        <w:rFonts w:ascii="Wingdings" w:hAnsi="Wingdings"/>
      </w:rPr>
    </w:lvl>
    <w:lvl w:ilvl="6" w:tplc="E78A4950">
      <w:start w:val="1"/>
      <w:numFmt w:val="bullet"/>
      <w:lvlText w:val=""/>
      <w:lvlJc w:val="left"/>
      <w:pPr>
        <w:ind w:left="2800" w:hanging="360"/>
      </w:pPr>
      <w:rPr>
        <w:rFonts w:ascii="Symbol" w:hAnsi="Symbol"/>
      </w:rPr>
    </w:lvl>
    <w:lvl w:ilvl="7" w:tplc="E862973A">
      <w:start w:val="1"/>
      <w:numFmt w:val="bullet"/>
      <w:lvlText w:val="o"/>
      <w:lvlJc w:val="left"/>
      <w:pPr>
        <w:ind w:left="3200" w:hanging="360"/>
      </w:pPr>
      <w:rPr>
        <w:rFonts w:ascii="Courier New" w:hAnsi="Courier New"/>
      </w:rPr>
    </w:lvl>
    <w:lvl w:ilvl="8" w:tplc="1A14F36E">
      <w:numFmt w:val="decimal"/>
      <w:lvlText w:val=""/>
      <w:lvlJc w:val="left"/>
    </w:lvl>
  </w:abstractNum>
  <w:abstractNum w:abstractNumId="2" w15:restartNumberingAfterBreak="0">
    <w:nsid w:val="28AA36DE"/>
    <w:multiLevelType w:val="hybridMultilevel"/>
    <w:tmpl w:val="A0AEA448"/>
    <w:lvl w:ilvl="0" w:tplc="EAB0133C">
      <w:start w:val="1"/>
      <w:numFmt w:val="decimal"/>
      <w:lvlText w:val="%1."/>
      <w:lvlJc w:val="left"/>
      <w:pPr>
        <w:ind w:left="927" w:hanging="360"/>
      </w:pPr>
      <w:rPr>
        <w:rFonts w:eastAsia="IBM Plex Sans" w:hint="default"/>
        <w:b/>
        <w:bCs/>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BCD4755"/>
    <w:multiLevelType w:val="hybridMultilevel"/>
    <w:tmpl w:val="BE6249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85650392">
    <w:abstractNumId w:val="1"/>
  </w:num>
  <w:num w:numId="2" w16cid:durableId="1578978471">
    <w:abstractNumId w:val="0"/>
  </w:num>
  <w:num w:numId="3" w16cid:durableId="1199123967">
    <w:abstractNumId w:val="2"/>
  </w:num>
  <w:num w:numId="4" w16cid:durableId="2128814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1296"/>
  <w:hyphenationZone w:val="396"/>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FF3A11"/>
    <w:rsid w:val="000C0EDE"/>
    <w:rsid w:val="000F4A88"/>
    <w:rsid w:val="002878C9"/>
    <w:rsid w:val="002C6DC1"/>
    <w:rsid w:val="00337F47"/>
    <w:rsid w:val="0048628C"/>
    <w:rsid w:val="0054460F"/>
    <w:rsid w:val="006A20ED"/>
    <w:rsid w:val="00716AF4"/>
    <w:rsid w:val="00811B9F"/>
    <w:rsid w:val="008264FA"/>
    <w:rsid w:val="00927481"/>
    <w:rsid w:val="00A22DCF"/>
    <w:rsid w:val="00B17848"/>
    <w:rsid w:val="00F72BF6"/>
    <w:rsid w:val="00FA7599"/>
    <w:rsid w:val="00FF3A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06408"/>
  <w15:docId w15:val="{5E5BC65C-FAFD-4F79-976C-C0D7B496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DC1"/>
    <w:pPr>
      <w:ind w:left="720"/>
      <w:contextualSpacing/>
    </w:pPr>
  </w:style>
  <w:style w:type="table" w:styleId="TableGrid">
    <w:name w:val="Table Grid"/>
    <w:basedOn w:val="TableNormal"/>
    <w:uiPriority w:val="39"/>
    <w:rsid w:val="00287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2878C9"/>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10.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BB197E-BCB4-498F-9471-AA76ED7ADEE1}" type="doc">
      <dgm:prSet loTypeId="urn:microsoft.com/office/officeart/2005/8/layout/vList6" loCatId="list" qsTypeId="urn:microsoft.com/office/officeart/2005/8/quickstyle/simple1" qsCatId="simple" csTypeId="urn:microsoft.com/office/officeart/2005/8/colors/colorful5" csCatId="colorful" phldr="1"/>
      <dgm:spPr/>
      <dgm:t>
        <a:bodyPr/>
        <a:lstStyle/>
        <a:p>
          <a:endParaRPr lang="lt-LT"/>
        </a:p>
      </dgm:t>
    </dgm:pt>
    <dgm:pt modelId="{D468447D-D446-49AE-9097-1B92733972DF}">
      <dgm:prSet phldrT="[Text]"/>
      <dgm:spPr/>
      <dgm:t>
        <a:bodyPr/>
        <a:lstStyle/>
        <a:p>
          <a:r>
            <a:rPr lang="lt-LT"/>
            <a:t>Kompetencijų kėlimas</a:t>
          </a:r>
        </a:p>
      </dgm:t>
    </dgm:pt>
    <dgm:pt modelId="{937050AB-01A7-420F-A28E-E6061B5F472A}" type="parTrans" cxnId="{9CE92875-8B1D-47CD-9A1D-DFBD6D4DD65B}">
      <dgm:prSet/>
      <dgm:spPr/>
      <dgm:t>
        <a:bodyPr/>
        <a:lstStyle/>
        <a:p>
          <a:endParaRPr lang="lt-LT"/>
        </a:p>
      </dgm:t>
    </dgm:pt>
    <dgm:pt modelId="{2013ECE1-7961-48A7-8328-916931014D53}" type="sibTrans" cxnId="{9CE92875-8B1D-47CD-9A1D-DFBD6D4DD65B}">
      <dgm:prSet/>
      <dgm:spPr/>
      <dgm:t>
        <a:bodyPr/>
        <a:lstStyle/>
        <a:p>
          <a:endParaRPr lang="lt-LT"/>
        </a:p>
      </dgm:t>
    </dgm:pt>
    <dgm:pt modelId="{6C0BD67D-3D7A-4769-B103-587782146E1F}">
      <dgm:prSet phldrT="[Text]"/>
      <dgm:spPr/>
      <dgm:t>
        <a:bodyPr/>
        <a:lstStyle/>
        <a:p>
          <a:r>
            <a:rPr lang="lt-LT"/>
            <a:t>Mokslo darbuotojų</a:t>
          </a:r>
        </a:p>
      </dgm:t>
    </dgm:pt>
    <dgm:pt modelId="{38C39C5B-B13F-4C35-B0E4-31B7D3FAF394}" type="parTrans" cxnId="{7A1FA17F-D299-436C-9738-C3220C2A8E94}">
      <dgm:prSet/>
      <dgm:spPr/>
      <dgm:t>
        <a:bodyPr/>
        <a:lstStyle/>
        <a:p>
          <a:endParaRPr lang="lt-LT"/>
        </a:p>
      </dgm:t>
    </dgm:pt>
    <dgm:pt modelId="{7197A551-2D21-4AF1-BEE7-5E637C173F73}" type="sibTrans" cxnId="{7A1FA17F-D299-436C-9738-C3220C2A8E94}">
      <dgm:prSet/>
      <dgm:spPr/>
      <dgm:t>
        <a:bodyPr/>
        <a:lstStyle/>
        <a:p>
          <a:endParaRPr lang="lt-LT"/>
        </a:p>
      </dgm:t>
    </dgm:pt>
    <dgm:pt modelId="{B8A46B09-13AC-4154-A343-713906678A75}">
      <dgm:prSet phldrT="[Text]"/>
      <dgm:spPr/>
      <dgm:t>
        <a:bodyPr/>
        <a:lstStyle/>
        <a:p>
          <a:r>
            <a:rPr lang="lt-LT"/>
            <a:t>Administracijos darbuotojų</a:t>
          </a:r>
        </a:p>
      </dgm:t>
    </dgm:pt>
    <dgm:pt modelId="{B89CB378-D0A7-405D-9ADC-06E330E4A65E}" type="parTrans" cxnId="{D2C141D0-BA3B-4128-8F54-05A1E1E8DE2F}">
      <dgm:prSet/>
      <dgm:spPr/>
      <dgm:t>
        <a:bodyPr/>
        <a:lstStyle/>
        <a:p>
          <a:endParaRPr lang="lt-LT"/>
        </a:p>
      </dgm:t>
    </dgm:pt>
    <dgm:pt modelId="{028E2EAE-2D91-431B-86DA-2E9355090939}" type="sibTrans" cxnId="{D2C141D0-BA3B-4128-8F54-05A1E1E8DE2F}">
      <dgm:prSet/>
      <dgm:spPr/>
      <dgm:t>
        <a:bodyPr/>
        <a:lstStyle/>
        <a:p>
          <a:endParaRPr lang="lt-LT"/>
        </a:p>
      </dgm:t>
    </dgm:pt>
    <dgm:pt modelId="{2175A03F-669E-43BC-8B11-C1CFA946002A}">
      <dgm:prSet phldrT="[Text]"/>
      <dgm:spPr/>
      <dgm:t>
        <a:bodyPr/>
        <a:lstStyle/>
        <a:p>
          <a:r>
            <a:rPr lang="lt-LT"/>
            <a:t>Bendradarbiavimas</a:t>
          </a:r>
        </a:p>
      </dgm:t>
    </dgm:pt>
    <dgm:pt modelId="{534A8630-DC2D-4570-97D0-2AB58BE10E48}" type="parTrans" cxnId="{F3A9793E-BEBC-4DD5-BBC3-E0824E0C1D06}">
      <dgm:prSet/>
      <dgm:spPr/>
      <dgm:t>
        <a:bodyPr/>
        <a:lstStyle/>
        <a:p>
          <a:endParaRPr lang="lt-LT"/>
        </a:p>
      </dgm:t>
    </dgm:pt>
    <dgm:pt modelId="{CCAF94A7-4804-40E9-BCA6-495975DC5294}" type="sibTrans" cxnId="{F3A9793E-BEBC-4DD5-BBC3-E0824E0C1D06}">
      <dgm:prSet/>
      <dgm:spPr/>
      <dgm:t>
        <a:bodyPr/>
        <a:lstStyle/>
        <a:p>
          <a:endParaRPr lang="lt-LT"/>
        </a:p>
      </dgm:t>
    </dgm:pt>
    <dgm:pt modelId="{D9C5CCC5-5B28-469C-B941-58E01781D899}">
      <dgm:prSet phldrT="[Text]"/>
      <dgm:spPr/>
      <dgm:t>
        <a:bodyPr/>
        <a:lstStyle/>
        <a:p>
          <a:r>
            <a:rPr lang="lt-LT"/>
            <a:t>Tarptautinės partnerystės</a:t>
          </a:r>
        </a:p>
      </dgm:t>
    </dgm:pt>
    <dgm:pt modelId="{87CBB1F3-FD39-4A3B-84B7-89E33C2D7381}" type="parTrans" cxnId="{6D57C633-A59A-4197-AA21-BD656CD7B1A3}">
      <dgm:prSet/>
      <dgm:spPr/>
      <dgm:t>
        <a:bodyPr/>
        <a:lstStyle/>
        <a:p>
          <a:endParaRPr lang="lt-LT"/>
        </a:p>
      </dgm:t>
    </dgm:pt>
    <dgm:pt modelId="{2A303232-8803-4BC2-93A5-01B9C87845B1}" type="sibTrans" cxnId="{6D57C633-A59A-4197-AA21-BD656CD7B1A3}">
      <dgm:prSet/>
      <dgm:spPr/>
      <dgm:t>
        <a:bodyPr/>
        <a:lstStyle/>
        <a:p>
          <a:endParaRPr lang="lt-LT"/>
        </a:p>
      </dgm:t>
    </dgm:pt>
    <dgm:pt modelId="{58546104-2A47-4FBB-BAC3-CBBB1E20B399}">
      <dgm:prSet phldrT="[Text]"/>
      <dgm:spPr/>
      <dgm:t>
        <a:bodyPr/>
        <a:lstStyle/>
        <a:p>
          <a:r>
            <a:rPr lang="lt-LT"/>
            <a:t>Nacionalinės partnerystės / klasteriai</a:t>
          </a:r>
        </a:p>
      </dgm:t>
    </dgm:pt>
    <dgm:pt modelId="{A89971E6-7266-4ECA-8A7B-D45B47B4B9BA}" type="parTrans" cxnId="{C9AA0BE3-D039-4003-958C-BF8A2C823658}">
      <dgm:prSet/>
      <dgm:spPr/>
      <dgm:t>
        <a:bodyPr/>
        <a:lstStyle/>
        <a:p>
          <a:endParaRPr lang="lt-LT"/>
        </a:p>
      </dgm:t>
    </dgm:pt>
    <dgm:pt modelId="{2183D77B-95CC-4BEF-A545-DBC113C3CD58}" type="sibTrans" cxnId="{C9AA0BE3-D039-4003-958C-BF8A2C823658}">
      <dgm:prSet/>
      <dgm:spPr/>
      <dgm:t>
        <a:bodyPr/>
        <a:lstStyle/>
        <a:p>
          <a:endParaRPr lang="lt-LT"/>
        </a:p>
      </dgm:t>
    </dgm:pt>
    <dgm:pt modelId="{DBAF1D40-9688-49A2-8FA1-06C40646BE9B}">
      <dgm:prSet phldrT="[Text]"/>
      <dgm:spPr/>
      <dgm:t>
        <a:bodyPr/>
        <a:lstStyle/>
        <a:p>
          <a:r>
            <a:rPr lang="lt-LT"/>
            <a:t>Darbo kultūros formavimas</a:t>
          </a:r>
        </a:p>
      </dgm:t>
    </dgm:pt>
    <dgm:pt modelId="{FC685E8E-2A77-4BCF-8425-D733746DEF68}" type="parTrans" cxnId="{A705E71B-AC82-4BD9-AEF0-4F0CC66BD91E}">
      <dgm:prSet/>
      <dgm:spPr/>
    </dgm:pt>
    <dgm:pt modelId="{3065C8D5-144E-495B-80F7-502FF02DDE72}" type="sibTrans" cxnId="{A705E71B-AC82-4BD9-AEF0-4F0CC66BD91E}">
      <dgm:prSet/>
      <dgm:spPr/>
    </dgm:pt>
    <dgm:pt modelId="{F357A557-7444-42AA-8495-63934F1CC7F6}">
      <dgm:prSet phldrT="[Text]"/>
      <dgm:spPr/>
      <dgm:t>
        <a:bodyPr/>
        <a:lstStyle/>
        <a:p>
          <a:r>
            <a:rPr lang="lt-LT"/>
            <a:t>Veiksmų plano sudarymas</a:t>
          </a:r>
        </a:p>
      </dgm:t>
    </dgm:pt>
    <dgm:pt modelId="{1CC2746A-4C5D-4F71-8B24-D9486F9FA1CD}" type="parTrans" cxnId="{CDE3D472-4458-4EEC-9400-BF03736450A7}">
      <dgm:prSet/>
      <dgm:spPr/>
    </dgm:pt>
    <dgm:pt modelId="{24EEAF26-30E7-40C8-B1D8-8A006BE62738}" type="sibTrans" cxnId="{CDE3D472-4458-4EEC-9400-BF03736450A7}">
      <dgm:prSet/>
      <dgm:spPr/>
    </dgm:pt>
    <dgm:pt modelId="{48EB2F71-8F24-484B-BF0A-0BBE99BD25AE}">
      <dgm:prSet phldrT="[Text]"/>
      <dgm:spPr/>
      <dgm:t>
        <a:bodyPr/>
        <a:lstStyle/>
        <a:p>
          <a:r>
            <a:rPr lang="lt-LT"/>
            <a:t>Įtraukumas</a:t>
          </a:r>
        </a:p>
      </dgm:t>
    </dgm:pt>
    <dgm:pt modelId="{59E04D6C-DD3E-45B6-818B-016A7CE0587E}" type="parTrans" cxnId="{7B4A96F6-8733-4D1B-9466-A47D4B02A789}">
      <dgm:prSet/>
      <dgm:spPr/>
    </dgm:pt>
    <dgm:pt modelId="{C1358206-BF9D-4184-95CB-1060CF5F0380}" type="sibTrans" cxnId="{7B4A96F6-8733-4D1B-9466-A47D4B02A789}">
      <dgm:prSet/>
      <dgm:spPr/>
    </dgm:pt>
    <dgm:pt modelId="{EE316AB7-27E9-4855-BB46-77C3B34C5ABD}">
      <dgm:prSet phldrT="[Text]"/>
      <dgm:spPr/>
      <dgm:t>
        <a:bodyPr/>
        <a:lstStyle/>
        <a:p>
          <a:r>
            <a:rPr lang="lt-LT"/>
            <a:t>Darbo - asmeninio gyvenimo derinimas</a:t>
          </a:r>
        </a:p>
      </dgm:t>
    </dgm:pt>
    <dgm:pt modelId="{28454275-E1AD-4A9E-B715-A03C20E97787}" type="parTrans" cxnId="{FE9AE38E-50D3-4B73-B534-F8635B01AE11}">
      <dgm:prSet/>
      <dgm:spPr/>
    </dgm:pt>
    <dgm:pt modelId="{9A2D9569-8E17-4BB8-B0AF-9B2CE21073C3}" type="sibTrans" cxnId="{FE9AE38E-50D3-4B73-B534-F8635B01AE11}">
      <dgm:prSet/>
      <dgm:spPr/>
    </dgm:pt>
    <dgm:pt modelId="{9FC847AA-33BB-46FF-8E47-EE22EDA20C17}" type="pres">
      <dgm:prSet presAssocID="{10BB197E-BCB4-498F-9471-AA76ED7ADEE1}" presName="Name0" presStyleCnt="0">
        <dgm:presLayoutVars>
          <dgm:dir/>
          <dgm:animLvl val="lvl"/>
          <dgm:resizeHandles/>
        </dgm:presLayoutVars>
      </dgm:prSet>
      <dgm:spPr/>
    </dgm:pt>
    <dgm:pt modelId="{26F6874D-386E-4151-B63A-EFEFBBC8CDC8}" type="pres">
      <dgm:prSet presAssocID="{D468447D-D446-49AE-9097-1B92733972DF}" presName="linNode" presStyleCnt="0"/>
      <dgm:spPr/>
    </dgm:pt>
    <dgm:pt modelId="{2E9564BA-9BF1-4D6C-9AA0-78E5668F94BD}" type="pres">
      <dgm:prSet presAssocID="{D468447D-D446-49AE-9097-1B92733972DF}" presName="parentShp" presStyleLbl="node1" presStyleIdx="0" presStyleCnt="3">
        <dgm:presLayoutVars>
          <dgm:bulletEnabled val="1"/>
        </dgm:presLayoutVars>
      </dgm:prSet>
      <dgm:spPr/>
    </dgm:pt>
    <dgm:pt modelId="{DF965362-5557-4887-9EBA-07984E399367}" type="pres">
      <dgm:prSet presAssocID="{D468447D-D446-49AE-9097-1B92733972DF}" presName="childShp" presStyleLbl="bgAccFollowNode1" presStyleIdx="0" presStyleCnt="3">
        <dgm:presLayoutVars>
          <dgm:bulletEnabled val="1"/>
        </dgm:presLayoutVars>
      </dgm:prSet>
      <dgm:spPr/>
    </dgm:pt>
    <dgm:pt modelId="{93E2D831-5CB5-4B24-B1EC-E42664B90C72}" type="pres">
      <dgm:prSet presAssocID="{2013ECE1-7961-48A7-8328-916931014D53}" presName="spacing" presStyleCnt="0"/>
      <dgm:spPr/>
    </dgm:pt>
    <dgm:pt modelId="{10E2572A-833A-48E5-8191-F709173094E6}" type="pres">
      <dgm:prSet presAssocID="{2175A03F-669E-43BC-8B11-C1CFA946002A}" presName="linNode" presStyleCnt="0"/>
      <dgm:spPr/>
    </dgm:pt>
    <dgm:pt modelId="{D55D2915-E0A6-418E-8B05-C1B764ECE5F0}" type="pres">
      <dgm:prSet presAssocID="{2175A03F-669E-43BC-8B11-C1CFA946002A}" presName="parentShp" presStyleLbl="node1" presStyleIdx="1" presStyleCnt="3">
        <dgm:presLayoutVars>
          <dgm:bulletEnabled val="1"/>
        </dgm:presLayoutVars>
      </dgm:prSet>
      <dgm:spPr/>
    </dgm:pt>
    <dgm:pt modelId="{3F54C6AE-B720-4C5E-BF58-3CFF613B91AF}" type="pres">
      <dgm:prSet presAssocID="{2175A03F-669E-43BC-8B11-C1CFA946002A}" presName="childShp" presStyleLbl="bgAccFollowNode1" presStyleIdx="1" presStyleCnt="3">
        <dgm:presLayoutVars>
          <dgm:bulletEnabled val="1"/>
        </dgm:presLayoutVars>
      </dgm:prSet>
      <dgm:spPr/>
    </dgm:pt>
    <dgm:pt modelId="{26807223-4A76-4335-B540-5B227D245D90}" type="pres">
      <dgm:prSet presAssocID="{CCAF94A7-4804-40E9-BCA6-495975DC5294}" presName="spacing" presStyleCnt="0"/>
      <dgm:spPr/>
    </dgm:pt>
    <dgm:pt modelId="{13C67539-AEC5-48B0-9664-F4BF52BE0F83}" type="pres">
      <dgm:prSet presAssocID="{DBAF1D40-9688-49A2-8FA1-06C40646BE9B}" presName="linNode" presStyleCnt="0"/>
      <dgm:spPr/>
    </dgm:pt>
    <dgm:pt modelId="{DDB4B2C0-42EE-4846-80E1-FCE4D53EEA60}" type="pres">
      <dgm:prSet presAssocID="{DBAF1D40-9688-49A2-8FA1-06C40646BE9B}" presName="parentShp" presStyleLbl="node1" presStyleIdx="2" presStyleCnt="3">
        <dgm:presLayoutVars>
          <dgm:bulletEnabled val="1"/>
        </dgm:presLayoutVars>
      </dgm:prSet>
      <dgm:spPr/>
    </dgm:pt>
    <dgm:pt modelId="{FE815EB3-3A33-4DEC-AB09-E16EF6C873D9}" type="pres">
      <dgm:prSet presAssocID="{DBAF1D40-9688-49A2-8FA1-06C40646BE9B}" presName="childShp" presStyleLbl="bgAccFollowNode1" presStyleIdx="2" presStyleCnt="3">
        <dgm:presLayoutVars>
          <dgm:bulletEnabled val="1"/>
        </dgm:presLayoutVars>
      </dgm:prSet>
      <dgm:spPr/>
    </dgm:pt>
  </dgm:ptLst>
  <dgm:cxnLst>
    <dgm:cxn modelId="{A705E71B-AC82-4BD9-AEF0-4F0CC66BD91E}" srcId="{10BB197E-BCB4-498F-9471-AA76ED7ADEE1}" destId="{DBAF1D40-9688-49A2-8FA1-06C40646BE9B}" srcOrd="2" destOrd="0" parTransId="{FC685E8E-2A77-4BCF-8425-D733746DEF68}" sibTransId="{3065C8D5-144E-495B-80F7-502FF02DDE72}"/>
    <dgm:cxn modelId="{D2C9F91D-0494-4C27-9151-36E0186609EB}" type="presOf" srcId="{58546104-2A47-4FBB-BAC3-CBBB1E20B399}" destId="{3F54C6AE-B720-4C5E-BF58-3CFF613B91AF}" srcOrd="0" destOrd="1" presId="urn:microsoft.com/office/officeart/2005/8/layout/vList6"/>
    <dgm:cxn modelId="{730C631E-CEE4-493C-975F-1A3EA8FA7EE3}" type="presOf" srcId="{6C0BD67D-3D7A-4769-B103-587782146E1F}" destId="{DF965362-5557-4887-9EBA-07984E399367}" srcOrd="0" destOrd="0" presId="urn:microsoft.com/office/officeart/2005/8/layout/vList6"/>
    <dgm:cxn modelId="{78E9A72E-8CEA-4FE8-88EE-680628DF51C3}" type="presOf" srcId="{10BB197E-BCB4-498F-9471-AA76ED7ADEE1}" destId="{9FC847AA-33BB-46FF-8E47-EE22EDA20C17}" srcOrd="0" destOrd="0" presId="urn:microsoft.com/office/officeart/2005/8/layout/vList6"/>
    <dgm:cxn modelId="{6D57C633-A59A-4197-AA21-BD656CD7B1A3}" srcId="{2175A03F-669E-43BC-8B11-C1CFA946002A}" destId="{D9C5CCC5-5B28-469C-B941-58E01781D899}" srcOrd="0" destOrd="0" parTransId="{87CBB1F3-FD39-4A3B-84B7-89E33C2D7381}" sibTransId="{2A303232-8803-4BC2-93A5-01B9C87845B1}"/>
    <dgm:cxn modelId="{F3A9793E-BEBC-4DD5-BBC3-E0824E0C1D06}" srcId="{10BB197E-BCB4-498F-9471-AA76ED7ADEE1}" destId="{2175A03F-669E-43BC-8B11-C1CFA946002A}" srcOrd="1" destOrd="0" parTransId="{534A8630-DC2D-4570-97D0-2AB58BE10E48}" sibTransId="{CCAF94A7-4804-40E9-BCA6-495975DC5294}"/>
    <dgm:cxn modelId="{5923F871-82E3-4D81-B666-FA64E137E9D8}" type="presOf" srcId="{D468447D-D446-49AE-9097-1B92733972DF}" destId="{2E9564BA-9BF1-4D6C-9AA0-78E5668F94BD}" srcOrd="0" destOrd="0" presId="urn:microsoft.com/office/officeart/2005/8/layout/vList6"/>
    <dgm:cxn modelId="{CDE3D472-4458-4EEC-9400-BF03736450A7}" srcId="{DBAF1D40-9688-49A2-8FA1-06C40646BE9B}" destId="{F357A557-7444-42AA-8495-63934F1CC7F6}" srcOrd="0" destOrd="0" parTransId="{1CC2746A-4C5D-4F71-8B24-D9486F9FA1CD}" sibTransId="{24EEAF26-30E7-40C8-B1D8-8A006BE62738}"/>
    <dgm:cxn modelId="{9CE92875-8B1D-47CD-9A1D-DFBD6D4DD65B}" srcId="{10BB197E-BCB4-498F-9471-AA76ED7ADEE1}" destId="{D468447D-D446-49AE-9097-1B92733972DF}" srcOrd="0" destOrd="0" parTransId="{937050AB-01A7-420F-A28E-E6061B5F472A}" sibTransId="{2013ECE1-7961-48A7-8328-916931014D53}"/>
    <dgm:cxn modelId="{7A1FA17F-D299-436C-9738-C3220C2A8E94}" srcId="{D468447D-D446-49AE-9097-1B92733972DF}" destId="{6C0BD67D-3D7A-4769-B103-587782146E1F}" srcOrd="0" destOrd="0" parTransId="{38C39C5B-B13F-4C35-B0E4-31B7D3FAF394}" sibTransId="{7197A551-2D21-4AF1-BEE7-5E637C173F73}"/>
    <dgm:cxn modelId="{FE9AE38E-50D3-4B73-B534-F8635B01AE11}" srcId="{DBAF1D40-9688-49A2-8FA1-06C40646BE9B}" destId="{EE316AB7-27E9-4855-BB46-77C3B34C5ABD}" srcOrd="2" destOrd="0" parTransId="{28454275-E1AD-4A9E-B715-A03C20E97787}" sibTransId="{9A2D9569-8E17-4BB8-B0AF-9B2CE21073C3}"/>
    <dgm:cxn modelId="{2AF93AA8-C73A-4278-8CB0-467CC683AB58}" type="presOf" srcId="{2175A03F-669E-43BC-8B11-C1CFA946002A}" destId="{D55D2915-E0A6-418E-8B05-C1B764ECE5F0}" srcOrd="0" destOrd="0" presId="urn:microsoft.com/office/officeart/2005/8/layout/vList6"/>
    <dgm:cxn modelId="{2C2C3ABC-9EE8-439E-8A98-1F52F421A5F5}" type="presOf" srcId="{DBAF1D40-9688-49A2-8FA1-06C40646BE9B}" destId="{DDB4B2C0-42EE-4846-80E1-FCE4D53EEA60}" srcOrd="0" destOrd="0" presId="urn:microsoft.com/office/officeart/2005/8/layout/vList6"/>
    <dgm:cxn modelId="{186ACBC0-0696-49F3-96C2-FB594EBF4466}" type="presOf" srcId="{F357A557-7444-42AA-8495-63934F1CC7F6}" destId="{FE815EB3-3A33-4DEC-AB09-E16EF6C873D9}" srcOrd="0" destOrd="0" presId="urn:microsoft.com/office/officeart/2005/8/layout/vList6"/>
    <dgm:cxn modelId="{5A5DA3C1-8D06-4035-AF7D-408C7A907529}" type="presOf" srcId="{D9C5CCC5-5B28-469C-B941-58E01781D899}" destId="{3F54C6AE-B720-4C5E-BF58-3CFF613B91AF}" srcOrd="0" destOrd="0" presId="urn:microsoft.com/office/officeart/2005/8/layout/vList6"/>
    <dgm:cxn modelId="{BD216FC5-6055-484A-A3AB-912F4789459F}" type="presOf" srcId="{EE316AB7-27E9-4855-BB46-77C3B34C5ABD}" destId="{FE815EB3-3A33-4DEC-AB09-E16EF6C873D9}" srcOrd="0" destOrd="2" presId="urn:microsoft.com/office/officeart/2005/8/layout/vList6"/>
    <dgm:cxn modelId="{D2C141D0-BA3B-4128-8F54-05A1E1E8DE2F}" srcId="{D468447D-D446-49AE-9097-1B92733972DF}" destId="{B8A46B09-13AC-4154-A343-713906678A75}" srcOrd="1" destOrd="0" parTransId="{B89CB378-D0A7-405D-9ADC-06E330E4A65E}" sibTransId="{028E2EAE-2D91-431B-86DA-2E9355090939}"/>
    <dgm:cxn modelId="{C9AA0BE3-D039-4003-958C-BF8A2C823658}" srcId="{2175A03F-669E-43BC-8B11-C1CFA946002A}" destId="{58546104-2A47-4FBB-BAC3-CBBB1E20B399}" srcOrd="1" destOrd="0" parTransId="{A89971E6-7266-4ECA-8A7B-D45B47B4B9BA}" sibTransId="{2183D77B-95CC-4BEF-A545-DBC113C3CD58}"/>
    <dgm:cxn modelId="{6D5F10F1-6062-4A5C-AE9C-1EB881DA45A0}" type="presOf" srcId="{B8A46B09-13AC-4154-A343-713906678A75}" destId="{DF965362-5557-4887-9EBA-07984E399367}" srcOrd="0" destOrd="1" presId="urn:microsoft.com/office/officeart/2005/8/layout/vList6"/>
    <dgm:cxn modelId="{8E3924F1-2531-4580-A3E4-48B033AE31A8}" type="presOf" srcId="{48EB2F71-8F24-484B-BF0A-0BBE99BD25AE}" destId="{FE815EB3-3A33-4DEC-AB09-E16EF6C873D9}" srcOrd="0" destOrd="1" presId="urn:microsoft.com/office/officeart/2005/8/layout/vList6"/>
    <dgm:cxn modelId="{7B4A96F6-8733-4D1B-9466-A47D4B02A789}" srcId="{DBAF1D40-9688-49A2-8FA1-06C40646BE9B}" destId="{48EB2F71-8F24-484B-BF0A-0BBE99BD25AE}" srcOrd="1" destOrd="0" parTransId="{59E04D6C-DD3E-45B6-818B-016A7CE0587E}" sibTransId="{C1358206-BF9D-4184-95CB-1060CF5F0380}"/>
    <dgm:cxn modelId="{42797196-8AD0-47EC-99E6-07E54CDF1A85}" type="presParOf" srcId="{9FC847AA-33BB-46FF-8E47-EE22EDA20C17}" destId="{26F6874D-386E-4151-B63A-EFEFBBC8CDC8}" srcOrd="0" destOrd="0" presId="urn:microsoft.com/office/officeart/2005/8/layout/vList6"/>
    <dgm:cxn modelId="{ED4DA7A7-77CD-46D2-BD5F-503C03784AF0}" type="presParOf" srcId="{26F6874D-386E-4151-B63A-EFEFBBC8CDC8}" destId="{2E9564BA-9BF1-4D6C-9AA0-78E5668F94BD}" srcOrd="0" destOrd="0" presId="urn:microsoft.com/office/officeart/2005/8/layout/vList6"/>
    <dgm:cxn modelId="{3100C1B2-D850-46F3-822A-311FFC6A84D4}" type="presParOf" srcId="{26F6874D-386E-4151-B63A-EFEFBBC8CDC8}" destId="{DF965362-5557-4887-9EBA-07984E399367}" srcOrd="1" destOrd="0" presId="urn:microsoft.com/office/officeart/2005/8/layout/vList6"/>
    <dgm:cxn modelId="{1D2F0037-D30F-47C5-9D5A-EEE9ED66CE95}" type="presParOf" srcId="{9FC847AA-33BB-46FF-8E47-EE22EDA20C17}" destId="{93E2D831-5CB5-4B24-B1EC-E42664B90C72}" srcOrd="1" destOrd="0" presId="urn:microsoft.com/office/officeart/2005/8/layout/vList6"/>
    <dgm:cxn modelId="{AEB34896-02E7-406D-99D4-13915B8D3022}" type="presParOf" srcId="{9FC847AA-33BB-46FF-8E47-EE22EDA20C17}" destId="{10E2572A-833A-48E5-8191-F709173094E6}" srcOrd="2" destOrd="0" presId="urn:microsoft.com/office/officeart/2005/8/layout/vList6"/>
    <dgm:cxn modelId="{5DEA600A-8C8A-4EE5-879B-83F491B6DE94}" type="presParOf" srcId="{10E2572A-833A-48E5-8191-F709173094E6}" destId="{D55D2915-E0A6-418E-8B05-C1B764ECE5F0}" srcOrd="0" destOrd="0" presId="urn:microsoft.com/office/officeart/2005/8/layout/vList6"/>
    <dgm:cxn modelId="{211DBE86-87DC-47F2-8863-09B627A73319}" type="presParOf" srcId="{10E2572A-833A-48E5-8191-F709173094E6}" destId="{3F54C6AE-B720-4C5E-BF58-3CFF613B91AF}" srcOrd="1" destOrd="0" presId="urn:microsoft.com/office/officeart/2005/8/layout/vList6"/>
    <dgm:cxn modelId="{1104FCED-DA75-4C1F-861D-4EAA9A59A873}" type="presParOf" srcId="{9FC847AA-33BB-46FF-8E47-EE22EDA20C17}" destId="{26807223-4A76-4335-B540-5B227D245D90}" srcOrd="3" destOrd="0" presId="urn:microsoft.com/office/officeart/2005/8/layout/vList6"/>
    <dgm:cxn modelId="{F4151C48-3A63-4ECA-A642-F6B97451F5B1}" type="presParOf" srcId="{9FC847AA-33BB-46FF-8E47-EE22EDA20C17}" destId="{13C67539-AEC5-48B0-9664-F4BF52BE0F83}" srcOrd="4" destOrd="0" presId="urn:microsoft.com/office/officeart/2005/8/layout/vList6"/>
    <dgm:cxn modelId="{8E7B5D57-2C8A-43D2-AC14-1884A7C43E68}" type="presParOf" srcId="{13C67539-AEC5-48B0-9664-F4BF52BE0F83}" destId="{DDB4B2C0-42EE-4846-80E1-FCE4D53EEA60}" srcOrd="0" destOrd="0" presId="urn:microsoft.com/office/officeart/2005/8/layout/vList6"/>
    <dgm:cxn modelId="{1618EA1B-0A47-41C7-B9C2-9E6B04587A88}" type="presParOf" srcId="{13C67539-AEC5-48B0-9664-F4BF52BE0F83}" destId="{FE815EB3-3A33-4DEC-AB09-E16EF6C873D9}" srcOrd="1" destOrd="0" presId="urn:microsoft.com/office/officeart/2005/8/layout/vList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965362-5557-4887-9EBA-07984E399367}">
      <dsp:nvSpPr>
        <dsp:cNvPr id="0" name=""/>
        <dsp:cNvSpPr/>
      </dsp:nvSpPr>
      <dsp:spPr>
        <a:xfrm>
          <a:off x="2194559" y="0"/>
          <a:ext cx="3291840" cy="1000125"/>
        </a:xfrm>
        <a:prstGeom prst="rightArrow">
          <a:avLst>
            <a:gd name="adj1" fmla="val 75000"/>
            <a:gd name="adj2" fmla="val 50000"/>
          </a:avLst>
        </a:prstGeom>
        <a:solidFill>
          <a:schemeClr val="accent5">
            <a:tint val="40000"/>
            <a:alpha val="90000"/>
            <a:hueOff val="0"/>
            <a:satOff val="0"/>
            <a:lumOff val="0"/>
            <a:alphaOff val="0"/>
          </a:schemeClr>
        </a:solidFill>
        <a:ln w="1905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lt-LT" sz="1300" kern="1200"/>
            <a:t>Mokslo darbuotojų</a:t>
          </a:r>
        </a:p>
        <a:p>
          <a:pPr marL="114300" lvl="1" indent="-114300" algn="l" defTabSz="577850">
            <a:lnSpc>
              <a:spcPct val="90000"/>
            </a:lnSpc>
            <a:spcBef>
              <a:spcPct val="0"/>
            </a:spcBef>
            <a:spcAft>
              <a:spcPct val="15000"/>
            </a:spcAft>
            <a:buChar char="•"/>
          </a:pPr>
          <a:r>
            <a:rPr lang="lt-LT" sz="1300" kern="1200"/>
            <a:t>Administracijos darbuotojų</a:t>
          </a:r>
        </a:p>
      </dsp:txBody>
      <dsp:txXfrm>
        <a:off x="2194559" y="125016"/>
        <a:ext cx="2916793" cy="750093"/>
      </dsp:txXfrm>
    </dsp:sp>
    <dsp:sp modelId="{2E9564BA-9BF1-4D6C-9AA0-78E5668F94BD}">
      <dsp:nvSpPr>
        <dsp:cNvPr id="0" name=""/>
        <dsp:cNvSpPr/>
      </dsp:nvSpPr>
      <dsp:spPr>
        <a:xfrm>
          <a:off x="0" y="0"/>
          <a:ext cx="2194560" cy="1000125"/>
        </a:xfrm>
        <a:prstGeom prst="round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lt-LT" sz="1700" kern="1200"/>
            <a:t>Kompetencijų kėlimas</a:t>
          </a:r>
        </a:p>
      </dsp:txBody>
      <dsp:txXfrm>
        <a:off x="48822" y="48822"/>
        <a:ext cx="2096916" cy="902481"/>
      </dsp:txXfrm>
    </dsp:sp>
    <dsp:sp modelId="{3F54C6AE-B720-4C5E-BF58-3CFF613B91AF}">
      <dsp:nvSpPr>
        <dsp:cNvPr id="0" name=""/>
        <dsp:cNvSpPr/>
      </dsp:nvSpPr>
      <dsp:spPr>
        <a:xfrm>
          <a:off x="2194559" y="1100137"/>
          <a:ext cx="3291840" cy="1000125"/>
        </a:xfrm>
        <a:prstGeom prst="rightArrow">
          <a:avLst>
            <a:gd name="adj1" fmla="val 75000"/>
            <a:gd name="adj2" fmla="val 50000"/>
          </a:avLst>
        </a:prstGeom>
        <a:solidFill>
          <a:schemeClr val="accent5">
            <a:tint val="40000"/>
            <a:alpha val="90000"/>
            <a:hueOff val="-5972333"/>
            <a:satOff val="1333"/>
            <a:lumOff val="200"/>
            <a:alphaOff val="0"/>
          </a:schemeClr>
        </a:solidFill>
        <a:ln w="19050" cap="flat" cmpd="sng" algn="ctr">
          <a:solidFill>
            <a:schemeClr val="accent5">
              <a:tint val="40000"/>
              <a:alpha val="90000"/>
              <a:hueOff val="-5972333"/>
              <a:satOff val="1333"/>
              <a:lumOff val="20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lt-LT" sz="1300" kern="1200"/>
            <a:t>Tarptautinės partnerystės</a:t>
          </a:r>
        </a:p>
        <a:p>
          <a:pPr marL="114300" lvl="1" indent="-114300" algn="l" defTabSz="577850">
            <a:lnSpc>
              <a:spcPct val="90000"/>
            </a:lnSpc>
            <a:spcBef>
              <a:spcPct val="0"/>
            </a:spcBef>
            <a:spcAft>
              <a:spcPct val="15000"/>
            </a:spcAft>
            <a:buChar char="•"/>
          </a:pPr>
          <a:r>
            <a:rPr lang="lt-LT" sz="1300" kern="1200"/>
            <a:t>Nacionalinės partnerystės / klasteriai</a:t>
          </a:r>
        </a:p>
      </dsp:txBody>
      <dsp:txXfrm>
        <a:off x="2194559" y="1225153"/>
        <a:ext cx="2916793" cy="750093"/>
      </dsp:txXfrm>
    </dsp:sp>
    <dsp:sp modelId="{D55D2915-E0A6-418E-8B05-C1B764ECE5F0}">
      <dsp:nvSpPr>
        <dsp:cNvPr id="0" name=""/>
        <dsp:cNvSpPr/>
      </dsp:nvSpPr>
      <dsp:spPr>
        <a:xfrm>
          <a:off x="0" y="1100137"/>
          <a:ext cx="2194560" cy="1000125"/>
        </a:xfrm>
        <a:prstGeom prst="roundRect">
          <a:avLst/>
        </a:prstGeom>
        <a:solidFill>
          <a:schemeClr val="accent5">
            <a:hueOff val="-6076075"/>
            <a:satOff val="-413"/>
            <a:lumOff val="981"/>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lt-LT" sz="1700" kern="1200"/>
            <a:t>Bendradarbiavimas</a:t>
          </a:r>
        </a:p>
      </dsp:txBody>
      <dsp:txXfrm>
        <a:off x="48822" y="1148959"/>
        <a:ext cx="2096916" cy="902481"/>
      </dsp:txXfrm>
    </dsp:sp>
    <dsp:sp modelId="{FE815EB3-3A33-4DEC-AB09-E16EF6C873D9}">
      <dsp:nvSpPr>
        <dsp:cNvPr id="0" name=""/>
        <dsp:cNvSpPr/>
      </dsp:nvSpPr>
      <dsp:spPr>
        <a:xfrm>
          <a:off x="2194559" y="2200275"/>
          <a:ext cx="3291840" cy="1000125"/>
        </a:xfrm>
        <a:prstGeom prst="rightArrow">
          <a:avLst>
            <a:gd name="adj1" fmla="val 75000"/>
            <a:gd name="adj2" fmla="val 50000"/>
          </a:avLst>
        </a:prstGeom>
        <a:solidFill>
          <a:schemeClr val="accent5">
            <a:tint val="40000"/>
            <a:alpha val="90000"/>
            <a:hueOff val="-11944666"/>
            <a:satOff val="2667"/>
            <a:lumOff val="401"/>
            <a:alphaOff val="0"/>
          </a:schemeClr>
        </a:solidFill>
        <a:ln w="19050" cap="flat" cmpd="sng" algn="ctr">
          <a:solidFill>
            <a:schemeClr val="accent5">
              <a:tint val="40000"/>
              <a:alpha val="90000"/>
              <a:hueOff val="-11944666"/>
              <a:satOff val="2667"/>
              <a:lumOff val="40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lt-LT" sz="1300" kern="1200"/>
            <a:t>Veiksmų plano sudarymas</a:t>
          </a:r>
        </a:p>
        <a:p>
          <a:pPr marL="114300" lvl="1" indent="-114300" algn="l" defTabSz="577850">
            <a:lnSpc>
              <a:spcPct val="90000"/>
            </a:lnSpc>
            <a:spcBef>
              <a:spcPct val="0"/>
            </a:spcBef>
            <a:spcAft>
              <a:spcPct val="15000"/>
            </a:spcAft>
            <a:buChar char="•"/>
          </a:pPr>
          <a:r>
            <a:rPr lang="lt-LT" sz="1300" kern="1200"/>
            <a:t>Įtraukumas</a:t>
          </a:r>
        </a:p>
        <a:p>
          <a:pPr marL="114300" lvl="1" indent="-114300" algn="l" defTabSz="577850">
            <a:lnSpc>
              <a:spcPct val="90000"/>
            </a:lnSpc>
            <a:spcBef>
              <a:spcPct val="0"/>
            </a:spcBef>
            <a:spcAft>
              <a:spcPct val="15000"/>
            </a:spcAft>
            <a:buChar char="•"/>
          </a:pPr>
          <a:r>
            <a:rPr lang="lt-LT" sz="1300" kern="1200"/>
            <a:t>Darbo - asmeninio gyvenimo derinimas</a:t>
          </a:r>
        </a:p>
      </dsp:txBody>
      <dsp:txXfrm>
        <a:off x="2194559" y="2325291"/>
        <a:ext cx="2916793" cy="750093"/>
      </dsp:txXfrm>
    </dsp:sp>
    <dsp:sp modelId="{DDB4B2C0-42EE-4846-80E1-FCE4D53EEA60}">
      <dsp:nvSpPr>
        <dsp:cNvPr id="0" name=""/>
        <dsp:cNvSpPr/>
      </dsp:nvSpPr>
      <dsp:spPr>
        <a:xfrm>
          <a:off x="0" y="2200275"/>
          <a:ext cx="2194560" cy="1000125"/>
        </a:xfrm>
        <a:prstGeom prst="roundRect">
          <a:avLst/>
        </a:prstGeom>
        <a:solidFill>
          <a:schemeClr val="accent5">
            <a:hueOff val="-12152150"/>
            <a:satOff val="-826"/>
            <a:lumOff val="1961"/>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lt-LT" sz="1700" kern="1200"/>
            <a:t>Darbo kultūros formavimas</a:t>
          </a:r>
        </a:p>
      </dsp:txBody>
      <dsp:txXfrm>
        <a:off x="48822" y="2249097"/>
        <a:ext cx="2096916" cy="90248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0f9046bb2d889aed9cdc60372666495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c5391298ddd54052771c8a9752a5ba9f"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E9681-724A-4F70-8FA2-93659CE18E78}">
  <ds:schemaRefs>
    <ds:schemaRef ds:uri="http://schemas.microsoft.com/office/2006/metadata/properties"/>
    <ds:schemaRef ds:uri="http://schemas.microsoft.com/office/infopath/2007/PartnerControls"/>
    <ds:schemaRef ds:uri="43b0af05-4b4a-42cd-8fc9-10c4e62b1239"/>
    <ds:schemaRef ds:uri="d7669e8d-9bde-4b87-9016-9b0f5b105dc9"/>
  </ds:schemaRefs>
</ds:datastoreItem>
</file>

<file path=customXml/itemProps2.xml><?xml version="1.0" encoding="utf-8"?>
<ds:datastoreItem xmlns:ds="http://schemas.openxmlformats.org/officeDocument/2006/customXml" ds:itemID="{DF8BB887-0849-44A9-98EA-58DD8B426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0af05-4b4a-42cd-8fc9-10c4e62b1239"/>
    <ds:schemaRef ds:uri="d7669e8d-9bde-4b87-9016-9b0f5b105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4C50B4-B28F-4B2E-9D92-AC526D64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1865</Words>
  <Characters>14439</Characters>
  <Application>Microsoft Office Word</Application>
  <DocSecurity>0</DocSecurity>
  <Lines>401</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Monika Vilkienė</cp:lastModifiedBy>
  <cp:revision>8</cp:revision>
  <dcterms:created xsi:type="dcterms:W3CDTF">2025-12-04T18:31:00Z</dcterms:created>
  <dcterms:modified xsi:type="dcterms:W3CDTF">2025-12-16T15:54:00Z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y fmtid="{D5CDD505-2E9C-101B-9397-08002B2CF9AE}" pid="3" name="MediaServiceImageTags">
    <vt:lpwstr/>
  </property>
</Properties>
</file>