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A7C64" w:rsidRDefault="00000000">
      <w:pPr>
        <w:spacing w:after="0" w:line="240" w:lineRule="auto"/>
        <w:ind w:left="5954"/>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lang w:val="en-GB"/>
        </w:rPr>
        <w:t>APPROVED</w:t>
      </w:r>
    </w:p>
    <w:p w14:paraId="00000002" w14:textId="77777777" w:rsidR="00CA7C64" w:rsidRDefault="00000000">
      <w:pPr>
        <w:spacing w:after="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by Resolution No. AT-</w:t>
      </w:r>
    </w:p>
    <w:p w14:paraId="00000003" w14:textId="77777777" w:rsidR="00CA7C64" w:rsidRDefault="00000000">
      <w:pPr>
        <w:spacing w:after="0"/>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of the Academic Council of Kauno kolegija  of     October 2025</w:t>
      </w:r>
    </w:p>
    <w:p w14:paraId="00000004" w14:textId="77777777" w:rsidR="00CA7C64" w:rsidRDefault="00000000">
      <w:pPr>
        <w:pStyle w:val="Heading1"/>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lang w:val="en-GB"/>
        </w:rPr>
        <w:t>DESCRIPTION OF THE KAUNO KOLEGIJA GENDER EQUALITY PLAN FOR 2026–2030</w:t>
      </w:r>
    </w:p>
    <w:p w14:paraId="332A0D33" w14:textId="77777777" w:rsidR="009929F9" w:rsidRDefault="009929F9">
      <w:pPr>
        <w:spacing w:after="0" w:line="240" w:lineRule="auto"/>
        <w:ind w:right="-5"/>
        <w:jc w:val="center"/>
        <w:rPr>
          <w:rFonts w:ascii="Times New Roman" w:eastAsia="Times New Roman" w:hAnsi="Times New Roman" w:cs="Times New Roman"/>
          <w:b/>
          <w:color w:val="000000"/>
          <w:sz w:val="24"/>
          <w:szCs w:val="24"/>
        </w:rPr>
      </w:pPr>
    </w:p>
    <w:p w14:paraId="00000006" w14:textId="5FE018F3" w:rsidR="00CA7C64" w:rsidRDefault="00000000">
      <w:pPr>
        <w:spacing w:after="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GB"/>
        </w:rPr>
        <w:t>CHAPTER I</w:t>
      </w:r>
    </w:p>
    <w:p w14:paraId="00000007" w14:textId="77777777" w:rsidR="00CA7C64" w:rsidRDefault="00000000">
      <w:pPr>
        <w:tabs>
          <w:tab w:val="left" w:pos="284"/>
          <w:tab w:val="left" w:pos="426"/>
          <w:tab w:val="left" w:pos="851"/>
        </w:tabs>
        <w:spacing w:after="12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GB"/>
        </w:rPr>
        <w:t>GENERAL PROVISIONS</w:t>
      </w:r>
    </w:p>
    <w:p w14:paraId="00000008" w14:textId="77777777" w:rsidR="00CA7C64" w:rsidRDefault="00CA7C64" w:rsidP="007C125F">
      <w:pPr>
        <w:tabs>
          <w:tab w:val="left" w:pos="284"/>
          <w:tab w:val="left" w:pos="426"/>
          <w:tab w:val="left" w:pos="851"/>
        </w:tabs>
        <w:spacing w:after="0" w:line="240" w:lineRule="auto"/>
        <w:ind w:right="-6" w:firstLine="567"/>
        <w:jc w:val="center"/>
        <w:rPr>
          <w:rFonts w:ascii="Times New Roman" w:eastAsia="Times New Roman" w:hAnsi="Times New Roman" w:cs="Times New Roman"/>
          <w:b/>
          <w:color w:val="000000"/>
          <w:sz w:val="24"/>
          <w:szCs w:val="24"/>
        </w:rPr>
      </w:pPr>
    </w:p>
    <w:p w14:paraId="00000009" w14:textId="77777777" w:rsidR="00CA7C64" w:rsidRDefault="00000000">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bookmarkStart w:id="0" w:name="_heading=h.qio9ixrwdhtu" w:colFirst="0" w:colLast="0"/>
      <w:bookmarkEnd w:id="0"/>
      <w:r>
        <w:rPr>
          <w:rFonts w:ascii="Times New Roman" w:eastAsia="Times New Roman" w:hAnsi="Times New Roman" w:cs="Times New Roman"/>
          <w:color w:val="000000"/>
          <w:sz w:val="24"/>
          <w:szCs w:val="24"/>
          <w:lang w:val="en-GB"/>
        </w:rPr>
        <w:t xml:space="preserve">The description of the Kauno kolegija Gender Equality Plan for 2026–2030 (hereinafter referred to as the Plan) is a strategic document by which Kauno kolegija (hereinafter referred to as Kolegija) commits to consistently and systematically pursue gender equality in all areas of activity, promoting cultural and structural changes within the institution. </w:t>
      </w:r>
    </w:p>
    <w:p w14:paraId="0000000A" w14:textId="77777777" w:rsidR="00CA7C64" w:rsidRDefault="00000000">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 objective of the Plan is to promote institutional cultural change in the field of gender equality by establishing a sustainable, data-driven equality policy, strengthening the integration of gender aspects into studies and applied research and artistic activities, reducing structural inequality and hidden bias in staff recruitment, career development, and decision-making, increasing the visibility of underrepresented groups, introducing effective measures for work–life balance, ensuring the implementation of the zero-tolerance principle towards violence and harassment, and guaranteeing consistent monitoring and accountability in the implementation of the Gender Equality Plan.</w:t>
      </w:r>
    </w:p>
    <w:p w14:paraId="0000000B" w14:textId="77777777" w:rsidR="00CA7C64" w:rsidRDefault="00000000">
      <w:pPr>
        <w:numPr>
          <w:ilvl w:val="0"/>
          <w:numId w:val="1"/>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 Plan has been prepared in accordance with the Law on Equal Opportunities of the Republic of Lithuania, the Law on Equal Opportunities for Women and Men of the Republic of Lithuania, the Recommendations for Ensuring Equal Opportunities for Women and Men in Lithuanian Research and Higher Education Institutions, the description of the Progress Measure No. 09-003-02-02-06 “Implementation of Equal Opportunities and Gender Equality Principles” of the Social Cohesion Development Programme of the Development Programme for 2021–2030, administered by the Ministry of Social Security and Labour of the Republic of Lithuania, the Action Plan for the Implementation of Equal Opportunities for 2024–2026, the Action Plan for Equal Opportunities for Women and Men for 2023–2025, the Law on Science and Studies of the Republic of Lithuania, the EU Gender Equality Strategy 2020–2025, the recommendations of the European Institute for Gender Equality for a Gender Equality Plan, the Statute of Kauno kolegija, the Equal Opportunities Policy of Kauno kolegija and its implementing regulations, and other legal acts.</w:t>
      </w:r>
    </w:p>
    <w:p w14:paraId="0000000C" w14:textId="77777777" w:rsidR="00CA7C64" w:rsidRDefault="00CA7C64">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000000E" w14:textId="77777777" w:rsidR="00CA7C64" w:rsidRDefault="00000000">
      <w:pPr>
        <w:spacing w:after="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GB"/>
        </w:rPr>
        <w:t>CHAPTER II</w:t>
      </w:r>
    </w:p>
    <w:p w14:paraId="0000000F" w14:textId="77777777" w:rsidR="00CA7C64" w:rsidRDefault="00000000">
      <w:pPr>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lang w:val="en-GB"/>
        </w:rPr>
        <w:t>THE NEED FOR A GENDER EQUALITY PLAN</w:t>
      </w:r>
    </w:p>
    <w:p w14:paraId="00000010" w14:textId="77777777" w:rsidR="00CA7C64" w:rsidRDefault="00CA7C64">
      <w:pPr>
        <w:spacing w:after="0" w:line="240" w:lineRule="auto"/>
        <w:jc w:val="center"/>
        <w:rPr>
          <w:rFonts w:ascii="Times New Roman" w:eastAsia="Times New Roman" w:hAnsi="Times New Roman" w:cs="Times New Roman"/>
          <w:b/>
          <w:smallCaps/>
          <w:sz w:val="24"/>
          <w:szCs w:val="24"/>
        </w:rPr>
      </w:pPr>
    </w:p>
    <w:p w14:paraId="00000011" w14:textId="77777777" w:rsidR="00CA7C64" w:rsidRDefault="00000000">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In the course of the institutional analysis carried out in 2024, it was identified that systemic and procedural challenges exist at Kolegija in implementing the principles of gender equality across the five thematic areas recommended by the European Commission:</w:t>
      </w:r>
    </w:p>
    <w:p w14:paraId="00000012" w14:textId="77777777" w:rsidR="00CA7C64" w:rsidRDefault="00000000">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GB"/>
        </w:rPr>
        <w:t xml:space="preserve"> Gender balance in management and decision-making: </w:t>
      </w:r>
    </w:p>
    <w:p w14:paraId="00000013" w14:textId="36671AE5" w:rsidR="00CA7C64" w:rsidRDefault="00000000">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The total number of employees indicates a predominance of women; therefore, there is an observed insufficient inclusion of the underrepresented gender (men) in decision-making bodies, committees, commissions, working groups, and other </w:t>
      </w:r>
      <w:r w:rsidR="00787721">
        <w:rPr>
          <w:rFonts w:ascii="Times New Roman" w:eastAsia="Times New Roman" w:hAnsi="Times New Roman" w:cs="Times New Roman"/>
          <w:color w:val="000000"/>
          <w:sz w:val="24"/>
          <w:szCs w:val="24"/>
          <w:lang w:val="en-GB"/>
        </w:rPr>
        <w:t>organisational</w:t>
      </w:r>
      <w:r>
        <w:rPr>
          <w:rFonts w:ascii="Times New Roman" w:eastAsia="Times New Roman" w:hAnsi="Times New Roman" w:cs="Times New Roman"/>
          <w:color w:val="000000"/>
          <w:sz w:val="24"/>
          <w:szCs w:val="24"/>
          <w:lang w:val="en-GB"/>
        </w:rPr>
        <w:t xml:space="preserve"> structures. Conversely, women’s participation in leadership positions is observed to be lower than that of men.</w:t>
      </w:r>
    </w:p>
    <w:p w14:paraId="00000014" w14:textId="77777777" w:rsidR="00CA7C64" w:rsidRDefault="00000000">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There are no formalised measures or targeted activities aimed at ensuring gender balance in committees, management, or recruitment processes.</w:t>
      </w:r>
    </w:p>
    <w:p w14:paraId="00000015" w14:textId="77777777" w:rsidR="00CA7C64" w:rsidRDefault="00000000">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lastRenderedPageBreak/>
        <w:t xml:space="preserve">No specialised training on gender equality issues is organised for committee members </w:t>
      </w:r>
      <w:r>
        <w:rPr>
          <w:rFonts w:ascii="Times New Roman" w:eastAsia="Times New Roman" w:hAnsi="Times New Roman" w:cs="Times New Roman"/>
          <w:sz w:val="24"/>
          <w:szCs w:val="24"/>
          <w:lang w:val="en-GB"/>
        </w:rPr>
        <w:t>and</w:t>
      </w:r>
      <w:r>
        <w:rPr>
          <w:rFonts w:ascii="Times New Roman" w:eastAsia="Times New Roman" w:hAnsi="Times New Roman" w:cs="Times New Roman"/>
          <w:color w:val="000000"/>
          <w:sz w:val="24"/>
          <w:szCs w:val="24"/>
          <w:lang w:val="en-GB"/>
        </w:rPr>
        <w:t xml:space="preserve"> managers.</w:t>
      </w:r>
    </w:p>
    <w:p w14:paraId="00000016" w14:textId="77777777" w:rsidR="00CA7C64" w:rsidRDefault="00000000">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There is a lack of data analysis and transparency regarding the gender composition in leadership, which hinders progress monitoring and decision-making transparency.</w:t>
      </w:r>
    </w:p>
    <w:p w14:paraId="00000017" w14:textId="229EFEBF" w:rsidR="00CA7C64" w:rsidRDefault="00000000">
      <w:pPr>
        <w:numPr>
          <w:ilvl w:val="1"/>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GB"/>
        </w:rPr>
        <w:t>Gender equality in recruitment and career development:</w:t>
      </w:r>
    </w:p>
    <w:p w14:paraId="00000018" w14:textId="77777777" w:rsidR="00CA7C64" w:rsidRDefault="00000000">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Currently, recruitment and career processes are not formally assessed from a gender perspective.</w:t>
      </w:r>
    </w:p>
    <w:p w14:paraId="00000019" w14:textId="77777777" w:rsidR="00CA7C64" w:rsidRDefault="00000000">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Career development and promotion evaluation criteria are not monitored and evaluated with regard to gender.</w:t>
      </w:r>
    </w:p>
    <w:p w14:paraId="0000001A" w14:textId="77777777" w:rsidR="00CA7C64" w:rsidRDefault="00000000">
      <w:pPr>
        <w:numPr>
          <w:ilvl w:val="2"/>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 There are no incentive measures applied to support gender diversity in underrepresented fields (e.g., technology or IT programmes).</w:t>
      </w:r>
    </w:p>
    <w:p w14:paraId="0000001B" w14:textId="75DFB7E7" w:rsidR="00CA7C64" w:rsidRDefault="00000000">
      <w:pPr>
        <w:numPr>
          <w:ilvl w:val="1"/>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GB"/>
        </w:rPr>
        <w:t>Work–life balance and organisational culture:</w:t>
      </w:r>
    </w:p>
    <w:p w14:paraId="0000001C" w14:textId="77777777" w:rsidR="00CA7C64" w:rsidRDefault="00000000">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Although certain work–life balance mechanisms are defined in the Kolegija’s legal acts such as ensuring the implementation of measures set out in the Labour Code for employees raising children, providing opportunities for remote work, offering free psychological counselling, granting paid leave for personal needs, providing wellness days, organising summer camps for employees’ children, etc. employees are not always aware of or make use of these benefits. Therefore, it is necessary to strengthen information accessibility, cultural support, and managerial awareness.</w:t>
      </w:r>
    </w:p>
    <w:p w14:paraId="0000001D" w14:textId="77777777" w:rsidR="00CA7C64" w:rsidRDefault="00000000">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There is no clear feedback on the use of these measures and their impact on work–life balance and emotional well-being.</w:t>
      </w:r>
    </w:p>
    <w:p w14:paraId="0000001E" w14:textId="4132969B" w:rsidR="00CA7C64" w:rsidRDefault="00000000">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There is no systematic monitoring of organisational culture from a gender equality perspective</w:t>
      </w:r>
      <w:r w:rsidR="00787721">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data on gender balance are fragmented and do not cover a comprehensive analysis of gender balance by departments or positions.</w:t>
      </w:r>
    </w:p>
    <w:p w14:paraId="0000001F" w14:textId="77777777" w:rsidR="00CA7C64" w:rsidRDefault="00000000">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GB"/>
        </w:rPr>
        <w:t>Integration of the gender dimension into research and study content:</w:t>
      </w:r>
    </w:p>
    <w:p w14:paraId="00000020" w14:textId="77777777" w:rsidR="00CA7C64" w:rsidRDefault="00000000">
      <w:pPr>
        <w:numPr>
          <w:ilvl w:val="2"/>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There is no institution-level commitment, enshrined in Kolegija’s documents, to integrate the gender dimension into research or study programme content. </w:t>
      </w:r>
    </w:p>
    <w:p w14:paraId="00000021" w14:textId="77777777" w:rsidR="00CA7C64" w:rsidRDefault="00000000">
      <w:pPr>
        <w:numPr>
          <w:ilvl w:val="2"/>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Lecturers and researchers are not provided with methodological guidelines or training on the application of the gender dimension in academic content.</w:t>
      </w:r>
    </w:p>
    <w:p w14:paraId="00000022" w14:textId="77777777" w:rsidR="00CA7C64" w:rsidRDefault="00000000">
      <w:pPr>
        <w:numPr>
          <w:ilvl w:val="2"/>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There are no established procedures for how the gender equality aspect should be applied in the development and revision of study and training programmes or in the evaluation of research projects.</w:t>
      </w:r>
    </w:p>
    <w:p w14:paraId="00000023" w14:textId="77777777" w:rsidR="00CA7C64" w:rsidRDefault="00000000">
      <w:pPr>
        <w:numPr>
          <w:ilvl w:val="2"/>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Gender-disaggregated data in academic activities are analysed only fragmentarily.</w:t>
      </w:r>
    </w:p>
    <w:p w14:paraId="00000024" w14:textId="77777777" w:rsidR="00CA7C64" w:rsidRPr="00FC190A" w:rsidRDefault="00000000" w:rsidP="00FC190A">
      <w:pPr>
        <w:numPr>
          <w:ilvl w:val="1"/>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190A">
        <w:rPr>
          <w:rFonts w:ascii="Times New Roman" w:eastAsia="Times New Roman" w:hAnsi="Times New Roman" w:cs="Times New Roman"/>
          <w:b/>
          <w:color w:val="000000"/>
          <w:sz w:val="24"/>
          <w:szCs w:val="24"/>
          <w:lang w:val="en-GB"/>
        </w:rPr>
        <w:t xml:space="preserve"> Measures against gender-based violence, including sexual harassment:</w:t>
      </w:r>
    </w:p>
    <w:p w14:paraId="00000025" w14:textId="77777777" w:rsidR="00CA7C64" w:rsidRPr="00FC190A" w:rsidRDefault="00000000" w:rsidP="00FC190A">
      <w:pPr>
        <w:numPr>
          <w:ilvl w:val="2"/>
          <w:numId w:val="1"/>
        </w:numPr>
        <w:pBdr>
          <w:top w:val="nil"/>
          <w:left w:val="nil"/>
          <w:bottom w:val="nil"/>
          <w:right w:val="nil"/>
          <w:between w:val="nil"/>
        </w:pBdr>
        <w:spacing w:after="0" w:line="240" w:lineRule="auto"/>
        <w:ind w:left="0" w:firstLine="567"/>
        <w:jc w:val="both"/>
        <w:rPr>
          <w:rFonts w:ascii="Times New Roman" w:hAnsi="Times New Roman" w:cs="Times New Roman"/>
          <w:sz w:val="24"/>
          <w:szCs w:val="24"/>
        </w:rPr>
      </w:pPr>
      <w:r w:rsidRPr="00FC190A">
        <w:rPr>
          <w:rFonts w:ascii="Times New Roman" w:eastAsia="Times New Roman" w:hAnsi="Times New Roman" w:cs="Times New Roman"/>
          <w:color w:val="000000"/>
          <w:sz w:val="24"/>
          <w:szCs w:val="24"/>
          <w:lang w:val="en-GB"/>
        </w:rPr>
        <w:t>The Kolegija’s Equal Opportunities Implementation Policy enshrines a clear principle of zero tolerance for violence and sexual harassment, which provides the legal basis for policy-making and communication on this issue.</w:t>
      </w:r>
    </w:p>
    <w:p w14:paraId="00000026" w14:textId="77777777" w:rsidR="00CA7C64" w:rsidRPr="00FC190A" w:rsidRDefault="00000000" w:rsidP="00FC190A">
      <w:pPr>
        <w:numPr>
          <w:ilvl w:val="2"/>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rPr>
      </w:pPr>
      <w:r w:rsidRPr="00FC190A">
        <w:rPr>
          <w:rFonts w:ascii="Times New Roman" w:eastAsia="Roboto" w:hAnsi="Times New Roman" w:cs="Times New Roman"/>
          <w:color w:val="444746"/>
          <w:sz w:val="24"/>
          <w:szCs w:val="24"/>
          <w:highlight w:val="white"/>
          <w:lang w:val="en-GB"/>
        </w:rPr>
        <w:t xml:space="preserve">Within the community, clearly defined procedures are in place to prevent and respond to all forms of psychological violence, including cases of gender-based harassment. Although information about these procedures is sufficiently available, the consistency of communication and information dissemination remains an area for improvement. </w:t>
      </w:r>
    </w:p>
    <w:p w14:paraId="00000027" w14:textId="3A29811C" w:rsidR="00CA7C64" w:rsidRPr="00FC190A" w:rsidRDefault="00000000" w:rsidP="00FC190A">
      <w:pPr>
        <w:numPr>
          <w:ilvl w:val="2"/>
          <w:numId w:val="1"/>
        </w:numPr>
        <w:pBdr>
          <w:top w:val="nil"/>
          <w:left w:val="nil"/>
          <w:bottom w:val="nil"/>
          <w:right w:val="nil"/>
          <w:between w:val="nil"/>
        </w:pBdr>
        <w:spacing w:after="0" w:line="240" w:lineRule="auto"/>
        <w:ind w:left="0" w:firstLine="567"/>
        <w:jc w:val="both"/>
        <w:rPr>
          <w:rFonts w:ascii="Times New Roman" w:eastAsia="Roboto" w:hAnsi="Times New Roman" w:cs="Times New Roman"/>
          <w:color w:val="444746"/>
          <w:sz w:val="24"/>
          <w:szCs w:val="24"/>
          <w:highlight w:val="white"/>
        </w:rPr>
      </w:pPr>
      <w:r w:rsidRPr="00FC190A">
        <w:rPr>
          <w:rFonts w:ascii="Times New Roman" w:eastAsia="Roboto" w:hAnsi="Times New Roman" w:cs="Times New Roman"/>
          <w:color w:val="444746"/>
          <w:sz w:val="24"/>
          <w:szCs w:val="24"/>
          <w:highlight w:val="white"/>
          <w:lang w:val="en-GB"/>
        </w:rPr>
        <w:t xml:space="preserve">Positive progress can be observed in the </w:t>
      </w:r>
      <w:r w:rsidR="00787721">
        <w:rPr>
          <w:rFonts w:ascii="Times New Roman" w:eastAsia="Roboto" w:hAnsi="Times New Roman" w:cs="Times New Roman"/>
          <w:color w:val="444746"/>
          <w:sz w:val="24"/>
          <w:szCs w:val="24"/>
          <w:highlight w:val="white"/>
          <w:lang w:val="en-GB"/>
        </w:rPr>
        <w:t>organisation</w:t>
      </w:r>
      <w:r w:rsidRPr="00FC190A">
        <w:rPr>
          <w:rFonts w:ascii="Times New Roman" w:eastAsia="Roboto" w:hAnsi="Times New Roman" w:cs="Times New Roman"/>
          <w:color w:val="444746"/>
          <w:sz w:val="24"/>
          <w:szCs w:val="24"/>
          <w:highlight w:val="white"/>
          <w:lang w:val="en-GB"/>
        </w:rPr>
        <w:t xml:space="preserve"> of training sessions – they are held more frequently than required by legislation, thus ensuring the strengthening of community competencies in this field.</w:t>
      </w:r>
    </w:p>
    <w:p w14:paraId="00000029" w14:textId="77777777" w:rsidR="00CA7C64" w:rsidRDefault="00000000" w:rsidP="00FC190A">
      <w:pPr>
        <w:numPr>
          <w:ilvl w:val="2"/>
          <w:numId w:val="1"/>
        </w:numPr>
        <w:pBdr>
          <w:top w:val="nil"/>
          <w:left w:val="nil"/>
          <w:bottom w:val="nil"/>
          <w:right w:val="nil"/>
          <w:between w:val="nil"/>
        </w:pBdr>
        <w:spacing w:after="0" w:line="240" w:lineRule="auto"/>
        <w:ind w:left="0" w:firstLine="567"/>
        <w:jc w:val="both"/>
      </w:pPr>
      <w:r>
        <w:rPr>
          <w:rFonts w:ascii="Times New Roman" w:eastAsia="Times New Roman" w:hAnsi="Times New Roman" w:cs="Times New Roman"/>
          <w:color w:val="000000"/>
          <w:sz w:val="24"/>
          <w:szCs w:val="24"/>
          <w:lang w:val="en-GB"/>
        </w:rPr>
        <w:t>The institution does not yet have a clear anonymous reporting system</w:t>
      </w:r>
      <w:r>
        <w:rPr>
          <w:rFonts w:ascii="Times New Roman" w:eastAsia="Times New Roman" w:hAnsi="Times New Roman" w:cs="Times New Roman"/>
          <w:b/>
          <w:color w:val="000000"/>
          <w:sz w:val="24"/>
          <w:szCs w:val="24"/>
          <w:lang w:val="en-GB"/>
        </w:rPr>
        <w:t>,</w:t>
      </w:r>
      <w:r>
        <w:rPr>
          <w:rFonts w:ascii="Times New Roman" w:eastAsia="Times New Roman" w:hAnsi="Times New Roman" w:cs="Times New Roman"/>
          <w:color w:val="000000"/>
          <w:sz w:val="24"/>
          <w:szCs w:val="24"/>
          <w:lang w:val="en-GB"/>
        </w:rPr>
        <w:t xml:space="preserve"> nor are regular informational or preventive trainings on gender-based violence and its prevention conducted. </w:t>
      </w:r>
    </w:p>
    <w:p w14:paraId="0000002A" w14:textId="77777777" w:rsidR="00CA7C64" w:rsidRDefault="00000000" w:rsidP="00FC190A">
      <w:pPr>
        <w:numPr>
          <w:ilvl w:val="2"/>
          <w:numId w:val="1"/>
        </w:numPr>
        <w:pBdr>
          <w:top w:val="nil"/>
          <w:left w:val="nil"/>
          <w:bottom w:val="nil"/>
          <w:right w:val="nil"/>
          <w:between w:val="nil"/>
        </w:pBdr>
        <w:spacing w:after="0" w:line="240" w:lineRule="auto"/>
        <w:ind w:left="0" w:firstLine="567"/>
        <w:jc w:val="both"/>
      </w:pPr>
      <w:r>
        <w:rPr>
          <w:rFonts w:ascii="Times New Roman" w:eastAsia="Times New Roman" w:hAnsi="Times New Roman" w:cs="Times New Roman"/>
          <w:color w:val="000000"/>
          <w:sz w:val="24"/>
          <w:szCs w:val="24"/>
          <w:lang w:val="en-GB"/>
        </w:rPr>
        <w:t>Data on cases related to this issue are not collected or analysed, and there is no monitoring of incidents of violence or evaluation of the effectiveness of preventive measures.</w:t>
      </w:r>
    </w:p>
    <w:p w14:paraId="0000002B" w14:textId="77777777" w:rsidR="00CA7C64" w:rsidRDefault="00000000" w:rsidP="00FC190A">
      <w:pPr>
        <w:numPr>
          <w:ilvl w:val="0"/>
          <w:numId w:val="1"/>
        </w:numPr>
        <w:pBdr>
          <w:top w:val="nil"/>
          <w:left w:val="nil"/>
          <w:bottom w:val="nil"/>
          <w:right w:val="nil"/>
          <w:between w:val="nil"/>
        </w:pBdr>
        <w:spacing w:after="0" w:line="240" w:lineRule="auto"/>
        <w:ind w:hanging="152"/>
        <w:jc w:val="both"/>
      </w:pPr>
      <w:r>
        <w:rPr>
          <w:rFonts w:ascii="Times New Roman" w:eastAsia="Times New Roman" w:hAnsi="Times New Roman" w:cs="Times New Roman"/>
          <w:color w:val="000000"/>
          <w:sz w:val="24"/>
          <w:szCs w:val="24"/>
          <w:lang w:val="en-GB"/>
        </w:rPr>
        <w:t>A detailed gender-related situation analysis of the Kolegija is provided in Annex 1.</w:t>
      </w:r>
    </w:p>
    <w:p w14:paraId="10228FD8" w14:textId="77777777" w:rsidR="007C125F" w:rsidRDefault="007C125F">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4"/>
          <w:szCs w:val="24"/>
        </w:rPr>
      </w:pPr>
    </w:p>
    <w:p w14:paraId="00000030" w14:textId="28383A55" w:rsidR="00CA7C64" w:rsidRDefault="00000000">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GB"/>
        </w:rPr>
        <w:t>CHAPTER III</w:t>
      </w:r>
    </w:p>
    <w:p w14:paraId="00000031" w14:textId="11328514" w:rsidR="00CA7C64" w:rsidRDefault="00000000">
      <w:pPr>
        <w:pBdr>
          <w:top w:val="nil"/>
          <w:left w:val="nil"/>
          <w:bottom w:val="nil"/>
          <w:right w:val="nil"/>
          <w:between w:val="nil"/>
        </w:pBdr>
        <w:spacing w:after="0" w:line="240" w:lineRule="auto"/>
        <w:ind w:right="-5"/>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lang w:val="en-GB"/>
        </w:rPr>
        <w:t>GENDER EQUALITY PLAN – THEMATIC AREAS, OBJECTIVES, AND MEASURES</w:t>
      </w:r>
    </w:p>
    <w:p w14:paraId="5A281952" w14:textId="77777777" w:rsidR="00FC190A" w:rsidRDefault="00FC190A">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4"/>
          <w:szCs w:val="24"/>
        </w:rPr>
      </w:pPr>
    </w:p>
    <w:p w14:paraId="00000032" w14:textId="77777777" w:rsidR="00CA7C64" w:rsidRPr="007C125F" w:rsidRDefault="00000000" w:rsidP="00FC190A">
      <w:pPr>
        <w:numPr>
          <w:ilvl w:val="0"/>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Based on the recommendations of the European Institute for Gender Equality for the Gender Equality Plan and the results of the Kolegija’s gender equality situation analysis, the Plan sets out the following objectives and tasks according to the recommended thematic areas:</w:t>
      </w:r>
    </w:p>
    <w:p w14:paraId="00000033" w14:textId="77777777" w:rsidR="00CA7C64" w:rsidRPr="007C125F" w:rsidRDefault="00000000" w:rsidP="00FC190A">
      <w:pPr>
        <w:numPr>
          <w:ilvl w:val="1"/>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b/>
          <w:color w:val="000000"/>
          <w:sz w:val="24"/>
          <w:szCs w:val="24"/>
          <w:lang w:val="en-GB"/>
        </w:rPr>
        <w:t xml:space="preserve">Gender balance in management and decision-making: </w:t>
      </w:r>
    </w:p>
    <w:p w14:paraId="00000034" w14:textId="77777777" w:rsidR="00CA7C64" w:rsidRPr="007C125F" w:rsidRDefault="00000000"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Objective – to achieve gender balance in governance and decision-making.</w:t>
      </w:r>
    </w:p>
    <w:p w14:paraId="00000035" w14:textId="77777777" w:rsidR="00CA7C64" w:rsidRPr="007C125F" w:rsidRDefault="00000000"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 xml:space="preserve">Objectives: </w:t>
      </w:r>
    </w:p>
    <w:p w14:paraId="00000036" w14:textId="77777777" w:rsidR="00CA7C64" w:rsidRPr="007C125F" w:rsidRDefault="00000000"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Implement evidence-based gender balance monitoring at the leadership level.</w:t>
      </w:r>
    </w:p>
    <w:p w14:paraId="00000037" w14:textId="77777777" w:rsidR="00CA7C64" w:rsidRPr="007C125F" w:rsidRDefault="00000000"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Enhance the involvement of the underrepresented gender in governance and decision-making bodies.</w:t>
      </w:r>
    </w:p>
    <w:p w14:paraId="00000038" w14:textId="09585911" w:rsidR="00CA7C64" w:rsidRPr="007C125F" w:rsidRDefault="00000000"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Periodically assess gender balance monitoring indicators in the field of management.</w:t>
      </w:r>
    </w:p>
    <w:p w14:paraId="00000039" w14:textId="77777777" w:rsidR="00CA7C64" w:rsidRPr="007C125F" w:rsidRDefault="00000000" w:rsidP="00FC190A">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b/>
          <w:color w:val="000000"/>
          <w:sz w:val="24"/>
          <w:szCs w:val="24"/>
          <w:lang w:val="en-GB"/>
        </w:rPr>
        <w:t>Gender equality in recruitment and career development:</w:t>
      </w:r>
    </w:p>
    <w:p w14:paraId="0000003A" w14:textId="77777777" w:rsidR="00CA7C64" w:rsidRPr="007C125F" w:rsidRDefault="00000000"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Objective – to ensure equal opportunities for all genders to be employed, develop, and pursue a career at the Kolegija.</w:t>
      </w:r>
    </w:p>
    <w:p w14:paraId="0000003B" w14:textId="77777777" w:rsidR="00CA7C64" w:rsidRPr="007C125F" w:rsidRDefault="00000000"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Objectives:</w:t>
      </w:r>
    </w:p>
    <w:p w14:paraId="0000003C" w14:textId="15926E8B" w:rsidR="00CA7C64" w:rsidRPr="007C125F" w:rsidRDefault="00000000" w:rsidP="00FC190A">
      <w:pPr>
        <w:numPr>
          <w:ilvl w:val="3"/>
          <w:numId w:val="1"/>
        </w:numPr>
        <w:pBdr>
          <w:top w:val="nil"/>
          <w:left w:val="nil"/>
          <w:bottom w:val="nil"/>
          <w:right w:val="nil"/>
          <w:between w:val="nil"/>
        </w:pBdr>
        <w:tabs>
          <w:tab w:val="left" w:pos="993"/>
          <w:tab w:val="left" w:pos="1418"/>
          <w:tab w:val="left" w:pos="184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lang w:val="en-GB"/>
        </w:rPr>
        <w:t>Ensure the application of gender equality and inclusion principles in recruitment processes.</w:t>
      </w:r>
    </w:p>
    <w:p w14:paraId="0000003D" w14:textId="77777777" w:rsidR="00CA7C64" w:rsidRPr="007C125F" w:rsidRDefault="00000000" w:rsidP="00FC190A">
      <w:pPr>
        <w:numPr>
          <w:ilvl w:val="3"/>
          <w:numId w:val="1"/>
        </w:numPr>
        <w:pBdr>
          <w:top w:val="nil"/>
          <w:left w:val="nil"/>
          <w:bottom w:val="nil"/>
          <w:right w:val="nil"/>
          <w:between w:val="nil"/>
        </w:pBdr>
        <w:tabs>
          <w:tab w:val="left" w:pos="993"/>
          <w:tab w:val="left" w:pos="1418"/>
          <w:tab w:val="left" w:pos="184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lang w:val="en-GB"/>
        </w:rPr>
        <w:t>Ensure the accessibility of training and professional development opportunities for employees of both genders.</w:t>
      </w:r>
    </w:p>
    <w:p w14:paraId="0000003E" w14:textId="5A4106BA" w:rsidR="00CA7C64" w:rsidRPr="007C125F" w:rsidRDefault="00000000" w:rsidP="00FC190A">
      <w:pPr>
        <w:numPr>
          <w:ilvl w:val="3"/>
          <w:numId w:val="1"/>
        </w:numPr>
        <w:pBdr>
          <w:top w:val="nil"/>
          <w:left w:val="nil"/>
          <w:bottom w:val="nil"/>
          <w:right w:val="nil"/>
          <w:between w:val="nil"/>
        </w:pBdr>
        <w:tabs>
          <w:tab w:val="left" w:pos="993"/>
          <w:tab w:val="left" w:pos="1418"/>
          <w:tab w:val="left" w:pos="184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lang w:val="en-GB"/>
        </w:rPr>
        <w:t>Incorporate the gender dimension into staff career planning and promotion processes.</w:t>
      </w:r>
    </w:p>
    <w:p w14:paraId="0000003F" w14:textId="61CF27C1" w:rsidR="00CA7C64" w:rsidRPr="007C125F" w:rsidRDefault="00000000" w:rsidP="00FC190A">
      <w:pPr>
        <w:numPr>
          <w:ilvl w:val="3"/>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lang w:val="en-GB"/>
        </w:rPr>
        <w:t>Ensure pay transparency and fairness by providing equal opportunities for employees of all genders to receive equal pay for the same or equivalent work.</w:t>
      </w:r>
    </w:p>
    <w:p w14:paraId="00000040" w14:textId="77777777" w:rsidR="00CA7C64" w:rsidRPr="007C125F" w:rsidRDefault="00000000" w:rsidP="00FC190A">
      <w:pPr>
        <w:numPr>
          <w:ilvl w:val="1"/>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b/>
          <w:color w:val="000000"/>
          <w:sz w:val="24"/>
          <w:szCs w:val="24"/>
          <w:lang w:val="en-GB"/>
        </w:rPr>
        <w:t xml:space="preserve">Work–life balance and organisational culture: </w:t>
      </w:r>
    </w:p>
    <w:p w14:paraId="00000041" w14:textId="77777777" w:rsidR="00CA7C64" w:rsidRPr="007C125F" w:rsidRDefault="00000000"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Objective – to create conditions for staff and students to balance professional (academic) and personal life while strengthening an inclusive organisational culture.</w:t>
      </w:r>
    </w:p>
    <w:p w14:paraId="00000042" w14:textId="77777777" w:rsidR="00CA7C64" w:rsidRPr="007C125F" w:rsidRDefault="00000000"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Objectives:</w:t>
      </w:r>
    </w:p>
    <w:p w14:paraId="00000043" w14:textId="77777777" w:rsidR="00CA7C64" w:rsidRPr="007C125F" w:rsidRDefault="00000000"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 xml:space="preserve"> Ensure clear and accessible information about opportunities to balance work (studies) and personal life.</w:t>
      </w:r>
    </w:p>
    <w:p w14:paraId="00000044" w14:textId="77777777" w:rsidR="00CA7C64" w:rsidRPr="007C125F" w:rsidRDefault="00000000"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Organise training sessions on emotional well-being and work–life balance for the entire community.</w:t>
      </w:r>
    </w:p>
    <w:p w14:paraId="00000045" w14:textId="77777777" w:rsidR="00CA7C64" w:rsidRPr="007C125F" w:rsidRDefault="00000000" w:rsidP="00FC190A">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Ensure the availability of psychological and emotional support for all employees.</w:t>
      </w:r>
    </w:p>
    <w:p w14:paraId="00000046" w14:textId="5F4E3AEF" w:rsidR="00CA7C64" w:rsidRPr="007C125F" w:rsidRDefault="00000000" w:rsidP="00FC190A">
      <w:pPr>
        <w:numPr>
          <w:ilvl w:val="3"/>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lang w:val="en-GB"/>
        </w:rPr>
        <w:t xml:space="preserve"> Regularly conduct staff surveys on the assessment of organisational culture and well-being from a gender perspective</w:t>
      </w:r>
      <w:r w:rsidR="009929F9" w:rsidRPr="007C125F">
        <w:rPr>
          <w:rFonts w:ascii="Times New Roman" w:eastAsia="Times New Roman" w:hAnsi="Times New Roman" w:cs="Times New Roman"/>
          <w:sz w:val="24"/>
          <w:szCs w:val="24"/>
          <w:lang w:val="en-GB"/>
        </w:rPr>
        <w:t>.</w:t>
      </w:r>
    </w:p>
    <w:p w14:paraId="00000047" w14:textId="77777777" w:rsidR="00CA7C64" w:rsidRPr="007C125F" w:rsidRDefault="00000000" w:rsidP="00FC190A">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b/>
          <w:color w:val="000000"/>
          <w:sz w:val="24"/>
          <w:szCs w:val="24"/>
          <w:lang w:val="en-GB"/>
        </w:rPr>
        <w:t>Integration of the gender dimension into research and study content:</w:t>
      </w:r>
    </w:p>
    <w:p w14:paraId="00000048" w14:textId="77777777" w:rsidR="00CA7C64" w:rsidRPr="007C125F" w:rsidRDefault="00000000" w:rsidP="00FC190A">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Objective – to integrate the gender dimension into research activities and study programmes, and to strengthen the competences of the academic community in this field.</w:t>
      </w:r>
    </w:p>
    <w:p w14:paraId="00000049" w14:textId="77777777" w:rsidR="00CA7C64" w:rsidRPr="007C125F" w:rsidRDefault="00000000">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Objectives:</w:t>
      </w:r>
    </w:p>
    <w:p w14:paraId="0000004A" w14:textId="5737DE74" w:rsidR="00CA7C64" w:rsidRPr="007C125F" w:rsidRDefault="00000000">
      <w:pPr>
        <w:numPr>
          <w:ilvl w:val="3"/>
          <w:numId w:val="1"/>
        </w:numPr>
        <w:pBdr>
          <w:top w:val="nil"/>
          <w:left w:val="nil"/>
          <w:bottom w:val="nil"/>
          <w:right w:val="nil"/>
          <w:between w:val="nil"/>
        </w:pBdr>
        <w:spacing w:after="0" w:line="240" w:lineRule="auto"/>
        <w:ind w:left="0" w:firstLine="567"/>
        <w:rPr>
          <w:rFonts w:ascii="Times New Roman" w:eastAsia="Times New Roman" w:hAnsi="Times New Roman" w:cs="Times New Roman"/>
          <w:color w:val="000000"/>
          <w:sz w:val="24"/>
          <w:szCs w:val="24"/>
        </w:rPr>
      </w:pPr>
      <w:r w:rsidRPr="007C125F">
        <w:rPr>
          <w:rFonts w:ascii="Times New Roman" w:eastAsia="Times New Roman" w:hAnsi="Times New Roman" w:cs="Times New Roman"/>
          <w:color w:val="000000"/>
          <w:sz w:val="24"/>
          <w:szCs w:val="24"/>
          <w:lang w:val="en-GB"/>
        </w:rPr>
        <w:t>Increase lecturers’ awareness of the application of the gender dimension in academic activities.</w:t>
      </w:r>
    </w:p>
    <w:p w14:paraId="502CFA8A" w14:textId="2204BCD1" w:rsidR="009929F9" w:rsidRPr="007C125F" w:rsidRDefault="00000000" w:rsidP="009929F9">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Integrate the gender dimension into applied research and artistic activities.</w:t>
      </w:r>
    </w:p>
    <w:p w14:paraId="0000004C" w14:textId="36DCD039" w:rsidR="00CA7C64" w:rsidRPr="007C125F" w:rsidRDefault="00000000" w:rsidP="009929F9">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sz w:val="24"/>
          <w:szCs w:val="24"/>
          <w:lang w:val="en-GB"/>
        </w:rPr>
        <w:t>To foster</w:t>
      </w:r>
      <w:r w:rsidRPr="007C125F">
        <w:rPr>
          <w:rFonts w:ascii="Times New Roman" w:eastAsia="Times New Roman" w:hAnsi="Times New Roman" w:cs="Times New Roman"/>
          <w:color w:val="000000"/>
          <w:sz w:val="24"/>
          <w:szCs w:val="24"/>
          <w:lang w:val="en-GB"/>
        </w:rPr>
        <w:t xml:space="preserve"> an organisational culture that upholds the principles of gender equality.</w:t>
      </w:r>
    </w:p>
    <w:p w14:paraId="0000004D" w14:textId="08DE209A" w:rsidR="00CA7C64" w:rsidRPr="007C125F" w:rsidRDefault="00000000">
      <w:pPr>
        <w:numPr>
          <w:ilvl w:val="3"/>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Organise information campaigns promoting gender diversity in underrepresented fields of study.</w:t>
      </w:r>
    </w:p>
    <w:p w14:paraId="0000004E" w14:textId="77777777" w:rsidR="00CA7C64" w:rsidRPr="007C125F" w:rsidRDefault="00000000">
      <w:pPr>
        <w:numPr>
          <w:ilvl w:val="1"/>
          <w:numId w:val="1"/>
        </w:num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r w:rsidRPr="007C125F">
        <w:rPr>
          <w:rFonts w:ascii="Times New Roman" w:eastAsia="Times New Roman" w:hAnsi="Times New Roman" w:cs="Times New Roman"/>
          <w:b/>
          <w:color w:val="000000"/>
          <w:sz w:val="24"/>
          <w:szCs w:val="24"/>
          <w:lang w:val="en-GB"/>
        </w:rPr>
        <w:t xml:space="preserve"> Measures against gender-based violence, including sexual harassment:</w:t>
      </w:r>
    </w:p>
    <w:p w14:paraId="0000004F" w14:textId="77777777" w:rsidR="00CA7C64" w:rsidRPr="007C125F" w:rsidRDefault="00000000" w:rsidP="009929F9">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lastRenderedPageBreak/>
        <w:t>Objective – to create a safe environment in which gender-based violence and sexual harassment are not tolerated, ensuring a clear complaints handling procedure.</w:t>
      </w:r>
    </w:p>
    <w:p w14:paraId="00000050" w14:textId="77777777" w:rsidR="00CA7C64" w:rsidRPr="007C125F" w:rsidRDefault="00000000" w:rsidP="009929F9">
      <w:pPr>
        <w:numPr>
          <w:ilvl w:val="2"/>
          <w:numId w:val="1"/>
        </w:numPr>
        <w:pBdr>
          <w:top w:val="nil"/>
          <w:left w:val="nil"/>
          <w:bottom w:val="nil"/>
          <w:right w:val="nil"/>
          <w:between w:val="nil"/>
        </w:pBdr>
        <w:tabs>
          <w:tab w:val="left" w:pos="1134"/>
        </w:tabs>
        <w:spacing w:after="0" w:line="240" w:lineRule="auto"/>
        <w:ind w:left="0" w:firstLine="567"/>
        <w:jc w:val="both"/>
        <w:rPr>
          <w:sz w:val="24"/>
          <w:szCs w:val="24"/>
        </w:rPr>
      </w:pPr>
      <w:r w:rsidRPr="007C125F">
        <w:rPr>
          <w:rFonts w:ascii="Times New Roman" w:eastAsia="Times New Roman" w:hAnsi="Times New Roman" w:cs="Times New Roman"/>
          <w:color w:val="000000"/>
          <w:sz w:val="24"/>
          <w:szCs w:val="24"/>
          <w:lang w:val="en-GB"/>
        </w:rPr>
        <w:t>Objectives:</w:t>
      </w:r>
    </w:p>
    <w:p w14:paraId="00000051" w14:textId="77777777" w:rsidR="00CA7C64" w:rsidRPr="007C125F" w:rsidRDefault="00000000">
      <w:pPr>
        <w:numPr>
          <w:ilvl w:val="3"/>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FF0000"/>
          <w:sz w:val="24"/>
          <w:szCs w:val="24"/>
        </w:rPr>
      </w:pPr>
      <w:bookmarkStart w:id="1" w:name="_heading=h.cquewjidntwn" w:colFirst="0" w:colLast="0"/>
      <w:bookmarkEnd w:id="1"/>
      <w:r w:rsidRPr="007C125F">
        <w:rPr>
          <w:rFonts w:ascii="Times New Roman" w:eastAsia="Times New Roman" w:hAnsi="Times New Roman" w:cs="Times New Roman"/>
          <w:color w:val="000000"/>
          <w:sz w:val="24"/>
          <w:szCs w:val="24"/>
          <w:lang w:val="en-GB"/>
        </w:rPr>
        <w:t>Strengthen the anonymous reporting system for harassment and regulate its application.</w:t>
      </w:r>
    </w:p>
    <w:p w14:paraId="00000052" w14:textId="77777777" w:rsidR="00CA7C64" w:rsidRDefault="00000000">
      <w:pPr>
        <w:numPr>
          <w:ilvl w:val="3"/>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lang w:val="en-GB"/>
        </w:rPr>
        <w:t>Carry out regular staff training and communication on violence prevention and zero tolerance for violence.</w:t>
      </w:r>
    </w:p>
    <w:p w14:paraId="00000053" w14:textId="77777777" w:rsidR="00CA7C64" w:rsidRDefault="00000000">
      <w:pPr>
        <w:numPr>
          <w:ilvl w:val="3"/>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lang w:val="en-GB"/>
        </w:rPr>
        <w:t>Regularly monitor the number of cases and evaluate the effectiveness of the measures.</w:t>
      </w:r>
    </w:p>
    <w:p w14:paraId="00000054" w14:textId="77777777" w:rsidR="00CA7C64" w:rsidRDefault="00000000">
      <w:pPr>
        <w:numPr>
          <w:ilvl w:val="1"/>
          <w:numId w:val="1"/>
        </w:num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GB"/>
        </w:rPr>
        <w:t xml:space="preserve"> Monitoring the Implementation of the Gender Equality Plan:</w:t>
      </w:r>
    </w:p>
    <w:p w14:paraId="00000055" w14:textId="77777777" w:rsidR="00CA7C64" w:rsidRDefault="00000000" w:rsidP="009929F9">
      <w:pPr>
        <w:numPr>
          <w:ilvl w:val="2"/>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lang w:val="en-GB"/>
        </w:rPr>
        <w:t>Objective – to ensure consistent monitoring and accountability in the implementation of the Gender Equality Plan.</w:t>
      </w:r>
    </w:p>
    <w:p w14:paraId="00000056" w14:textId="77777777" w:rsidR="00CA7C64" w:rsidRDefault="00000000" w:rsidP="009929F9">
      <w:pPr>
        <w:numPr>
          <w:ilvl w:val="2"/>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lang w:val="en-GB"/>
        </w:rPr>
        <w:t>Objectives:</w:t>
      </w:r>
    </w:p>
    <w:p w14:paraId="00000057" w14:textId="77777777" w:rsidR="00CA7C64" w:rsidRDefault="00000000" w:rsidP="009929F9">
      <w:pPr>
        <w:numPr>
          <w:ilvl w:val="3"/>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lang w:val="en-GB"/>
        </w:rPr>
        <w:t>Ensure consistent data collection and monitoring of the implementation of the Gender Equality Plan.</w:t>
      </w:r>
    </w:p>
    <w:p w14:paraId="00000058" w14:textId="77777777" w:rsidR="00CA7C64" w:rsidRDefault="00000000">
      <w:pPr>
        <w:numPr>
          <w:ilvl w:val="0"/>
          <w:numId w:val="1"/>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4"/>
          <w:szCs w:val="24"/>
          <w:lang w:val="en-GB"/>
        </w:rPr>
        <w:t>The Gender Equality Plan for 2026–2030, with defined responsibilities, resources, timelines, and expected outcomes, is provided in Annex 2.</w:t>
      </w:r>
    </w:p>
    <w:p w14:paraId="00000059" w14:textId="77777777" w:rsidR="00CA7C64" w:rsidRDefault="00CA7C64">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000005A" w14:textId="77777777" w:rsidR="00CA7C64" w:rsidRDefault="00CA7C6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000005B" w14:textId="77777777" w:rsidR="00CA7C64" w:rsidRDefault="00000000">
      <w:pPr>
        <w:spacing w:after="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GB"/>
        </w:rPr>
        <w:t>CHAPTER IV</w:t>
      </w:r>
    </w:p>
    <w:p w14:paraId="0000005C" w14:textId="77777777" w:rsidR="00CA7C64" w:rsidRDefault="00000000">
      <w:pPr>
        <w:spacing w:after="120" w:line="240" w:lineRule="auto"/>
        <w:ind w:right="-3"/>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lang w:val="en-GB"/>
        </w:rPr>
        <w:t xml:space="preserve">MONITORING AND EVALUATION OF THE IMPLEMENTATION OF THE </w:t>
      </w:r>
      <w:r>
        <w:rPr>
          <w:rFonts w:ascii="Times New Roman" w:eastAsia="Times New Roman" w:hAnsi="Times New Roman" w:cs="Times New Roman"/>
          <w:b/>
          <w:smallCaps/>
          <w:sz w:val="24"/>
          <w:szCs w:val="24"/>
          <w:lang w:val="en-GB"/>
        </w:rPr>
        <w:t>GENDER EQUALITY</w:t>
      </w:r>
      <w:r>
        <w:rPr>
          <w:rFonts w:ascii="Times New Roman" w:eastAsia="Times New Roman" w:hAnsi="Times New Roman" w:cs="Times New Roman"/>
          <w:b/>
          <w:smallCaps/>
          <w:color w:val="000000"/>
          <w:sz w:val="24"/>
          <w:szCs w:val="24"/>
          <w:lang w:val="en-GB"/>
        </w:rPr>
        <w:t xml:space="preserve"> PLAN</w:t>
      </w:r>
    </w:p>
    <w:p w14:paraId="0000005D" w14:textId="77777777" w:rsidR="00CA7C64" w:rsidRDefault="00CA7C64" w:rsidP="007C125F">
      <w:pPr>
        <w:spacing w:after="0" w:line="240" w:lineRule="auto"/>
        <w:ind w:right="-6"/>
        <w:jc w:val="center"/>
        <w:rPr>
          <w:rFonts w:ascii="Times New Roman" w:eastAsia="Times New Roman" w:hAnsi="Times New Roman" w:cs="Times New Roman"/>
          <w:b/>
          <w:smallCaps/>
          <w:color w:val="000000"/>
          <w:sz w:val="24"/>
          <w:szCs w:val="24"/>
        </w:rPr>
      </w:pPr>
    </w:p>
    <w:p w14:paraId="0000005E" w14:textId="77777777" w:rsidR="00CA7C64" w:rsidRDefault="00000000">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 implementation of the Plan is based on the consistent integration of actions into the Kolegija’s annual activity planning and periodic monitoring.</w:t>
      </w:r>
    </w:p>
    <w:p w14:paraId="0000005F" w14:textId="48876A9A" w:rsidR="00CA7C64" w:rsidRDefault="00000000">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At the beginning of each year, the Strategic Planning and Quality Management </w:t>
      </w:r>
      <w:r w:rsidR="00787721">
        <w:rPr>
          <w:rFonts w:ascii="Times New Roman" w:eastAsia="Times New Roman" w:hAnsi="Times New Roman" w:cs="Times New Roman"/>
          <w:color w:val="000000"/>
          <w:sz w:val="24"/>
          <w:szCs w:val="24"/>
          <w:lang w:val="en-GB"/>
        </w:rPr>
        <w:t>Unit</w:t>
      </w:r>
      <w:r>
        <w:rPr>
          <w:rFonts w:ascii="Times New Roman" w:eastAsia="Times New Roman" w:hAnsi="Times New Roman" w:cs="Times New Roman"/>
          <w:color w:val="000000"/>
          <w:sz w:val="24"/>
          <w:szCs w:val="24"/>
          <w:lang w:val="en-GB"/>
        </w:rPr>
        <w:t>, together with the responsible units, prepares the annual action plan for the implementation of the Plan. The annual action plan specifies the concrete measures to be implemented, their deadlines, responsible executors, and the necessary resources.</w:t>
      </w:r>
    </w:p>
    <w:p w14:paraId="00000060" w14:textId="77777777" w:rsidR="00CA7C64" w:rsidRDefault="00000000">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 measures of the annual action plan are incorporated into the overall annual activity plan of Kauno kolegija.</w:t>
      </w:r>
    </w:p>
    <w:p w14:paraId="00000061" w14:textId="77777777" w:rsidR="00CA7C64" w:rsidRDefault="00000000">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To ensure the transparency, effectiveness, and continuous improvement of the Plan’s implementation, the progress and impact of the measures set out in the Plan are periodically evaluated.</w:t>
      </w:r>
    </w:p>
    <w:p w14:paraId="00000062" w14:textId="77777777" w:rsidR="00CA7C64" w:rsidRDefault="00000000">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 monitoring of the Plan’s implementation is carried out once a year. The measures of the annual action plan are incorporated into the overall annual activity plan of Kauno kolegija.</w:t>
      </w:r>
    </w:p>
    <w:p w14:paraId="00000063" w14:textId="77777777" w:rsidR="00CA7C64" w:rsidRDefault="00000000">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During the monitoring of the Plan’s implementation, the following are evaluated: the number and level of implemented planned measures; data on the distribution of employees, managers, and students by gender; employee/student surveys on well-being, organizational culture, and harassment; the number of participants in gender equality training and their feedback; the number of reports received on </w:t>
      </w:r>
      <w:r>
        <w:rPr>
          <w:rFonts w:ascii="Times New Roman" w:eastAsia="Times New Roman" w:hAnsi="Times New Roman" w:cs="Times New Roman"/>
          <w:sz w:val="24"/>
          <w:szCs w:val="24"/>
          <w:lang w:val="en-GB"/>
        </w:rPr>
        <w:t>cases</w:t>
      </w:r>
      <w:r>
        <w:rPr>
          <w:rFonts w:ascii="Times New Roman" w:eastAsia="Times New Roman" w:hAnsi="Times New Roman" w:cs="Times New Roman"/>
          <w:color w:val="000000"/>
          <w:sz w:val="24"/>
          <w:szCs w:val="24"/>
          <w:lang w:val="en-GB"/>
        </w:rPr>
        <w:t xml:space="preserve"> of violence and harassment and the duration of their review; the achievement values of other performance indicators set out in the Plan.</w:t>
      </w:r>
    </w:p>
    <w:p w14:paraId="00000064" w14:textId="4CD3419D" w:rsidR="00CA7C64" w:rsidRDefault="00000000">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The implementation report of the Plan is an integral part of Kolegija’s annual activity report. The preparation of the implementation report is organised by the Strategic Planning and Quality Management </w:t>
      </w:r>
      <w:r w:rsidR="00787721">
        <w:rPr>
          <w:rFonts w:ascii="Times New Roman" w:eastAsia="Times New Roman" w:hAnsi="Times New Roman" w:cs="Times New Roman"/>
          <w:color w:val="000000"/>
          <w:sz w:val="24"/>
          <w:szCs w:val="24"/>
          <w:lang w:val="en-GB"/>
        </w:rPr>
        <w:t>Unit</w:t>
      </w:r>
      <w:r>
        <w:rPr>
          <w:rFonts w:ascii="Times New Roman" w:eastAsia="Times New Roman" w:hAnsi="Times New Roman" w:cs="Times New Roman"/>
          <w:color w:val="000000"/>
          <w:sz w:val="24"/>
          <w:szCs w:val="24"/>
          <w:lang w:val="en-GB"/>
        </w:rPr>
        <w:t xml:space="preserve">. The data for the preparation of the report are provided by the responsible units: the Study Administration </w:t>
      </w:r>
      <w:r w:rsidR="00787721">
        <w:rPr>
          <w:rFonts w:ascii="Times New Roman" w:eastAsia="Times New Roman" w:hAnsi="Times New Roman" w:cs="Times New Roman"/>
          <w:color w:val="000000"/>
          <w:sz w:val="24"/>
          <w:szCs w:val="24"/>
          <w:lang w:val="en-GB"/>
        </w:rPr>
        <w:t>Unit</w:t>
      </w:r>
      <w:r>
        <w:rPr>
          <w:rFonts w:ascii="Times New Roman" w:eastAsia="Times New Roman" w:hAnsi="Times New Roman" w:cs="Times New Roman"/>
          <w:color w:val="000000"/>
          <w:sz w:val="24"/>
          <w:szCs w:val="24"/>
          <w:lang w:val="en-GB"/>
        </w:rPr>
        <w:t xml:space="preserve">, the Human Resources Management </w:t>
      </w:r>
      <w:r w:rsidR="00787721">
        <w:rPr>
          <w:rFonts w:ascii="Times New Roman" w:eastAsia="Times New Roman" w:hAnsi="Times New Roman" w:cs="Times New Roman"/>
          <w:color w:val="000000"/>
          <w:sz w:val="24"/>
          <w:szCs w:val="24"/>
          <w:lang w:val="en-GB"/>
        </w:rPr>
        <w:t>Unit</w:t>
      </w:r>
      <w:r>
        <w:rPr>
          <w:rFonts w:ascii="Times New Roman" w:eastAsia="Times New Roman" w:hAnsi="Times New Roman" w:cs="Times New Roman"/>
          <w:color w:val="000000"/>
          <w:sz w:val="24"/>
          <w:szCs w:val="24"/>
          <w:lang w:val="en-GB"/>
        </w:rPr>
        <w:t xml:space="preserve">, the Lifelong Learning </w:t>
      </w:r>
      <w:r w:rsidR="00787721">
        <w:rPr>
          <w:rFonts w:ascii="Times New Roman" w:eastAsia="Times New Roman" w:hAnsi="Times New Roman" w:cs="Times New Roman"/>
          <w:color w:val="000000"/>
          <w:sz w:val="24"/>
          <w:szCs w:val="24"/>
          <w:lang w:val="en-GB"/>
        </w:rPr>
        <w:t>Centre</w:t>
      </w:r>
      <w:r>
        <w:rPr>
          <w:rFonts w:ascii="Times New Roman" w:eastAsia="Times New Roman" w:hAnsi="Times New Roman" w:cs="Times New Roman"/>
          <w:color w:val="000000"/>
          <w:sz w:val="24"/>
          <w:szCs w:val="24"/>
          <w:lang w:val="en-GB"/>
        </w:rPr>
        <w:t xml:space="preserve">, </w:t>
      </w:r>
      <w:r w:rsidR="00787721">
        <w:rPr>
          <w:rFonts w:ascii="Times New Roman" w:eastAsia="Times New Roman" w:hAnsi="Times New Roman" w:cs="Times New Roman"/>
          <w:color w:val="000000"/>
          <w:sz w:val="24"/>
          <w:szCs w:val="24"/>
          <w:lang w:val="en-GB"/>
        </w:rPr>
        <w:t xml:space="preserve">the </w:t>
      </w:r>
      <w:r w:rsidR="00787721">
        <w:rPr>
          <w:rFonts w:ascii="Times New Roman" w:eastAsia="Times New Roman" w:hAnsi="Times New Roman" w:cs="Times New Roman"/>
          <w:color w:val="000000"/>
          <w:sz w:val="24"/>
          <w:szCs w:val="24"/>
          <w:lang w:val="en-GB"/>
        </w:rPr>
        <w:t>Department</w:t>
      </w:r>
      <w:r w:rsidR="00787721">
        <w:rPr>
          <w:rFonts w:ascii="Times New Roman" w:eastAsia="Times New Roman" w:hAnsi="Times New Roman" w:cs="Times New Roman"/>
          <w:color w:val="000000"/>
          <w:sz w:val="24"/>
          <w:szCs w:val="24"/>
          <w:lang w:val="en-GB"/>
        </w:rPr>
        <w:t xml:space="preserve"> of </w:t>
      </w:r>
      <w:r>
        <w:rPr>
          <w:rFonts w:ascii="Times New Roman" w:eastAsia="Times New Roman" w:hAnsi="Times New Roman" w:cs="Times New Roman"/>
          <w:color w:val="000000"/>
          <w:sz w:val="24"/>
          <w:szCs w:val="24"/>
          <w:lang w:val="en-GB"/>
        </w:rPr>
        <w:t xml:space="preserve">Finance and Accounting, the Marketing and Communication </w:t>
      </w:r>
      <w:r w:rsidR="00787721">
        <w:rPr>
          <w:rFonts w:ascii="Times New Roman" w:eastAsia="Times New Roman" w:hAnsi="Times New Roman" w:cs="Times New Roman"/>
          <w:color w:val="000000"/>
          <w:sz w:val="24"/>
          <w:szCs w:val="24"/>
          <w:lang w:val="en-GB"/>
        </w:rPr>
        <w:t>Unit</w:t>
      </w:r>
      <w:r>
        <w:rPr>
          <w:rFonts w:ascii="Times New Roman" w:eastAsia="Times New Roman" w:hAnsi="Times New Roman" w:cs="Times New Roman"/>
          <w:color w:val="000000"/>
          <w:sz w:val="24"/>
          <w:szCs w:val="24"/>
          <w:lang w:val="en-GB"/>
        </w:rPr>
        <w:t xml:space="preserve">, the Legal and Document Management </w:t>
      </w:r>
      <w:r w:rsidR="00787721">
        <w:rPr>
          <w:rFonts w:ascii="Times New Roman" w:eastAsia="Times New Roman" w:hAnsi="Times New Roman" w:cs="Times New Roman"/>
          <w:color w:val="000000"/>
          <w:sz w:val="24"/>
          <w:szCs w:val="24"/>
          <w:lang w:val="en-GB"/>
        </w:rPr>
        <w:t>Unit</w:t>
      </w:r>
      <w:r>
        <w:rPr>
          <w:rFonts w:ascii="Times New Roman" w:eastAsia="Times New Roman" w:hAnsi="Times New Roman" w:cs="Times New Roman"/>
          <w:color w:val="000000"/>
          <w:sz w:val="24"/>
          <w:szCs w:val="24"/>
          <w:lang w:val="en-GB"/>
        </w:rPr>
        <w:t xml:space="preserve">, </w:t>
      </w:r>
      <w:r w:rsidR="00787721">
        <w:rPr>
          <w:rFonts w:ascii="Times New Roman" w:eastAsia="Times New Roman" w:hAnsi="Times New Roman" w:cs="Times New Roman"/>
          <w:color w:val="000000"/>
          <w:sz w:val="24"/>
          <w:szCs w:val="24"/>
          <w:lang w:val="en-GB"/>
        </w:rPr>
        <w:t xml:space="preserve">the </w:t>
      </w:r>
      <w:r>
        <w:rPr>
          <w:rFonts w:ascii="Times New Roman" w:eastAsia="Times New Roman" w:hAnsi="Times New Roman" w:cs="Times New Roman"/>
          <w:color w:val="000000"/>
          <w:sz w:val="24"/>
          <w:szCs w:val="24"/>
          <w:lang w:val="en-GB"/>
        </w:rPr>
        <w:t>faculties, and other units responsible for the implementation of the Plan’s measures.</w:t>
      </w:r>
    </w:p>
    <w:p w14:paraId="00000065" w14:textId="77777777" w:rsidR="00CA7C64" w:rsidRDefault="00000000">
      <w:pPr>
        <w:numPr>
          <w:ilvl w:val="0"/>
          <w:numId w:val="1"/>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The progress of the Plan’s implementation is discussed at annual internal meetings, where emerging obstacles are addressed, and improvement actions are planned.</w:t>
      </w:r>
    </w:p>
    <w:p w14:paraId="00000066" w14:textId="77777777" w:rsidR="00CA7C64" w:rsidRDefault="00000000">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lastRenderedPageBreak/>
        <w:t>At the end of the Plan’s implementation period, a comprehensive evaluation of the Plan’s implementation over the entire period is carried out, providing assessment conclusions and recommendations for the new period.</w:t>
      </w:r>
    </w:p>
    <w:p w14:paraId="554B6900" w14:textId="77777777" w:rsidR="007C125F" w:rsidRDefault="007C125F">
      <w:pPr>
        <w:tabs>
          <w:tab w:val="left" w:pos="709"/>
        </w:tabs>
        <w:spacing w:after="0" w:line="240" w:lineRule="auto"/>
        <w:ind w:right="-5"/>
        <w:jc w:val="center"/>
        <w:rPr>
          <w:rFonts w:ascii="Times New Roman" w:eastAsia="Times New Roman" w:hAnsi="Times New Roman" w:cs="Times New Roman"/>
          <w:b/>
          <w:color w:val="000000"/>
          <w:sz w:val="24"/>
          <w:szCs w:val="24"/>
        </w:rPr>
      </w:pPr>
    </w:p>
    <w:p w14:paraId="00000068" w14:textId="2A81EC1A" w:rsidR="00CA7C64" w:rsidRDefault="00000000">
      <w:pPr>
        <w:tabs>
          <w:tab w:val="left" w:pos="709"/>
        </w:tabs>
        <w:spacing w:after="0" w:line="240" w:lineRule="auto"/>
        <w:ind w:right="-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GB"/>
        </w:rPr>
        <w:t>CHAPTER VI</w:t>
      </w:r>
    </w:p>
    <w:p w14:paraId="00000069" w14:textId="77777777" w:rsidR="00CA7C64" w:rsidRDefault="00000000">
      <w:pPr>
        <w:tabs>
          <w:tab w:val="left" w:pos="709"/>
        </w:tabs>
        <w:spacing w:after="120" w:line="240" w:lineRule="auto"/>
        <w:ind w:right="-5" w:firstLine="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GB"/>
        </w:rPr>
        <w:t>FINAL PROVISIONS</w:t>
      </w:r>
    </w:p>
    <w:p w14:paraId="0000006A" w14:textId="77777777" w:rsidR="00CA7C64" w:rsidRDefault="00000000">
      <w:pPr>
        <w:numPr>
          <w:ilvl w:val="0"/>
          <w:numId w:val="2"/>
        </w:numPr>
        <w:tabs>
          <w:tab w:val="left" w:pos="709"/>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The Description shall be approved, amended, or declared void by a resolution of the Academic Council of Kolegija. </w:t>
      </w:r>
    </w:p>
    <w:p w14:paraId="0000006B" w14:textId="77777777" w:rsidR="00CA7C64" w:rsidRDefault="00000000">
      <w:pPr>
        <w:numPr>
          <w:ilvl w:val="0"/>
          <w:numId w:val="2"/>
        </w:numPr>
        <w:tabs>
          <w:tab w:val="left" w:pos="709"/>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The Plan shall enter into force upon its approval by a resolution of the Academic Council of Kolegija and must be published within 2 working days of its approval in the internal information system of Kolegija.</w:t>
      </w:r>
    </w:p>
    <w:p w14:paraId="0000006C" w14:textId="77777777" w:rsidR="00CA7C64" w:rsidRDefault="00000000">
      <w:pPr>
        <w:numPr>
          <w:ilvl w:val="0"/>
          <w:numId w:val="2"/>
        </w:numPr>
        <w:tabs>
          <w:tab w:val="left" w:pos="709"/>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The Plan and other related implementation documents shall be published on the Kolegija website.</w:t>
      </w:r>
    </w:p>
    <w:p w14:paraId="0000006D" w14:textId="77777777" w:rsidR="00CA7C64" w:rsidRDefault="00CA7C64"/>
    <w:p w14:paraId="0000006E" w14:textId="77777777" w:rsidR="00CA7C64" w:rsidRDefault="00CA7C64"/>
    <w:p w14:paraId="0000006F" w14:textId="77777777" w:rsidR="00CA7C64" w:rsidRDefault="00CA7C64"/>
    <w:sectPr w:rsidR="00CA7C64">
      <w:footerReference w:type="default" r:id="rId8"/>
      <w:pgSz w:w="12240" w:h="15840"/>
      <w:pgMar w:top="1134" w:right="567" w:bottom="1134" w:left="1701"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EE8A" w14:textId="77777777" w:rsidR="00C54B9E" w:rsidRDefault="00C54B9E">
      <w:pPr>
        <w:spacing w:after="0" w:line="240" w:lineRule="auto"/>
      </w:pPr>
      <w:r>
        <w:separator/>
      </w:r>
    </w:p>
  </w:endnote>
  <w:endnote w:type="continuationSeparator" w:id="0">
    <w:p w14:paraId="69EB6005" w14:textId="77777777" w:rsidR="00C54B9E" w:rsidRDefault="00C5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60409020205020404"/>
    <w:charset w:val="00"/>
    <w:family w:val="modern"/>
    <w:pitch w:val="fixed"/>
    <w:sig w:usb0="00000003" w:usb1="00000000" w:usb2="00000000" w:usb3="00000000" w:csb0="00000001" w:csb1="00000000"/>
  </w:font>
  <w:font w:name="Robo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59431"/>
      <w:docPartObj>
        <w:docPartGallery w:val="Page Numbers (Bottom of Page)"/>
        <w:docPartUnique/>
      </w:docPartObj>
    </w:sdtPr>
    <w:sdtContent>
      <w:p w14:paraId="5A5AD1EA" w14:textId="04EC7182" w:rsidR="007C125F" w:rsidRDefault="00000000">
        <w:pPr>
          <w:pStyle w:val="Footer"/>
          <w:jc w:val="right"/>
        </w:pPr>
        <w:r>
          <w:fldChar w:fldCharType="begin"/>
        </w:r>
        <w:r>
          <w:instrText>PAGE   \* MERGEFORMAT</w:instrText>
        </w:r>
        <w:r>
          <w:fldChar w:fldCharType="separate"/>
        </w:r>
        <w:r>
          <w:rPr>
            <w:lang w:val="lt-LT"/>
          </w:rPr>
          <w:t>5</w:t>
        </w:r>
        <w:r>
          <w:fldChar w:fldCharType="end"/>
        </w:r>
      </w:p>
    </w:sdtContent>
  </w:sdt>
  <w:p w14:paraId="02B031F9" w14:textId="77777777" w:rsidR="007C125F" w:rsidRDefault="007C1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2BA2" w14:textId="77777777" w:rsidR="00C54B9E" w:rsidRDefault="00C54B9E">
      <w:pPr>
        <w:spacing w:after="0" w:line="240" w:lineRule="auto"/>
      </w:pPr>
      <w:r>
        <w:separator/>
      </w:r>
    </w:p>
  </w:footnote>
  <w:footnote w:type="continuationSeparator" w:id="0">
    <w:p w14:paraId="4AA8860A" w14:textId="77777777" w:rsidR="00C54B9E" w:rsidRDefault="00C54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6784C"/>
    <w:multiLevelType w:val="multilevel"/>
    <w:tmpl w:val="895C150C"/>
    <w:lvl w:ilvl="0">
      <w:start w:val="1"/>
      <w:numFmt w:val="decimal"/>
      <w:pStyle w:val="ListBullet"/>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30" w:hanging="720"/>
      </w:pPr>
    </w:lvl>
    <w:lvl w:ilvl="3">
      <w:start w:val="1"/>
      <w:numFmt w:val="decimal"/>
      <w:lvlText w:val="%1.%2.%3.%4."/>
      <w:lvlJc w:val="left"/>
      <w:pPr>
        <w:ind w:left="1701" w:hanging="720"/>
      </w:pPr>
      <w:rPr>
        <w:color w:val="000000"/>
      </w:r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1" w15:restartNumberingAfterBreak="0">
    <w:nsid w:val="725D3A4C"/>
    <w:multiLevelType w:val="multilevel"/>
    <w:tmpl w:val="53044AAC"/>
    <w:lvl w:ilvl="0">
      <w:start w:val="11"/>
      <w:numFmt w:val="decimal"/>
      <w:pStyle w:val="ListBullet2"/>
      <w:lvlText w:val="%1."/>
      <w:lvlJc w:val="left"/>
      <w:pPr>
        <w:ind w:left="360" w:hanging="360"/>
      </w:pPr>
      <w:rPr>
        <w:b w:val="0"/>
        <w:strike w:val="0"/>
        <w:color w:val="000000"/>
        <w:u w:val="none"/>
      </w:rPr>
    </w:lvl>
    <w:lvl w:ilvl="1">
      <w:start w:val="1"/>
      <w:numFmt w:val="decimal"/>
      <w:lvlText w:val="%1.%2."/>
      <w:lvlJc w:val="left"/>
      <w:pPr>
        <w:ind w:left="930" w:hanging="360"/>
      </w:pPr>
      <w:rPr>
        <w:b w:val="0"/>
        <w:strike w:val="0"/>
        <w:color w:val="000000"/>
        <w:u w:val="none"/>
      </w:rPr>
    </w:lvl>
    <w:lvl w:ilvl="2">
      <w:start w:val="1"/>
      <w:numFmt w:val="decimal"/>
      <w:lvlText w:val="%1.%2.%3."/>
      <w:lvlJc w:val="left"/>
      <w:pPr>
        <w:ind w:left="1860" w:hanging="720"/>
      </w:pPr>
      <w:rPr>
        <w:b w:val="0"/>
        <w:strike w:val="0"/>
        <w:color w:val="000000"/>
        <w:u w:val="none"/>
      </w:rPr>
    </w:lvl>
    <w:lvl w:ilvl="3">
      <w:start w:val="1"/>
      <w:numFmt w:val="decimal"/>
      <w:lvlText w:val="%1.%2.%3.%4."/>
      <w:lvlJc w:val="left"/>
      <w:pPr>
        <w:ind w:left="2430" w:hanging="720"/>
      </w:pPr>
      <w:rPr>
        <w:b w:val="0"/>
        <w:color w:val="000000"/>
      </w:rPr>
    </w:lvl>
    <w:lvl w:ilvl="4">
      <w:start w:val="1"/>
      <w:numFmt w:val="decimal"/>
      <w:lvlText w:val="%1.%2.%3.%4.%5."/>
      <w:lvlJc w:val="left"/>
      <w:pPr>
        <w:ind w:left="3360" w:hanging="1080"/>
      </w:pPr>
      <w:rPr>
        <w:b/>
        <w:color w:val="000000"/>
      </w:rPr>
    </w:lvl>
    <w:lvl w:ilvl="5">
      <w:start w:val="1"/>
      <w:numFmt w:val="decimal"/>
      <w:lvlText w:val="%1.%2.%3.%4.%5.%6."/>
      <w:lvlJc w:val="left"/>
      <w:pPr>
        <w:ind w:left="3930" w:hanging="1080"/>
      </w:pPr>
      <w:rPr>
        <w:b/>
        <w:color w:val="000000"/>
      </w:rPr>
    </w:lvl>
    <w:lvl w:ilvl="6">
      <w:start w:val="1"/>
      <w:numFmt w:val="decimal"/>
      <w:lvlText w:val="%1.%2.%3.%4.%5.%6.%7."/>
      <w:lvlJc w:val="left"/>
      <w:pPr>
        <w:ind w:left="4860" w:hanging="1440"/>
      </w:pPr>
      <w:rPr>
        <w:b/>
        <w:color w:val="000000"/>
      </w:rPr>
    </w:lvl>
    <w:lvl w:ilvl="7">
      <w:start w:val="1"/>
      <w:numFmt w:val="decimal"/>
      <w:lvlText w:val="%1.%2.%3.%4.%5.%6.%7.%8."/>
      <w:lvlJc w:val="left"/>
      <w:pPr>
        <w:ind w:left="5430" w:hanging="1440"/>
      </w:pPr>
      <w:rPr>
        <w:b/>
        <w:color w:val="000000"/>
      </w:rPr>
    </w:lvl>
    <w:lvl w:ilvl="8">
      <w:start w:val="1"/>
      <w:numFmt w:val="decimal"/>
      <w:lvlText w:val="%1.%2.%3.%4.%5.%6.%7.%8.%9."/>
      <w:lvlJc w:val="left"/>
      <w:pPr>
        <w:ind w:left="6360" w:hanging="1800"/>
      </w:pPr>
      <w:rPr>
        <w:b/>
        <w:color w:val="000000"/>
      </w:rPr>
    </w:lvl>
  </w:abstractNum>
  <w:abstractNum w:abstractNumId="2" w15:restartNumberingAfterBreak="0">
    <w:nsid w:val="7F2F01F2"/>
    <w:multiLevelType w:val="multilevel"/>
    <w:tmpl w:val="87D8F050"/>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6646301">
    <w:abstractNumId w:val="0"/>
  </w:num>
  <w:num w:numId="2" w16cid:durableId="2094081233">
    <w:abstractNumId w:val="1"/>
  </w:num>
  <w:num w:numId="3" w16cid:durableId="1124620020">
    <w:abstractNumId w:val="2"/>
  </w:num>
  <w:num w:numId="4" w16cid:durableId="87346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482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6368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64"/>
    <w:rsid w:val="00381857"/>
    <w:rsid w:val="00482CE9"/>
    <w:rsid w:val="004A734D"/>
    <w:rsid w:val="0050777A"/>
    <w:rsid w:val="00787721"/>
    <w:rsid w:val="007C125F"/>
    <w:rsid w:val="0080275F"/>
    <w:rsid w:val="009929F9"/>
    <w:rsid w:val="00A040C5"/>
    <w:rsid w:val="00AD489F"/>
    <w:rsid w:val="00C54B9E"/>
    <w:rsid w:val="00C65D1E"/>
    <w:rsid w:val="00C910F9"/>
    <w:rsid w:val="00CA7C64"/>
    <w:rsid w:val="00D14D09"/>
    <w:rsid w:val="00F969A5"/>
    <w:rsid w:val="00FC1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64F07"/>
  <w15:docId w15:val="{D5BE49B2-E638-4FD7-96F6-4E8C0F44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paragraph" w:styleId="Heading7">
    <w:name w:val="heading 7"/>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00">
    <w:name w:val="TableNormal_0"/>
    <w:tblPr>
      <w:tblCellMar>
        <w:top w:w="100" w:type="dxa"/>
        <w:left w:w="100" w:type="dxa"/>
        <w:bottom w:w="100" w:type="dxa"/>
        <w:right w:w="100" w:type="dxa"/>
      </w:tblCellMar>
    </w:tblPr>
  </w:style>
  <w:style w:type="paragraph" w:styleId="Header">
    <w:name w:val="header"/>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Antrat1Diagrama">
    <w:name w:val="Antraštė 1 Diagrama"/>
    <w:basedOn w:val="DefaultParagraphFont"/>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DefaultParagraphFont"/>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DefaultParagraphFont"/>
    <w:uiPriority w:val="9"/>
    <w:rsid w:val="00FC693F"/>
    <w:rPr>
      <w:rFonts w:asciiTheme="majorHAnsi" w:eastAsiaTheme="majorEastAsia" w:hAnsiTheme="majorHAnsi" w:cstheme="majorBidi"/>
      <w:b/>
      <w:bCs/>
      <w:color w:val="4F81BD" w:themeColor="accent1"/>
    </w:rPr>
  </w:style>
  <w:style w:type="character" w:customStyle="1" w:styleId="PavadinimasDiagrama">
    <w:name w:val="Pavadinimas Diagrama"/>
    <w:basedOn w:val="DefaultParagraphFont"/>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PaantratDiagrama">
    <w:name w:val="Paantraštė Diagrama"/>
    <w:basedOn w:val="DefaultParagraphFont"/>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uiPriority w:val="34"/>
    <w:qFormat/>
    <w:rsid w:val="00FC693F"/>
    <w:pPr>
      <w:ind w:left="720"/>
      <w:contextualSpacing/>
    </w:pPr>
  </w:style>
  <w:style w:type="paragraph" w:styleId="BodyText">
    <w:name w:val="Body Text"/>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uiPriority w:val="99"/>
    <w:unhideWhenUsed/>
    <w:rsid w:val="00AA1D8D"/>
    <w:pPr>
      <w:ind w:left="360" w:hanging="360"/>
      <w:contextualSpacing/>
    </w:pPr>
  </w:style>
  <w:style w:type="paragraph" w:styleId="List2">
    <w:name w:val="List 2"/>
    <w:uiPriority w:val="99"/>
    <w:unhideWhenUsed/>
    <w:rsid w:val="00326F90"/>
    <w:pPr>
      <w:ind w:left="720" w:hanging="360"/>
      <w:contextualSpacing/>
    </w:pPr>
  </w:style>
  <w:style w:type="paragraph" w:styleId="List3">
    <w:name w:val="List 3"/>
    <w:uiPriority w:val="99"/>
    <w:unhideWhenUsed/>
    <w:rsid w:val="00326F90"/>
    <w:pPr>
      <w:ind w:left="1080" w:hanging="360"/>
      <w:contextualSpacing/>
    </w:pPr>
  </w:style>
  <w:style w:type="paragraph" w:styleId="ListBullet">
    <w:name w:val="List Bullet"/>
    <w:uiPriority w:val="99"/>
    <w:unhideWhenUsed/>
    <w:rsid w:val="00326F90"/>
    <w:pPr>
      <w:numPr>
        <w:numId w:val="1"/>
      </w:numPr>
      <w:contextualSpacing/>
    </w:pPr>
  </w:style>
  <w:style w:type="paragraph" w:styleId="ListBullet2">
    <w:name w:val="List Bullet 2"/>
    <w:uiPriority w:val="99"/>
    <w:unhideWhenUsed/>
    <w:rsid w:val="00326F90"/>
    <w:pPr>
      <w:numPr>
        <w:numId w:val="2"/>
      </w:numPr>
      <w:contextualSpacing/>
    </w:pPr>
  </w:style>
  <w:style w:type="paragraph" w:styleId="ListBullet3">
    <w:name w:val="List Bullet 3"/>
    <w:uiPriority w:val="99"/>
    <w:unhideWhenUsed/>
    <w:rsid w:val="00326F90"/>
    <w:pPr>
      <w:numPr>
        <w:numId w:val="3"/>
      </w:numPr>
      <w:contextualSpacing/>
    </w:pPr>
  </w:style>
  <w:style w:type="paragraph" w:styleId="ListNumber">
    <w:name w:val="List Number"/>
    <w:uiPriority w:val="99"/>
    <w:unhideWhenUsed/>
    <w:rsid w:val="00326F90"/>
    <w:pPr>
      <w:tabs>
        <w:tab w:val="num" w:pos="720"/>
      </w:tabs>
      <w:ind w:left="720" w:hanging="720"/>
      <w:contextualSpacing/>
    </w:pPr>
  </w:style>
  <w:style w:type="paragraph" w:styleId="ListNumber2">
    <w:name w:val="List Number 2"/>
    <w:uiPriority w:val="99"/>
    <w:unhideWhenUsed/>
    <w:rsid w:val="0029639D"/>
    <w:pPr>
      <w:tabs>
        <w:tab w:val="num" w:pos="720"/>
      </w:tabs>
      <w:ind w:left="720" w:hanging="720"/>
      <w:contextualSpacing/>
    </w:pPr>
  </w:style>
  <w:style w:type="paragraph" w:styleId="ListNumber3">
    <w:name w:val="List Number 3"/>
    <w:uiPriority w:val="99"/>
    <w:unhideWhenUsed/>
    <w:rsid w:val="0029639D"/>
    <w:pPr>
      <w:tabs>
        <w:tab w:val="num" w:pos="720"/>
      </w:tabs>
      <w:ind w:left="720" w:hanging="720"/>
      <w:contextualSpacing/>
    </w:pPr>
  </w:style>
  <w:style w:type="paragraph" w:styleId="ListContinue">
    <w:name w:val="List Continue"/>
    <w:uiPriority w:val="99"/>
    <w:unhideWhenUsed/>
    <w:rsid w:val="0029639D"/>
    <w:pPr>
      <w:spacing w:after="120"/>
      <w:ind w:left="360"/>
      <w:contextualSpacing/>
    </w:pPr>
  </w:style>
  <w:style w:type="paragraph" w:styleId="ListContinue2">
    <w:name w:val="List Continue 2"/>
    <w:uiPriority w:val="99"/>
    <w:unhideWhenUsed/>
    <w:rsid w:val="0029639D"/>
    <w:pPr>
      <w:spacing w:after="120"/>
      <w:ind w:left="720"/>
      <w:contextualSpacing/>
    </w:pPr>
  </w:style>
  <w:style w:type="paragraph" w:styleId="ListContinue3">
    <w:name w:val="List Continue 3"/>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Antrat4Diagrama">
    <w:name w:val="Antraštė 4 Diagrama"/>
    <w:basedOn w:val="DefaultParagraphFont"/>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uiPriority w:val="39"/>
    <w:semiHidden/>
    <w:unhideWhenUsed/>
    <w:qFormat/>
    <w:rsid w:val="00FC693F"/>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uiPriority w:val="99"/>
    <w:unhideWhenUsed/>
    <w:rsid w:val="00D90F28"/>
    <w:pPr>
      <w:spacing w:before="100" w:beforeAutospacing="1" w:after="100" w:afterAutospacing="1" w:line="240" w:lineRule="auto"/>
    </w:pPr>
    <w:rPr>
      <w:rFonts w:ascii="Times New Roman" w:eastAsia="Times New Roman" w:hAnsi="Times New Roman" w:cs="Times New Roman"/>
      <w:sz w:val="24"/>
      <w:szCs w:val="24"/>
      <w:lang w:val="lt-LT"/>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Subtitle">
    <w:name w:val="Subtitle"/>
    <w:basedOn w:val="Normal"/>
    <w:next w:val="Normal"/>
    <w:uiPriority w:val="11"/>
    <w:qFormat/>
    <w:rPr>
      <w:rFonts w:ascii="Calibri" w:eastAsia="Calibri" w:hAnsi="Calibri" w:cs="Calibri"/>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1deEzfsgbsYaXW9W75Pw/tvFuw==">CgMxLjAyDmgucWlvOWl4cndkaHR1Mg5oLmNxdWV3amlkbnR3bjgAciExRjhGdkl4TEJsUHZ1czlWaVR5TlJtLVNkbGVFVC1PZ2I=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1893</Words>
  <Characters>11457</Characters>
  <Application>Microsoft Office Word</Application>
  <DocSecurity>0</DocSecurity>
  <Lines>197</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Lina Abraitienė</cp:lastModifiedBy>
  <cp:revision>4</cp:revision>
  <dcterms:created xsi:type="dcterms:W3CDTF">2025-09-18T06:35:00Z</dcterms:created>
  <dcterms:modified xsi:type="dcterms:W3CDTF">2025-10-02T11:04:00Z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f9780aad-f46a-45ba-a46d-6f5fea414f2b</vt:lpwstr>
  </property>
</Properties>
</file>