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6483B" w14:textId="05CE55B5" w:rsidR="0062067C" w:rsidRPr="00C705F0" w:rsidRDefault="00EF1785" w:rsidP="00EF1785">
      <w:pPr>
        <w:jc w:val="right"/>
        <w:rPr>
          <w:szCs w:val="24"/>
        </w:rPr>
      </w:pPr>
      <w:r w:rsidRPr="00C705F0">
        <w:rPr>
          <w:szCs w:val="24"/>
          <w:lang w:val="en-US"/>
        </w:rPr>
        <w:t>S/</w:t>
      </w:r>
      <w:r w:rsidR="003F194D" w:rsidRPr="00C705F0">
        <w:rPr>
          <w:szCs w:val="24"/>
          <w:lang w:val="en-US"/>
        </w:rPr>
        <w:t>10-038-T-0</w:t>
      </w:r>
      <w:r w:rsidR="00923957">
        <w:rPr>
          <w:szCs w:val="24"/>
          <w:lang w:val="en-US"/>
        </w:rPr>
        <w:t>090</w:t>
      </w:r>
    </w:p>
    <w:p w14:paraId="478214AA" w14:textId="77777777" w:rsidR="00AB27A0" w:rsidRPr="00C705F0" w:rsidRDefault="00AB27A0" w:rsidP="00AB27A0">
      <w:pPr>
        <w:jc w:val="center"/>
        <w:rPr>
          <w:szCs w:val="24"/>
        </w:rPr>
      </w:pPr>
    </w:p>
    <w:p w14:paraId="645FA994" w14:textId="55E6FBEF" w:rsidR="00AB27A0" w:rsidRPr="00C705F0" w:rsidRDefault="00AB27A0" w:rsidP="00AB27A0">
      <w:pPr>
        <w:jc w:val="center"/>
        <w:rPr>
          <w:szCs w:val="24"/>
        </w:rPr>
      </w:pPr>
    </w:p>
    <w:p w14:paraId="44F97B37" w14:textId="77777777" w:rsidR="00AB27A0" w:rsidRPr="00C705F0" w:rsidRDefault="00AB27A0" w:rsidP="00AB27A0">
      <w:pPr>
        <w:jc w:val="center"/>
        <w:rPr>
          <w:szCs w:val="24"/>
        </w:rPr>
      </w:pPr>
    </w:p>
    <w:p w14:paraId="31F8CEC3" w14:textId="77777777" w:rsidR="00AB27A0" w:rsidRPr="00C705F0" w:rsidRDefault="00AB27A0" w:rsidP="00AB27A0">
      <w:pPr>
        <w:pStyle w:val="a"/>
        <w:rPr>
          <w:sz w:val="24"/>
          <w:szCs w:val="24"/>
        </w:rPr>
      </w:pPr>
    </w:p>
    <w:p w14:paraId="2FDE83E5" w14:textId="77777777" w:rsidR="00AB27A0" w:rsidRPr="00C705F0" w:rsidRDefault="00AB27A0" w:rsidP="00AB27A0">
      <w:pPr>
        <w:jc w:val="center"/>
        <w:rPr>
          <w:caps/>
          <w:szCs w:val="24"/>
        </w:rPr>
      </w:pPr>
    </w:p>
    <w:p w14:paraId="126F1C11" w14:textId="4B947E15" w:rsidR="00AB27A0" w:rsidRPr="00C705F0" w:rsidRDefault="00AB27A0" w:rsidP="00AB27A0">
      <w:pPr>
        <w:jc w:val="center"/>
        <w:rPr>
          <w:caps/>
          <w:szCs w:val="24"/>
        </w:rPr>
      </w:pPr>
    </w:p>
    <w:p w14:paraId="111A3731" w14:textId="35C4047B" w:rsidR="00AB27A0" w:rsidRPr="00C705F0" w:rsidRDefault="00AB27A0" w:rsidP="00AB27A0">
      <w:pPr>
        <w:jc w:val="center"/>
        <w:rPr>
          <w:bCs/>
          <w:caps/>
          <w:szCs w:val="24"/>
        </w:rPr>
      </w:pPr>
    </w:p>
    <w:p w14:paraId="3BECA692" w14:textId="77777777" w:rsidR="00AB27A0" w:rsidRPr="00C705F0" w:rsidRDefault="00AB27A0" w:rsidP="00AB27A0">
      <w:pPr>
        <w:jc w:val="center"/>
        <w:rPr>
          <w:bCs/>
          <w:caps/>
          <w:szCs w:val="24"/>
        </w:rPr>
      </w:pPr>
    </w:p>
    <w:p w14:paraId="400C6332" w14:textId="5CC1073D" w:rsidR="00AB27A0" w:rsidRPr="00C705F0" w:rsidRDefault="003F194D" w:rsidP="00AB27A0">
      <w:pPr>
        <w:spacing w:after="60"/>
        <w:jc w:val="center"/>
        <w:rPr>
          <w:b/>
          <w:caps/>
          <w:sz w:val="28"/>
        </w:rPr>
      </w:pPr>
      <w:r w:rsidRPr="00C705F0">
        <w:rPr>
          <w:b/>
          <w:caps/>
          <w:sz w:val="28"/>
        </w:rPr>
        <w:t xml:space="preserve">Projekto „MTEP idėjos tikrinimas </w:t>
      </w:r>
      <w:r w:rsidR="00923957">
        <w:rPr>
          <w:b/>
          <w:caps/>
          <w:sz w:val="28"/>
        </w:rPr>
        <w:t xml:space="preserve">– </w:t>
      </w:r>
      <w:r w:rsidR="00923957" w:rsidRPr="00923957">
        <w:rPr>
          <w:b/>
          <w:caps/>
          <w:sz w:val="28"/>
        </w:rPr>
        <w:t>BATERIJŲ AR JŲ PAKETŲ ŠILUMOS VALDYMAS MIKROKANALAIS</w:t>
      </w:r>
      <w:r w:rsidRPr="00C705F0">
        <w:rPr>
          <w:b/>
          <w:caps/>
          <w:sz w:val="28"/>
        </w:rPr>
        <w:t>“</w:t>
      </w:r>
    </w:p>
    <w:p w14:paraId="36464B42" w14:textId="77777777" w:rsidR="00AB27A0" w:rsidRPr="00C705F0" w:rsidRDefault="00AB27A0" w:rsidP="00AB27A0">
      <w:pPr>
        <w:jc w:val="center"/>
        <w:rPr>
          <w:sz w:val="28"/>
        </w:rPr>
      </w:pPr>
    </w:p>
    <w:p w14:paraId="41C1F180" w14:textId="119D6E68" w:rsidR="00AB27A0" w:rsidRPr="00C705F0" w:rsidRDefault="003F194D" w:rsidP="00AB27A0">
      <w:pPr>
        <w:jc w:val="center"/>
        <w:rPr>
          <w:i/>
          <w:iCs/>
          <w:sz w:val="28"/>
        </w:rPr>
      </w:pPr>
      <w:r w:rsidRPr="00C705F0">
        <w:rPr>
          <w:i/>
          <w:iCs/>
          <w:sz w:val="28"/>
        </w:rPr>
        <w:t>Veiklos</w:t>
      </w:r>
      <w:r w:rsidR="00AB27A0" w:rsidRPr="00C705F0">
        <w:rPr>
          <w:i/>
          <w:iCs/>
          <w:sz w:val="28"/>
        </w:rPr>
        <w:t xml:space="preserve"> ataskaita</w:t>
      </w:r>
    </w:p>
    <w:p w14:paraId="121BDD6D" w14:textId="77777777" w:rsidR="008360A7" w:rsidRPr="00C705F0" w:rsidRDefault="008360A7" w:rsidP="00AB27A0">
      <w:pPr>
        <w:jc w:val="center"/>
        <w:rPr>
          <w:sz w:val="28"/>
          <w:lang w:val="de-DE"/>
        </w:rPr>
        <w:sectPr w:rsidR="008360A7" w:rsidRPr="00C705F0" w:rsidSect="00EA7371">
          <w:headerReference w:type="default" r:id="rId8"/>
          <w:footerReference w:type="default" r:id="rId9"/>
          <w:pgSz w:w="11907" w:h="16840" w:code="9"/>
          <w:pgMar w:top="1134" w:right="851" w:bottom="1134" w:left="1701" w:header="1134" w:footer="851" w:gutter="0"/>
          <w:cols w:space="708"/>
          <w:docGrid w:linePitch="360"/>
        </w:sectPr>
      </w:pPr>
    </w:p>
    <w:p w14:paraId="5DB4ABD8" w14:textId="77777777" w:rsidR="00AB27A0" w:rsidRPr="00C705F0" w:rsidRDefault="00AB27A0" w:rsidP="00AB27A0">
      <w:pPr>
        <w:jc w:val="center"/>
        <w:rPr>
          <w:szCs w:val="24"/>
        </w:rPr>
      </w:pPr>
    </w:p>
    <w:p w14:paraId="72521B1B" w14:textId="30CE8757" w:rsidR="008360A7" w:rsidRPr="00C705F0" w:rsidRDefault="008360A7" w:rsidP="008360A7">
      <w:pPr>
        <w:widowControl w:val="0"/>
        <w:rPr>
          <w:szCs w:val="24"/>
        </w:rPr>
      </w:pPr>
      <w:r w:rsidRPr="00C705F0">
        <w:rPr>
          <w:b/>
          <w:bCs/>
          <w:szCs w:val="24"/>
        </w:rPr>
        <w:t xml:space="preserve">Projekto įgyvendinimo laikotarpis: </w:t>
      </w:r>
      <w:r w:rsidRPr="00C705F0">
        <w:rPr>
          <w:szCs w:val="24"/>
        </w:rPr>
        <w:t>2024-</w:t>
      </w:r>
      <w:r w:rsidR="00EE125F">
        <w:rPr>
          <w:szCs w:val="24"/>
        </w:rPr>
        <w:t>10</w:t>
      </w:r>
      <w:r w:rsidRPr="00C705F0">
        <w:rPr>
          <w:szCs w:val="24"/>
        </w:rPr>
        <w:t>-0</w:t>
      </w:r>
      <w:r w:rsidR="00EE125F">
        <w:rPr>
          <w:szCs w:val="24"/>
        </w:rPr>
        <w:t>1</w:t>
      </w:r>
      <w:r w:rsidRPr="00C705F0">
        <w:rPr>
          <w:b/>
          <w:bCs/>
          <w:szCs w:val="24"/>
        </w:rPr>
        <w:t xml:space="preserve"> </w:t>
      </w:r>
      <w:r w:rsidRPr="00C705F0">
        <w:rPr>
          <w:szCs w:val="24"/>
        </w:rPr>
        <w:t>– 2025-0</w:t>
      </w:r>
      <w:r w:rsidR="00EE125F">
        <w:rPr>
          <w:szCs w:val="24"/>
        </w:rPr>
        <w:t>9</w:t>
      </w:r>
      <w:r w:rsidRPr="00C705F0">
        <w:rPr>
          <w:szCs w:val="24"/>
        </w:rPr>
        <w:t>-3</w:t>
      </w:r>
      <w:r w:rsidR="00EE125F">
        <w:rPr>
          <w:szCs w:val="24"/>
        </w:rPr>
        <w:t>0</w:t>
      </w:r>
    </w:p>
    <w:p w14:paraId="52E6CDBF" w14:textId="77777777" w:rsidR="008360A7" w:rsidRPr="00C705F0" w:rsidRDefault="008360A7" w:rsidP="008360A7">
      <w:pPr>
        <w:widowControl w:val="0"/>
        <w:rPr>
          <w:b/>
          <w:bCs/>
          <w:szCs w:val="24"/>
        </w:rPr>
      </w:pPr>
    </w:p>
    <w:p w14:paraId="7B700ACD" w14:textId="77777777" w:rsidR="008360A7" w:rsidRPr="00C705F0" w:rsidRDefault="008360A7" w:rsidP="008360A7">
      <w:pPr>
        <w:widowControl w:val="0"/>
        <w:rPr>
          <w:b/>
          <w:bCs/>
          <w:szCs w:val="24"/>
        </w:rPr>
      </w:pPr>
      <w:r w:rsidRPr="00C705F0">
        <w:rPr>
          <w:b/>
          <w:bCs/>
          <w:szCs w:val="24"/>
        </w:rPr>
        <w:t>Projekto tikslas:</w:t>
      </w:r>
    </w:p>
    <w:p w14:paraId="0C0C3AB4" w14:textId="32D3B5E2" w:rsidR="008360A7" w:rsidRDefault="00EE125F" w:rsidP="008360A7">
      <w:pPr>
        <w:jc w:val="both"/>
        <w:rPr>
          <w:bCs/>
          <w:szCs w:val="24"/>
        </w:rPr>
      </w:pPr>
      <w:r w:rsidRPr="00EE125F">
        <w:rPr>
          <w:bCs/>
          <w:szCs w:val="24"/>
        </w:rPr>
        <w:t>Pasiruošti teikti paraišką pagal programos „Europos horizontas“ kvietimus vykdant tarpdisciplininį projektą</w:t>
      </w:r>
    </w:p>
    <w:p w14:paraId="7EF55BF1" w14:textId="77777777" w:rsidR="00EE125F" w:rsidRPr="00C705F0" w:rsidRDefault="00EE125F" w:rsidP="008360A7">
      <w:pPr>
        <w:jc w:val="both"/>
        <w:rPr>
          <w:b/>
          <w:bCs/>
          <w:szCs w:val="24"/>
        </w:rPr>
      </w:pPr>
    </w:p>
    <w:p w14:paraId="35E595A8" w14:textId="6B9E4859" w:rsidR="00AD6CBA" w:rsidRPr="00AD6CBA" w:rsidRDefault="00AD6CBA" w:rsidP="00AD6CBA">
      <w:pPr>
        <w:jc w:val="both"/>
        <w:rPr>
          <w:bCs/>
          <w:szCs w:val="24"/>
        </w:rPr>
      </w:pPr>
      <w:r w:rsidRPr="00AD6CBA">
        <w:rPr>
          <w:b/>
          <w:bCs/>
          <w:szCs w:val="24"/>
        </w:rPr>
        <w:t xml:space="preserve">Projekto įgyvendinimo metu vykdyta veikla: </w:t>
      </w:r>
      <w:r w:rsidRPr="00AD6CBA">
        <w:rPr>
          <w:bCs/>
          <w:szCs w:val="24"/>
        </w:rPr>
        <w:t xml:space="preserve">projekto įgyvendinimo metu buvo atliekami pasirengimo darbai, padėsiantys parengti paraišką ir gauti paraiškos parengimui būtinas žinias pagal programos </w:t>
      </w:r>
      <w:r w:rsidR="001D4976" w:rsidRPr="00381F9C">
        <w:rPr>
          <w:sz w:val="22"/>
          <w:szCs w:val="22"/>
        </w:rPr>
        <w:t xml:space="preserve">„Europos horizontas“ </w:t>
      </w:r>
      <w:r w:rsidRPr="00AD6CBA">
        <w:rPr>
          <w:bCs/>
          <w:szCs w:val="24"/>
        </w:rPr>
        <w:t>būsimą kvietimą: „</w:t>
      </w:r>
      <w:r w:rsidR="001D4976" w:rsidRPr="001D4976">
        <w:rPr>
          <w:bCs/>
          <w:szCs w:val="24"/>
        </w:rPr>
        <w:t xml:space="preserve">Baterijų sistemos elementų (celių) ir pakuotės (korpuso) dydžio ir svorio mažinimas, integruojant lengvasvores ir funkcines medžiagas, inovatyvų šiluminį valdymą ir taikant saugaus ir tvaraus projektavimo požiūrį (Batt4EU partnerystė) (Size &amp; weight reduction of cell and packaging of batteries system, integrating lightweight and functional materials, innovative thermal management and safe and sustainable by design approach (Batt4EU Partnership)) </w:t>
      </w:r>
      <w:r w:rsidRPr="00AD6CBA">
        <w:rPr>
          <w:bCs/>
          <w:szCs w:val="24"/>
        </w:rPr>
        <w:t>vykdant tarpdisciplininį projektą.</w:t>
      </w:r>
    </w:p>
    <w:p w14:paraId="43AB2FD0" w14:textId="300AD3A7" w:rsidR="00AD6CBA" w:rsidRPr="00AD6CBA" w:rsidRDefault="00AD6CBA" w:rsidP="00AD6CBA">
      <w:pPr>
        <w:jc w:val="both"/>
        <w:rPr>
          <w:bCs/>
          <w:szCs w:val="24"/>
        </w:rPr>
      </w:pPr>
      <w:r w:rsidRPr="00AD6CBA">
        <w:rPr>
          <w:bCs/>
          <w:szCs w:val="24"/>
        </w:rPr>
        <w:t xml:space="preserve">Kadangi bendras planuojamo </w:t>
      </w:r>
      <w:r w:rsidRPr="00551A3A">
        <w:rPr>
          <w:bCs/>
          <w:szCs w:val="24"/>
        </w:rPr>
        <w:t xml:space="preserve">teikti pagal </w:t>
      </w:r>
      <w:r w:rsidR="001D4976" w:rsidRPr="00551A3A">
        <w:rPr>
          <w:szCs w:val="24"/>
        </w:rPr>
        <w:t xml:space="preserve">„Europos horizontas“ </w:t>
      </w:r>
      <w:r w:rsidRPr="00551A3A">
        <w:rPr>
          <w:bCs/>
          <w:szCs w:val="24"/>
        </w:rPr>
        <w:t>būsimą</w:t>
      </w:r>
      <w:r w:rsidRPr="00AD6CBA">
        <w:rPr>
          <w:bCs/>
          <w:szCs w:val="24"/>
        </w:rPr>
        <w:t xml:space="preserve"> kvietimą projekto tikslas –</w:t>
      </w:r>
      <w:r w:rsidR="00BF255E">
        <w:rPr>
          <w:bCs/>
          <w:szCs w:val="24"/>
        </w:rPr>
        <w:t xml:space="preserve"> </w:t>
      </w:r>
      <w:r w:rsidR="00BF255E" w:rsidRPr="00BF255E">
        <w:rPr>
          <w:bCs/>
          <w:szCs w:val="24"/>
        </w:rPr>
        <w:t>geresni</w:t>
      </w:r>
      <w:r w:rsidR="00BF255E">
        <w:rPr>
          <w:bCs/>
          <w:szCs w:val="24"/>
        </w:rPr>
        <w:t>s</w:t>
      </w:r>
      <w:r w:rsidR="00BF255E" w:rsidRPr="00BF255E">
        <w:rPr>
          <w:bCs/>
          <w:szCs w:val="24"/>
        </w:rPr>
        <w:t xml:space="preserve"> baterijų ar kuro celių aušinim</w:t>
      </w:r>
      <w:r w:rsidR="00BF255E">
        <w:rPr>
          <w:bCs/>
          <w:szCs w:val="24"/>
        </w:rPr>
        <w:t>as</w:t>
      </w:r>
      <w:r w:rsidR="00BF255E" w:rsidRPr="00BF255E">
        <w:rPr>
          <w:bCs/>
          <w:szCs w:val="24"/>
        </w:rPr>
        <w:t xml:space="preserve"> mikro-kanalais siekiant jų optimalaus termo-hidraulinio efektyvumo</w:t>
      </w:r>
      <w:r w:rsidRPr="00AD6CBA">
        <w:rPr>
          <w:bCs/>
          <w:szCs w:val="24"/>
        </w:rPr>
        <w:t>, projekto metu:</w:t>
      </w:r>
    </w:p>
    <w:p w14:paraId="195619FA" w14:textId="54D619A5" w:rsidR="00AD6CBA" w:rsidRPr="00AD6CBA" w:rsidRDefault="00551A3A" w:rsidP="00551A3A">
      <w:pPr>
        <w:pStyle w:val="ListParagraph"/>
        <w:numPr>
          <w:ilvl w:val="0"/>
          <w:numId w:val="1"/>
        </w:numPr>
        <w:jc w:val="both"/>
        <w:rPr>
          <w:rFonts w:ascii="Times New Roman" w:hAnsi="Times New Roman"/>
          <w:bCs/>
          <w:sz w:val="24"/>
        </w:rPr>
      </w:pPr>
      <w:r w:rsidRPr="00551A3A">
        <w:rPr>
          <w:rFonts w:ascii="Times New Roman" w:hAnsi="Times New Roman"/>
          <w:b/>
          <w:bCs/>
          <w:sz w:val="24"/>
        </w:rPr>
        <w:t>Atlikta techninių sprendimų analizė</w:t>
      </w:r>
      <w:r w:rsidRPr="00551A3A">
        <w:rPr>
          <w:rFonts w:ascii="Times New Roman" w:hAnsi="Times New Roman"/>
          <w:bCs/>
          <w:sz w:val="24"/>
        </w:rPr>
        <w:t xml:space="preserve">: Išnagrinėta </w:t>
      </w:r>
      <w:r>
        <w:rPr>
          <w:rFonts w:ascii="Times New Roman" w:hAnsi="Times New Roman"/>
          <w:bCs/>
          <w:sz w:val="24"/>
        </w:rPr>
        <w:t>atviruose šaltiniuose prieinama</w:t>
      </w:r>
      <w:r w:rsidRPr="00551A3A">
        <w:rPr>
          <w:rFonts w:ascii="Times New Roman" w:hAnsi="Times New Roman"/>
          <w:bCs/>
          <w:sz w:val="24"/>
        </w:rPr>
        <w:t xml:space="preserve"> informacija apie šilumos išsiskyrimą ir valdymą elektros akumuliatoriuose bei kuro celėse, įskaitant taikomus aušinimo metodus ir įkrovimo/iškrovimo galios ribojimo strategijas</w:t>
      </w:r>
      <w:r w:rsidR="00AD6CBA" w:rsidRPr="00AD6CBA">
        <w:rPr>
          <w:rFonts w:ascii="Times New Roman" w:hAnsi="Times New Roman"/>
          <w:bCs/>
          <w:sz w:val="24"/>
        </w:rPr>
        <w:t>;</w:t>
      </w:r>
    </w:p>
    <w:p w14:paraId="72722235" w14:textId="0A25BC25" w:rsidR="00551A3A" w:rsidRPr="00551A3A" w:rsidRDefault="00551A3A" w:rsidP="00551A3A">
      <w:pPr>
        <w:pStyle w:val="ListParagraph"/>
        <w:numPr>
          <w:ilvl w:val="0"/>
          <w:numId w:val="1"/>
        </w:numPr>
        <w:jc w:val="both"/>
        <w:rPr>
          <w:bCs/>
        </w:rPr>
      </w:pPr>
      <w:r w:rsidRPr="00551A3A">
        <w:rPr>
          <w:rFonts w:ascii="Times New Roman" w:hAnsi="Times New Roman"/>
          <w:b/>
          <w:bCs/>
          <w:sz w:val="24"/>
        </w:rPr>
        <w:t>Atlikta mokslinės literatūros analizė:</w:t>
      </w:r>
      <w:r w:rsidRPr="00551A3A">
        <w:rPr>
          <w:rFonts w:ascii="Times New Roman" w:hAnsi="Times New Roman"/>
          <w:bCs/>
          <w:sz w:val="24"/>
        </w:rPr>
        <w:t xml:space="preserve"> Išnagrinėti atviruose šaltiniuose prieinami moksliniai tyrimai apie šilumnešio tekėjimo ypatumus mikrokanaluose ir j</w:t>
      </w:r>
      <w:r>
        <w:rPr>
          <w:rFonts w:ascii="Times New Roman" w:hAnsi="Times New Roman"/>
          <w:bCs/>
          <w:sz w:val="24"/>
        </w:rPr>
        <w:t>o efektyvumo didinimo galimybes</w:t>
      </w:r>
      <w:r w:rsidR="00AD6CBA" w:rsidRPr="00551A3A">
        <w:rPr>
          <w:rFonts w:ascii="Times New Roman" w:hAnsi="Times New Roman"/>
          <w:bCs/>
          <w:sz w:val="24"/>
        </w:rPr>
        <w:t>;</w:t>
      </w:r>
    </w:p>
    <w:p w14:paraId="4E13C1DF" w14:textId="00D8AD72" w:rsidR="00AD6CBA" w:rsidRPr="00551A3A" w:rsidRDefault="00551A3A" w:rsidP="00AD6CBA">
      <w:pPr>
        <w:pStyle w:val="ListParagraph"/>
        <w:numPr>
          <w:ilvl w:val="0"/>
          <w:numId w:val="1"/>
        </w:numPr>
        <w:jc w:val="both"/>
        <w:rPr>
          <w:rFonts w:ascii="Times New Roman" w:hAnsi="Times New Roman"/>
          <w:bCs/>
          <w:sz w:val="24"/>
        </w:rPr>
      </w:pPr>
      <w:r w:rsidRPr="00551A3A">
        <w:rPr>
          <w:rFonts w:ascii="Times New Roman" w:hAnsi="Times New Roman"/>
          <w:b/>
          <w:bCs/>
          <w:sz w:val="24"/>
        </w:rPr>
        <w:t>Atlikti moksliniai tyrimai:</w:t>
      </w:r>
      <w:r w:rsidRPr="00551A3A">
        <w:rPr>
          <w:rFonts w:ascii="Times New Roman" w:hAnsi="Times New Roman"/>
          <w:bCs/>
          <w:sz w:val="24"/>
        </w:rPr>
        <w:t xml:space="preserve"> Detaliai ištirta šilumnešio tekėjimo struktūra aušinimo mikrokanaluose, siekiant nustatyti pagrindinius termohidraulinį efektyvumą lemiančius veiksnius</w:t>
      </w:r>
      <w:r>
        <w:rPr>
          <w:rFonts w:ascii="Times New Roman" w:hAnsi="Times New Roman"/>
          <w:bCs/>
          <w:sz w:val="24"/>
        </w:rPr>
        <w:t>.</w:t>
      </w:r>
    </w:p>
    <w:p w14:paraId="67015689" w14:textId="13BF3ABD" w:rsidR="00AD6CBA" w:rsidRDefault="00AD6CBA" w:rsidP="00AD6CBA">
      <w:pPr>
        <w:jc w:val="both"/>
        <w:rPr>
          <w:bCs/>
          <w:szCs w:val="24"/>
        </w:rPr>
      </w:pPr>
      <w:r w:rsidRPr="00AD6CBA">
        <w:rPr>
          <w:bCs/>
          <w:szCs w:val="24"/>
        </w:rPr>
        <w:t>Ryšiai su galimais planuojamos rengti paraiškos partneriais buvo mezgami užsieninių komandiruočių metu. Projekto vykdymo laikotarp</w:t>
      </w:r>
      <w:r w:rsidR="005C5BDF">
        <w:rPr>
          <w:bCs/>
          <w:szCs w:val="24"/>
        </w:rPr>
        <w:t>iu buvo nuvykta į:</w:t>
      </w:r>
    </w:p>
    <w:p w14:paraId="5DA347C3" w14:textId="77777777" w:rsidR="002D4345" w:rsidRPr="00AD6CBA" w:rsidRDefault="002D4345" w:rsidP="00AD6CBA">
      <w:pPr>
        <w:jc w:val="both"/>
        <w:rPr>
          <w:bCs/>
          <w:szCs w:val="24"/>
        </w:rPr>
      </w:pPr>
    </w:p>
    <w:p w14:paraId="3961AD65" w14:textId="174DC224" w:rsidR="00AD6CBA" w:rsidRDefault="0093312C" w:rsidP="0093312C">
      <w:pPr>
        <w:pStyle w:val="ListParagraph"/>
        <w:numPr>
          <w:ilvl w:val="0"/>
          <w:numId w:val="3"/>
        </w:numPr>
        <w:jc w:val="both"/>
        <w:rPr>
          <w:rFonts w:ascii="Times New Roman" w:hAnsi="Times New Roman"/>
          <w:bCs/>
          <w:sz w:val="24"/>
        </w:rPr>
      </w:pPr>
      <w:r w:rsidRPr="0093312C">
        <w:rPr>
          <w:rFonts w:ascii="Times New Roman" w:hAnsi="Times New Roman"/>
          <w:bCs/>
          <w:sz w:val="24"/>
        </w:rPr>
        <w:t>Europos baterijų partnerystės asociacij</w:t>
      </w:r>
      <w:r>
        <w:rPr>
          <w:rFonts w:ascii="Times New Roman" w:hAnsi="Times New Roman"/>
          <w:bCs/>
          <w:sz w:val="24"/>
        </w:rPr>
        <w:t>os</w:t>
      </w:r>
      <w:r w:rsidRPr="0093312C">
        <w:rPr>
          <w:rFonts w:ascii="Times New Roman" w:hAnsi="Times New Roman"/>
          <w:bCs/>
          <w:sz w:val="24"/>
        </w:rPr>
        <w:t xml:space="preserve"> (BEPA) </w:t>
      </w:r>
      <w:r w:rsidR="00AD6CBA" w:rsidRPr="00AD6CBA">
        <w:rPr>
          <w:rFonts w:ascii="Times New Roman" w:hAnsi="Times New Roman"/>
          <w:bCs/>
          <w:sz w:val="24"/>
        </w:rPr>
        <w:t>organizuojam</w:t>
      </w:r>
      <w:r>
        <w:rPr>
          <w:rFonts w:ascii="Times New Roman" w:hAnsi="Times New Roman"/>
          <w:bCs/>
          <w:sz w:val="24"/>
        </w:rPr>
        <w:t>ą</w:t>
      </w:r>
      <w:r w:rsidR="00AD6CBA" w:rsidRPr="00AD6CBA">
        <w:rPr>
          <w:rFonts w:ascii="Times New Roman" w:hAnsi="Times New Roman"/>
          <w:bCs/>
          <w:sz w:val="24"/>
        </w:rPr>
        <w:t xml:space="preserve"> </w:t>
      </w:r>
      <w:r w:rsidR="000F7EA4">
        <w:rPr>
          <w:rFonts w:ascii="Times New Roman" w:hAnsi="Times New Roman"/>
          <w:bCs/>
          <w:sz w:val="24"/>
        </w:rPr>
        <w:t>konferenciją-parodą</w:t>
      </w:r>
      <w:r>
        <w:rPr>
          <w:rFonts w:ascii="Times New Roman" w:hAnsi="Times New Roman"/>
          <w:bCs/>
          <w:sz w:val="24"/>
        </w:rPr>
        <w:t xml:space="preserve"> "Batteries Event 2024"</w:t>
      </w:r>
      <w:r w:rsidRPr="0093312C">
        <w:rPr>
          <w:rFonts w:ascii="Times New Roman" w:hAnsi="Times New Roman"/>
          <w:bCs/>
          <w:sz w:val="24"/>
        </w:rPr>
        <w:t>, kuri</w:t>
      </w:r>
      <w:r w:rsidR="000F7EA4">
        <w:rPr>
          <w:rFonts w:ascii="Times New Roman" w:hAnsi="Times New Roman"/>
          <w:bCs/>
          <w:sz w:val="24"/>
        </w:rPr>
        <w:t>oje</w:t>
      </w:r>
      <w:r w:rsidRPr="0093312C">
        <w:rPr>
          <w:rFonts w:ascii="Times New Roman" w:hAnsi="Times New Roman"/>
          <w:bCs/>
          <w:sz w:val="24"/>
        </w:rPr>
        <w:t xml:space="preserve"> dalyv</w:t>
      </w:r>
      <w:r>
        <w:rPr>
          <w:rFonts w:ascii="Times New Roman" w:hAnsi="Times New Roman"/>
          <w:bCs/>
          <w:sz w:val="24"/>
        </w:rPr>
        <w:t>avo</w:t>
      </w:r>
      <w:r w:rsidRPr="0093312C">
        <w:rPr>
          <w:rFonts w:ascii="Times New Roman" w:hAnsi="Times New Roman"/>
          <w:bCs/>
          <w:sz w:val="24"/>
        </w:rPr>
        <w:t xml:space="preserve"> visos akumuliatorių vertės grandinės suinteresuotosios šalys ir sprendimų priėmėjai</w:t>
      </w:r>
      <w:r w:rsidR="00AD6CBA" w:rsidRPr="00AD6CBA">
        <w:rPr>
          <w:rFonts w:ascii="Times New Roman" w:hAnsi="Times New Roman"/>
          <w:bCs/>
          <w:sz w:val="24"/>
        </w:rPr>
        <w:t>.</w:t>
      </w:r>
    </w:p>
    <w:p w14:paraId="40C8245B" w14:textId="4AC297E4" w:rsidR="002D4345" w:rsidRDefault="002D4345" w:rsidP="002D4345">
      <w:pPr>
        <w:jc w:val="both"/>
        <w:rPr>
          <w:bCs/>
        </w:rPr>
      </w:pPr>
      <w:r>
        <w:rPr>
          <w:bCs/>
        </w:rPr>
        <w:t>"Batteries Event 2024" renginys pritraukė beveik 1200 dalyvių iš įvairių pasaulio šalių, buvo pristatyta virš 175 pranėšimų. Taip pat vyko paroda kurioje daugiau kaip 100 pramonės atstovų pristatė savo produktusir pasklaugas baterijų srityje. Plenariniuos epranešimuose buvo išsamiai apžvelgta pasaulinė baterijų rinka ir tendencijos bei iššūkiai kylantys baterijų gamybos plėtrai Europoje.</w:t>
      </w:r>
    </w:p>
    <w:p w14:paraId="167F28D9" w14:textId="77777777" w:rsidR="000212E9" w:rsidRDefault="000212E9" w:rsidP="002D4345">
      <w:pPr>
        <w:jc w:val="both"/>
        <w:rPr>
          <w:bCs/>
          <w:szCs w:val="24"/>
        </w:rPr>
      </w:pPr>
    </w:p>
    <w:p w14:paraId="02FC9C3A" w14:textId="3AD6784E" w:rsidR="002D4345" w:rsidRPr="00AD6CBA" w:rsidRDefault="009F24C9" w:rsidP="002D4345">
      <w:pPr>
        <w:jc w:val="both"/>
        <w:rPr>
          <w:bCs/>
          <w:szCs w:val="24"/>
        </w:rPr>
      </w:pPr>
      <w:r>
        <w:rPr>
          <w:bCs/>
          <w:szCs w:val="24"/>
        </w:rPr>
        <w:t xml:space="preserve">Parodos metu buvo ieškoma naujų kontaktų ir užmegzti ryšiai </w:t>
      </w:r>
      <w:r w:rsidR="002D4345" w:rsidRPr="00AD6CBA">
        <w:rPr>
          <w:bCs/>
          <w:szCs w:val="24"/>
        </w:rPr>
        <w:t>su galimais planuojamos rengti paraiškos partneriais:</w:t>
      </w:r>
    </w:p>
    <w:p w14:paraId="3001FEB7" w14:textId="46F97712" w:rsidR="002D4345" w:rsidRPr="00AD6CBA" w:rsidRDefault="009F24C9" w:rsidP="002D4345">
      <w:pPr>
        <w:pStyle w:val="ListParagraph"/>
        <w:numPr>
          <w:ilvl w:val="0"/>
          <w:numId w:val="2"/>
        </w:numPr>
        <w:jc w:val="both"/>
        <w:rPr>
          <w:rFonts w:ascii="Times New Roman" w:hAnsi="Times New Roman"/>
          <w:bCs/>
          <w:sz w:val="24"/>
        </w:rPr>
      </w:pPr>
      <w:r>
        <w:rPr>
          <w:rFonts w:ascii="Times New Roman" w:hAnsi="Times New Roman"/>
          <w:bCs/>
          <w:sz w:val="24"/>
        </w:rPr>
        <w:t>Exoes</w:t>
      </w:r>
      <w:r w:rsidR="007C7E75">
        <w:rPr>
          <w:rFonts w:ascii="Times New Roman" w:hAnsi="Times New Roman"/>
          <w:bCs/>
          <w:sz w:val="24"/>
        </w:rPr>
        <w:t xml:space="preserve"> (Prancūzija)</w:t>
      </w:r>
      <w:r>
        <w:rPr>
          <w:rFonts w:ascii="Times New Roman" w:hAnsi="Times New Roman"/>
          <w:bCs/>
          <w:sz w:val="24"/>
        </w:rPr>
        <w:t xml:space="preserve"> kompanija susidomėjo galimu bendradarbiavimu Horizon projektuose. Exoes galėtų atlikti eksperimentus, o LEI komanda modeliavimą</w:t>
      </w:r>
      <w:r w:rsidR="002D4345" w:rsidRPr="00AD6CBA">
        <w:rPr>
          <w:rFonts w:ascii="Times New Roman" w:hAnsi="Times New Roman"/>
          <w:bCs/>
          <w:sz w:val="24"/>
        </w:rPr>
        <w:t>;</w:t>
      </w:r>
    </w:p>
    <w:p w14:paraId="57957B50" w14:textId="51DF3FC8" w:rsidR="002D4345" w:rsidRPr="00AD6CBA" w:rsidRDefault="009F24C9" w:rsidP="002D4345">
      <w:pPr>
        <w:pStyle w:val="ListParagraph"/>
        <w:numPr>
          <w:ilvl w:val="0"/>
          <w:numId w:val="2"/>
        </w:numPr>
        <w:jc w:val="both"/>
        <w:rPr>
          <w:rFonts w:ascii="Times New Roman" w:hAnsi="Times New Roman"/>
          <w:bCs/>
          <w:sz w:val="24"/>
        </w:rPr>
      </w:pPr>
      <w:r>
        <w:rPr>
          <w:rFonts w:ascii="Times New Roman" w:hAnsi="Times New Roman"/>
          <w:bCs/>
          <w:sz w:val="24"/>
        </w:rPr>
        <w:t>Sabic</w:t>
      </w:r>
      <w:r w:rsidR="007C7E75">
        <w:rPr>
          <w:rFonts w:ascii="Times New Roman" w:hAnsi="Times New Roman"/>
          <w:bCs/>
          <w:sz w:val="24"/>
        </w:rPr>
        <w:t xml:space="preserve"> (Saudo Arabija)</w:t>
      </w:r>
      <w:r>
        <w:rPr>
          <w:rFonts w:ascii="Times New Roman" w:hAnsi="Times New Roman"/>
          <w:bCs/>
          <w:sz w:val="24"/>
        </w:rPr>
        <w:t xml:space="preserve"> įmonė gaminanti šilumokaičiuos su specialiais turbulizatoriais – kliūtimis nesiekiančiomis viso aušinimo kanalų aukščio</w:t>
      </w:r>
      <w:r w:rsidR="002D4345" w:rsidRPr="00AD6CBA">
        <w:rPr>
          <w:rFonts w:ascii="Times New Roman" w:hAnsi="Times New Roman"/>
          <w:bCs/>
          <w:sz w:val="24"/>
        </w:rPr>
        <w:t>;</w:t>
      </w:r>
    </w:p>
    <w:p w14:paraId="2FFBCCBB" w14:textId="1EB6BEF2" w:rsidR="002D4345" w:rsidRDefault="007C7E75" w:rsidP="007C7E75">
      <w:pPr>
        <w:pStyle w:val="ListParagraph"/>
        <w:numPr>
          <w:ilvl w:val="0"/>
          <w:numId w:val="2"/>
        </w:numPr>
        <w:jc w:val="both"/>
        <w:rPr>
          <w:rFonts w:ascii="Times New Roman" w:hAnsi="Times New Roman"/>
          <w:bCs/>
          <w:sz w:val="24"/>
        </w:rPr>
      </w:pPr>
      <w:r>
        <w:rPr>
          <w:rFonts w:ascii="Times New Roman" w:hAnsi="Times New Roman"/>
          <w:bCs/>
          <w:sz w:val="24"/>
        </w:rPr>
        <w:t>CEA (Prancūzija) organizacija vykdanti tyrimus, susijusius su baterijų aušinimo technologijosmis;</w:t>
      </w:r>
    </w:p>
    <w:p w14:paraId="69E9F806" w14:textId="5F7DC88C" w:rsidR="002D4345" w:rsidRDefault="009F24C9" w:rsidP="002D4345">
      <w:pPr>
        <w:pStyle w:val="ListParagraph"/>
        <w:numPr>
          <w:ilvl w:val="0"/>
          <w:numId w:val="2"/>
        </w:numPr>
        <w:jc w:val="both"/>
        <w:rPr>
          <w:rFonts w:ascii="Times New Roman" w:hAnsi="Times New Roman"/>
          <w:bCs/>
          <w:sz w:val="24"/>
        </w:rPr>
      </w:pPr>
      <w:r>
        <w:rPr>
          <w:rFonts w:ascii="Times New Roman" w:hAnsi="Times New Roman"/>
          <w:bCs/>
          <w:sz w:val="24"/>
        </w:rPr>
        <w:t>Ir kt.</w:t>
      </w:r>
    </w:p>
    <w:p w14:paraId="43188261" w14:textId="77777777" w:rsidR="002D4345" w:rsidRDefault="002D4345" w:rsidP="002D4345">
      <w:pPr>
        <w:jc w:val="both"/>
        <w:rPr>
          <w:bCs/>
        </w:rPr>
      </w:pPr>
    </w:p>
    <w:p w14:paraId="1E4EA6F8" w14:textId="77777777" w:rsidR="002D4345" w:rsidRDefault="002D4345" w:rsidP="002D4345">
      <w:pPr>
        <w:jc w:val="both"/>
        <w:rPr>
          <w:bCs/>
        </w:rPr>
      </w:pPr>
    </w:p>
    <w:p w14:paraId="3B2A308D" w14:textId="59278D86" w:rsidR="002D4345" w:rsidRDefault="002D4345" w:rsidP="002D4345">
      <w:pPr>
        <w:jc w:val="both"/>
        <w:rPr>
          <w:bCs/>
        </w:rPr>
      </w:pPr>
      <w:r>
        <w:rPr>
          <w:bCs/>
        </w:rPr>
        <w:t>Konferencijos sekcijose pristatyti naujausi tyrimai baterijų medžiagų saugos ir taikymo srityse, daug dėmesio skirta LFP ir kieto būvio baterijoms. Projekto temai labiausiai aktualioje aušinimo sekcijoje buvo pristatyti inovatyvūs ir jau testuojami aušinimo būdai.</w:t>
      </w:r>
    </w:p>
    <w:p w14:paraId="6905AFD4" w14:textId="77777777" w:rsidR="002D4345" w:rsidRDefault="002D4345" w:rsidP="002D4345">
      <w:pPr>
        <w:jc w:val="both"/>
        <w:rPr>
          <w:bCs/>
        </w:rPr>
      </w:pPr>
      <w:r w:rsidRPr="00AD6CBA">
        <w:rPr>
          <w:bCs/>
          <w:szCs w:val="24"/>
        </w:rPr>
        <w:t>Konferencijo</w:t>
      </w:r>
      <w:r>
        <w:rPr>
          <w:bCs/>
          <w:szCs w:val="24"/>
        </w:rPr>
        <w:t>je</w:t>
      </w:r>
      <w:r w:rsidRPr="00AD6CBA">
        <w:rPr>
          <w:bCs/>
          <w:szCs w:val="24"/>
        </w:rPr>
        <w:t xml:space="preserve"> buvo pristatytas </w:t>
      </w:r>
      <w:r>
        <w:rPr>
          <w:bCs/>
          <w:szCs w:val="24"/>
        </w:rPr>
        <w:t>LEI specialistų parengtas</w:t>
      </w:r>
      <w:r w:rsidRPr="00AD6CBA">
        <w:rPr>
          <w:bCs/>
          <w:szCs w:val="24"/>
        </w:rPr>
        <w:t xml:space="preserve"> stendinis pranešimas </w:t>
      </w:r>
      <w:r>
        <w:rPr>
          <w:bCs/>
        </w:rPr>
        <w:t>„Optimizing microchannel heat dissipation with pin-fin configurations“.</w:t>
      </w:r>
    </w:p>
    <w:p w14:paraId="558948AD" w14:textId="77777777" w:rsidR="002D4345" w:rsidRPr="002D4345" w:rsidRDefault="002D4345" w:rsidP="002D4345">
      <w:pPr>
        <w:jc w:val="both"/>
        <w:rPr>
          <w:bCs/>
        </w:rPr>
      </w:pPr>
    </w:p>
    <w:p w14:paraId="7345DD8C" w14:textId="41A8BE82" w:rsidR="00AD6CBA" w:rsidRPr="00A73E68" w:rsidRDefault="00A73E68" w:rsidP="00A73E68">
      <w:pPr>
        <w:pStyle w:val="ListParagraph"/>
        <w:numPr>
          <w:ilvl w:val="0"/>
          <w:numId w:val="3"/>
        </w:numPr>
        <w:jc w:val="both"/>
        <w:rPr>
          <w:rFonts w:ascii="Times New Roman" w:hAnsi="Times New Roman"/>
          <w:bCs/>
          <w:sz w:val="24"/>
        </w:rPr>
      </w:pPr>
      <w:r w:rsidRPr="00A73E68">
        <w:rPr>
          <w:rFonts w:ascii="Times New Roman" w:hAnsi="Times New Roman"/>
          <w:bCs/>
          <w:sz w:val="24"/>
        </w:rPr>
        <w:t>„The Battery Show Asia 2025“ kurį organizavo „Informa Markets“</w:t>
      </w:r>
      <w:r>
        <w:rPr>
          <w:rFonts w:ascii="Times New Roman" w:hAnsi="Times New Roman"/>
          <w:bCs/>
          <w:sz w:val="24"/>
        </w:rPr>
        <w:t xml:space="preserve"> (</w:t>
      </w:r>
      <w:r w:rsidRPr="00A73E68">
        <w:rPr>
          <w:rFonts w:ascii="Times New Roman" w:hAnsi="Times New Roman"/>
          <w:bCs/>
          <w:sz w:val="24"/>
        </w:rPr>
        <w:t>taip pat rengia</w:t>
      </w:r>
      <w:r>
        <w:rPr>
          <w:rFonts w:ascii="Times New Roman" w:hAnsi="Times New Roman"/>
          <w:bCs/>
          <w:sz w:val="24"/>
        </w:rPr>
        <w:t>nti</w:t>
      </w:r>
      <w:r w:rsidRPr="00A73E68">
        <w:rPr>
          <w:rFonts w:ascii="Times New Roman" w:hAnsi="Times New Roman"/>
          <w:bCs/>
          <w:sz w:val="24"/>
        </w:rPr>
        <w:t xml:space="preserve"> analogiškus „The Battery Show“ renginius Europoje </w:t>
      </w:r>
      <w:r>
        <w:rPr>
          <w:rFonts w:ascii="Times New Roman" w:hAnsi="Times New Roman"/>
          <w:bCs/>
          <w:sz w:val="24"/>
        </w:rPr>
        <w:t xml:space="preserve">ir </w:t>
      </w:r>
      <w:r w:rsidRPr="00A73E68">
        <w:rPr>
          <w:rFonts w:ascii="Times New Roman" w:hAnsi="Times New Roman"/>
          <w:bCs/>
          <w:sz w:val="24"/>
        </w:rPr>
        <w:t xml:space="preserve">Šiaurės Amerikoje). </w:t>
      </w:r>
    </w:p>
    <w:p w14:paraId="6FA905E3" w14:textId="5BF34488" w:rsidR="007C482A" w:rsidRDefault="00A73E68" w:rsidP="00AD6CBA">
      <w:pPr>
        <w:jc w:val="both"/>
        <w:rPr>
          <w:bCs/>
        </w:rPr>
      </w:pPr>
      <w:r>
        <w:rPr>
          <w:bCs/>
        </w:rPr>
        <w:t>„</w:t>
      </w:r>
      <w:r w:rsidRPr="00A73E68">
        <w:rPr>
          <w:bCs/>
        </w:rPr>
        <w:t>The Battery Show</w:t>
      </w:r>
      <w:r>
        <w:rPr>
          <w:bCs/>
        </w:rPr>
        <w:t>“</w:t>
      </w:r>
      <w:r w:rsidRPr="00A73E68">
        <w:rPr>
          <w:bCs/>
        </w:rPr>
        <w:t xml:space="preserve"> </w:t>
      </w:r>
      <w:r>
        <w:rPr>
          <w:bCs/>
        </w:rPr>
        <w:t>konferencijo</w:t>
      </w:r>
      <w:r w:rsidR="007C482A">
        <w:rPr>
          <w:bCs/>
        </w:rPr>
        <w:t>je-parodoje dalyvavo per 300 dalyvių (įmonių atstovų) ir150 ekspertų pranešėjų iš viso pasaulio. Buvo pristatytos medžiagos ir technologijos pritaikomos akumuliatorių gamyboje, aptartos tendencijos ir inovacijos bei jų poveikis akumuliatorių bei elektromobilumo sektoriams. Techninėse sesijose buvo pristatomi pranešimai apie baterijų šiluminį režimą, perdirbimą, kieto būvio</w:t>
      </w:r>
      <w:r w:rsidR="00286CA0">
        <w:rPr>
          <w:bCs/>
        </w:rPr>
        <w:t xml:space="preserve"> ir naujos kartos kartos baterijas be ličio.</w:t>
      </w:r>
    </w:p>
    <w:p w14:paraId="1E98FE75" w14:textId="77777777" w:rsidR="00286CA0" w:rsidRDefault="00286CA0" w:rsidP="00AD6CBA">
      <w:pPr>
        <w:jc w:val="both"/>
        <w:rPr>
          <w:bCs/>
        </w:rPr>
      </w:pPr>
    </w:p>
    <w:p w14:paraId="020F7B15" w14:textId="68160CD7" w:rsidR="00AD6CBA" w:rsidRPr="00AD6CBA" w:rsidRDefault="00286CA0" w:rsidP="00AD6CBA">
      <w:pPr>
        <w:jc w:val="both"/>
        <w:rPr>
          <w:bCs/>
          <w:szCs w:val="24"/>
        </w:rPr>
      </w:pPr>
      <w:r>
        <w:rPr>
          <w:bCs/>
        </w:rPr>
        <w:t>Aplankyta daugybė parodos stendų, kuriuose gamintojai pristatė baterijų gamybai naudojamas medžiagas, pažangią elementų gamybos įrangą ir elekromobilių integravimo sistemas. Surinkta informacinė medžiaga iš pagrindinių tarptautinių tiekėjų, startuolių ir MTEP įmonių. Mezgant kontaktus su tokiomis įmonėmis kaip XD Thermal ir kit. diskutuota apie bendrų tyrimų ir žinių mainų galimybes. Iš</w:t>
      </w:r>
      <w:r w:rsidR="00E2491E">
        <w:rPr>
          <w:bCs/>
        </w:rPr>
        <w:t>siaiškinta kur pritaikomos LEI turimos tekėjimo mikrokanalais kompetencijos</w:t>
      </w:r>
      <w:r w:rsidR="000212E9">
        <w:rPr>
          <w:bCs/>
        </w:rPr>
        <w:t>, taip pat jų plėtros kryptys</w:t>
      </w:r>
      <w:r w:rsidR="00AD6CBA" w:rsidRPr="00AD6CBA">
        <w:rPr>
          <w:bCs/>
          <w:szCs w:val="24"/>
        </w:rPr>
        <w:t>:</w:t>
      </w:r>
    </w:p>
    <w:p w14:paraId="26F1888E" w14:textId="684665C6" w:rsidR="00AD6CBA" w:rsidRPr="00AD6CBA" w:rsidRDefault="00E2491E" w:rsidP="00AD6CBA">
      <w:pPr>
        <w:pStyle w:val="ListParagraph"/>
        <w:numPr>
          <w:ilvl w:val="0"/>
          <w:numId w:val="1"/>
        </w:numPr>
        <w:jc w:val="both"/>
        <w:rPr>
          <w:rFonts w:ascii="Times New Roman" w:hAnsi="Times New Roman"/>
          <w:bCs/>
          <w:sz w:val="24"/>
        </w:rPr>
      </w:pPr>
      <w:r>
        <w:rPr>
          <w:rFonts w:ascii="Times New Roman" w:hAnsi="Times New Roman"/>
          <w:bCs/>
          <w:sz w:val="24"/>
        </w:rPr>
        <w:t>mikrokanalais pagrįsti šilumokaičiai tikrai gali būti integruojami į konstrukcinius baterijos sluoksnius</w:t>
      </w:r>
      <w:r w:rsidR="00AD6CBA" w:rsidRPr="00AD6CBA">
        <w:rPr>
          <w:rFonts w:ascii="Times New Roman" w:hAnsi="Times New Roman"/>
          <w:bCs/>
          <w:sz w:val="24"/>
        </w:rPr>
        <w:t>;</w:t>
      </w:r>
    </w:p>
    <w:p w14:paraId="1B1084B6" w14:textId="78DADC27" w:rsidR="00AD6CBA" w:rsidRPr="00AD6CBA" w:rsidRDefault="00E2491E" w:rsidP="00AD6CBA">
      <w:pPr>
        <w:pStyle w:val="ListParagraph"/>
        <w:numPr>
          <w:ilvl w:val="0"/>
          <w:numId w:val="1"/>
        </w:numPr>
        <w:jc w:val="both"/>
        <w:rPr>
          <w:rFonts w:ascii="Times New Roman" w:hAnsi="Times New Roman"/>
          <w:bCs/>
          <w:sz w:val="24"/>
        </w:rPr>
      </w:pPr>
      <w:r>
        <w:rPr>
          <w:rFonts w:ascii="Times New Roman" w:hAnsi="Times New Roman"/>
          <w:bCs/>
          <w:sz w:val="24"/>
        </w:rPr>
        <w:t>vis daugiau gamintojų teigia žengiantys į kieto būvio baterijų bandomųjų ar net komercinių prototipų kūrimo fazę. Jų įpatybė – nauji iššūkiai šilumos valdymui. Aušinimo sistemos turės veikti preciziškai, nes dėl didelio energijos tankio bei chemijos įpatybių, temperatūros šuoliai tampa reikšmingesni</w:t>
      </w:r>
      <w:r w:rsidR="00AD6CBA" w:rsidRPr="00AD6CBA">
        <w:rPr>
          <w:rFonts w:ascii="Times New Roman" w:hAnsi="Times New Roman"/>
          <w:bCs/>
          <w:sz w:val="24"/>
        </w:rPr>
        <w:t>;</w:t>
      </w:r>
    </w:p>
    <w:p w14:paraId="63BFEB6B" w14:textId="01F7CEE5" w:rsidR="00AD6CBA" w:rsidRPr="00AD6CBA" w:rsidRDefault="00E2491E" w:rsidP="00AD6CBA">
      <w:pPr>
        <w:pStyle w:val="ListParagraph"/>
        <w:numPr>
          <w:ilvl w:val="0"/>
          <w:numId w:val="1"/>
        </w:numPr>
        <w:jc w:val="both"/>
        <w:rPr>
          <w:rFonts w:ascii="Times New Roman" w:hAnsi="Times New Roman"/>
          <w:bCs/>
          <w:sz w:val="24"/>
        </w:rPr>
      </w:pPr>
      <w:r>
        <w:rPr>
          <w:rFonts w:ascii="Times New Roman" w:hAnsi="Times New Roman"/>
          <w:bCs/>
          <w:sz w:val="24"/>
        </w:rPr>
        <w:t>šilumnės grandinės architektūra tampa orientuota į „thermal runaway“ prevenciją</w:t>
      </w:r>
      <w:r w:rsidR="003A6E76">
        <w:rPr>
          <w:rFonts w:ascii="Times New Roman" w:hAnsi="Times New Roman"/>
          <w:bCs/>
          <w:sz w:val="24"/>
        </w:rPr>
        <w:t>. Tai pareikalaus baterijos temeratūros laukų stebįsenos realiuoju laiku ir aktyvaus aušinimo sprendimų</w:t>
      </w:r>
      <w:r w:rsidR="00AD6CBA" w:rsidRPr="00AD6CBA">
        <w:rPr>
          <w:rFonts w:ascii="Times New Roman" w:hAnsi="Times New Roman"/>
          <w:bCs/>
          <w:sz w:val="24"/>
        </w:rPr>
        <w:t>;</w:t>
      </w:r>
    </w:p>
    <w:p w14:paraId="204AABA6" w14:textId="77777777" w:rsidR="003A6E76" w:rsidRDefault="003A6E76" w:rsidP="003A6E76">
      <w:pPr>
        <w:pStyle w:val="ListParagraph"/>
        <w:numPr>
          <w:ilvl w:val="0"/>
          <w:numId w:val="1"/>
        </w:numPr>
        <w:jc w:val="both"/>
        <w:rPr>
          <w:rFonts w:ascii="Times New Roman" w:hAnsi="Times New Roman"/>
          <w:bCs/>
          <w:sz w:val="24"/>
        </w:rPr>
      </w:pPr>
      <w:r>
        <w:rPr>
          <w:rFonts w:ascii="Times New Roman" w:hAnsi="Times New Roman"/>
          <w:bCs/>
          <w:sz w:val="24"/>
        </w:rPr>
        <w:t>ypač aktuali tampa baerijų „second life“ tema. Kadangi tokių baterijų celių likutinė talpa ir efektyvumas nevienodi, joms reikalingi nestandartiniai, t. y. individualiai pritaikomi aušinimo sprendimai</w:t>
      </w:r>
      <w:r w:rsidR="00AD6CBA" w:rsidRPr="00AD6CBA">
        <w:rPr>
          <w:rFonts w:ascii="Times New Roman" w:hAnsi="Times New Roman"/>
          <w:bCs/>
          <w:sz w:val="24"/>
        </w:rPr>
        <w:t>;</w:t>
      </w:r>
    </w:p>
    <w:p w14:paraId="185D5264" w14:textId="24EEE11B" w:rsidR="00AD6CBA" w:rsidRPr="003A6E76" w:rsidRDefault="003A6E76" w:rsidP="003A6E76">
      <w:pPr>
        <w:pStyle w:val="ListParagraph"/>
        <w:numPr>
          <w:ilvl w:val="0"/>
          <w:numId w:val="1"/>
        </w:numPr>
        <w:jc w:val="both"/>
        <w:rPr>
          <w:rFonts w:ascii="Times New Roman" w:hAnsi="Times New Roman"/>
          <w:bCs/>
          <w:sz w:val="24"/>
        </w:rPr>
      </w:pPr>
      <w:r>
        <w:rPr>
          <w:rFonts w:ascii="Times New Roman" w:hAnsi="Times New Roman"/>
          <w:bCs/>
          <w:sz w:val="24"/>
        </w:rPr>
        <w:t>Energijos valdymo ir aušinimo sistemose, neišvengiamai, bus taikomi DI algoritmai tam, kad realiuoju laiku prognozuoti baterijų temperatūros laukų kitimą ir tiksliau valdyti aušinimo kontūrus. Taip siekiama sulėtinti baterjų nusidėvėjimą</w:t>
      </w:r>
      <w:r w:rsidR="00E9087F">
        <w:rPr>
          <w:rFonts w:ascii="Times New Roman" w:hAnsi="Times New Roman"/>
          <w:bCs/>
          <w:sz w:val="24"/>
        </w:rPr>
        <w:t xml:space="preserve"> ir</w:t>
      </w:r>
      <w:r>
        <w:rPr>
          <w:rFonts w:ascii="Times New Roman" w:hAnsi="Times New Roman"/>
          <w:bCs/>
          <w:sz w:val="24"/>
        </w:rPr>
        <w:t xml:space="preserve"> sumažinti energijos nuostolius</w:t>
      </w:r>
      <w:r w:rsidR="00E9087F">
        <w:rPr>
          <w:rFonts w:ascii="Times New Roman" w:hAnsi="Times New Roman"/>
          <w:bCs/>
          <w:sz w:val="24"/>
        </w:rPr>
        <w:t>, bet tuo pačiu prisitaikyti prie konkrečių baterijos darbo režimų ir naudotojų poreikių bei įpročių.</w:t>
      </w:r>
    </w:p>
    <w:p w14:paraId="598968F4" w14:textId="77777777" w:rsidR="00AD6CBA" w:rsidRPr="00AD6CBA" w:rsidRDefault="00AD6CBA" w:rsidP="00AD6CBA">
      <w:pPr>
        <w:widowControl w:val="0"/>
        <w:jc w:val="both"/>
        <w:rPr>
          <w:bCs/>
          <w:szCs w:val="24"/>
        </w:rPr>
      </w:pPr>
    </w:p>
    <w:p w14:paraId="2D3412F7" w14:textId="6B14F199" w:rsidR="00152CA1" w:rsidRPr="007264FC" w:rsidRDefault="00AD6CBA" w:rsidP="00AD6CBA">
      <w:pPr>
        <w:widowControl w:val="0"/>
        <w:jc w:val="both"/>
        <w:rPr>
          <w:bCs/>
          <w:szCs w:val="24"/>
        </w:rPr>
      </w:pPr>
      <w:r w:rsidRPr="007264FC">
        <w:rPr>
          <w:bCs/>
          <w:szCs w:val="24"/>
        </w:rPr>
        <w:t xml:space="preserve">LEI specialistų </w:t>
      </w:r>
      <w:r w:rsidR="000212E9">
        <w:rPr>
          <w:bCs/>
          <w:szCs w:val="24"/>
        </w:rPr>
        <w:t xml:space="preserve">projekte </w:t>
      </w:r>
      <w:r w:rsidRPr="007264FC">
        <w:rPr>
          <w:bCs/>
          <w:szCs w:val="24"/>
        </w:rPr>
        <w:t xml:space="preserve">sukauptos patirties pagrindu </w:t>
      </w:r>
      <w:r w:rsidR="000212E9">
        <w:rPr>
          <w:bCs/>
          <w:szCs w:val="24"/>
        </w:rPr>
        <w:t xml:space="preserve">atlikti tyrimai ir </w:t>
      </w:r>
      <w:r w:rsidR="00152CA1" w:rsidRPr="007264FC">
        <w:rPr>
          <w:bCs/>
          <w:szCs w:val="24"/>
        </w:rPr>
        <w:t xml:space="preserve">išleistos </w:t>
      </w:r>
      <w:r w:rsidR="000212E9">
        <w:rPr>
          <w:bCs/>
          <w:szCs w:val="24"/>
        </w:rPr>
        <w:t>mokslinės publikacijos:</w:t>
      </w:r>
    </w:p>
    <w:p w14:paraId="3E03D730" w14:textId="1A9F21ED" w:rsidR="00152CA1" w:rsidRPr="007264FC" w:rsidRDefault="007264FC" w:rsidP="007264FC">
      <w:pPr>
        <w:pStyle w:val="ListParagraph"/>
        <w:widowControl w:val="0"/>
        <w:numPr>
          <w:ilvl w:val="0"/>
          <w:numId w:val="4"/>
        </w:numPr>
        <w:ind w:left="360"/>
        <w:jc w:val="both"/>
        <w:rPr>
          <w:rFonts w:ascii="Times New Roman" w:hAnsi="Times New Roman"/>
          <w:bCs/>
          <w:sz w:val="24"/>
        </w:rPr>
      </w:pPr>
      <w:r w:rsidRPr="007264FC">
        <w:rPr>
          <w:rFonts w:ascii="Times New Roman" w:hAnsi="Times New Roman"/>
          <w:bCs/>
          <w:sz w:val="24"/>
        </w:rPr>
        <w:t>„</w:t>
      </w:r>
      <w:r w:rsidR="00152CA1" w:rsidRPr="007264FC">
        <w:rPr>
          <w:rFonts w:ascii="Times New Roman" w:hAnsi="Times New Roman"/>
          <w:bCs/>
          <w:sz w:val="24"/>
        </w:rPr>
        <w:t>Extensive computational fluid dynamics analysis of microchannel flow topology and friction factor in arrays of conical pin-fins</w:t>
      </w:r>
      <w:r w:rsidRPr="007264FC">
        <w:rPr>
          <w:rFonts w:ascii="Times New Roman" w:hAnsi="Times New Roman"/>
          <w:bCs/>
          <w:sz w:val="24"/>
        </w:rPr>
        <w:t>“</w:t>
      </w:r>
      <w:r>
        <w:rPr>
          <w:rFonts w:ascii="Times New Roman" w:hAnsi="Times New Roman"/>
          <w:bCs/>
          <w:sz w:val="24"/>
        </w:rPr>
        <w:t>,</w:t>
      </w:r>
      <w:r w:rsidR="00152CA1" w:rsidRPr="007264FC">
        <w:rPr>
          <w:rFonts w:ascii="Times New Roman" w:hAnsi="Times New Roman"/>
          <w:bCs/>
          <w:sz w:val="24"/>
        </w:rPr>
        <w:t xml:space="preserve"> 2024</w:t>
      </w:r>
      <w:r w:rsidRPr="007264FC">
        <w:rPr>
          <w:rFonts w:ascii="Times New Roman" w:hAnsi="Times New Roman"/>
          <w:bCs/>
          <w:sz w:val="24"/>
        </w:rPr>
        <w:t>;</w:t>
      </w:r>
    </w:p>
    <w:p w14:paraId="32B08724" w14:textId="12E74CD8"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Comparative Assessment of Flow Patterns and Hydrodynamics in Cylindrical and Hourglass-Shaped Pin-Fin Configurations</w:t>
      </w:r>
      <w:r>
        <w:rPr>
          <w:rFonts w:ascii="Times New Roman" w:hAnsi="Times New Roman"/>
          <w:bCs/>
          <w:sz w:val="24"/>
        </w:rPr>
        <w:t>“,</w:t>
      </w:r>
      <w:r w:rsidR="00152CA1" w:rsidRPr="007264FC">
        <w:rPr>
          <w:rFonts w:ascii="Times New Roman" w:hAnsi="Times New Roman"/>
          <w:bCs/>
          <w:sz w:val="24"/>
        </w:rPr>
        <w:t xml:space="preserve"> 2024</w:t>
      </w:r>
      <w:r>
        <w:rPr>
          <w:rFonts w:ascii="Times New Roman" w:hAnsi="Times New Roman"/>
          <w:bCs/>
          <w:sz w:val="24"/>
        </w:rPr>
        <w:t>;</w:t>
      </w:r>
    </w:p>
    <w:p w14:paraId="4BBA2FA6" w14:textId="4E7BB510"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Shear Number as a Practical Tool for Flow Regime Evaluation and Education</w:t>
      </w:r>
      <w:r>
        <w:rPr>
          <w:rFonts w:ascii="Times New Roman" w:hAnsi="Times New Roman"/>
          <w:bCs/>
          <w:sz w:val="24"/>
        </w:rPr>
        <w:t>“</w:t>
      </w:r>
      <w:r w:rsidR="00152CA1" w:rsidRPr="007264FC">
        <w:rPr>
          <w:rFonts w:ascii="Times New Roman" w:hAnsi="Times New Roman"/>
          <w:bCs/>
          <w:sz w:val="24"/>
        </w:rPr>
        <w:t>, 2025</w:t>
      </w:r>
      <w:r>
        <w:rPr>
          <w:rFonts w:ascii="Times New Roman" w:hAnsi="Times New Roman"/>
          <w:bCs/>
          <w:sz w:val="24"/>
        </w:rPr>
        <w:t>;</w:t>
      </w:r>
    </w:p>
    <w:p w14:paraId="49F42D70" w14:textId="30833D55" w:rsidR="00152CA1" w:rsidRPr="007264FC" w:rsidRDefault="007264FC" w:rsidP="007264FC">
      <w:pPr>
        <w:pStyle w:val="ListParagraph"/>
        <w:widowControl w:val="0"/>
        <w:numPr>
          <w:ilvl w:val="0"/>
          <w:numId w:val="4"/>
        </w:numPr>
        <w:ind w:left="360"/>
        <w:jc w:val="both"/>
        <w:rPr>
          <w:rFonts w:ascii="Times New Roman" w:hAnsi="Times New Roman"/>
          <w:bCs/>
          <w:sz w:val="24"/>
        </w:rPr>
      </w:pPr>
      <w:r>
        <w:rPr>
          <w:rFonts w:ascii="Times New Roman" w:hAnsi="Times New Roman"/>
          <w:bCs/>
          <w:sz w:val="24"/>
        </w:rPr>
        <w:t>„</w:t>
      </w:r>
      <w:r w:rsidR="00152CA1" w:rsidRPr="007264FC">
        <w:rPr>
          <w:rFonts w:ascii="Times New Roman" w:hAnsi="Times New Roman"/>
          <w:bCs/>
          <w:sz w:val="24"/>
        </w:rPr>
        <w:t>CFD and experimental insights into natural convection in symmetrically heated vertical cylinders for renewable energy accumulation</w:t>
      </w:r>
      <w:r>
        <w:rPr>
          <w:rFonts w:ascii="Times New Roman" w:hAnsi="Times New Roman"/>
          <w:bCs/>
          <w:sz w:val="24"/>
        </w:rPr>
        <w:t>“</w:t>
      </w:r>
      <w:r w:rsidR="00152CA1" w:rsidRPr="007264FC">
        <w:rPr>
          <w:rFonts w:ascii="Times New Roman" w:hAnsi="Times New Roman"/>
          <w:bCs/>
          <w:sz w:val="24"/>
        </w:rPr>
        <w:t>, 2025</w:t>
      </w:r>
      <w:r w:rsidR="000212E9">
        <w:rPr>
          <w:rFonts w:ascii="Times New Roman" w:hAnsi="Times New Roman"/>
          <w:bCs/>
          <w:sz w:val="24"/>
        </w:rPr>
        <w:t>.</w:t>
      </w:r>
    </w:p>
    <w:p w14:paraId="6442F4BC" w14:textId="77777777" w:rsidR="00152CA1" w:rsidRDefault="00152CA1" w:rsidP="00152CA1">
      <w:pPr>
        <w:widowControl w:val="0"/>
        <w:jc w:val="both"/>
        <w:rPr>
          <w:bCs/>
          <w:szCs w:val="24"/>
        </w:rPr>
      </w:pPr>
    </w:p>
    <w:p w14:paraId="35D4C21E" w14:textId="77777777" w:rsidR="000212E9" w:rsidRDefault="000212E9" w:rsidP="00AD6CBA">
      <w:pPr>
        <w:widowControl w:val="0"/>
        <w:jc w:val="both"/>
        <w:rPr>
          <w:bCs/>
          <w:szCs w:val="24"/>
        </w:rPr>
      </w:pPr>
    </w:p>
    <w:p w14:paraId="3E27C361" w14:textId="77777777" w:rsidR="000212E9" w:rsidRDefault="000212E9" w:rsidP="00AD6CBA">
      <w:pPr>
        <w:widowControl w:val="0"/>
        <w:jc w:val="both"/>
        <w:rPr>
          <w:bCs/>
          <w:szCs w:val="24"/>
        </w:rPr>
      </w:pPr>
    </w:p>
    <w:p w14:paraId="6BE3CC52" w14:textId="25978FE9" w:rsidR="00AD6CBA" w:rsidRPr="00AD6CBA" w:rsidRDefault="00AD6CBA" w:rsidP="00AD6CBA">
      <w:pPr>
        <w:widowControl w:val="0"/>
        <w:jc w:val="both"/>
        <w:rPr>
          <w:szCs w:val="24"/>
        </w:rPr>
      </w:pPr>
      <w:r w:rsidRPr="00AD6CBA">
        <w:rPr>
          <w:bCs/>
          <w:szCs w:val="24"/>
        </w:rPr>
        <w:t xml:space="preserve">Projektas įgyvendintas pagal Sutartyje </w:t>
      </w:r>
      <w:r w:rsidRPr="00AD6CBA">
        <w:rPr>
          <w:b/>
          <w:bCs/>
          <w:szCs w:val="24"/>
        </w:rPr>
        <w:t>NR.</w:t>
      </w:r>
      <w:r w:rsidRPr="00AD6CBA">
        <w:rPr>
          <w:bCs/>
          <w:szCs w:val="24"/>
        </w:rPr>
        <w:t xml:space="preserve"> </w:t>
      </w:r>
      <w:r w:rsidRPr="00AD6CBA">
        <w:rPr>
          <w:b/>
          <w:bCs/>
          <w:iCs/>
          <w:szCs w:val="24"/>
        </w:rPr>
        <w:t>10-038-T-0</w:t>
      </w:r>
      <w:r w:rsidR="00634720">
        <w:rPr>
          <w:b/>
          <w:bCs/>
          <w:iCs/>
          <w:szCs w:val="24"/>
        </w:rPr>
        <w:t>090</w:t>
      </w:r>
      <w:r w:rsidRPr="00AD6CBA">
        <w:rPr>
          <w:b/>
          <w:bCs/>
          <w:iCs/>
          <w:szCs w:val="24"/>
        </w:rPr>
        <w:t xml:space="preserve">, </w:t>
      </w:r>
      <w:r w:rsidRPr="00AD6CBA">
        <w:rPr>
          <w:bCs/>
          <w:szCs w:val="24"/>
        </w:rPr>
        <w:t>2022-2030 metų plėtros programos valdytojos Lietuvos Respublikos švietimo, mokslo ir sporto ministerijos plėtros programos pažangos priemonės Nr. 12-001-01-02-01 „Stiprinti inovacijų ekosistemas mokslo centruose</w:t>
      </w:r>
      <w:r w:rsidRPr="00AD6CBA">
        <w:rPr>
          <w:szCs w:val="24"/>
        </w:rPr>
        <w:t>“ aprašo, patvirtinto</w:t>
      </w:r>
      <w:r w:rsidRPr="00AD6CBA">
        <w:rPr>
          <w:i/>
          <w:szCs w:val="24"/>
        </w:rPr>
        <w:t xml:space="preserve"> </w:t>
      </w:r>
      <w:r w:rsidRPr="00AD6CBA">
        <w:rPr>
          <w:szCs w:val="24"/>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AD6CBA">
        <w:rPr>
          <w:szCs w:val="24"/>
          <w:shd w:val="clear" w:color="auto" w:fill="FFFFFF"/>
        </w:rPr>
        <w:t xml:space="preserve">2022–2030 m. plėtros programos valdytojos Lietuvos Respublikos švietimo, mokslo ir sporto ministerijos mokslo plėtros programos </w:t>
      </w:r>
      <w:r w:rsidRPr="00AD6CBA">
        <w:rPr>
          <w:szCs w:val="24"/>
        </w:rPr>
        <w:t>pažangos priemonės Nr. 12-001-01-02-01 „Stiprinti inov</w:t>
      </w:r>
      <w:bookmarkStart w:id="4" w:name="_GoBack"/>
      <w:bookmarkEnd w:id="4"/>
      <w:r w:rsidRPr="00AD6CBA">
        <w:rPr>
          <w:szCs w:val="24"/>
        </w:rPr>
        <w:t>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AD6CBA">
        <w:rPr>
          <w:iCs/>
          <w:szCs w:val="24"/>
        </w:rPr>
        <w:t xml:space="preserve"> (toliau – Taisyklės) </w:t>
      </w:r>
      <w:r w:rsidRPr="00AD6CBA">
        <w:rPr>
          <w:szCs w:val="24"/>
        </w:rPr>
        <w:t xml:space="preserve">ir (arba) Finansinių priemonių įgyvendinimo taisyklėse, </w:t>
      </w:r>
      <w:r w:rsidRPr="00AD6CB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AD6CBA">
        <w:rPr>
          <w:szCs w:val="24"/>
        </w:rPr>
        <w:t>,</w:t>
      </w:r>
      <w:r w:rsidRPr="00AD6CBA">
        <w:rPr>
          <w:i/>
          <w:iCs/>
          <w:szCs w:val="24"/>
        </w:rPr>
        <w:t xml:space="preserve"> </w:t>
      </w:r>
      <w:r w:rsidRPr="00AD6CBA">
        <w:rPr>
          <w:szCs w:val="24"/>
        </w:rPr>
        <w:t xml:space="preserve">ir juose nurodytuose ES ir Lietuvos Respublikos teisės aktuose nustatytas sąlygas ir tvarką. </w:t>
      </w:r>
    </w:p>
    <w:p w14:paraId="1D224A6C" w14:textId="77777777" w:rsidR="00AD6CBA" w:rsidRDefault="00AD6CBA" w:rsidP="00AD6CBA">
      <w:pPr>
        <w:jc w:val="both"/>
        <w:rPr>
          <w:bCs/>
          <w:szCs w:val="24"/>
        </w:rPr>
      </w:pPr>
      <w:r w:rsidRPr="00AD6CBA">
        <w:rPr>
          <w:bCs/>
          <w:szCs w:val="24"/>
        </w:rPr>
        <w:t>Projekto viešinimo sąlygos įgyvendintos pagal sutartyje nurodytus reikalavimus.</w:t>
      </w:r>
    </w:p>
    <w:p w14:paraId="529ABCEC" w14:textId="77777777" w:rsidR="00361FFB" w:rsidRDefault="00361FFB" w:rsidP="00AD6CBA">
      <w:pPr>
        <w:jc w:val="both"/>
        <w:rPr>
          <w:bCs/>
          <w:szCs w:val="24"/>
        </w:rPr>
      </w:pPr>
    </w:p>
    <w:p w14:paraId="4785982E" w14:textId="77777777" w:rsidR="00361FFB" w:rsidRPr="00361FFB" w:rsidRDefault="00361FFB" w:rsidP="00361FFB">
      <w:pPr>
        <w:rPr>
          <w:bCs/>
          <w:szCs w:val="24"/>
        </w:rPr>
      </w:pPr>
      <w:r w:rsidRPr="00361FFB">
        <w:rPr>
          <w:bCs/>
          <w:szCs w:val="24"/>
        </w:rPr>
        <w:t>Projekto vadovas</w:t>
      </w:r>
    </w:p>
    <w:p w14:paraId="6B2BEBFC" w14:textId="162D3CD9" w:rsidR="00361FFB" w:rsidRPr="00361FFB" w:rsidRDefault="00457C09" w:rsidP="00361FFB">
      <w:pPr>
        <w:rPr>
          <w:bCs/>
          <w:szCs w:val="24"/>
        </w:rPr>
      </w:pPr>
      <w:r>
        <w:rPr>
          <w:bCs/>
          <w:szCs w:val="24"/>
        </w:rPr>
        <w:t>Raimondas Pabarčius</w:t>
      </w:r>
    </w:p>
    <w:p w14:paraId="66182663" w14:textId="77777777" w:rsidR="00361FFB" w:rsidRPr="00AD6CBA" w:rsidRDefault="00361FFB" w:rsidP="00AD6CBA">
      <w:pPr>
        <w:jc w:val="both"/>
        <w:rPr>
          <w:bCs/>
          <w:szCs w:val="24"/>
        </w:rPr>
      </w:pPr>
    </w:p>
    <w:p w14:paraId="7D684495" w14:textId="77777777" w:rsidR="008360A7" w:rsidRPr="00AD6CBA" w:rsidRDefault="008360A7" w:rsidP="008360A7">
      <w:pPr>
        <w:rPr>
          <w:bCs/>
          <w:szCs w:val="24"/>
        </w:rPr>
      </w:pPr>
    </w:p>
    <w:p w14:paraId="241C0BDB" w14:textId="77777777" w:rsidR="008360A7" w:rsidRPr="00AD6CBA" w:rsidRDefault="008360A7" w:rsidP="008360A7">
      <w:pPr>
        <w:rPr>
          <w:bCs/>
          <w:szCs w:val="24"/>
        </w:rPr>
      </w:pPr>
    </w:p>
    <w:p w14:paraId="62FF909F" w14:textId="77777777" w:rsidR="008360A7" w:rsidRPr="00AD6CBA" w:rsidRDefault="008360A7" w:rsidP="008360A7">
      <w:pPr>
        <w:rPr>
          <w:bCs/>
          <w:szCs w:val="24"/>
        </w:rPr>
      </w:pPr>
    </w:p>
    <w:p w14:paraId="015C0938" w14:textId="77777777" w:rsidR="008360A7" w:rsidRPr="00AD6CBA" w:rsidRDefault="008360A7" w:rsidP="008360A7">
      <w:pPr>
        <w:rPr>
          <w:bCs/>
          <w:szCs w:val="24"/>
        </w:rPr>
      </w:pPr>
    </w:p>
    <w:p w14:paraId="42DA5A92" w14:textId="77777777" w:rsidR="008360A7" w:rsidRPr="00AD6CBA" w:rsidRDefault="008360A7" w:rsidP="008360A7">
      <w:pPr>
        <w:rPr>
          <w:bCs/>
          <w:szCs w:val="24"/>
        </w:rPr>
      </w:pPr>
    </w:p>
    <w:p w14:paraId="4DD179D7" w14:textId="77777777" w:rsidR="008360A7" w:rsidRPr="00AD6CBA" w:rsidRDefault="008360A7" w:rsidP="008360A7">
      <w:pPr>
        <w:rPr>
          <w:bCs/>
          <w:szCs w:val="24"/>
        </w:rPr>
      </w:pPr>
    </w:p>
    <w:p w14:paraId="783C1A7F" w14:textId="77777777" w:rsidR="008360A7" w:rsidRPr="00AD6CBA" w:rsidRDefault="008360A7" w:rsidP="008360A7">
      <w:pPr>
        <w:rPr>
          <w:bCs/>
          <w:szCs w:val="24"/>
        </w:rPr>
      </w:pPr>
    </w:p>
    <w:p w14:paraId="34D181D5" w14:textId="77777777" w:rsidR="008360A7" w:rsidRPr="00AD6CBA" w:rsidRDefault="008360A7" w:rsidP="008360A7">
      <w:pPr>
        <w:jc w:val="both"/>
        <w:rPr>
          <w:noProof/>
          <w:szCs w:val="24"/>
        </w:rPr>
      </w:pPr>
    </w:p>
    <w:p w14:paraId="646EA06B" w14:textId="77777777" w:rsidR="008360A7" w:rsidRPr="00AD6CBA" w:rsidRDefault="008360A7" w:rsidP="008360A7">
      <w:pPr>
        <w:suppressAutoHyphens/>
        <w:autoSpaceDE w:val="0"/>
        <w:autoSpaceDN w:val="0"/>
        <w:adjustRightInd w:val="0"/>
        <w:textAlignment w:val="center"/>
        <w:rPr>
          <w:noProof/>
          <w:szCs w:val="24"/>
        </w:rPr>
      </w:pPr>
      <w:r w:rsidRPr="00AD6CBA">
        <w:rPr>
          <w:noProof/>
          <w:szCs w:val="24"/>
          <w:lang w:val="en-US"/>
        </w:rPr>
        <w:drawing>
          <wp:inline distT="0" distB="0" distL="0" distR="0" wp14:anchorId="4AD57564" wp14:editId="7A055870">
            <wp:extent cx="5731510" cy="906145"/>
            <wp:effectExtent l="0" t="0" r="2540" b="8255"/>
            <wp:docPr id="412351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030D1320" w14:textId="77777777" w:rsidR="008360A7" w:rsidRPr="00AD6CBA" w:rsidRDefault="008360A7" w:rsidP="008360A7">
      <w:pPr>
        <w:suppressAutoHyphens/>
        <w:autoSpaceDE w:val="0"/>
        <w:autoSpaceDN w:val="0"/>
        <w:adjustRightInd w:val="0"/>
        <w:jc w:val="center"/>
        <w:textAlignment w:val="center"/>
        <w:rPr>
          <w:noProof/>
          <w:szCs w:val="24"/>
        </w:rPr>
      </w:pPr>
    </w:p>
    <w:p w14:paraId="27A35578" w14:textId="77777777" w:rsidR="008360A7" w:rsidRPr="00AD6CBA" w:rsidRDefault="008360A7" w:rsidP="008360A7">
      <w:pPr>
        <w:suppressAutoHyphens/>
        <w:autoSpaceDE w:val="0"/>
        <w:autoSpaceDN w:val="0"/>
        <w:adjustRightInd w:val="0"/>
        <w:textAlignment w:val="center"/>
        <w:rPr>
          <w:noProof/>
          <w:szCs w:val="24"/>
        </w:rPr>
      </w:pPr>
      <w:r w:rsidRPr="00AD6CBA">
        <w:rPr>
          <w:bCs/>
          <w:szCs w:val="24"/>
        </w:rPr>
        <w:t>Finansuoja Europos Sąjunga NextGenerationEU</w:t>
      </w:r>
    </w:p>
    <w:p w14:paraId="4012A1D5" w14:textId="77777777" w:rsidR="008360A7" w:rsidRPr="00AD6CBA" w:rsidRDefault="008360A7" w:rsidP="008360A7">
      <w:pPr>
        <w:suppressAutoHyphens/>
        <w:autoSpaceDE w:val="0"/>
        <w:autoSpaceDN w:val="0"/>
        <w:adjustRightInd w:val="0"/>
        <w:jc w:val="center"/>
        <w:textAlignment w:val="center"/>
        <w:rPr>
          <w:noProof/>
          <w:szCs w:val="24"/>
        </w:rPr>
      </w:pPr>
    </w:p>
    <w:p w14:paraId="6E633CF9" w14:textId="77777777" w:rsidR="00EF1785" w:rsidRPr="00C705F0" w:rsidRDefault="00EF1785" w:rsidP="008360A7">
      <w:pPr>
        <w:pStyle w:val="Header"/>
        <w:jc w:val="right"/>
        <w:rPr>
          <w:rFonts w:ascii="Times New Roman" w:hAnsi="Times New Roman" w:cs="Times New Roman"/>
          <w:bCs/>
          <w:sz w:val="28"/>
          <w:szCs w:val="28"/>
        </w:rPr>
      </w:pPr>
    </w:p>
    <w:sectPr w:rsidR="00EF1785" w:rsidRPr="00C705F0" w:rsidSect="007272AB">
      <w:headerReference w:type="default"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0390D" w14:textId="77777777" w:rsidR="007264FC" w:rsidRDefault="007264FC" w:rsidP="00FF1B8F">
      <w:r>
        <w:separator/>
      </w:r>
    </w:p>
  </w:endnote>
  <w:endnote w:type="continuationSeparator" w:id="0">
    <w:p w14:paraId="45A4516A" w14:textId="77777777" w:rsidR="007264FC" w:rsidRDefault="007264FC" w:rsidP="00FF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84AFC" w14:textId="49D9AF68" w:rsidR="007264FC" w:rsidRDefault="007264FC" w:rsidP="00B13059">
    <w:pPr>
      <w:jc w:val="center"/>
      <w:rPr>
        <w:rFonts w:asciiTheme="majorBidi" w:hAnsiTheme="majorBidi" w:cstheme="majorBidi"/>
        <w:szCs w:val="24"/>
      </w:rPr>
    </w:pPr>
    <w:bookmarkStart w:id="2" w:name="_Hlk122596552"/>
    <w:bookmarkStart w:id="3" w:name="_Hlk122596553"/>
    <w:r>
      <w:rPr>
        <w:noProof/>
        <w:lang w:val="en-US"/>
      </w:rPr>
      <w:drawing>
        <wp:inline distT="0" distB="0" distL="0" distR="0" wp14:anchorId="2C6F23EA" wp14:editId="616560D3">
          <wp:extent cx="6120765" cy="518160"/>
          <wp:effectExtent l="0" t="0" r="0" b="0"/>
          <wp:docPr id="14939126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p>
  <w:p w14:paraId="3F2B0219" w14:textId="1F63824E" w:rsidR="007264FC" w:rsidRDefault="007264FC" w:rsidP="00B13059">
    <w:pPr>
      <w:jc w:val="center"/>
      <w:rPr>
        <w:rFonts w:asciiTheme="majorBidi" w:hAnsiTheme="majorBidi" w:cstheme="majorBidi"/>
        <w:szCs w:val="24"/>
      </w:rPr>
    </w:pPr>
    <w:r>
      <w:rPr>
        <w:rFonts w:asciiTheme="majorBidi" w:hAnsiTheme="majorBidi" w:cstheme="majorBidi"/>
        <w:szCs w:val="24"/>
      </w:rPr>
      <w:t>Kaunas, 2025</w:t>
    </w:r>
  </w:p>
  <w:p w14:paraId="3DD195DD" w14:textId="5A8E901C" w:rsidR="007264FC" w:rsidRDefault="007264FC" w:rsidP="00EF1785">
    <w:pPr>
      <w:ind w:firstLine="426"/>
      <w:rPr>
        <w:rFonts w:asciiTheme="majorBidi" w:hAnsiTheme="majorBidi" w:cstheme="majorBidi"/>
        <w:szCs w:val="24"/>
      </w:rPr>
    </w:pPr>
    <w:r>
      <w:rPr>
        <w:noProof/>
        <w:lang w:val="en-US"/>
      </w:rPr>
      <w:drawing>
        <wp:inline distT="0" distB="0" distL="0" distR="0" wp14:anchorId="59858475" wp14:editId="56205420">
          <wp:extent cx="820800" cy="547200"/>
          <wp:effectExtent l="0" t="0" r="0" b="5715"/>
          <wp:docPr id="183366792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00" cy="547200"/>
                  </a:xfrm>
                  <a:prstGeom prst="rect">
                    <a:avLst/>
                  </a:prstGeom>
                  <a:noFill/>
                  <a:ln>
                    <a:noFill/>
                  </a:ln>
                </pic:spPr>
              </pic:pic>
            </a:graphicData>
          </a:graphic>
        </wp:inline>
      </w:drawing>
    </w:r>
    <w:bookmarkEnd w:id="2"/>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A2F7" w14:textId="11ED15B4" w:rsidR="007264FC" w:rsidRDefault="007264FC" w:rsidP="00B13059">
    <w:pPr>
      <w:jc w:val="center"/>
      <w:rPr>
        <w:rFonts w:asciiTheme="majorBidi" w:hAnsiTheme="majorBidi" w:cstheme="majorBidi"/>
        <w:szCs w:val="24"/>
      </w:rPr>
    </w:pPr>
  </w:p>
  <w:p w14:paraId="56D9B24F" w14:textId="2691E83F" w:rsidR="007264FC" w:rsidRDefault="007264FC" w:rsidP="00EF1785">
    <w:pPr>
      <w:ind w:firstLine="426"/>
      <w:rPr>
        <w:rFonts w:asciiTheme="majorBidi" w:hAnsiTheme="majorBidi" w:cstheme="majorBid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A311" w14:textId="77777777" w:rsidR="007264FC" w:rsidRDefault="00726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34A3" w14:textId="77777777" w:rsidR="007264FC" w:rsidRDefault="007264FC" w:rsidP="00FF1B8F">
      <w:r>
        <w:separator/>
      </w:r>
    </w:p>
  </w:footnote>
  <w:footnote w:type="continuationSeparator" w:id="0">
    <w:p w14:paraId="0E3B230D" w14:textId="77777777" w:rsidR="007264FC" w:rsidRDefault="007264FC" w:rsidP="00FF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23EF" w14:textId="33BFF31E" w:rsidR="007264FC" w:rsidRDefault="007264FC" w:rsidP="00FF1B8F">
    <w:pPr>
      <w:pStyle w:val="Header"/>
      <w:tabs>
        <w:tab w:val="left" w:pos="2383"/>
        <w:tab w:val="center" w:pos="4819"/>
      </w:tabs>
      <w:jc w:val="center"/>
    </w:pPr>
    <w:bookmarkStart w:id="0" w:name="_Hlk122596531"/>
    <w:bookmarkStart w:id="1" w:name="_Hlk122596532"/>
    <w:r>
      <w:rPr>
        <w:noProof/>
      </w:rPr>
      <w:drawing>
        <wp:inline distT="0" distB="0" distL="0" distR="0" wp14:anchorId="11242E6A" wp14:editId="34155C18">
          <wp:extent cx="640080" cy="640080"/>
          <wp:effectExtent l="0" t="0" r="7620" b="7620"/>
          <wp:docPr id="1197889447" name="Paveikslėlis 3" descr="L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LEI.png"/>
                  <pic:cNvPicPr>
                    <a:picLocks noChangeAspect="1"/>
                  </pic:cNvPicPr>
                </pic:nvPicPr>
                <pic:blipFill>
                  <a:blip r:embed="rId1" cstate="print"/>
                  <a:srcRect/>
                  <a:stretch>
                    <a:fillRect/>
                  </a:stretch>
                </pic:blipFill>
                <pic:spPr bwMode="auto">
                  <a:xfrm>
                    <a:off x="0" y="0"/>
                    <a:ext cx="640080" cy="640080"/>
                  </a:xfrm>
                  <a:prstGeom prst="rect">
                    <a:avLst/>
                  </a:prstGeom>
                  <a:noFill/>
                  <a:ln w="9525">
                    <a:noFill/>
                    <a:miter lim="800000"/>
                    <a:headEnd/>
                    <a:tailEnd/>
                  </a:ln>
                </pic:spPr>
              </pic:pic>
            </a:graphicData>
          </a:graphic>
        </wp:inline>
      </w:drawing>
    </w:r>
  </w:p>
  <w:p w14:paraId="65DE9BC4" w14:textId="42F40144" w:rsidR="007264FC" w:rsidRDefault="007264FC" w:rsidP="00002100">
    <w:pPr>
      <w:pStyle w:val="Header"/>
      <w:tabs>
        <w:tab w:val="left" w:pos="2383"/>
        <w:tab w:val="center" w:pos="4819"/>
      </w:tabs>
      <w:spacing w:before="60"/>
      <w:jc w:val="center"/>
      <w:rPr>
        <w:b/>
        <w:bCs/>
        <w:sz w:val="24"/>
        <w:szCs w:val="24"/>
      </w:rPr>
    </w:pPr>
    <w:r w:rsidRPr="00002100">
      <w:rPr>
        <w:b/>
        <w:bCs/>
        <w:sz w:val="24"/>
        <w:szCs w:val="24"/>
      </w:rPr>
      <w:t>LIETUVOS ENERGETIKOS INSTITUTAS</w:t>
    </w:r>
  </w:p>
  <w:p w14:paraId="3E59A3AF" w14:textId="251006AD" w:rsidR="007264FC" w:rsidRDefault="007264FC" w:rsidP="00B83382">
    <w:pPr>
      <w:pStyle w:val="Header"/>
      <w:tabs>
        <w:tab w:val="left" w:pos="2383"/>
        <w:tab w:val="center" w:pos="4819"/>
      </w:tabs>
      <w:spacing w:before="60"/>
      <w:ind w:right="567"/>
      <w:jc w:val="right"/>
    </w:pPr>
    <w:r>
      <w:rPr>
        <w:noProof/>
      </w:rPr>
      <w:drawing>
        <wp:inline distT="0" distB="0" distL="0" distR="0" wp14:anchorId="4A65E575" wp14:editId="72DCE7A5">
          <wp:extent cx="6120765" cy="518160"/>
          <wp:effectExtent l="0" t="0" r="0" b="0"/>
          <wp:docPr id="16518698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0" y="0"/>
                    <a:ext cx="6120765" cy="518160"/>
                  </a:xfrm>
                  <a:prstGeom prst="rect">
                    <a:avLst/>
                  </a:prstGeom>
                </pic:spPr>
              </pic:pic>
            </a:graphicData>
          </a:graphic>
        </wp:inline>
      </w:drawing>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D1E3" w14:textId="3D55716C" w:rsidR="007264FC" w:rsidRDefault="007264FC" w:rsidP="00FF1B8F">
    <w:pPr>
      <w:pStyle w:val="Header"/>
      <w:tabs>
        <w:tab w:val="left" w:pos="2383"/>
        <w:tab w:val="center" w:pos="4819"/>
      </w:tabs>
      <w:jc w:val="center"/>
    </w:pPr>
  </w:p>
  <w:p w14:paraId="62D8B1E4" w14:textId="4C5393AF" w:rsidR="007264FC" w:rsidRDefault="007264FC" w:rsidP="00B83382">
    <w:pPr>
      <w:pStyle w:val="Header"/>
      <w:tabs>
        <w:tab w:val="left" w:pos="2383"/>
        <w:tab w:val="center" w:pos="4819"/>
      </w:tabs>
      <w:spacing w:before="60"/>
      <w:ind w:right="56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4FF4" w14:textId="77777777" w:rsidR="007264FC" w:rsidRDefault="00726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D3EB8"/>
    <w:multiLevelType w:val="hybridMultilevel"/>
    <w:tmpl w:val="B2529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403C95"/>
    <w:multiLevelType w:val="hybridMultilevel"/>
    <w:tmpl w:val="B864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D466B"/>
    <w:multiLevelType w:val="hybridMultilevel"/>
    <w:tmpl w:val="6BA87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614F8"/>
    <w:multiLevelType w:val="hybridMultilevel"/>
    <w:tmpl w:val="3EA826EA"/>
    <w:lvl w:ilvl="0" w:tplc="68E6B062">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E"/>
    <w:rsid w:val="00002100"/>
    <w:rsid w:val="000212E9"/>
    <w:rsid w:val="000262A9"/>
    <w:rsid w:val="00044DB2"/>
    <w:rsid w:val="00055856"/>
    <w:rsid w:val="00056941"/>
    <w:rsid w:val="000B22D3"/>
    <w:rsid w:val="000F7EA4"/>
    <w:rsid w:val="00110211"/>
    <w:rsid w:val="00146FEE"/>
    <w:rsid w:val="00152CA1"/>
    <w:rsid w:val="001D4976"/>
    <w:rsid w:val="001E5586"/>
    <w:rsid w:val="001F7405"/>
    <w:rsid w:val="00247E15"/>
    <w:rsid w:val="00286CA0"/>
    <w:rsid w:val="002A097C"/>
    <w:rsid w:val="002D4345"/>
    <w:rsid w:val="00333564"/>
    <w:rsid w:val="003400FA"/>
    <w:rsid w:val="003439D9"/>
    <w:rsid w:val="00361FFB"/>
    <w:rsid w:val="003A6E76"/>
    <w:rsid w:val="003B27C2"/>
    <w:rsid w:val="003B447F"/>
    <w:rsid w:val="003D7A2F"/>
    <w:rsid w:val="003F194D"/>
    <w:rsid w:val="00457C09"/>
    <w:rsid w:val="004E4344"/>
    <w:rsid w:val="00551A3A"/>
    <w:rsid w:val="00586296"/>
    <w:rsid w:val="005C5BDF"/>
    <w:rsid w:val="005C5C8E"/>
    <w:rsid w:val="005D3585"/>
    <w:rsid w:val="0062067C"/>
    <w:rsid w:val="00634720"/>
    <w:rsid w:val="00671C07"/>
    <w:rsid w:val="007264FC"/>
    <w:rsid w:val="007272AB"/>
    <w:rsid w:val="0073517C"/>
    <w:rsid w:val="007C482A"/>
    <w:rsid w:val="007C7E75"/>
    <w:rsid w:val="00813ADE"/>
    <w:rsid w:val="008360A7"/>
    <w:rsid w:val="00860812"/>
    <w:rsid w:val="008E5671"/>
    <w:rsid w:val="00923957"/>
    <w:rsid w:val="0093312C"/>
    <w:rsid w:val="00986F64"/>
    <w:rsid w:val="009E6628"/>
    <w:rsid w:val="009F24C9"/>
    <w:rsid w:val="00A73E68"/>
    <w:rsid w:val="00AB27A0"/>
    <w:rsid w:val="00AD6CBA"/>
    <w:rsid w:val="00B13059"/>
    <w:rsid w:val="00B1412F"/>
    <w:rsid w:val="00B37047"/>
    <w:rsid w:val="00B83382"/>
    <w:rsid w:val="00BC18C7"/>
    <w:rsid w:val="00BF255E"/>
    <w:rsid w:val="00C026CE"/>
    <w:rsid w:val="00C705F0"/>
    <w:rsid w:val="00CB57B4"/>
    <w:rsid w:val="00CC7346"/>
    <w:rsid w:val="00CF4935"/>
    <w:rsid w:val="00D0281D"/>
    <w:rsid w:val="00DF2B1E"/>
    <w:rsid w:val="00E2491E"/>
    <w:rsid w:val="00E9087F"/>
    <w:rsid w:val="00EA7371"/>
    <w:rsid w:val="00EE125F"/>
    <w:rsid w:val="00EF1785"/>
    <w:rsid w:val="00F45D47"/>
    <w:rsid w:val="00F64CF5"/>
    <w:rsid w:val="00F82B0F"/>
    <w:rsid w:val="00FF1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435C"/>
  <w15:chartTrackingRefBased/>
  <w15:docId w15:val="{2F841C40-5D03-447A-91CB-04704ED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A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F1B8F"/>
  </w:style>
  <w:style w:type="paragraph" w:styleId="Footer">
    <w:name w:val="footer"/>
    <w:basedOn w:val="Normal"/>
    <w:link w:val="FooterChar"/>
    <w:uiPriority w:val="99"/>
    <w:unhideWhenUsed/>
    <w:rsid w:val="00FF1B8F"/>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1B8F"/>
  </w:style>
  <w:style w:type="paragraph" w:customStyle="1" w:styleId="a">
    <w:basedOn w:val="Normal"/>
    <w:next w:val="Subtitle"/>
    <w:qFormat/>
    <w:rsid w:val="00AB27A0"/>
    <w:pPr>
      <w:jc w:val="center"/>
    </w:pPr>
    <w:rPr>
      <w:i/>
      <w:sz w:val="28"/>
    </w:rPr>
  </w:style>
  <w:style w:type="paragraph" w:styleId="Subtitle">
    <w:name w:val="Subtitle"/>
    <w:basedOn w:val="Normal"/>
    <w:next w:val="Normal"/>
    <w:link w:val="SubtitleChar"/>
    <w:uiPriority w:val="11"/>
    <w:qFormat/>
    <w:rsid w:val="00AB27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27A0"/>
    <w:rPr>
      <w:rFonts w:eastAsiaTheme="minorEastAsia"/>
      <w:color w:val="5A5A5A" w:themeColor="text1" w:themeTint="A5"/>
      <w:spacing w:val="15"/>
      <w:lang w:val="lt-LT"/>
    </w:rPr>
  </w:style>
  <w:style w:type="paragraph" w:styleId="ListParagraph">
    <w:name w:val="List Paragraph"/>
    <w:basedOn w:val="Normal"/>
    <w:uiPriority w:val="34"/>
    <w:qFormat/>
    <w:rsid w:val="008360A7"/>
    <w:pPr>
      <w:ind w:left="720"/>
      <w:contextualSpacing/>
    </w:pPr>
    <w:rPr>
      <w:rFonts w:ascii="Gotham Book" w:hAnsi="Gotham Book"/>
      <w:sz w:val="20"/>
      <w:szCs w:val="24"/>
      <w:lang w:eastAsia="lt-LT"/>
    </w:rPr>
  </w:style>
  <w:style w:type="character" w:styleId="CommentReference">
    <w:name w:val="annotation reference"/>
    <w:basedOn w:val="DefaultParagraphFont"/>
    <w:uiPriority w:val="99"/>
    <w:semiHidden/>
    <w:unhideWhenUsed/>
    <w:rsid w:val="008360A7"/>
    <w:rPr>
      <w:sz w:val="16"/>
      <w:szCs w:val="16"/>
    </w:rPr>
  </w:style>
  <w:style w:type="paragraph" w:styleId="CommentText">
    <w:name w:val="annotation text"/>
    <w:basedOn w:val="Normal"/>
    <w:link w:val="CommentTextChar"/>
    <w:uiPriority w:val="99"/>
    <w:unhideWhenUsed/>
    <w:rsid w:val="008360A7"/>
    <w:rPr>
      <w:rFonts w:ascii="Gotham Book" w:hAnsi="Gotham Book"/>
      <w:sz w:val="20"/>
      <w:lang w:eastAsia="lt-LT"/>
    </w:rPr>
  </w:style>
  <w:style w:type="character" w:customStyle="1" w:styleId="CommentTextChar">
    <w:name w:val="Comment Text Char"/>
    <w:basedOn w:val="DefaultParagraphFont"/>
    <w:link w:val="CommentText"/>
    <w:uiPriority w:val="99"/>
    <w:rsid w:val="008360A7"/>
    <w:rPr>
      <w:rFonts w:ascii="Gotham Book" w:eastAsia="Times New Roman" w:hAnsi="Gotham Book"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33475">
      <w:bodyDiv w:val="1"/>
      <w:marLeft w:val="0"/>
      <w:marRight w:val="0"/>
      <w:marTop w:val="0"/>
      <w:marBottom w:val="0"/>
      <w:divBdr>
        <w:top w:val="none" w:sz="0" w:space="0" w:color="auto"/>
        <w:left w:val="none" w:sz="0" w:space="0" w:color="auto"/>
        <w:bottom w:val="none" w:sz="0" w:space="0" w:color="auto"/>
        <w:right w:val="none" w:sz="0" w:space="0" w:color="auto"/>
      </w:divBdr>
    </w:div>
    <w:div w:id="1550679878">
      <w:bodyDiv w:val="1"/>
      <w:marLeft w:val="0"/>
      <w:marRight w:val="0"/>
      <w:marTop w:val="0"/>
      <w:marBottom w:val="0"/>
      <w:divBdr>
        <w:top w:val="none" w:sz="0" w:space="0" w:color="auto"/>
        <w:left w:val="none" w:sz="0" w:space="0" w:color="auto"/>
        <w:bottom w:val="none" w:sz="0" w:space="0" w:color="auto"/>
        <w:right w:val="none" w:sz="0" w:space="0" w:color="auto"/>
      </w:divBdr>
      <w:divsChild>
        <w:div w:id="120941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CF27-5288-4D48-B409-55DF018C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4</Pages>
  <Words>1243</Words>
  <Characters>7088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Marijus Seporaitis</cp:lastModifiedBy>
  <cp:revision>8</cp:revision>
  <cp:lastPrinted>2022-12-21T11:23:00Z</cp:lastPrinted>
  <dcterms:created xsi:type="dcterms:W3CDTF">2025-11-03T14:04:00Z</dcterms:created>
  <dcterms:modified xsi:type="dcterms:W3CDTF">2025-11-06T09:53:00Z</dcterms:modified>
</cp:coreProperties>
</file>