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6483B" w14:textId="120D5F5D" w:rsidR="0062067C" w:rsidRPr="00C705F0" w:rsidRDefault="00EF1785" w:rsidP="00EF1785">
      <w:pPr>
        <w:jc w:val="right"/>
        <w:rPr>
          <w:szCs w:val="24"/>
        </w:rPr>
      </w:pPr>
      <w:r w:rsidRPr="00C705F0">
        <w:rPr>
          <w:szCs w:val="24"/>
          <w:lang w:val="en-US"/>
        </w:rPr>
        <w:t>S/</w:t>
      </w:r>
      <w:r w:rsidR="003F194D" w:rsidRPr="00C705F0">
        <w:rPr>
          <w:szCs w:val="24"/>
          <w:lang w:val="en-US"/>
        </w:rPr>
        <w:t>10-038-T-0101</w:t>
      </w:r>
    </w:p>
    <w:p w14:paraId="478214AA" w14:textId="77777777" w:rsidR="00AB27A0" w:rsidRPr="00C705F0" w:rsidRDefault="00AB27A0" w:rsidP="00AB27A0">
      <w:pPr>
        <w:jc w:val="center"/>
        <w:rPr>
          <w:szCs w:val="24"/>
        </w:rPr>
      </w:pPr>
    </w:p>
    <w:p w14:paraId="645FA994" w14:textId="55E6FBEF" w:rsidR="00AB27A0" w:rsidRPr="00C705F0" w:rsidRDefault="00AB27A0" w:rsidP="00AB27A0">
      <w:pPr>
        <w:jc w:val="center"/>
        <w:rPr>
          <w:szCs w:val="24"/>
        </w:rPr>
      </w:pPr>
    </w:p>
    <w:p w14:paraId="44F97B37" w14:textId="77777777" w:rsidR="00AB27A0" w:rsidRPr="00C705F0" w:rsidRDefault="00AB27A0" w:rsidP="00AB27A0">
      <w:pPr>
        <w:jc w:val="center"/>
        <w:rPr>
          <w:szCs w:val="24"/>
        </w:rPr>
      </w:pPr>
    </w:p>
    <w:p w14:paraId="31F8CEC3" w14:textId="77777777" w:rsidR="00AB27A0" w:rsidRPr="00C705F0" w:rsidRDefault="00AB27A0" w:rsidP="00AB27A0">
      <w:pPr>
        <w:pStyle w:val="a"/>
        <w:rPr>
          <w:sz w:val="24"/>
          <w:szCs w:val="24"/>
        </w:rPr>
      </w:pPr>
    </w:p>
    <w:p w14:paraId="2FDE83E5" w14:textId="77777777" w:rsidR="00AB27A0" w:rsidRPr="00C705F0" w:rsidRDefault="00AB27A0" w:rsidP="00AB27A0">
      <w:pPr>
        <w:jc w:val="center"/>
        <w:rPr>
          <w:caps/>
          <w:szCs w:val="24"/>
        </w:rPr>
      </w:pPr>
    </w:p>
    <w:p w14:paraId="126F1C11" w14:textId="4B947E15" w:rsidR="00AB27A0" w:rsidRPr="00C705F0" w:rsidRDefault="00AB27A0" w:rsidP="00AB27A0">
      <w:pPr>
        <w:jc w:val="center"/>
        <w:rPr>
          <w:caps/>
          <w:szCs w:val="24"/>
        </w:rPr>
      </w:pPr>
    </w:p>
    <w:p w14:paraId="111A3731" w14:textId="35C4047B" w:rsidR="00AB27A0" w:rsidRPr="00C705F0" w:rsidRDefault="00AB27A0" w:rsidP="00AB27A0">
      <w:pPr>
        <w:jc w:val="center"/>
        <w:rPr>
          <w:bCs/>
          <w:caps/>
          <w:szCs w:val="24"/>
        </w:rPr>
      </w:pPr>
    </w:p>
    <w:p w14:paraId="3BECA692" w14:textId="77777777" w:rsidR="00AB27A0" w:rsidRPr="00C705F0" w:rsidRDefault="00AB27A0" w:rsidP="00AB27A0">
      <w:pPr>
        <w:jc w:val="center"/>
        <w:rPr>
          <w:bCs/>
          <w:caps/>
          <w:szCs w:val="24"/>
        </w:rPr>
      </w:pPr>
    </w:p>
    <w:p w14:paraId="400C6332" w14:textId="45A560ED" w:rsidR="00AB27A0" w:rsidRPr="00C705F0" w:rsidRDefault="003F194D" w:rsidP="00AB27A0">
      <w:pPr>
        <w:spacing w:after="60"/>
        <w:jc w:val="center"/>
        <w:rPr>
          <w:b/>
          <w:caps/>
          <w:sz w:val="28"/>
        </w:rPr>
      </w:pPr>
      <w:r w:rsidRPr="00C705F0">
        <w:rPr>
          <w:b/>
          <w:caps/>
          <w:sz w:val="28"/>
        </w:rPr>
        <w:t>Projekto „MTEP idėjos tikrinimas -neapibrėžčių valdymas sunkiųjų avarijų metu branduoliniuose įrenginiuose“</w:t>
      </w:r>
    </w:p>
    <w:p w14:paraId="36464B42" w14:textId="77777777" w:rsidR="00AB27A0" w:rsidRPr="00C705F0" w:rsidRDefault="00AB27A0" w:rsidP="00AB27A0">
      <w:pPr>
        <w:jc w:val="center"/>
        <w:rPr>
          <w:sz w:val="28"/>
        </w:rPr>
      </w:pPr>
    </w:p>
    <w:p w14:paraId="41C1F180" w14:textId="119D6E68" w:rsidR="00AB27A0" w:rsidRPr="00C705F0" w:rsidRDefault="003F194D" w:rsidP="00AB27A0">
      <w:pPr>
        <w:jc w:val="center"/>
        <w:rPr>
          <w:i/>
          <w:iCs/>
          <w:sz w:val="28"/>
        </w:rPr>
      </w:pPr>
      <w:r w:rsidRPr="00C705F0">
        <w:rPr>
          <w:i/>
          <w:iCs/>
          <w:sz w:val="28"/>
        </w:rPr>
        <w:t>Veiklos</w:t>
      </w:r>
      <w:r w:rsidR="00AB27A0" w:rsidRPr="00C705F0">
        <w:rPr>
          <w:i/>
          <w:iCs/>
          <w:sz w:val="28"/>
        </w:rPr>
        <w:t xml:space="preserve"> ataskaita</w:t>
      </w:r>
    </w:p>
    <w:p w14:paraId="121BDD6D" w14:textId="77777777" w:rsidR="008360A7" w:rsidRPr="00C705F0" w:rsidRDefault="008360A7" w:rsidP="00AB27A0">
      <w:pPr>
        <w:jc w:val="center"/>
        <w:rPr>
          <w:sz w:val="28"/>
          <w:lang w:val="de-DE"/>
        </w:rPr>
        <w:sectPr w:rsidR="008360A7" w:rsidRPr="00C705F0" w:rsidSect="00EA7371">
          <w:headerReference w:type="default" r:id="rId8"/>
          <w:footerReference w:type="default" r:id="rId9"/>
          <w:pgSz w:w="11907" w:h="16840" w:code="9"/>
          <w:pgMar w:top="1134" w:right="851" w:bottom="1134" w:left="1701" w:header="1134" w:footer="851" w:gutter="0"/>
          <w:cols w:space="708"/>
          <w:docGrid w:linePitch="360"/>
        </w:sectPr>
      </w:pPr>
    </w:p>
    <w:p w14:paraId="5DB4ABD8" w14:textId="77777777" w:rsidR="00AB27A0" w:rsidRPr="00C705F0" w:rsidRDefault="00AB27A0" w:rsidP="00AB27A0">
      <w:pPr>
        <w:jc w:val="center"/>
        <w:rPr>
          <w:szCs w:val="24"/>
        </w:rPr>
      </w:pPr>
    </w:p>
    <w:p w14:paraId="72521B1B" w14:textId="583EC166" w:rsidR="008360A7" w:rsidRPr="00C705F0" w:rsidRDefault="008360A7" w:rsidP="008360A7">
      <w:pPr>
        <w:widowControl w:val="0"/>
        <w:rPr>
          <w:szCs w:val="24"/>
        </w:rPr>
      </w:pPr>
      <w:r w:rsidRPr="00C705F0">
        <w:rPr>
          <w:b/>
          <w:bCs/>
          <w:szCs w:val="24"/>
        </w:rPr>
        <w:t xml:space="preserve">Projekto įgyvendinimo laikotarpis: </w:t>
      </w:r>
      <w:r w:rsidRPr="00C705F0">
        <w:rPr>
          <w:szCs w:val="24"/>
        </w:rPr>
        <w:t>2024-08-0</w:t>
      </w:r>
      <w:r w:rsidR="00C705F0" w:rsidRPr="00C705F0">
        <w:rPr>
          <w:szCs w:val="24"/>
        </w:rPr>
        <w:t>6</w:t>
      </w:r>
      <w:r w:rsidRPr="00C705F0">
        <w:rPr>
          <w:b/>
          <w:bCs/>
          <w:szCs w:val="24"/>
        </w:rPr>
        <w:t xml:space="preserve"> </w:t>
      </w:r>
      <w:r w:rsidRPr="00C705F0">
        <w:rPr>
          <w:szCs w:val="24"/>
        </w:rPr>
        <w:t>– 2025-07-31</w:t>
      </w:r>
    </w:p>
    <w:p w14:paraId="52E6CDBF" w14:textId="77777777" w:rsidR="008360A7" w:rsidRPr="00C705F0" w:rsidRDefault="008360A7" w:rsidP="008360A7">
      <w:pPr>
        <w:widowControl w:val="0"/>
        <w:rPr>
          <w:b/>
          <w:bCs/>
          <w:szCs w:val="24"/>
        </w:rPr>
      </w:pPr>
    </w:p>
    <w:p w14:paraId="7B700ACD" w14:textId="77777777" w:rsidR="008360A7" w:rsidRPr="00C705F0" w:rsidRDefault="008360A7" w:rsidP="008360A7">
      <w:pPr>
        <w:widowControl w:val="0"/>
        <w:rPr>
          <w:b/>
          <w:bCs/>
          <w:szCs w:val="24"/>
        </w:rPr>
      </w:pPr>
      <w:r w:rsidRPr="00C705F0">
        <w:rPr>
          <w:b/>
          <w:bCs/>
          <w:szCs w:val="24"/>
        </w:rPr>
        <w:t>Projekto tikslas:</w:t>
      </w:r>
    </w:p>
    <w:p w14:paraId="145B4254" w14:textId="77777777" w:rsidR="008360A7" w:rsidRPr="00C705F0" w:rsidRDefault="008360A7" w:rsidP="008360A7">
      <w:pPr>
        <w:widowControl w:val="0"/>
        <w:jc w:val="both"/>
        <w:rPr>
          <w:bCs/>
          <w:szCs w:val="24"/>
        </w:rPr>
      </w:pPr>
      <w:r w:rsidRPr="00C705F0">
        <w:rPr>
          <w:bCs/>
          <w:szCs w:val="24"/>
        </w:rPr>
        <w:t>Pasiruošti teikti paraišką pagal programos „EURATOM“ kvietimus vykdant tarpdisciplininį projektą.</w:t>
      </w:r>
    </w:p>
    <w:p w14:paraId="0C0C3AB4" w14:textId="77777777" w:rsidR="008360A7" w:rsidRPr="00C705F0" w:rsidRDefault="008360A7" w:rsidP="008360A7">
      <w:pPr>
        <w:jc w:val="both"/>
        <w:rPr>
          <w:b/>
          <w:bCs/>
          <w:szCs w:val="24"/>
        </w:rPr>
      </w:pPr>
    </w:p>
    <w:p w14:paraId="35E595A8" w14:textId="435B4732" w:rsidR="00AD6CBA" w:rsidRPr="00AD6CBA" w:rsidRDefault="00AD6CBA" w:rsidP="00AD6CBA">
      <w:pPr>
        <w:jc w:val="both"/>
        <w:rPr>
          <w:bCs/>
          <w:szCs w:val="24"/>
        </w:rPr>
      </w:pPr>
      <w:r w:rsidRPr="00AD6CBA">
        <w:rPr>
          <w:b/>
          <w:bCs/>
          <w:szCs w:val="24"/>
        </w:rPr>
        <w:t xml:space="preserve">Projekto įgyvendinimo metu vykdyta veikla: </w:t>
      </w:r>
      <w:r w:rsidRPr="00AD6CBA">
        <w:rPr>
          <w:bCs/>
          <w:szCs w:val="24"/>
        </w:rPr>
        <w:t>projekto įgyvendinimo metu buvo atliekami pasirengimo darbai, padėsiantys parengti paraišką ir gauti paraiškos parengimui būtinas žinias pagal programos HORIZON-EURATOM būsimą kvietimą: „Eksploatuojamų branduolinių elektrinių ir tyrimo reaktorių sauga (Safety of operating nuclear power plants and research reactors)“ vykdant tarpdisciplininį projektą.</w:t>
      </w:r>
    </w:p>
    <w:p w14:paraId="43AB2FD0" w14:textId="77777777" w:rsidR="00AD6CBA" w:rsidRPr="00AD6CBA" w:rsidRDefault="00AD6CBA" w:rsidP="00AD6CBA">
      <w:pPr>
        <w:jc w:val="both"/>
        <w:rPr>
          <w:bCs/>
          <w:szCs w:val="24"/>
        </w:rPr>
      </w:pPr>
      <w:r w:rsidRPr="00AD6CBA">
        <w:rPr>
          <w:bCs/>
          <w:szCs w:val="24"/>
        </w:rPr>
        <w:t>Kadangi bendras planuojamo teikti pagal HORIZON-EURATOM būsimą kvietimą projekto tikslas – sukurti ir konsoliduoti sisteminę metodiką neapibrėžčių, susijusių su sunkiųjų avarijų branduoliniuose įrenginiuose modeliavimu įvertinimui, projekto metu:</w:t>
      </w:r>
    </w:p>
    <w:p w14:paraId="195619FA" w14:textId="77777777" w:rsidR="00AD6CBA" w:rsidRPr="00AD6CBA" w:rsidRDefault="00AD6CBA" w:rsidP="00AD6CBA">
      <w:pPr>
        <w:pStyle w:val="ListParagraph"/>
        <w:numPr>
          <w:ilvl w:val="0"/>
          <w:numId w:val="1"/>
        </w:numPr>
        <w:jc w:val="both"/>
        <w:rPr>
          <w:rFonts w:ascii="Times New Roman" w:hAnsi="Times New Roman"/>
          <w:bCs/>
          <w:sz w:val="24"/>
        </w:rPr>
      </w:pPr>
      <w:r w:rsidRPr="00AD6CBA">
        <w:rPr>
          <w:rFonts w:ascii="Times New Roman" w:hAnsi="Times New Roman"/>
          <w:bCs/>
          <w:sz w:val="24"/>
        </w:rPr>
        <w:t>surinkta informacija apie sunkiųjų avarijų eigą bei valdymą branduoliniuose reaktoriuose ir atidirbusio branduolinio kuro baseinuose, bei tam naudojamus programinius paketus;</w:t>
      </w:r>
    </w:p>
    <w:p w14:paraId="172F5660" w14:textId="77777777" w:rsidR="00AD6CBA" w:rsidRPr="00AD6CBA" w:rsidRDefault="00AD6CBA" w:rsidP="00AD6CBA">
      <w:pPr>
        <w:pStyle w:val="ListParagraph"/>
        <w:numPr>
          <w:ilvl w:val="0"/>
          <w:numId w:val="1"/>
        </w:numPr>
        <w:jc w:val="both"/>
        <w:rPr>
          <w:rFonts w:ascii="Times New Roman" w:hAnsi="Times New Roman"/>
          <w:bCs/>
          <w:sz w:val="24"/>
        </w:rPr>
      </w:pPr>
      <w:r w:rsidRPr="00AD6CBA">
        <w:rPr>
          <w:rFonts w:ascii="Times New Roman" w:hAnsi="Times New Roman"/>
          <w:bCs/>
          <w:sz w:val="24"/>
        </w:rPr>
        <w:t>surinkta ir išnagrinėta atviruose šaltiniuose esama informacija apie neapibrėžtis sunkiųjų avarijų branduoliniuose įrenginiuose, turinčias lemiamą įtaką sudėtingų pereinamųjų procesų modeliavimui;</w:t>
      </w:r>
    </w:p>
    <w:p w14:paraId="0E117074" w14:textId="77777777" w:rsidR="00AD6CBA" w:rsidRPr="00AD6CBA" w:rsidRDefault="00AD6CBA" w:rsidP="00AD6CBA">
      <w:pPr>
        <w:pStyle w:val="ListParagraph"/>
        <w:numPr>
          <w:ilvl w:val="0"/>
          <w:numId w:val="1"/>
        </w:numPr>
        <w:jc w:val="both"/>
        <w:rPr>
          <w:rFonts w:ascii="Times New Roman" w:hAnsi="Times New Roman"/>
          <w:bCs/>
          <w:sz w:val="24"/>
        </w:rPr>
      </w:pPr>
      <w:r w:rsidRPr="00AD6CBA">
        <w:rPr>
          <w:rFonts w:ascii="Times New Roman" w:hAnsi="Times New Roman"/>
          <w:bCs/>
          <w:sz w:val="24"/>
        </w:rPr>
        <w:t>išnagrinėti skaitinio modeliavimo paketai, skirti radioaktyvių medžiagų išmetimui iš branduolinių įrenginių į aplinką prognozavimui.</w:t>
      </w:r>
    </w:p>
    <w:p w14:paraId="4E13C1DF" w14:textId="77777777" w:rsidR="00AD6CBA" w:rsidRPr="00AD6CBA" w:rsidRDefault="00AD6CBA" w:rsidP="00AD6CBA">
      <w:pPr>
        <w:jc w:val="both"/>
        <w:rPr>
          <w:bCs/>
          <w:szCs w:val="24"/>
        </w:rPr>
      </w:pPr>
    </w:p>
    <w:p w14:paraId="67015689" w14:textId="77777777" w:rsidR="00AD6CBA" w:rsidRPr="00AD6CBA" w:rsidRDefault="00AD6CBA" w:rsidP="00AD6CBA">
      <w:pPr>
        <w:jc w:val="both"/>
        <w:rPr>
          <w:bCs/>
          <w:szCs w:val="24"/>
        </w:rPr>
      </w:pPr>
      <w:r w:rsidRPr="00AD6CBA">
        <w:rPr>
          <w:bCs/>
          <w:szCs w:val="24"/>
        </w:rPr>
        <w:t xml:space="preserve">Ryšiai su galimais planuojamos rengti paraiškos partneriais buvo mezgami užsieninių komandiruočių metu. Projekto vykdymo laikotarpiu buvo nuvykta į: </w:t>
      </w:r>
    </w:p>
    <w:p w14:paraId="3961AD65" w14:textId="77777777" w:rsidR="00AD6CBA" w:rsidRPr="00AD6CBA" w:rsidRDefault="00AD6CBA" w:rsidP="00AD6CBA">
      <w:pPr>
        <w:pStyle w:val="ListParagraph"/>
        <w:numPr>
          <w:ilvl w:val="0"/>
          <w:numId w:val="3"/>
        </w:numPr>
        <w:jc w:val="both"/>
        <w:rPr>
          <w:rFonts w:ascii="Times New Roman" w:hAnsi="Times New Roman"/>
          <w:bCs/>
          <w:sz w:val="24"/>
        </w:rPr>
      </w:pPr>
      <w:r w:rsidRPr="00AD6CBA">
        <w:rPr>
          <w:rFonts w:ascii="Times New Roman" w:hAnsi="Times New Roman"/>
          <w:bCs/>
          <w:sz w:val="24"/>
        </w:rPr>
        <w:t>Tarptautinės atominės energetikos agentūros (TATENA) organizuojamus Techninės ir mokslinės paramos organizacijų (TSO) konferenciją ir Europos techninės saugos organizacijų tinklo ETSON renginius.</w:t>
      </w:r>
    </w:p>
    <w:p w14:paraId="7345DD8C" w14:textId="77777777" w:rsidR="00AD6CBA" w:rsidRPr="00AD6CBA" w:rsidRDefault="00AD6CBA" w:rsidP="00AD6CBA">
      <w:pPr>
        <w:pStyle w:val="ListParagraph"/>
        <w:numPr>
          <w:ilvl w:val="0"/>
          <w:numId w:val="3"/>
        </w:numPr>
        <w:jc w:val="both"/>
        <w:rPr>
          <w:rFonts w:ascii="Times New Roman" w:hAnsi="Times New Roman"/>
          <w:bCs/>
          <w:sz w:val="24"/>
        </w:rPr>
      </w:pPr>
      <w:r w:rsidRPr="00AD6CBA">
        <w:rPr>
          <w:rFonts w:ascii="Times New Roman" w:hAnsi="Times New Roman"/>
          <w:bCs/>
          <w:sz w:val="24"/>
        </w:rPr>
        <w:t>Masačiusetso technologijos institutą (JAV), kur vyko Lietuvos institucijų vizitas pagal Lietuvos – MISTI bendradarbiavimą.</w:t>
      </w:r>
    </w:p>
    <w:p w14:paraId="5A51263D" w14:textId="77777777" w:rsidR="00AD6CBA" w:rsidRPr="00AD6CBA" w:rsidRDefault="00AD6CBA" w:rsidP="00AD6CBA">
      <w:pPr>
        <w:jc w:val="both"/>
        <w:rPr>
          <w:bCs/>
          <w:szCs w:val="24"/>
        </w:rPr>
      </w:pPr>
      <w:r w:rsidRPr="00AD6CBA">
        <w:rPr>
          <w:bCs/>
          <w:szCs w:val="24"/>
        </w:rPr>
        <w:t>TATENA konferencijos „lnternational Conference on Enhancing Nuclear Safety and Security Through Technical and Scientific Support Organizations (TSOs): Challenges and Opportunities in a Rapidly Changing World" metu lygiagrečiai vyko daug renginių, kuriuose dalyvavo iki 90 organizacijų ir apie 300 dalyvių. Kalbant apie renginius, susijusius su šiuo projektu, reikia paminėti susitikimą su H2020 projekto Management and Uncertainties of Severe Accidents (MUSA) koordinatoriumi. MUSA projektas vyko 2018 – 2022 metais. MUSA projekto koordinatorius planuoja prisidėti rengiant naują paraišką apie neapibrėžčių valdymą sunkiųjų avarijų metu branduoliniuose įrenginiuose. Taip pat atnaujinti ir užmegzti nauji ryšiai su galimais planuojamos rengti paraiškos partneriais iš:</w:t>
      </w:r>
    </w:p>
    <w:p w14:paraId="67F2F34E" w14:textId="77777777" w:rsidR="00247E15" w:rsidRPr="00AD6CBA" w:rsidRDefault="00247E15" w:rsidP="00247E15">
      <w:pPr>
        <w:pStyle w:val="ListParagraph"/>
        <w:numPr>
          <w:ilvl w:val="0"/>
          <w:numId w:val="2"/>
        </w:numPr>
        <w:jc w:val="both"/>
        <w:rPr>
          <w:rFonts w:ascii="Times New Roman" w:hAnsi="Times New Roman"/>
          <w:bCs/>
          <w:sz w:val="24"/>
        </w:rPr>
      </w:pPr>
      <w:r w:rsidRPr="00AD6CBA">
        <w:rPr>
          <w:rFonts w:ascii="Times New Roman" w:hAnsi="Times New Roman"/>
          <w:bCs/>
          <w:sz w:val="24"/>
        </w:rPr>
        <w:t>Ispanijos energetikos, aplinkos ir technologijų tyrimų centro (CIEMAT);</w:t>
      </w:r>
    </w:p>
    <w:p w14:paraId="7634DF07" w14:textId="0989739D" w:rsidR="00AD6CBA" w:rsidRPr="00AD6CBA" w:rsidRDefault="00AD6CBA" w:rsidP="00AD6CBA">
      <w:pPr>
        <w:pStyle w:val="ListParagraph"/>
        <w:numPr>
          <w:ilvl w:val="0"/>
          <w:numId w:val="2"/>
        </w:numPr>
        <w:jc w:val="both"/>
        <w:rPr>
          <w:rFonts w:ascii="Times New Roman" w:hAnsi="Times New Roman"/>
          <w:bCs/>
          <w:sz w:val="24"/>
        </w:rPr>
      </w:pPr>
      <w:r w:rsidRPr="00AD6CBA">
        <w:rPr>
          <w:rFonts w:ascii="Times New Roman" w:hAnsi="Times New Roman"/>
          <w:bCs/>
          <w:sz w:val="24"/>
        </w:rPr>
        <w:t xml:space="preserve">Italijos nacionalinės naujųjų technologijų, energetikos ir tvaraus ekonominio vystymosi agentūros (ENEA) </w:t>
      </w:r>
      <w:r w:rsidR="003B27C2" w:rsidRPr="003B27C2">
        <w:rPr>
          <w:rFonts w:ascii="Times New Roman" w:hAnsi="Times New Roman"/>
          <w:bCs/>
          <w:sz w:val="24"/>
        </w:rPr>
        <w:t>Branduolių sintezės ir branduolinės saugos technologijų departament</w:t>
      </w:r>
      <w:r w:rsidR="003B27C2">
        <w:rPr>
          <w:rFonts w:ascii="Times New Roman" w:hAnsi="Times New Roman"/>
          <w:bCs/>
          <w:sz w:val="24"/>
        </w:rPr>
        <w:t>o</w:t>
      </w:r>
      <w:r w:rsidRPr="00AD6CBA">
        <w:rPr>
          <w:rFonts w:ascii="Times New Roman" w:hAnsi="Times New Roman"/>
          <w:bCs/>
          <w:sz w:val="24"/>
        </w:rPr>
        <w:t>;</w:t>
      </w:r>
    </w:p>
    <w:p w14:paraId="655D0CD2" w14:textId="77777777" w:rsidR="00AD6CBA" w:rsidRPr="00AD6CBA" w:rsidRDefault="00AD6CBA" w:rsidP="00AD6CBA">
      <w:pPr>
        <w:pStyle w:val="ListParagraph"/>
        <w:numPr>
          <w:ilvl w:val="0"/>
          <w:numId w:val="2"/>
        </w:numPr>
        <w:jc w:val="both"/>
        <w:rPr>
          <w:rFonts w:ascii="Times New Roman" w:hAnsi="Times New Roman"/>
          <w:bCs/>
          <w:sz w:val="24"/>
        </w:rPr>
      </w:pPr>
      <w:r w:rsidRPr="00AD6CBA">
        <w:rPr>
          <w:rFonts w:ascii="Times New Roman" w:hAnsi="Times New Roman"/>
          <w:bCs/>
          <w:sz w:val="24"/>
        </w:rPr>
        <w:t>Karlsrujės technologijos instituto (KIT) neutronų fizikos ir reaktorių technologijos instituto;</w:t>
      </w:r>
    </w:p>
    <w:p w14:paraId="4E4CCB1A" w14:textId="77777777" w:rsidR="00AD6CBA" w:rsidRPr="00AD6CBA" w:rsidRDefault="00AD6CBA" w:rsidP="00AD6CBA">
      <w:pPr>
        <w:pStyle w:val="ListParagraph"/>
        <w:numPr>
          <w:ilvl w:val="0"/>
          <w:numId w:val="2"/>
        </w:numPr>
        <w:jc w:val="both"/>
        <w:rPr>
          <w:rFonts w:ascii="Times New Roman" w:hAnsi="Times New Roman"/>
          <w:bCs/>
          <w:sz w:val="24"/>
        </w:rPr>
      </w:pPr>
      <w:r w:rsidRPr="00AD6CBA">
        <w:rPr>
          <w:rFonts w:ascii="Times New Roman" w:hAnsi="Times New Roman"/>
          <w:bCs/>
          <w:sz w:val="24"/>
        </w:rPr>
        <w:t>Vokietijos jėgainių ir reaktorių saugos draugijos (GRS) gGmbH Saugos tyrimų skyriaus;</w:t>
      </w:r>
    </w:p>
    <w:p w14:paraId="73188A6C" w14:textId="5DF17F2E" w:rsidR="00AD6CBA" w:rsidRPr="00AD6CBA" w:rsidRDefault="00AD6CBA" w:rsidP="00AD6CBA">
      <w:pPr>
        <w:pStyle w:val="ListParagraph"/>
        <w:numPr>
          <w:ilvl w:val="0"/>
          <w:numId w:val="2"/>
        </w:numPr>
        <w:jc w:val="both"/>
        <w:rPr>
          <w:rFonts w:ascii="Times New Roman" w:hAnsi="Times New Roman"/>
          <w:bCs/>
          <w:sz w:val="24"/>
        </w:rPr>
      </w:pPr>
      <w:r w:rsidRPr="00AD6CBA">
        <w:rPr>
          <w:rFonts w:ascii="Times New Roman" w:hAnsi="Times New Roman"/>
          <w:bCs/>
          <w:sz w:val="24"/>
        </w:rPr>
        <w:t>Bulgarijos Branduolinių tyrimų ir branduolinės energijos instituto (INRNE-BAS)</w:t>
      </w:r>
      <w:r>
        <w:rPr>
          <w:rFonts w:ascii="Times New Roman" w:hAnsi="Times New Roman"/>
          <w:bCs/>
          <w:sz w:val="24"/>
        </w:rPr>
        <w:t>;</w:t>
      </w:r>
    </w:p>
    <w:p w14:paraId="37519B7B" w14:textId="4D6A42CA" w:rsidR="00AD6CBA" w:rsidRDefault="0073517C" w:rsidP="00AD6CBA">
      <w:pPr>
        <w:pStyle w:val="ListParagraph"/>
        <w:numPr>
          <w:ilvl w:val="0"/>
          <w:numId w:val="2"/>
        </w:numPr>
        <w:jc w:val="both"/>
        <w:rPr>
          <w:rFonts w:ascii="Times New Roman" w:hAnsi="Times New Roman"/>
          <w:bCs/>
          <w:sz w:val="24"/>
        </w:rPr>
      </w:pPr>
      <w:r w:rsidRPr="0073517C">
        <w:rPr>
          <w:rFonts w:ascii="Times New Roman" w:hAnsi="Times New Roman"/>
          <w:bCs/>
          <w:sz w:val="24"/>
        </w:rPr>
        <w:t>Branduolinės ir pramoninės inžin</w:t>
      </w:r>
      <w:r>
        <w:rPr>
          <w:rFonts w:ascii="Times New Roman" w:hAnsi="Times New Roman"/>
          <w:bCs/>
          <w:sz w:val="24"/>
        </w:rPr>
        <w:t>e</w:t>
      </w:r>
      <w:r w:rsidRPr="0073517C">
        <w:rPr>
          <w:rFonts w:ascii="Times New Roman" w:hAnsi="Times New Roman"/>
          <w:bCs/>
          <w:sz w:val="24"/>
        </w:rPr>
        <w:t>rijos kompanij</w:t>
      </w:r>
      <w:r>
        <w:rPr>
          <w:rFonts w:ascii="Times New Roman" w:hAnsi="Times New Roman"/>
          <w:bCs/>
          <w:sz w:val="24"/>
        </w:rPr>
        <w:t>os</w:t>
      </w:r>
      <w:r w:rsidRPr="0073517C">
        <w:rPr>
          <w:rFonts w:ascii="Times New Roman" w:hAnsi="Times New Roman"/>
          <w:bCs/>
          <w:sz w:val="24"/>
        </w:rPr>
        <w:t xml:space="preserve"> (N.I.N.E.)</w:t>
      </w:r>
      <w:r>
        <w:rPr>
          <w:rFonts w:ascii="Times New Roman" w:hAnsi="Times New Roman"/>
          <w:bCs/>
          <w:sz w:val="24"/>
        </w:rPr>
        <w:t>;</w:t>
      </w:r>
    </w:p>
    <w:p w14:paraId="519C743B" w14:textId="3EC30D61" w:rsidR="00D0281D" w:rsidRPr="0073517C" w:rsidRDefault="00D0281D" w:rsidP="00F64CF5">
      <w:pPr>
        <w:pStyle w:val="ListParagraph"/>
        <w:numPr>
          <w:ilvl w:val="0"/>
          <w:numId w:val="2"/>
        </w:numPr>
        <w:jc w:val="both"/>
        <w:rPr>
          <w:rFonts w:ascii="Times New Roman" w:hAnsi="Times New Roman"/>
          <w:bCs/>
          <w:sz w:val="24"/>
        </w:rPr>
      </w:pPr>
      <w:r>
        <w:rPr>
          <w:rFonts w:ascii="Times New Roman" w:hAnsi="Times New Roman"/>
          <w:bCs/>
          <w:sz w:val="24"/>
        </w:rPr>
        <w:lastRenderedPageBreak/>
        <w:t>Tractebel tarptautinės kompanijos branduolinio departamento;</w:t>
      </w:r>
    </w:p>
    <w:p w14:paraId="3A3AB125" w14:textId="30C4E49C" w:rsidR="00D0281D" w:rsidRDefault="00D0281D" w:rsidP="00AD6CBA">
      <w:pPr>
        <w:pStyle w:val="ListParagraph"/>
        <w:numPr>
          <w:ilvl w:val="0"/>
          <w:numId w:val="2"/>
        </w:numPr>
        <w:jc w:val="both"/>
        <w:rPr>
          <w:rFonts w:ascii="Times New Roman" w:hAnsi="Times New Roman"/>
          <w:bCs/>
          <w:sz w:val="24"/>
        </w:rPr>
      </w:pPr>
      <w:r w:rsidRPr="00D0281D">
        <w:rPr>
          <w:rFonts w:ascii="Times New Roman" w:hAnsi="Times New Roman"/>
          <w:bCs/>
          <w:sz w:val="24"/>
        </w:rPr>
        <w:t>Ukrainos ribotos atsakomybės bendrovės Energorisk</w:t>
      </w:r>
      <w:r>
        <w:rPr>
          <w:rFonts w:ascii="Times New Roman" w:hAnsi="Times New Roman"/>
          <w:bCs/>
          <w:sz w:val="24"/>
        </w:rPr>
        <w:t>;</w:t>
      </w:r>
    </w:p>
    <w:p w14:paraId="245FCE73" w14:textId="7AE86D96" w:rsidR="00D0281D" w:rsidRDefault="00D0281D" w:rsidP="00AD6CBA">
      <w:pPr>
        <w:pStyle w:val="ListParagraph"/>
        <w:numPr>
          <w:ilvl w:val="0"/>
          <w:numId w:val="2"/>
        </w:numPr>
        <w:jc w:val="both"/>
        <w:rPr>
          <w:rFonts w:ascii="Times New Roman" w:hAnsi="Times New Roman"/>
          <w:bCs/>
          <w:sz w:val="24"/>
        </w:rPr>
      </w:pPr>
      <w:r>
        <w:rPr>
          <w:rFonts w:ascii="Times New Roman" w:hAnsi="Times New Roman"/>
          <w:bCs/>
          <w:sz w:val="24"/>
        </w:rPr>
        <w:t xml:space="preserve">Šveicarijos Paulo </w:t>
      </w:r>
      <w:r w:rsidR="00F45D47">
        <w:rPr>
          <w:rFonts w:ascii="Times New Roman" w:hAnsi="Times New Roman"/>
          <w:bCs/>
          <w:sz w:val="24"/>
        </w:rPr>
        <w:t>Sherrerio</w:t>
      </w:r>
      <w:r>
        <w:rPr>
          <w:rFonts w:ascii="Times New Roman" w:hAnsi="Times New Roman"/>
          <w:bCs/>
          <w:sz w:val="24"/>
        </w:rPr>
        <w:t xml:space="preserve"> instituto (PSI);</w:t>
      </w:r>
    </w:p>
    <w:p w14:paraId="171AD16F" w14:textId="716767C7" w:rsidR="00AD6CBA" w:rsidRPr="00D0281D" w:rsidRDefault="00671C07" w:rsidP="00AD6CBA">
      <w:pPr>
        <w:pStyle w:val="ListParagraph"/>
        <w:numPr>
          <w:ilvl w:val="0"/>
          <w:numId w:val="2"/>
        </w:numPr>
        <w:jc w:val="both"/>
        <w:rPr>
          <w:rFonts w:ascii="Times New Roman" w:hAnsi="Times New Roman"/>
          <w:bCs/>
          <w:sz w:val="24"/>
        </w:rPr>
      </w:pPr>
      <w:r>
        <w:rPr>
          <w:rFonts w:ascii="Times New Roman" w:hAnsi="Times New Roman"/>
          <w:bCs/>
          <w:sz w:val="24"/>
        </w:rPr>
        <w:t>Suomijos techninių tyrimų centro (</w:t>
      </w:r>
      <w:r w:rsidR="00AD6CBA" w:rsidRPr="00D0281D">
        <w:rPr>
          <w:rFonts w:ascii="Times New Roman" w:hAnsi="Times New Roman"/>
          <w:bCs/>
          <w:sz w:val="24"/>
        </w:rPr>
        <w:t>VTT</w:t>
      </w:r>
      <w:r>
        <w:rPr>
          <w:rFonts w:ascii="Times New Roman" w:hAnsi="Times New Roman"/>
          <w:bCs/>
          <w:sz w:val="24"/>
        </w:rPr>
        <w:t>);</w:t>
      </w:r>
    </w:p>
    <w:p w14:paraId="7AE14665" w14:textId="340A00E2" w:rsidR="00AD6CBA" w:rsidRDefault="00247E15" w:rsidP="00AD6CBA">
      <w:pPr>
        <w:pStyle w:val="ListParagraph"/>
        <w:numPr>
          <w:ilvl w:val="0"/>
          <w:numId w:val="2"/>
        </w:numPr>
        <w:jc w:val="both"/>
        <w:rPr>
          <w:rFonts w:ascii="Times New Roman" w:hAnsi="Times New Roman"/>
          <w:bCs/>
          <w:sz w:val="24"/>
        </w:rPr>
      </w:pPr>
      <w:r>
        <w:rPr>
          <w:rFonts w:ascii="Times New Roman" w:hAnsi="Times New Roman"/>
          <w:bCs/>
          <w:sz w:val="24"/>
        </w:rPr>
        <w:t>Belgijos techninės pagalbos organizacijos (</w:t>
      </w:r>
      <w:r w:rsidR="00AD6CBA" w:rsidRPr="00AD6CBA">
        <w:rPr>
          <w:rFonts w:ascii="Times New Roman" w:hAnsi="Times New Roman"/>
          <w:bCs/>
          <w:sz w:val="24"/>
        </w:rPr>
        <w:t>BEL</w:t>
      </w:r>
      <w:r>
        <w:rPr>
          <w:rFonts w:ascii="Times New Roman" w:hAnsi="Times New Roman"/>
          <w:bCs/>
          <w:sz w:val="24"/>
        </w:rPr>
        <w:t xml:space="preserve"> </w:t>
      </w:r>
      <w:r w:rsidR="00AD6CBA" w:rsidRPr="00AD6CBA">
        <w:rPr>
          <w:rFonts w:ascii="Times New Roman" w:hAnsi="Times New Roman"/>
          <w:bCs/>
          <w:sz w:val="24"/>
        </w:rPr>
        <w:t>V</w:t>
      </w:r>
      <w:r>
        <w:rPr>
          <w:rFonts w:ascii="Times New Roman" w:hAnsi="Times New Roman"/>
          <w:bCs/>
          <w:sz w:val="24"/>
        </w:rPr>
        <w:t>);</w:t>
      </w:r>
    </w:p>
    <w:p w14:paraId="42BEA2B1" w14:textId="04DFD822" w:rsidR="00247E15" w:rsidRDefault="00247E15" w:rsidP="000262A9">
      <w:pPr>
        <w:pStyle w:val="ListParagraph"/>
        <w:numPr>
          <w:ilvl w:val="0"/>
          <w:numId w:val="2"/>
        </w:numPr>
        <w:jc w:val="both"/>
        <w:rPr>
          <w:rFonts w:ascii="Times New Roman" w:hAnsi="Times New Roman"/>
          <w:bCs/>
          <w:sz w:val="24"/>
        </w:rPr>
      </w:pPr>
      <w:r w:rsidRPr="000262A9">
        <w:rPr>
          <w:rFonts w:ascii="Times New Roman" w:hAnsi="Times New Roman"/>
          <w:bCs/>
          <w:sz w:val="24"/>
        </w:rPr>
        <w:t xml:space="preserve">Rūro universiteto Bochume </w:t>
      </w:r>
      <w:r w:rsidR="000262A9" w:rsidRPr="000262A9">
        <w:rPr>
          <w:rFonts w:ascii="Times New Roman" w:hAnsi="Times New Roman"/>
          <w:bCs/>
          <w:sz w:val="24"/>
        </w:rPr>
        <w:t>Jėgainių modeliavimo ir saugos grupės.</w:t>
      </w:r>
    </w:p>
    <w:p w14:paraId="4DECA974" w14:textId="77777777" w:rsidR="000262A9" w:rsidRPr="000262A9" w:rsidRDefault="000262A9" w:rsidP="000262A9">
      <w:pPr>
        <w:jc w:val="both"/>
        <w:rPr>
          <w:bCs/>
        </w:rPr>
      </w:pPr>
    </w:p>
    <w:p w14:paraId="2F567DF0" w14:textId="6F0CBA3C" w:rsidR="00AD6CBA" w:rsidRPr="00AD6CBA" w:rsidRDefault="00AD6CBA" w:rsidP="00AD6CBA">
      <w:pPr>
        <w:jc w:val="both"/>
        <w:rPr>
          <w:bCs/>
          <w:szCs w:val="24"/>
        </w:rPr>
      </w:pPr>
      <w:r w:rsidRPr="00AD6CBA">
        <w:rPr>
          <w:bCs/>
          <w:szCs w:val="24"/>
        </w:rPr>
        <w:t xml:space="preserve">Konferencijos metu buvo pristatytas </w:t>
      </w:r>
      <w:r w:rsidR="003B27C2">
        <w:rPr>
          <w:bCs/>
          <w:szCs w:val="24"/>
        </w:rPr>
        <w:t>LEI specialistų parengtas</w:t>
      </w:r>
      <w:r w:rsidRPr="00AD6CBA">
        <w:rPr>
          <w:bCs/>
          <w:szCs w:val="24"/>
        </w:rPr>
        <w:t xml:space="preserve"> stendinis pranešimas „Application of best estimate methodology for the evaluation of severe accident consequences (Geriausio įverčio metodikos taikymas sunkių</w:t>
      </w:r>
      <w:r w:rsidR="00F64CF5">
        <w:rPr>
          <w:bCs/>
          <w:szCs w:val="24"/>
        </w:rPr>
        <w:t>jų</w:t>
      </w:r>
      <w:r w:rsidRPr="00AD6CBA">
        <w:rPr>
          <w:bCs/>
          <w:szCs w:val="24"/>
        </w:rPr>
        <w:t xml:space="preserve"> avarijų padariniams įvertinti)“.</w:t>
      </w:r>
    </w:p>
    <w:p w14:paraId="242A33BC" w14:textId="77777777" w:rsidR="00AD6CBA" w:rsidRPr="00AD6CBA" w:rsidRDefault="00AD6CBA" w:rsidP="00AD6CBA">
      <w:pPr>
        <w:jc w:val="both"/>
        <w:rPr>
          <w:bCs/>
          <w:szCs w:val="24"/>
        </w:rPr>
      </w:pPr>
    </w:p>
    <w:p w14:paraId="020F7B15" w14:textId="7C80F362" w:rsidR="00AD6CBA" w:rsidRPr="00AD6CBA" w:rsidRDefault="00AD6CBA" w:rsidP="00AD6CBA">
      <w:pPr>
        <w:jc w:val="both"/>
        <w:rPr>
          <w:bCs/>
          <w:szCs w:val="24"/>
        </w:rPr>
      </w:pPr>
      <w:r w:rsidRPr="00AD6CBA">
        <w:rPr>
          <w:bCs/>
          <w:szCs w:val="24"/>
        </w:rPr>
        <w:t xml:space="preserve">Lietuvos institucijų vizito į Masačiusetso technologijos institutą pagal Lietuvos – MISTI bendradarbiavimą metu buvo užmegzti ryšiai su šio instituto Branduolinio mokslo ir inžinerijos katedros specialistais, kurios mokymo ir tyrimų sritys yra šios: </w:t>
      </w:r>
    </w:p>
    <w:p w14:paraId="26F1888E" w14:textId="77777777" w:rsidR="00AD6CBA" w:rsidRPr="00AD6CBA" w:rsidRDefault="00AD6CBA" w:rsidP="00AD6CBA">
      <w:pPr>
        <w:pStyle w:val="ListParagraph"/>
        <w:numPr>
          <w:ilvl w:val="0"/>
          <w:numId w:val="1"/>
        </w:numPr>
        <w:jc w:val="both"/>
        <w:rPr>
          <w:rFonts w:ascii="Times New Roman" w:hAnsi="Times New Roman"/>
          <w:bCs/>
          <w:sz w:val="24"/>
        </w:rPr>
      </w:pPr>
      <w:r w:rsidRPr="00AD6CBA">
        <w:rPr>
          <w:rFonts w:ascii="Times New Roman" w:hAnsi="Times New Roman"/>
          <w:bCs/>
          <w:sz w:val="24"/>
        </w:rPr>
        <w:t xml:space="preserve">pažangių branduolinių reaktorių dizainas; </w:t>
      </w:r>
    </w:p>
    <w:p w14:paraId="1B1084B6" w14:textId="77777777" w:rsidR="00AD6CBA" w:rsidRPr="00AD6CBA" w:rsidRDefault="00AD6CBA" w:rsidP="00AD6CBA">
      <w:pPr>
        <w:pStyle w:val="ListParagraph"/>
        <w:numPr>
          <w:ilvl w:val="0"/>
          <w:numId w:val="1"/>
        </w:numPr>
        <w:jc w:val="both"/>
        <w:rPr>
          <w:rFonts w:ascii="Times New Roman" w:hAnsi="Times New Roman"/>
          <w:bCs/>
          <w:sz w:val="24"/>
        </w:rPr>
      </w:pPr>
      <w:r w:rsidRPr="00AD6CBA">
        <w:rPr>
          <w:rFonts w:ascii="Times New Roman" w:hAnsi="Times New Roman"/>
          <w:bCs/>
          <w:sz w:val="24"/>
        </w:rPr>
        <w:t xml:space="preserve">branduolinio kuro ciklas ir atliekų tvarkymo technologijos; </w:t>
      </w:r>
    </w:p>
    <w:p w14:paraId="63BFEB6B" w14:textId="77777777" w:rsidR="00AD6CBA" w:rsidRPr="00AD6CBA" w:rsidRDefault="00AD6CBA" w:rsidP="00AD6CBA">
      <w:pPr>
        <w:pStyle w:val="ListParagraph"/>
        <w:numPr>
          <w:ilvl w:val="0"/>
          <w:numId w:val="1"/>
        </w:numPr>
        <w:jc w:val="both"/>
        <w:rPr>
          <w:rFonts w:ascii="Times New Roman" w:hAnsi="Times New Roman"/>
          <w:bCs/>
          <w:sz w:val="24"/>
        </w:rPr>
      </w:pPr>
      <w:r w:rsidRPr="00AD6CBA">
        <w:rPr>
          <w:rFonts w:ascii="Times New Roman" w:hAnsi="Times New Roman"/>
          <w:bCs/>
          <w:sz w:val="24"/>
        </w:rPr>
        <w:t>plazmos fizika ir termobranduolinė sintezė;</w:t>
      </w:r>
    </w:p>
    <w:p w14:paraId="54B755A4" w14:textId="77777777" w:rsidR="00AD6CBA" w:rsidRPr="00AD6CBA" w:rsidRDefault="00AD6CBA" w:rsidP="00AD6CBA">
      <w:pPr>
        <w:pStyle w:val="ListParagraph"/>
        <w:numPr>
          <w:ilvl w:val="0"/>
          <w:numId w:val="1"/>
        </w:numPr>
        <w:jc w:val="both"/>
        <w:rPr>
          <w:rFonts w:ascii="Times New Roman" w:hAnsi="Times New Roman"/>
          <w:bCs/>
          <w:sz w:val="24"/>
        </w:rPr>
      </w:pPr>
      <w:r w:rsidRPr="00AD6CBA">
        <w:rPr>
          <w:rFonts w:ascii="Times New Roman" w:hAnsi="Times New Roman"/>
          <w:bCs/>
          <w:sz w:val="24"/>
        </w:rPr>
        <w:t>medžiagos ekstremaliose aplinkose;</w:t>
      </w:r>
    </w:p>
    <w:p w14:paraId="185D5264" w14:textId="77777777" w:rsidR="00AD6CBA" w:rsidRPr="00AD6CBA" w:rsidRDefault="00AD6CBA" w:rsidP="00AD6CBA">
      <w:pPr>
        <w:pStyle w:val="ListParagraph"/>
        <w:numPr>
          <w:ilvl w:val="0"/>
          <w:numId w:val="1"/>
        </w:numPr>
        <w:jc w:val="both"/>
        <w:rPr>
          <w:rFonts w:ascii="Times New Roman" w:hAnsi="Times New Roman"/>
          <w:bCs/>
          <w:sz w:val="24"/>
        </w:rPr>
      </w:pPr>
      <w:r w:rsidRPr="00AD6CBA">
        <w:rPr>
          <w:rFonts w:ascii="Times New Roman" w:hAnsi="Times New Roman"/>
          <w:bCs/>
          <w:sz w:val="24"/>
        </w:rPr>
        <w:t xml:space="preserve">pažangus kompiuterinis modeliavimas; </w:t>
      </w:r>
    </w:p>
    <w:p w14:paraId="4F2E89B0" w14:textId="77777777" w:rsidR="00AD6CBA" w:rsidRPr="00AD6CBA" w:rsidRDefault="00AD6CBA" w:rsidP="00AD6CBA">
      <w:pPr>
        <w:pStyle w:val="ListParagraph"/>
        <w:numPr>
          <w:ilvl w:val="0"/>
          <w:numId w:val="1"/>
        </w:numPr>
        <w:jc w:val="both"/>
        <w:rPr>
          <w:rFonts w:ascii="Times New Roman" w:hAnsi="Times New Roman"/>
          <w:bCs/>
          <w:sz w:val="24"/>
        </w:rPr>
      </w:pPr>
      <w:r w:rsidRPr="00AD6CBA">
        <w:rPr>
          <w:rFonts w:ascii="Times New Roman" w:hAnsi="Times New Roman"/>
          <w:bCs/>
          <w:sz w:val="24"/>
        </w:rPr>
        <w:t xml:space="preserve">radiacijos šaltiniai, radiacijos aptikimas ir valdymas; </w:t>
      </w:r>
    </w:p>
    <w:p w14:paraId="47650A17" w14:textId="77777777" w:rsidR="00AD6CBA" w:rsidRPr="00AD6CBA" w:rsidRDefault="00AD6CBA" w:rsidP="00AD6CBA">
      <w:pPr>
        <w:pStyle w:val="ListParagraph"/>
        <w:numPr>
          <w:ilvl w:val="0"/>
          <w:numId w:val="1"/>
        </w:numPr>
        <w:jc w:val="both"/>
        <w:rPr>
          <w:rFonts w:ascii="Times New Roman" w:hAnsi="Times New Roman"/>
          <w:bCs/>
          <w:sz w:val="24"/>
        </w:rPr>
      </w:pPr>
      <w:r w:rsidRPr="00AD6CBA">
        <w:rPr>
          <w:rFonts w:ascii="Times New Roman" w:hAnsi="Times New Roman"/>
          <w:bCs/>
          <w:sz w:val="24"/>
        </w:rPr>
        <w:t>branduolinė sauga;</w:t>
      </w:r>
    </w:p>
    <w:p w14:paraId="0A40F671" w14:textId="77777777" w:rsidR="00AD6CBA" w:rsidRPr="00AD6CBA" w:rsidRDefault="00AD6CBA" w:rsidP="00AD6CBA">
      <w:pPr>
        <w:pStyle w:val="ListParagraph"/>
        <w:numPr>
          <w:ilvl w:val="0"/>
          <w:numId w:val="1"/>
        </w:numPr>
        <w:jc w:val="both"/>
        <w:rPr>
          <w:rFonts w:ascii="Times New Roman" w:hAnsi="Times New Roman"/>
          <w:bCs/>
          <w:sz w:val="24"/>
        </w:rPr>
      </w:pPr>
      <w:r w:rsidRPr="00AD6CBA">
        <w:rPr>
          <w:rFonts w:ascii="Times New Roman" w:hAnsi="Times New Roman"/>
          <w:bCs/>
          <w:sz w:val="24"/>
        </w:rPr>
        <w:t xml:space="preserve">branduolinė ekonomika, valdymas ir politika; </w:t>
      </w:r>
    </w:p>
    <w:p w14:paraId="793AF79B" w14:textId="77777777" w:rsidR="00AD6CBA" w:rsidRPr="00AD6CBA" w:rsidRDefault="00AD6CBA" w:rsidP="00AD6CBA">
      <w:pPr>
        <w:pStyle w:val="ListParagraph"/>
        <w:numPr>
          <w:ilvl w:val="0"/>
          <w:numId w:val="1"/>
        </w:numPr>
        <w:jc w:val="both"/>
        <w:rPr>
          <w:rFonts w:ascii="Times New Roman" w:hAnsi="Times New Roman"/>
          <w:bCs/>
          <w:sz w:val="24"/>
        </w:rPr>
      </w:pPr>
      <w:r w:rsidRPr="00AD6CBA">
        <w:rPr>
          <w:rFonts w:ascii="Times New Roman" w:hAnsi="Times New Roman"/>
          <w:bCs/>
          <w:sz w:val="24"/>
        </w:rPr>
        <w:t>kvantinė inžinerija.</w:t>
      </w:r>
    </w:p>
    <w:p w14:paraId="6639FC1A" w14:textId="77777777" w:rsidR="00AD6CBA" w:rsidRPr="00AD6CBA" w:rsidRDefault="00AD6CBA" w:rsidP="00AD6CBA">
      <w:pPr>
        <w:jc w:val="both"/>
        <w:rPr>
          <w:bCs/>
          <w:szCs w:val="24"/>
        </w:rPr>
      </w:pPr>
    </w:p>
    <w:p w14:paraId="598968F4" w14:textId="77777777" w:rsidR="00AD6CBA" w:rsidRPr="00AD6CBA" w:rsidRDefault="00AD6CBA" w:rsidP="00AD6CBA">
      <w:pPr>
        <w:widowControl w:val="0"/>
        <w:jc w:val="both"/>
        <w:rPr>
          <w:bCs/>
          <w:szCs w:val="24"/>
        </w:rPr>
      </w:pPr>
    </w:p>
    <w:p w14:paraId="078C4DFB" w14:textId="77777777" w:rsidR="00AD6CBA" w:rsidRPr="00AD6CBA" w:rsidRDefault="00AD6CBA" w:rsidP="00AD6CBA">
      <w:pPr>
        <w:widowControl w:val="0"/>
        <w:jc w:val="both"/>
        <w:rPr>
          <w:bCs/>
          <w:szCs w:val="24"/>
        </w:rPr>
      </w:pPr>
      <w:r w:rsidRPr="00AD6CBA">
        <w:rPr>
          <w:bCs/>
          <w:szCs w:val="24"/>
        </w:rPr>
        <w:t>LEI specialistų sukauptos patirties pagrindu parengtas straipsnis „Application of Uncertainty and Sensitivity Analysis in Assessing the Consequences of Severe Accidents“ pateiktas į žurnalą „Nuclear Technology“. Straipsnis priimtas publikavimui.</w:t>
      </w:r>
    </w:p>
    <w:p w14:paraId="2C985AE5" w14:textId="77777777" w:rsidR="00AD6CBA" w:rsidRPr="00AD6CBA" w:rsidRDefault="00AD6CBA" w:rsidP="00AD6CBA">
      <w:pPr>
        <w:widowControl w:val="0"/>
        <w:jc w:val="both"/>
        <w:rPr>
          <w:bCs/>
          <w:szCs w:val="24"/>
        </w:rPr>
      </w:pPr>
    </w:p>
    <w:p w14:paraId="6BE3CC52" w14:textId="77777777" w:rsidR="00AD6CBA" w:rsidRPr="00AD6CBA" w:rsidRDefault="00AD6CBA" w:rsidP="00AD6CBA">
      <w:pPr>
        <w:widowControl w:val="0"/>
        <w:jc w:val="both"/>
        <w:rPr>
          <w:szCs w:val="24"/>
        </w:rPr>
      </w:pPr>
      <w:r w:rsidRPr="00AD6CBA">
        <w:rPr>
          <w:bCs/>
          <w:szCs w:val="24"/>
        </w:rPr>
        <w:t xml:space="preserve">Projektas įgyvendintas pagal Sutartyje </w:t>
      </w:r>
      <w:r w:rsidRPr="00AD6CBA">
        <w:rPr>
          <w:b/>
          <w:bCs/>
          <w:szCs w:val="24"/>
        </w:rPr>
        <w:t>NR.</w:t>
      </w:r>
      <w:r w:rsidRPr="00AD6CBA">
        <w:rPr>
          <w:bCs/>
          <w:szCs w:val="24"/>
        </w:rPr>
        <w:t xml:space="preserve"> </w:t>
      </w:r>
      <w:r w:rsidRPr="00AD6CBA">
        <w:rPr>
          <w:b/>
          <w:bCs/>
          <w:iCs/>
          <w:szCs w:val="24"/>
        </w:rPr>
        <w:t xml:space="preserve">10-038-T-0101, </w:t>
      </w:r>
      <w:r w:rsidRPr="00AD6CBA">
        <w:rPr>
          <w:bCs/>
          <w:szCs w:val="24"/>
        </w:rPr>
        <w:t>2022-2030 metų plėtros programos valdytojos Lietuvos Respublikos švietimo, mokslo ir sporto ministerijos plėtros programos pažangos priemonės Nr. 12-001-01-02-01 „Stiprinti inovacijų ekosistemas mokslo centruose</w:t>
      </w:r>
      <w:r w:rsidRPr="00AD6CBA">
        <w:rPr>
          <w:szCs w:val="24"/>
        </w:rPr>
        <w:t>“ aprašo, patvirtinto</w:t>
      </w:r>
      <w:r w:rsidRPr="00AD6CBA">
        <w:rPr>
          <w:i/>
          <w:szCs w:val="24"/>
        </w:rPr>
        <w:t xml:space="preserve"> </w:t>
      </w:r>
      <w:r w:rsidRPr="00AD6CBA">
        <w:rPr>
          <w:szCs w:val="24"/>
        </w:rPr>
        <w:t>Lietuvos Respublikos švietimo, mokslo ir sporto ministro 2023 m. rugpjūčio 8 d. įsakymu Nr. V-1049 „Dėl Švietimo, mokslo ir sporto ministro 2022 m. rugpjūčio 17 d. įsakymo Nr. V-1250 „Dėl 2022-2030 m. plėtros programos valdytojos Lietuvos Respublikos švietimo, mokslo ir sporto ministerijos mokslo plėtros programos pažangos priemonės Nr. 12-001-01-02-01 „Stiprinti inovacijų ekosistemos mokslo centruose“ aprašo patvirtinimo“ pakeitimo 9 priede „</w:t>
      </w:r>
      <w:r w:rsidRPr="00AD6CBA">
        <w:rPr>
          <w:szCs w:val="24"/>
          <w:shd w:val="clear" w:color="auto" w:fill="FFFFFF"/>
        </w:rPr>
        <w:t xml:space="preserve">2022–2030 m. plėtros programos valdytojos Lietuvos Respublikos švietimo, mokslo ir sporto ministerijos mokslo plėtros programos </w:t>
      </w:r>
      <w:r w:rsidRPr="00AD6CBA">
        <w:rPr>
          <w:szCs w:val="24"/>
        </w:rPr>
        <w:t>pažangos priemonės Nr. 12-001-01-02-01 „Stiprinti inovacijų ekosistemas mokslo centruose“ veiklos „Parama identifikuotiems startiniams MTEP projektams ir galimybių studijoms su institucijų kelrodžiais sėkmingam dalyvavimui Europos Sąjungos mokslinių tyrimų ir inovacijų programos „Europos horizontas“ kvietimuose skatinti“ projektų finansavimo sąlygų aprašas“ (toliau – Aprašas), Projektų administravimo ir finansavimo taisyklėse</w:t>
      </w:r>
      <w:r w:rsidRPr="00AD6CBA">
        <w:rPr>
          <w:iCs/>
          <w:szCs w:val="24"/>
        </w:rPr>
        <w:t xml:space="preserve"> (toliau – Taisyklės) </w:t>
      </w:r>
      <w:r w:rsidRPr="00AD6CBA">
        <w:rPr>
          <w:szCs w:val="24"/>
        </w:rPr>
        <w:t xml:space="preserve">ir (arba) Finansinių priemonių įgyvendinimo taisyklėse, </w:t>
      </w:r>
      <w:r w:rsidRPr="00AD6CBA">
        <w:rPr>
          <w:iCs/>
          <w:szCs w:val="24"/>
        </w:rPr>
        <w:t>patvirtintose Lietuvos Respublikos finansų ministro 2022 m. birželio 22 d. įsakymu Nr. 1K-237 „Dėl 2021–2027 metų Europos Sąjungos fondų investicijų programos ir Ekonomikos gaivinimo ir atsparumo didinimo plano „Naujos kartos Lietuva“ įgyvendinimo“</w:t>
      </w:r>
      <w:r w:rsidRPr="00AD6CBA">
        <w:rPr>
          <w:szCs w:val="24"/>
        </w:rPr>
        <w:t>,</w:t>
      </w:r>
      <w:r w:rsidRPr="00AD6CBA">
        <w:rPr>
          <w:i/>
          <w:iCs/>
          <w:szCs w:val="24"/>
        </w:rPr>
        <w:t xml:space="preserve"> </w:t>
      </w:r>
      <w:r w:rsidRPr="00AD6CBA">
        <w:rPr>
          <w:szCs w:val="24"/>
        </w:rPr>
        <w:t xml:space="preserve">ir juose nurodytuose ES ir Lietuvos Respublikos teisės aktuose nustatytas sąlygas ir tvarką. </w:t>
      </w:r>
    </w:p>
    <w:p w14:paraId="1D224A6C" w14:textId="77777777" w:rsidR="00AD6CBA" w:rsidRDefault="00AD6CBA" w:rsidP="00AD6CBA">
      <w:pPr>
        <w:jc w:val="both"/>
        <w:rPr>
          <w:bCs/>
          <w:szCs w:val="24"/>
        </w:rPr>
      </w:pPr>
      <w:r w:rsidRPr="00AD6CBA">
        <w:rPr>
          <w:bCs/>
          <w:szCs w:val="24"/>
        </w:rPr>
        <w:lastRenderedPageBreak/>
        <w:t>Projekto viešinimo sąlygos įgyvendintos pagal sutartyje nurodytus reikalavimus.</w:t>
      </w:r>
    </w:p>
    <w:p w14:paraId="529ABCEC" w14:textId="77777777" w:rsidR="00361FFB" w:rsidRDefault="00361FFB" w:rsidP="00AD6CBA">
      <w:pPr>
        <w:jc w:val="both"/>
        <w:rPr>
          <w:bCs/>
          <w:szCs w:val="24"/>
        </w:rPr>
      </w:pPr>
    </w:p>
    <w:p w14:paraId="4785982E" w14:textId="77777777" w:rsidR="00361FFB" w:rsidRPr="00361FFB" w:rsidRDefault="00361FFB" w:rsidP="00361FFB">
      <w:pPr>
        <w:rPr>
          <w:bCs/>
          <w:szCs w:val="24"/>
        </w:rPr>
      </w:pPr>
      <w:r w:rsidRPr="00361FFB">
        <w:rPr>
          <w:bCs/>
          <w:szCs w:val="24"/>
        </w:rPr>
        <w:t>Projekto vadovas</w:t>
      </w:r>
    </w:p>
    <w:p w14:paraId="6B2BEBFC" w14:textId="77777777" w:rsidR="00361FFB" w:rsidRPr="00361FFB" w:rsidRDefault="00361FFB" w:rsidP="00361FFB">
      <w:pPr>
        <w:rPr>
          <w:bCs/>
          <w:szCs w:val="24"/>
        </w:rPr>
      </w:pPr>
      <w:r w:rsidRPr="00361FFB">
        <w:rPr>
          <w:bCs/>
          <w:szCs w:val="24"/>
        </w:rPr>
        <w:t>Virginijus Vileiniškis</w:t>
      </w:r>
    </w:p>
    <w:p w14:paraId="66182663" w14:textId="77777777" w:rsidR="00361FFB" w:rsidRPr="00AD6CBA" w:rsidRDefault="00361FFB" w:rsidP="00AD6CBA">
      <w:pPr>
        <w:jc w:val="both"/>
        <w:rPr>
          <w:bCs/>
          <w:szCs w:val="24"/>
        </w:rPr>
      </w:pPr>
    </w:p>
    <w:p w14:paraId="7D684495" w14:textId="77777777" w:rsidR="008360A7" w:rsidRPr="00AD6CBA" w:rsidRDefault="008360A7" w:rsidP="008360A7">
      <w:pPr>
        <w:rPr>
          <w:bCs/>
          <w:szCs w:val="24"/>
        </w:rPr>
      </w:pPr>
    </w:p>
    <w:p w14:paraId="241C0BDB" w14:textId="77777777" w:rsidR="008360A7" w:rsidRPr="00AD6CBA" w:rsidRDefault="008360A7" w:rsidP="008360A7">
      <w:pPr>
        <w:rPr>
          <w:bCs/>
          <w:szCs w:val="24"/>
        </w:rPr>
      </w:pPr>
    </w:p>
    <w:p w14:paraId="62FF909F" w14:textId="77777777" w:rsidR="008360A7" w:rsidRPr="00AD6CBA" w:rsidRDefault="008360A7" w:rsidP="008360A7">
      <w:pPr>
        <w:rPr>
          <w:bCs/>
          <w:szCs w:val="24"/>
        </w:rPr>
      </w:pPr>
    </w:p>
    <w:p w14:paraId="015C0938" w14:textId="77777777" w:rsidR="008360A7" w:rsidRPr="00AD6CBA" w:rsidRDefault="008360A7" w:rsidP="008360A7">
      <w:pPr>
        <w:rPr>
          <w:bCs/>
          <w:szCs w:val="24"/>
        </w:rPr>
      </w:pPr>
    </w:p>
    <w:p w14:paraId="42DA5A92" w14:textId="77777777" w:rsidR="008360A7" w:rsidRPr="00AD6CBA" w:rsidRDefault="008360A7" w:rsidP="008360A7">
      <w:pPr>
        <w:rPr>
          <w:bCs/>
          <w:szCs w:val="24"/>
        </w:rPr>
      </w:pPr>
    </w:p>
    <w:p w14:paraId="4DD179D7" w14:textId="77777777" w:rsidR="008360A7" w:rsidRPr="00AD6CBA" w:rsidRDefault="008360A7" w:rsidP="008360A7">
      <w:pPr>
        <w:rPr>
          <w:bCs/>
          <w:szCs w:val="24"/>
        </w:rPr>
      </w:pPr>
    </w:p>
    <w:p w14:paraId="783C1A7F" w14:textId="77777777" w:rsidR="008360A7" w:rsidRPr="00AD6CBA" w:rsidRDefault="008360A7" w:rsidP="008360A7">
      <w:pPr>
        <w:rPr>
          <w:bCs/>
          <w:szCs w:val="24"/>
        </w:rPr>
      </w:pPr>
    </w:p>
    <w:p w14:paraId="34D181D5" w14:textId="77777777" w:rsidR="008360A7" w:rsidRPr="00AD6CBA" w:rsidRDefault="008360A7" w:rsidP="008360A7">
      <w:pPr>
        <w:jc w:val="both"/>
        <w:rPr>
          <w:noProof/>
          <w:szCs w:val="24"/>
        </w:rPr>
      </w:pPr>
    </w:p>
    <w:p w14:paraId="646EA06B" w14:textId="77777777" w:rsidR="008360A7" w:rsidRPr="00AD6CBA" w:rsidRDefault="008360A7" w:rsidP="008360A7">
      <w:pPr>
        <w:suppressAutoHyphens/>
        <w:autoSpaceDE w:val="0"/>
        <w:autoSpaceDN w:val="0"/>
        <w:adjustRightInd w:val="0"/>
        <w:textAlignment w:val="center"/>
        <w:rPr>
          <w:noProof/>
          <w:szCs w:val="24"/>
        </w:rPr>
      </w:pPr>
      <w:r w:rsidRPr="00AD6CBA">
        <w:rPr>
          <w:noProof/>
          <w:szCs w:val="24"/>
        </w:rPr>
        <w:drawing>
          <wp:inline distT="0" distB="0" distL="0" distR="0" wp14:anchorId="4AD57564" wp14:editId="7A055870">
            <wp:extent cx="5731510" cy="906145"/>
            <wp:effectExtent l="0" t="0" r="2540" b="8255"/>
            <wp:docPr id="4123510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906145"/>
                    </a:xfrm>
                    <a:prstGeom prst="rect">
                      <a:avLst/>
                    </a:prstGeom>
                    <a:noFill/>
                    <a:ln>
                      <a:noFill/>
                    </a:ln>
                  </pic:spPr>
                </pic:pic>
              </a:graphicData>
            </a:graphic>
          </wp:inline>
        </w:drawing>
      </w:r>
    </w:p>
    <w:p w14:paraId="030D1320" w14:textId="77777777" w:rsidR="008360A7" w:rsidRPr="00AD6CBA" w:rsidRDefault="008360A7" w:rsidP="008360A7">
      <w:pPr>
        <w:suppressAutoHyphens/>
        <w:autoSpaceDE w:val="0"/>
        <w:autoSpaceDN w:val="0"/>
        <w:adjustRightInd w:val="0"/>
        <w:jc w:val="center"/>
        <w:textAlignment w:val="center"/>
        <w:rPr>
          <w:noProof/>
          <w:szCs w:val="24"/>
        </w:rPr>
      </w:pPr>
    </w:p>
    <w:p w14:paraId="27A35578" w14:textId="77777777" w:rsidR="008360A7" w:rsidRPr="00AD6CBA" w:rsidRDefault="008360A7" w:rsidP="008360A7">
      <w:pPr>
        <w:suppressAutoHyphens/>
        <w:autoSpaceDE w:val="0"/>
        <w:autoSpaceDN w:val="0"/>
        <w:adjustRightInd w:val="0"/>
        <w:textAlignment w:val="center"/>
        <w:rPr>
          <w:noProof/>
          <w:szCs w:val="24"/>
        </w:rPr>
      </w:pPr>
      <w:r w:rsidRPr="00AD6CBA">
        <w:rPr>
          <w:bCs/>
          <w:szCs w:val="24"/>
        </w:rPr>
        <w:t>Finansuoja Europos Sąjunga NextGenerationEU</w:t>
      </w:r>
    </w:p>
    <w:p w14:paraId="4012A1D5" w14:textId="77777777" w:rsidR="008360A7" w:rsidRPr="00AD6CBA" w:rsidRDefault="008360A7" w:rsidP="008360A7">
      <w:pPr>
        <w:suppressAutoHyphens/>
        <w:autoSpaceDE w:val="0"/>
        <w:autoSpaceDN w:val="0"/>
        <w:adjustRightInd w:val="0"/>
        <w:jc w:val="center"/>
        <w:textAlignment w:val="center"/>
        <w:rPr>
          <w:noProof/>
          <w:szCs w:val="24"/>
        </w:rPr>
      </w:pPr>
    </w:p>
    <w:p w14:paraId="6E633CF9" w14:textId="77777777" w:rsidR="00EF1785" w:rsidRPr="00C705F0" w:rsidRDefault="00EF1785" w:rsidP="008360A7">
      <w:pPr>
        <w:pStyle w:val="Header"/>
        <w:jc w:val="right"/>
        <w:rPr>
          <w:rFonts w:ascii="Times New Roman" w:hAnsi="Times New Roman" w:cs="Times New Roman"/>
          <w:bCs/>
          <w:sz w:val="28"/>
          <w:szCs w:val="28"/>
        </w:rPr>
      </w:pPr>
    </w:p>
    <w:sectPr w:rsidR="00EF1785" w:rsidRPr="00C705F0" w:rsidSect="007272AB">
      <w:headerReference w:type="default" r:id="rId11"/>
      <w:footerReference w:type="default" r:id="rId12"/>
      <w:headerReference w:type="first" r:id="rId13"/>
      <w:footerReference w:type="first" r:id="rId1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0390D" w14:textId="77777777" w:rsidR="005C5C8E" w:rsidRDefault="005C5C8E" w:rsidP="00FF1B8F">
      <w:r>
        <w:separator/>
      </w:r>
    </w:p>
  </w:endnote>
  <w:endnote w:type="continuationSeparator" w:id="0">
    <w:p w14:paraId="45A4516A" w14:textId="77777777" w:rsidR="005C5C8E" w:rsidRDefault="005C5C8E" w:rsidP="00FF1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4AFC" w14:textId="49D9AF68" w:rsidR="00B13059" w:rsidRDefault="00B13059" w:rsidP="00B13059">
    <w:pPr>
      <w:jc w:val="center"/>
      <w:rPr>
        <w:rFonts w:asciiTheme="majorBidi" w:hAnsiTheme="majorBidi" w:cstheme="majorBidi"/>
        <w:szCs w:val="24"/>
      </w:rPr>
    </w:pPr>
    <w:bookmarkStart w:id="2" w:name="_Hlk122596552"/>
    <w:bookmarkStart w:id="3" w:name="_Hlk122596553"/>
    <w:r>
      <w:rPr>
        <w:noProof/>
      </w:rPr>
      <w:drawing>
        <wp:inline distT="0" distB="0" distL="0" distR="0" wp14:anchorId="2C6F23EA" wp14:editId="616560D3">
          <wp:extent cx="6120765" cy="518160"/>
          <wp:effectExtent l="0" t="0" r="0" b="0"/>
          <wp:docPr id="149391267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H="1">
                    <a:off x="0" y="0"/>
                    <a:ext cx="6120765" cy="518160"/>
                  </a:xfrm>
                  <a:prstGeom prst="rect">
                    <a:avLst/>
                  </a:prstGeom>
                </pic:spPr>
              </pic:pic>
            </a:graphicData>
          </a:graphic>
        </wp:inline>
      </w:drawing>
    </w:r>
  </w:p>
  <w:p w14:paraId="3F2B0219" w14:textId="1F63824E" w:rsidR="00EF1785" w:rsidRDefault="00EF1785" w:rsidP="00B13059">
    <w:pPr>
      <w:jc w:val="center"/>
      <w:rPr>
        <w:rFonts w:asciiTheme="majorBidi" w:hAnsiTheme="majorBidi" w:cstheme="majorBidi"/>
        <w:szCs w:val="24"/>
      </w:rPr>
    </w:pPr>
    <w:r>
      <w:rPr>
        <w:rFonts w:asciiTheme="majorBidi" w:hAnsiTheme="majorBidi" w:cstheme="majorBidi"/>
        <w:szCs w:val="24"/>
      </w:rPr>
      <w:t>Kaunas, 202</w:t>
    </w:r>
    <w:r w:rsidR="003F194D">
      <w:rPr>
        <w:rFonts w:asciiTheme="majorBidi" w:hAnsiTheme="majorBidi" w:cstheme="majorBidi"/>
        <w:szCs w:val="24"/>
      </w:rPr>
      <w:t>5</w:t>
    </w:r>
  </w:p>
  <w:p w14:paraId="3DD195DD" w14:textId="5A8E901C" w:rsidR="00B13059" w:rsidRDefault="00B83382" w:rsidP="00EF1785">
    <w:pPr>
      <w:ind w:firstLine="426"/>
      <w:rPr>
        <w:rFonts w:asciiTheme="majorBidi" w:hAnsiTheme="majorBidi" w:cstheme="majorBidi"/>
        <w:szCs w:val="24"/>
      </w:rPr>
    </w:pPr>
    <w:r>
      <w:rPr>
        <w:noProof/>
      </w:rPr>
      <w:drawing>
        <wp:inline distT="0" distB="0" distL="0" distR="0" wp14:anchorId="59858475" wp14:editId="56205420">
          <wp:extent cx="820800" cy="547200"/>
          <wp:effectExtent l="0" t="0" r="0" b="5715"/>
          <wp:docPr id="183366792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0800" cy="547200"/>
                  </a:xfrm>
                  <a:prstGeom prst="rect">
                    <a:avLst/>
                  </a:prstGeom>
                  <a:noFill/>
                  <a:ln>
                    <a:noFill/>
                  </a:ln>
                </pic:spPr>
              </pic:pic>
            </a:graphicData>
          </a:graphic>
        </wp:inline>
      </w:drawing>
    </w:r>
    <w:bookmarkEnd w:id="2"/>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0A2F7" w14:textId="11ED15B4" w:rsidR="007272AB" w:rsidRDefault="007272AB" w:rsidP="00B13059">
    <w:pPr>
      <w:jc w:val="center"/>
      <w:rPr>
        <w:rFonts w:asciiTheme="majorBidi" w:hAnsiTheme="majorBidi" w:cstheme="majorBidi"/>
        <w:szCs w:val="24"/>
      </w:rPr>
    </w:pPr>
  </w:p>
  <w:p w14:paraId="56D9B24F" w14:textId="2691E83F" w:rsidR="007272AB" w:rsidRDefault="007272AB" w:rsidP="00EF1785">
    <w:pPr>
      <w:ind w:firstLine="426"/>
      <w:rPr>
        <w:rFonts w:asciiTheme="majorBidi" w:hAnsiTheme="majorBidi" w:cstheme="majorBid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A311" w14:textId="77777777" w:rsidR="008360A7" w:rsidRDefault="00836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434A3" w14:textId="77777777" w:rsidR="005C5C8E" w:rsidRDefault="005C5C8E" w:rsidP="00FF1B8F">
      <w:r>
        <w:separator/>
      </w:r>
    </w:p>
  </w:footnote>
  <w:footnote w:type="continuationSeparator" w:id="0">
    <w:p w14:paraId="0E3B230D" w14:textId="77777777" w:rsidR="005C5C8E" w:rsidRDefault="005C5C8E" w:rsidP="00FF1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623EF" w14:textId="33BFF31E" w:rsidR="00FF1B8F" w:rsidRDefault="00002100" w:rsidP="00FF1B8F">
    <w:pPr>
      <w:pStyle w:val="Header"/>
      <w:tabs>
        <w:tab w:val="left" w:pos="2383"/>
        <w:tab w:val="center" w:pos="4819"/>
      </w:tabs>
      <w:jc w:val="center"/>
    </w:pPr>
    <w:bookmarkStart w:id="0" w:name="_Hlk122596531"/>
    <w:bookmarkStart w:id="1" w:name="_Hlk122596532"/>
    <w:r>
      <w:rPr>
        <w:noProof/>
      </w:rPr>
      <w:drawing>
        <wp:inline distT="0" distB="0" distL="0" distR="0" wp14:anchorId="11242E6A" wp14:editId="34155C18">
          <wp:extent cx="640080" cy="640080"/>
          <wp:effectExtent l="0" t="0" r="7620" b="7620"/>
          <wp:docPr id="1197889447" name="Paveikslėlis 3" descr="LE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3" descr="LEI.png"/>
                  <pic:cNvPicPr>
                    <a:picLocks noChangeAspect="1"/>
                  </pic:cNvPicPr>
                </pic:nvPicPr>
                <pic:blipFill>
                  <a:blip r:embed="rId1" cstate="print"/>
                  <a:srcRect/>
                  <a:stretch>
                    <a:fillRect/>
                  </a:stretch>
                </pic:blipFill>
                <pic:spPr bwMode="auto">
                  <a:xfrm>
                    <a:off x="0" y="0"/>
                    <a:ext cx="640080" cy="640080"/>
                  </a:xfrm>
                  <a:prstGeom prst="rect">
                    <a:avLst/>
                  </a:prstGeom>
                  <a:noFill/>
                  <a:ln w="9525">
                    <a:noFill/>
                    <a:miter lim="800000"/>
                    <a:headEnd/>
                    <a:tailEnd/>
                  </a:ln>
                </pic:spPr>
              </pic:pic>
            </a:graphicData>
          </a:graphic>
        </wp:inline>
      </w:drawing>
    </w:r>
  </w:p>
  <w:p w14:paraId="65DE9BC4" w14:textId="42F40144" w:rsidR="00002100" w:rsidRDefault="00002100" w:rsidP="00002100">
    <w:pPr>
      <w:pStyle w:val="Header"/>
      <w:tabs>
        <w:tab w:val="left" w:pos="2383"/>
        <w:tab w:val="center" w:pos="4819"/>
      </w:tabs>
      <w:spacing w:before="60"/>
      <w:jc w:val="center"/>
      <w:rPr>
        <w:b/>
        <w:bCs/>
        <w:sz w:val="24"/>
        <w:szCs w:val="24"/>
      </w:rPr>
    </w:pPr>
    <w:r w:rsidRPr="00002100">
      <w:rPr>
        <w:b/>
        <w:bCs/>
        <w:sz w:val="24"/>
        <w:szCs w:val="24"/>
      </w:rPr>
      <w:t>LIETUVOS ENERGETIKOS INSTITUTAS</w:t>
    </w:r>
  </w:p>
  <w:p w14:paraId="3E59A3AF" w14:textId="251006AD" w:rsidR="00B13059" w:rsidRDefault="00B13059" w:rsidP="00B83382">
    <w:pPr>
      <w:pStyle w:val="Header"/>
      <w:tabs>
        <w:tab w:val="left" w:pos="2383"/>
        <w:tab w:val="center" w:pos="4819"/>
      </w:tabs>
      <w:spacing w:before="60"/>
      <w:ind w:right="567"/>
      <w:jc w:val="right"/>
    </w:pPr>
    <w:r>
      <w:rPr>
        <w:noProof/>
      </w:rPr>
      <w:drawing>
        <wp:inline distT="0" distB="0" distL="0" distR="0" wp14:anchorId="4A65E575" wp14:editId="72DCE7A5">
          <wp:extent cx="6120765" cy="518160"/>
          <wp:effectExtent l="0" t="0" r="0" b="0"/>
          <wp:docPr id="165186980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H="1">
                    <a:off x="0" y="0"/>
                    <a:ext cx="6120765" cy="518160"/>
                  </a:xfrm>
                  <a:prstGeom prst="rect">
                    <a:avLst/>
                  </a:prstGeom>
                </pic:spPr>
              </pic:pic>
            </a:graphicData>
          </a:graphic>
        </wp:inline>
      </w:drawing>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BD1E3" w14:textId="3D55716C" w:rsidR="008360A7" w:rsidRDefault="008360A7" w:rsidP="00FF1B8F">
    <w:pPr>
      <w:pStyle w:val="Header"/>
      <w:tabs>
        <w:tab w:val="left" w:pos="2383"/>
        <w:tab w:val="center" w:pos="4819"/>
      </w:tabs>
      <w:jc w:val="center"/>
    </w:pPr>
  </w:p>
  <w:p w14:paraId="62D8B1E4" w14:textId="4C5393AF" w:rsidR="008360A7" w:rsidRDefault="008360A7" w:rsidP="00B83382">
    <w:pPr>
      <w:pStyle w:val="Header"/>
      <w:tabs>
        <w:tab w:val="left" w:pos="2383"/>
        <w:tab w:val="center" w:pos="4819"/>
      </w:tabs>
      <w:spacing w:before="60"/>
      <w:ind w:right="567"/>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4FF4" w14:textId="77777777" w:rsidR="008360A7" w:rsidRDefault="008360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D3EB8"/>
    <w:multiLevelType w:val="hybridMultilevel"/>
    <w:tmpl w:val="B25298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D403C95"/>
    <w:multiLevelType w:val="hybridMultilevel"/>
    <w:tmpl w:val="B8645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FD466B"/>
    <w:multiLevelType w:val="hybridMultilevel"/>
    <w:tmpl w:val="6BA87C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75451199">
    <w:abstractNumId w:val="2"/>
  </w:num>
  <w:num w:numId="2" w16cid:durableId="235824138">
    <w:abstractNumId w:val="0"/>
  </w:num>
  <w:num w:numId="3" w16cid:durableId="918516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1E"/>
    <w:rsid w:val="00002100"/>
    <w:rsid w:val="000262A9"/>
    <w:rsid w:val="00044DB2"/>
    <w:rsid w:val="00055856"/>
    <w:rsid w:val="00056941"/>
    <w:rsid w:val="000B22D3"/>
    <w:rsid w:val="00110211"/>
    <w:rsid w:val="00146FEE"/>
    <w:rsid w:val="001E5586"/>
    <w:rsid w:val="001F7405"/>
    <w:rsid w:val="00247E15"/>
    <w:rsid w:val="002A097C"/>
    <w:rsid w:val="00333564"/>
    <w:rsid w:val="003400FA"/>
    <w:rsid w:val="003439D9"/>
    <w:rsid w:val="00361FFB"/>
    <w:rsid w:val="003B27C2"/>
    <w:rsid w:val="003B447F"/>
    <w:rsid w:val="003D7A2F"/>
    <w:rsid w:val="003F194D"/>
    <w:rsid w:val="004E4344"/>
    <w:rsid w:val="00586296"/>
    <w:rsid w:val="005C5C8E"/>
    <w:rsid w:val="005D3585"/>
    <w:rsid w:val="0062067C"/>
    <w:rsid w:val="00671C07"/>
    <w:rsid w:val="007272AB"/>
    <w:rsid w:val="0073517C"/>
    <w:rsid w:val="00813ADE"/>
    <w:rsid w:val="008360A7"/>
    <w:rsid w:val="00860812"/>
    <w:rsid w:val="008E5671"/>
    <w:rsid w:val="00986F64"/>
    <w:rsid w:val="009E6628"/>
    <w:rsid w:val="00AB27A0"/>
    <w:rsid w:val="00AD6CBA"/>
    <w:rsid w:val="00B13059"/>
    <w:rsid w:val="00B1412F"/>
    <w:rsid w:val="00B37047"/>
    <w:rsid w:val="00B83382"/>
    <w:rsid w:val="00BC18C7"/>
    <w:rsid w:val="00C026CE"/>
    <w:rsid w:val="00C705F0"/>
    <w:rsid w:val="00CB57B4"/>
    <w:rsid w:val="00CC7346"/>
    <w:rsid w:val="00D0281D"/>
    <w:rsid w:val="00DF2B1E"/>
    <w:rsid w:val="00EA7371"/>
    <w:rsid w:val="00EF1785"/>
    <w:rsid w:val="00F45D47"/>
    <w:rsid w:val="00F64CF5"/>
    <w:rsid w:val="00F82B0F"/>
    <w:rsid w:val="00FF1B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C435C"/>
  <w15:chartTrackingRefBased/>
  <w15:docId w15:val="{2F841C40-5D03-447A-91CB-04704EDC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7A0"/>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B8F"/>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FF1B8F"/>
  </w:style>
  <w:style w:type="paragraph" w:styleId="Footer">
    <w:name w:val="footer"/>
    <w:basedOn w:val="Normal"/>
    <w:link w:val="FooterChar"/>
    <w:uiPriority w:val="99"/>
    <w:unhideWhenUsed/>
    <w:rsid w:val="00FF1B8F"/>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FF1B8F"/>
  </w:style>
  <w:style w:type="paragraph" w:customStyle="1" w:styleId="a">
    <w:basedOn w:val="Normal"/>
    <w:next w:val="Subtitle"/>
    <w:qFormat/>
    <w:rsid w:val="00AB27A0"/>
    <w:pPr>
      <w:jc w:val="center"/>
    </w:pPr>
    <w:rPr>
      <w:i/>
      <w:sz w:val="28"/>
    </w:rPr>
  </w:style>
  <w:style w:type="paragraph" w:styleId="Subtitle">
    <w:name w:val="Subtitle"/>
    <w:basedOn w:val="Normal"/>
    <w:next w:val="Normal"/>
    <w:link w:val="SubtitleChar"/>
    <w:uiPriority w:val="11"/>
    <w:qFormat/>
    <w:rsid w:val="00AB27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B27A0"/>
    <w:rPr>
      <w:rFonts w:eastAsiaTheme="minorEastAsia"/>
      <w:color w:val="5A5A5A" w:themeColor="text1" w:themeTint="A5"/>
      <w:spacing w:val="15"/>
      <w:lang w:val="lt-LT"/>
    </w:rPr>
  </w:style>
  <w:style w:type="paragraph" w:styleId="ListParagraph">
    <w:name w:val="List Paragraph"/>
    <w:basedOn w:val="Normal"/>
    <w:uiPriority w:val="34"/>
    <w:qFormat/>
    <w:rsid w:val="008360A7"/>
    <w:pPr>
      <w:ind w:left="720"/>
      <w:contextualSpacing/>
    </w:pPr>
    <w:rPr>
      <w:rFonts w:ascii="Gotham Book" w:hAnsi="Gotham Book"/>
      <w:sz w:val="20"/>
      <w:szCs w:val="24"/>
      <w:lang w:eastAsia="lt-LT"/>
    </w:rPr>
  </w:style>
  <w:style w:type="character" w:styleId="CommentReference">
    <w:name w:val="annotation reference"/>
    <w:basedOn w:val="DefaultParagraphFont"/>
    <w:uiPriority w:val="99"/>
    <w:semiHidden/>
    <w:unhideWhenUsed/>
    <w:rsid w:val="008360A7"/>
    <w:rPr>
      <w:sz w:val="16"/>
      <w:szCs w:val="16"/>
    </w:rPr>
  </w:style>
  <w:style w:type="paragraph" w:styleId="CommentText">
    <w:name w:val="annotation text"/>
    <w:basedOn w:val="Normal"/>
    <w:link w:val="CommentTextChar"/>
    <w:uiPriority w:val="99"/>
    <w:unhideWhenUsed/>
    <w:rsid w:val="008360A7"/>
    <w:rPr>
      <w:rFonts w:ascii="Gotham Book" w:hAnsi="Gotham Book"/>
      <w:sz w:val="20"/>
      <w:lang w:eastAsia="lt-LT"/>
    </w:rPr>
  </w:style>
  <w:style w:type="character" w:customStyle="1" w:styleId="CommentTextChar">
    <w:name w:val="Comment Text Char"/>
    <w:basedOn w:val="DefaultParagraphFont"/>
    <w:link w:val="CommentText"/>
    <w:uiPriority w:val="99"/>
    <w:rsid w:val="008360A7"/>
    <w:rPr>
      <w:rFonts w:ascii="Gotham Book" w:eastAsia="Times New Roman" w:hAnsi="Gotham Book" w:cs="Times New Roman"/>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DA0D7-6B35-42CA-82E4-CD511D6E9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4215</Words>
  <Characters>2404</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Šiaučiūnienė</dc:creator>
  <cp:keywords/>
  <dc:description/>
  <cp:lastModifiedBy>Virginijus Vileiniškis</cp:lastModifiedBy>
  <cp:revision>11</cp:revision>
  <cp:lastPrinted>2022-12-21T11:23:00Z</cp:lastPrinted>
  <dcterms:created xsi:type="dcterms:W3CDTF">2025-08-21T12:31:00Z</dcterms:created>
  <dcterms:modified xsi:type="dcterms:W3CDTF">2025-08-25T09:38:00Z</dcterms:modified>
</cp:coreProperties>
</file>