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19" w:type="dxa"/>
        <w:tblLook w:val="04A0" w:firstRow="1" w:lastRow="0" w:firstColumn="1" w:lastColumn="0" w:noHBand="0" w:noVBand="1"/>
      </w:tblPr>
      <w:tblGrid>
        <w:gridCol w:w="1092"/>
        <w:gridCol w:w="2162"/>
        <w:gridCol w:w="8860"/>
        <w:gridCol w:w="1994"/>
        <w:gridCol w:w="11"/>
      </w:tblGrid>
      <w:tr w:rsidR="00801E01" w14:paraId="4D545BD4" w14:textId="0DDE6BD7" w:rsidTr="00897972">
        <w:tc>
          <w:tcPr>
            <w:tcW w:w="14119" w:type="dxa"/>
            <w:gridSpan w:val="5"/>
          </w:tcPr>
          <w:p w14:paraId="07FD25AD" w14:textId="07924C4F" w:rsidR="003C635E" w:rsidRDefault="003C635E" w:rsidP="003C635E">
            <w:pPr>
              <w:jc w:val="center"/>
              <w:rPr>
                <w:rFonts w:ascii="Times New Roman" w:hAnsi="Times New Roman" w:cs="Times New Roman"/>
              </w:rPr>
            </w:pPr>
            <w:r w:rsidRPr="003C635E">
              <w:rPr>
                <w:rFonts w:ascii="Times New Roman" w:hAnsi="Times New Roman" w:cs="Times New Roman"/>
                <w:b/>
                <w:bCs/>
              </w:rPr>
              <w:t>Dažniausiai pasitaikančios klaidos, neatitikimai, trūkumai</w:t>
            </w:r>
          </w:p>
          <w:p w14:paraId="5D3AEF4B" w14:textId="784A0D62" w:rsidR="00801E01" w:rsidRPr="003C635E" w:rsidRDefault="003C635E" w:rsidP="003C635E">
            <w:pPr>
              <w:jc w:val="center"/>
              <w:rPr>
                <w:rFonts w:ascii="Times New Roman" w:hAnsi="Times New Roman" w:cs="Times New Roman"/>
                <w:b/>
                <w:bCs/>
              </w:rPr>
            </w:pPr>
            <w:r>
              <w:rPr>
                <w:rFonts w:ascii="Times New Roman" w:hAnsi="Times New Roman" w:cs="Times New Roman"/>
              </w:rPr>
              <w:t>Dėl projektų, finansuojamų pagal R</w:t>
            </w:r>
            <w:r w:rsidR="00801E01" w:rsidRPr="00895AD7">
              <w:rPr>
                <w:rFonts w:ascii="Times New Roman" w:hAnsi="Times New Roman" w:cs="Times New Roman"/>
              </w:rPr>
              <w:t>egionin</w:t>
            </w:r>
            <w:r>
              <w:rPr>
                <w:rFonts w:ascii="Times New Roman" w:hAnsi="Times New Roman" w:cs="Times New Roman"/>
              </w:rPr>
              <w:t>ės</w:t>
            </w:r>
            <w:r w:rsidR="00801E01" w:rsidRPr="00895AD7">
              <w:rPr>
                <w:rFonts w:ascii="Times New Roman" w:hAnsi="Times New Roman" w:cs="Times New Roman"/>
              </w:rPr>
              <w:t xml:space="preserve"> pažangos priemon</w:t>
            </w:r>
            <w:r>
              <w:rPr>
                <w:rFonts w:ascii="Times New Roman" w:hAnsi="Times New Roman" w:cs="Times New Roman"/>
              </w:rPr>
              <w:t>ės</w:t>
            </w:r>
            <w:r w:rsidR="00801E01" w:rsidRPr="00895AD7">
              <w:rPr>
                <w:rFonts w:ascii="Times New Roman" w:hAnsi="Times New Roman" w:cs="Times New Roman"/>
              </w:rPr>
              <w:t xml:space="preserve"> Nr. 01-004-07-01-01 (RE) </w:t>
            </w:r>
            <w:r>
              <w:rPr>
                <w:rFonts w:ascii="Times New Roman" w:hAnsi="Times New Roman" w:cs="Times New Roman"/>
              </w:rPr>
              <w:t xml:space="preserve">finansavimo gaires </w:t>
            </w:r>
            <w:r w:rsidR="00E955A0" w:rsidRPr="00895AD7">
              <w:rPr>
                <w:rFonts w:ascii="Times New Roman" w:hAnsi="Times New Roman" w:cs="Times New Roman"/>
              </w:rPr>
              <w:t xml:space="preserve">(7.1 Gairės) </w:t>
            </w:r>
            <w:r w:rsidR="00801E01" w:rsidRPr="00895AD7">
              <w:rPr>
                <w:rFonts w:ascii="Times New Roman" w:hAnsi="Times New Roman" w:cs="Times New Roman"/>
              </w:rPr>
              <w:t>ir Nr. 01-004-07-02-01 (RE)</w:t>
            </w:r>
            <w:r w:rsidR="00801E01" w:rsidRPr="00895AD7">
              <w:rPr>
                <w:rFonts w:ascii="Times New Roman" w:hAnsi="Times New Roman" w:cs="Times New Roman"/>
                <w:b/>
                <w:bCs/>
              </w:rPr>
              <w:t xml:space="preserve"> </w:t>
            </w:r>
            <w:r w:rsidRPr="003C635E">
              <w:rPr>
                <w:rFonts w:ascii="Times New Roman" w:hAnsi="Times New Roman" w:cs="Times New Roman"/>
              </w:rPr>
              <w:t>finansavimo gaires</w:t>
            </w:r>
            <w:r>
              <w:rPr>
                <w:rFonts w:ascii="Times New Roman" w:hAnsi="Times New Roman" w:cs="Times New Roman"/>
                <w:b/>
                <w:bCs/>
              </w:rPr>
              <w:t xml:space="preserve"> </w:t>
            </w:r>
            <w:r w:rsidR="00E955A0" w:rsidRPr="00895AD7">
              <w:rPr>
                <w:rFonts w:ascii="Times New Roman" w:hAnsi="Times New Roman" w:cs="Times New Roman"/>
              </w:rPr>
              <w:t xml:space="preserve">(7.2 </w:t>
            </w:r>
            <w:r w:rsidR="00651287" w:rsidRPr="00895AD7">
              <w:rPr>
                <w:rFonts w:ascii="Times New Roman" w:hAnsi="Times New Roman" w:cs="Times New Roman"/>
              </w:rPr>
              <w:t>G</w:t>
            </w:r>
            <w:r w:rsidR="00E955A0" w:rsidRPr="00895AD7">
              <w:rPr>
                <w:rFonts w:ascii="Times New Roman" w:hAnsi="Times New Roman" w:cs="Times New Roman"/>
              </w:rPr>
              <w:t>airės)</w:t>
            </w:r>
            <w:r>
              <w:rPr>
                <w:rFonts w:ascii="Times New Roman" w:hAnsi="Times New Roman" w:cs="Times New Roman"/>
              </w:rPr>
              <w:t>,</w:t>
            </w:r>
            <w:r w:rsidR="00E955A0" w:rsidRPr="00895AD7">
              <w:rPr>
                <w:rFonts w:ascii="Times New Roman" w:hAnsi="Times New Roman" w:cs="Times New Roman"/>
                <w:b/>
                <w:bCs/>
              </w:rPr>
              <w:t xml:space="preserve"> </w:t>
            </w:r>
            <w:r w:rsidR="00801E01" w:rsidRPr="00895AD7">
              <w:rPr>
                <w:rFonts w:ascii="Times New Roman" w:hAnsi="Times New Roman" w:cs="Times New Roman"/>
                <w:b/>
                <w:bCs/>
              </w:rPr>
              <w:t>projektų įgyvendinimo plan</w:t>
            </w:r>
            <w:r>
              <w:rPr>
                <w:rFonts w:ascii="Times New Roman" w:hAnsi="Times New Roman" w:cs="Times New Roman"/>
                <w:b/>
                <w:bCs/>
              </w:rPr>
              <w:t xml:space="preserve">ų </w:t>
            </w:r>
            <w:r w:rsidR="00801E01" w:rsidRPr="00895AD7">
              <w:rPr>
                <w:rFonts w:ascii="Times New Roman" w:hAnsi="Times New Roman" w:cs="Times New Roman"/>
                <w:b/>
                <w:bCs/>
              </w:rPr>
              <w:t xml:space="preserve"> (PĮP)</w:t>
            </w:r>
            <w:r>
              <w:rPr>
                <w:rFonts w:ascii="Times New Roman" w:hAnsi="Times New Roman" w:cs="Times New Roman"/>
                <w:b/>
                <w:bCs/>
              </w:rPr>
              <w:t xml:space="preserve"> rengimo</w:t>
            </w:r>
          </w:p>
          <w:p w14:paraId="28DBCABC" w14:textId="37922E70" w:rsidR="00583B56" w:rsidRPr="00895AD7" w:rsidRDefault="00583B56" w:rsidP="00895AD7">
            <w:pPr>
              <w:jc w:val="both"/>
              <w:rPr>
                <w:rFonts w:ascii="Times New Roman" w:hAnsi="Times New Roman" w:cs="Times New Roman"/>
              </w:rPr>
            </w:pPr>
          </w:p>
        </w:tc>
      </w:tr>
      <w:tr w:rsidR="006A1D9B" w:rsidRPr="00895AD7" w14:paraId="432A561D" w14:textId="542438EA" w:rsidTr="006A1D9B">
        <w:trPr>
          <w:gridAfter w:val="1"/>
          <w:wAfter w:w="11" w:type="dxa"/>
        </w:trPr>
        <w:tc>
          <w:tcPr>
            <w:tcW w:w="1092" w:type="dxa"/>
          </w:tcPr>
          <w:p w14:paraId="3853C47C" w14:textId="4FA9DF94" w:rsidR="00801E01" w:rsidRPr="00895AD7" w:rsidRDefault="00801E01" w:rsidP="00552528">
            <w:pPr>
              <w:jc w:val="center"/>
              <w:rPr>
                <w:rFonts w:ascii="Times New Roman" w:hAnsi="Times New Roman" w:cs="Times New Roman"/>
                <w:b/>
                <w:bCs/>
              </w:rPr>
            </w:pPr>
            <w:r w:rsidRPr="00895AD7">
              <w:rPr>
                <w:rFonts w:ascii="Times New Roman" w:hAnsi="Times New Roman" w:cs="Times New Roman"/>
                <w:b/>
                <w:bCs/>
              </w:rPr>
              <w:t>Nr.</w:t>
            </w:r>
          </w:p>
        </w:tc>
        <w:tc>
          <w:tcPr>
            <w:tcW w:w="2162" w:type="dxa"/>
          </w:tcPr>
          <w:p w14:paraId="00A5952E" w14:textId="42F31B50" w:rsidR="00801E01" w:rsidRPr="00895AD7" w:rsidRDefault="00801E01" w:rsidP="00552528">
            <w:pPr>
              <w:jc w:val="center"/>
              <w:rPr>
                <w:rFonts w:ascii="Times New Roman" w:hAnsi="Times New Roman" w:cs="Times New Roman"/>
                <w:b/>
                <w:bCs/>
              </w:rPr>
            </w:pPr>
            <w:r w:rsidRPr="00895AD7">
              <w:rPr>
                <w:rFonts w:ascii="Times New Roman" w:hAnsi="Times New Roman" w:cs="Times New Roman"/>
                <w:b/>
                <w:bCs/>
              </w:rPr>
              <w:t>PĮP dalis</w:t>
            </w:r>
          </w:p>
        </w:tc>
        <w:tc>
          <w:tcPr>
            <w:tcW w:w="8860" w:type="dxa"/>
          </w:tcPr>
          <w:p w14:paraId="6B58A7CD" w14:textId="3D5A6489" w:rsidR="00801E01" w:rsidRPr="00895AD7" w:rsidRDefault="00801E01" w:rsidP="00552528">
            <w:pPr>
              <w:jc w:val="center"/>
              <w:rPr>
                <w:rFonts w:ascii="Times New Roman" w:hAnsi="Times New Roman" w:cs="Times New Roman"/>
                <w:b/>
                <w:bCs/>
              </w:rPr>
            </w:pPr>
            <w:r w:rsidRPr="00895AD7">
              <w:rPr>
                <w:rFonts w:ascii="Times New Roman" w:hAnsi="Times New Roman" w:cs="Times New Roman"/>
                <w:b/>
                <w:bCs/>
              </w:rPr>
              <w:t>Trūkumai</w:t>
            </w:r>
          </w:p>
        </w:tc>
        <w:tc>
          <w:tcPr>
            <w:tcW w:w="1994" w:type="dxa"/>
          </w:tcPr>
          <w:p w14:paraId="0CA85415" w14:textId="0FF72187" w:rsidR="00801E01" w:rsidRPr="00895AD7" w:rsidRDefault="00801E01" w:rsidP="00552528">
            <w:pPr>
              <w:jc w:val="center"/>
              <w:rPr>
                <w:rFonts w:ascii="Times New Roman" w:hAnsi="Times New Roman" w:cs="Times New Roman"/>
                <w:b/>
                <w:bCs/>
              </w:rPr>
            </w:pPr>
            <w:r w:rsidRPr="00895AD7">
              <w:rPr>
                <w:rFonts w:ascii="Times New Roman" w:hAnsi="Times New Roman" w:cs="Times New Roman"/>
                <w:b/>
                <w:bCs/>
              </w:rPr>
              <w:t>Pastabos</w:t>
            </w:r>
          </w:p>
        </w:tc>
      </w:tr>
      <w:tr w:rsidR="00FA30C6" w:rsidRPr="00895AD7" w14:paraId="545A435F" w14:textId="451B207A" w:rsidTr="006A1D9B">
        <w:trPr>
          <w:gridAfter w:val="1"/>
          <w:wAfter w:w="11" w:type="dxa"/>
        </w:trPr>
        <w:tc>
          <w:tcPr>
            <w:tcW w:w="1092" w:type="dxa"/>
          </w:tcPr>
          <w:p w14:paraId="4A367877" w14:textId="77777777" w:rsidR="00FA30C6" w:rsidRPr="00895AD7" w:rsidRDefault="00FA30C6" w:rsidP="00895AD7">
            <w:pPr>
              <w:pStyle w:val="ListParagraph"/>
              <w:numPr>
                <w:ilvl w:val="0"/>
                <w:numId w:val="1"/>
              </w:numPr>
              <w:jc w:val="both"/>
              <w:rPr>
                <w:rFonts w:ascii="Times New Roman" w:hAnsi="Times New Roman" w:cs="Times New Roman"/>
              </w:rPr>
            </w:pPr>
          </w:p>
        </w:tc>
        <w:tc>
          <w:tcPr>
            <w:tcW w:w="2162" w:type="dxa"/>
            <w:vMerge w:val="restart"/>
          </w:tcPr>
          <w:p w14:paraId="26B85695" w14:textId="47D011B9" w:rsidR="00FA30C6" w:rsidRPr="00895AD7" w:rsidRDefault="00FA30C6" w:rsidP="00895AD7">
            <w:pPr>
              <w:jc w:val="both"/>
              <w:rPr>
                <w:rFonts w:ascii="Times New Roman" w:hAnsi="Times New Roman" w:cs="Times New Roman"/>
              </w:rPr>
            </w:pPr>
            <w:r w:rsidRPr="00895AD7">
              <w:rPr>
                <w:rFonts w:ascii="Times New Roman" w:hAnsi="Times New Roman" w:cs="Times New Roman"/>
              </w:rPr>
              <w:t>2.1 dalis „Projektu sprendžiamos problemos“</w:t>
            </w:r>
          </w:p>
        </w:tc>
        <w:tc>
          <w:tcPr>
            <w:tcW w:w="8860" w:type="dxa"/>
          </w:tcPr>
          <w:p w14:paraId="08DE5472" w14:textId="2BBA1C1B" w:rsidR="00FA30C6" w:rsidRPr="00895AD7" w:rsidRDefault="00FA30C6" w:rsidP="00895AD7">
            <w:pPr>
              <w:jc w:val="both"/>
              <w:rPr>
                <w:rFonts w:ascii="Times New Roman" w:hAnsi="Times New Roman" w:cs="Times New Roman"/>
              </w:rPr>
            </w:pPr>
            <w:r w:rsidRPr="00895AD7">
              <w:rPr>
                <w:rFonts w:ascii="Times New Roman" w:hAnsi="Times New Roman" w:cs="Times New Roman"/>
              </w:rPr>
              <w:t>Nėra nurodyta, kurią (-as) Gairių 3 skyriaus 1 lentelėje esančią veiklą (-as) atitinka Projekto veikla, nepagrįsta, kodėl atitinka.</w:t>
            </w:r>
          </w:p>
        </w:tc>
        <w:tc>
          <w:tcPr>
            <w:tcW w:w="1994" w:type="dxa"/>
          </w:tcPr>
          <w:p w14:paraId="3CB9AFBA" w14:textId="77777777" w:rsidR="00FA30C6" w:rsidRPr="00895AD7" w:rsidRDefault="00FA30C6" w:rsidP="00895AD7">
            <w:pPr>
              <w:jc w:val="both"/>
              <w:rPr>
                <w:rFonts w:ascii="Times New Roman" w:hAnsi="Times New Roman" w:cs="Times New Roman"/>
              </w:rPr>
            </w:pPr>
          </w:p>
        </w:tc>
      </w:tr>
      <w:tr w:rsidR="00FA30C6" w:rsidRPr="00895AD7" w14:paraId="77B1F8F9" w14:textId="6DF3FC85" w:rsidTr="006A1D9B">
        <w:trPr>
          <w:gridAfter w:val="1"/>
          <w:wAfter w:w="11" w:type="dxa"/>
        </w:trPr>
        <w:tc>
          <w:tcPr>
            <w:tcW w:w="1092" w:type="dxa"/>
          </w:tcPr>
          <w:p w14:paraId="25D788ED" w14:textId="77777777" w:rsidR="00FA30C6" w:rsidRPr="00895AD7" w:rsidRDefault="00FA30C6" w:rsidP="00895AD7">
            <w:pPr>
              <w:pStyle w:val="ListParagraph"/>
              <w:numPr>
                <w:ilvl w:val="0"/>
                <w:numId w:val="1"/>
              </w:numPr>
              <w:jc w:val="both"/>
              <w:rPr>
                <w:rFonts w:ascii="Times New Roman" w:hAnsi="Times New Roman" w:cs="Times New Roman"/>
              </w:rPr>
            </w:pPr>
          </w:p>
        </w:tc>
        <w:tc>
          <w:tcPr>
            <w:tcW w:w="2162" w:type="dxa"/>
            <w:vMerge/>
          </w:tcPr>
          <w:p w14:paraId="58ACB7C6" w14:textId="77777777" w:rsidR="00FA30C6" w:rsidRPr="00895AD7" w:rsidRDefault="00FA30C6" w:rsidP="00895AD7">
            <w:pPr>
              <w:jc w:val="both"/>
              <w:rPr>
                <w:rFonts w:ascii="Times New Roman" w:hAnsi="Times New Roman" w:cs="Times New Roman"/>
              </w:rPr>
            </w:pPr>
          </w:p>
        </w:tc>
        <w:tc>
          <w:tcPr>
            <w:tcW w:w="8860" w:type="dxa"/>
          </w:tcPr>
          <w:p w14:paraId="7513124D" w14:textId="544E636E" w:rsidR="00FA30C6" w:rsidRPr="00895AD7" w:rsidRDefault="00FA30C6" w:rsidP="00895AD7">
            <w:pPr>
              <w:jc w:val="both"/>
              <w:rPr>
                <w:rFonts w:ascii="Times New Roman" w:hAnsi="Times New Roman" w:cs="Times New Roman"/>
              </w:rPr>
            </w:pPr>
            <w:r w:rsidRPr="00895AD7">
              <w:rPr>
                <w:rFonts w:ascii="Times New Roman" w:hAnsi="Times New Roman" w:cs="Times New Roman"/>
              </w:rPr>
              <w:t>Nėra nurodyta</w:t>
            </w:r>
            <w:r w:rsidR="003C635E">
              <w:rPr>
                <w:rFonts w:ascii="Times New Roman" w:hAnsi="Times New Roman" w:cs="Times New Roman"/>
              </w:rPr>
              <w:t>,</w:t>
            </w:r>
            <w:r w:rsidRPr="00895AD7">
              <w:rPr>
                <w:rFonts w:ascii="Times New Roman" w:hAnsi="Times New Roman" w:cs="Times New Roman"/>
              </w:rPr>
              <w:t xml:space="preserve"> prie kokio </w:t>
            </w:r>
            <w:r w:rsidR="003C635E">
              <w:rPr>
                <w:rFonts w:ascii="Times New Roman" w:hAnsi="Times New Roman" w:cs="Times New Roman"/>
              </w:rPr>
              <w:t>RPPl pažangos priemon</w:t>
            </w:r>
            <w:r w:rsidRPr="00895AD7">
              <w:rPr>
                <w:rFonts w:ascii="Times New Roman" w:hAnsi="Times New Roman" w:cs="Times New Roman"/>
              </w:rPr>
              <w:t>ės uždavinio prisideda  Projektas.</w:t>
            </w:r>
          </w:p>
        </w:tc>
        <w:tc>
          <w:tcPr>
            <w:tcW w:w="1994" w:type="dxa"/>
          </w:tcPr>
          <w:p w14:paraId="442B5C66" w14:textId="77777777" w:rsidR="00FA30C6" w:rsidRPr="00895AD7" w:rsidRDefault="00FA30C6" w:rsidP="00895AD7">
            <w:pPr>
              <w:jc w:val="both"/>
              <w:rPr>
                <w:rFonts w:ascii="Times New Roman" w:hAnsi="Times New Roman" w:cs="Times New Roman"/>
              </w:rPr>
            </w:pPr>
          </w:p>
        </w:tc>
      </w:tr>
      <w:tr w:rsidR="00FA30C6" w:rsidRPr="00895AD7" w14:paraId="5B29F4D8" w14:textId="1ACE0094" w:rsidTr="006A1D9B">
        <w:trPr>
          <w:gridAfter w:val="1"/>
          <w:wAfter w:w="11" w:type="dxa"/>
        </w:trPr>
        <w:tc>
          <w:tcPr>
            <w:tcW w:w="1092" w:type="dxa"/>
          </w:tcPr>
          <w:p w14:paraId="01A962F8" w14:textId="77777777" w:rsidR="00FA30C6" w:rsidRPr="00895AD7" w:rsidRDefault="00FA30C6" w:rsidP="00895AD7">
            <w:pPr>
              <w:pStyle w:val="ListParagraph"/>
              <w:numPr>
                <w:ilvl w:val="0"/>
                <w:numId w:val="1"/>
              </w:numPr>
              <w:jc w:val="both"/>
              <w:rPr>
                <w:rFonts w:ascii="Times New Roman" w:hAnsi="Times New Roman" w:cs="Times New Roman"/>
              </w:rPr>
            </w:pPr>
          </w:p>
        </w:tc>
        <w:tc>
          <w:tcPr>
            <w:tcW w:w="2162" w:type="dxa"/>
            <w:vMerge/>
          </w:tcPr>
          <w:p w14:paraId="5A4676F8" w14:textId="77777777" w:rsidR="00FA30C6" w:rsidRPr="00895AD7" w:rsidRDefault="00FA30C6" w:rsidP="00895AD7">
            <w:pPr>
              <w:jc w:val="both"/>
              <w:rPr>
                <w:rFonts w:ascii="Times New Roman" w:hAnsi="Times New Roman" w:cs="Times New Roman"/>
              </w:rPr>
            </w:pPr>
          </w:p>
        </w:tc>
        <w:tc>
          <w:tcPr>
            <w:tcW w:w="8860" w:type="dxa"/>
          </w:tcPr>
          <w:p w14:paraId="5C4EEEBF" w14:textId="7EB4B6B0" w:rsidR="00FA30C6" w:rsidRPr="00895AD7" w:rsidRDefault="00FA30C6" w:rsidP="00895AD7">
            <w:pPr>
              <w:jc w:val="both"/>
              <w:rPr>
                <w:rFonts w:ascii="Times New Roman" w:hAnsi="Times New Roman" w:cs="Times New Roman"/>
              </w:rPr>
            </w:pPr>
            <w:r w:rsidRPr="00895AD7">
              <w:rPr>
                <w:rFonts w:ascii="Times New Roman" w:hAnsi="Times New Roman" w:cs="Times New Roman"/>
              </w:rPr>
              <w:t xml:space="preserve">Atsižvelgiant į tai, kad pagal 7.2 Gaires finansuojamos veiklos, skirtos viešųjų paslaugų, kurių teikimas ar teikimo organizavimas pagal Lietuvos Respublikos vietos savivaldos įstatymą yra savivaldybės funkcija, prieinamumui ir tvariai aplinkai užtikrinti, projekto problema </w:t>
            </w:r>
            <w:r w:rsidR="00111615" w:rsidRPr="00895AD7">
              <w:rPr>
                <w:rFonts w:ascii="Times New Roman" w:hAnsi="Times New Roman" w:cs="Times New Roman"/>
              </w:rPr>
              <w:t>neatspindi</w:t>
            </w:r>
            <w:r w:rsidRPr="00895AD7">
              <w:rPr>
                <w:rFonts w:ascii="Times New Roman" w:hAnsi="Times New Roman" w:cs="Times New Roman"/>
              </w:rPr>
              <w:t>, kokių viešųjų paslaugų prieinamumas gyventojams yra netolygus ar mažas, o projekto tikslas turėtų būti nukreiptas į aktualios problemos sprendimą, o ne į konkretų veiksmą.</w:t>
            </w:r>
          </w:p>
        </w:tc>
        <w:tc>
          <w:tcPr>
            <w:tcW w:w="1994" w:type="dxa"/>
          </w:tcPr>
          <w:p w14:paraId="6BF8F625" w14:textId="4C1DBE51" w:rsidR="00FA30C6" w:rsidRPr="00895AD7" w:rsidRDefault="00FA30C6" w:rsidP="00895AD7">
            <w:pPr>
              <w:jc w:val="both"/>
              <w:rPr>
                <w:rFonts w:ascii="Times New Roman" w:hAnsi="Times New Roman" w:cs="Times New Roman"/>
              </w:rPr>
            </w:pPr>
            <w:r w:rsidRPr="00895AD7">
              <w:rPr>
                <w:rFonts w:ascii="Times New Roman" w:hAnsi="Times New Roman" w:cs="Times New Roman"/>
              </w:rPr>
              <w:t>Taikoma tik 7.2 gairėms</w:t>
            </w:r>
          </w:p>
        </w:tc>
      </w:tr>
      <w:tr w:rsidR="00FA30C6" w:rsidRPr="00895AD7" w14:paraId="52300BB9" w14:textId="084A5A42" w:rsidTr="006A1D9B">
        <w:trPr>
          <w:gridAfter w:val="1"/>
          <w:wAfter w:w="11" w:type="dxa"/>
        </w:trPr>
        <w:tc>
          <w:tcPr>
            <w:tcW w:w="1092" w:type="dxa"/>
          </w:tcPr>
          <w:p w14:paraId="73A2EC0A" w14:textId="77777777" w:rsidR="00FA30C6" w:rsidRPr="00895AD7" w:rsidRDefault="00FA30C6" w:rsidP="00895AD7">
            <w:pPr>
              <w:pStyle w:val="ListParagraph"/>
              <w:numPr>
                <w:ilvl w:val="0"/>
                <w:numId w:val="1"/>
              </w:numPr>
              <w:jc w:val="both"/>
              <w:rPr>
                <w:rFonts w:ascii="Times New Roman" w:hAnsi="Times New Roman" w:cs="Times New Roman"/>
              </w:rPr>
            </w:pPr>
          </w:p>
        </w:tc>
        <w:tc>
          <w:tcPr>
            <w:tcW w:w="2162" w:type="dxa"/>
            <w:vMerge/>
          </w:tcPr>
          <w:p w14:paraId="4C463936" w14:textId="77777777" w:rsidR="00FA30C6" w:rsidRPr="00895AD7" w:rsidRDefault="00FA30C6" w:rsidP="00895AD7">
            <w:pPr>
              <w:jc w:val="both"/>
              <w:rPr>
                <w:rFonts w:ascii="Times New Roman" w:hAnsi="Times New Roman" w:cs="Times New Roman"/>
              </w:rPr>
            </w:pPr>
          </w:p>
        </w:tc>
        <w:tc>
          <w:tcPr>
            <w:tcW w:w="8860" w:type="dxa"/>
          </w:tcPr>
          <w:p w14:paraId="3D0DB6F1" w14:textId="488BBE67" w:rsidR="00FA30C6" w:rsidRPr="00895AD7" w:rsidRDefault="00FA30C6" w:rsidP="00895AD7">
            <w:pPr>
              <w:jc w:val="both"/>
              <w:rPr>
                <w:rFonts w:ascii="Times New Roman" w:hAnsi="Times New Roman" w:cs="Times New Roman"/>
              </w:rPr>
            </w:pPr>
            <w:r w:rsidRPr="00895AD7">
              <w:rPr>
                <w:rFonts w:ascii="Times New Roman" w:hAnsi="Times New Roman" w:cs="Times New Roman"/>
              </w:rPr>
              <w:t>Nėra nurodyta</w:t>
            </w:r>
            <w:r w:rsidR="005F195F" w:rsidRPr="00895AD7">
              <w:rPr>
                <w:rFonts w:ascii="Times New Roman" w:hAnsi="Times New Roman" w:cs="Times New Roman"/>
              </w:rPr>
              <w:t>s</w:t>
            </w:r>
            <w:r w:rsidRPr="00895AD7">
              <w:rPr>
                <w:rFonts w:ascii="Times New Roman" w:hAnsi="Times New Roman" w:cs="Times New Roman"/>
              </w:rPr>
              <w:t xml:space="preserve"> </w:t>
            </w:r>
            <w:r w:rsidR="00D33832" w:rsidRPr="00895AD7">
              <w:rPr>
                <w:rFonts w:ascii="Times New Roman" w:hAnsi="Times New Roman" w:cs="Times New Roman"/>
              </w:rPr>
              <w:t>neinvesticinis veiksmas</w:t>
            </w:r>
            <w:r w:rsidRPr="00895AD7">
              <w:rPr>
                <w:rFonts w:ascii="Times New Roman" w:hAnsi="Times New Roman" w:cs="Times New Roman"/>
              </w:rPr>
              <w:t xml:space="preserve"> (nurodant numerį)</w:t>
            </w:r>
            <w:r w:rsidR="003C635E">
              <w:rPr>
                <w:rFonts w:ascii="Times New Roman" w:hAnsi="Times New Roman" w:cs="Times New Roman"/>
              </w:rPr>
              <w:t>,</w:t>
            </w:r>
            <w:r w:rsidRPr="00895AD7">
              <w:rPr>
                <w:rFonts w:ascii="Times New Roman" w:hAnsi="Times New Roman" w:cs="Times New Roman"/>
              </w:rPr>
              <w:t xml:space="preserve"> susijęs su investiciniu veiksmu</w:t>
            </w:r>
            <w:r w:rsidR="003C635E">
              <w:rPr>
                <w:rFonts w:ascii="Times New Roman" w:hAnsi="Times New Roman" w:cs="Times New Roman"/>
              </w:rPr>
              <w:t>,</w:t>
            </w:r>
            <w:r w:rsidRPr="00895AD7">
              <w:rPr>
                <w:rFonts w:ascii="Times New Roman" w:hAnsi="Times New Roman" w:cs="Times New Roman"/>
              </w:rPr>
              <w:t xml:space="preserve"> pagal kurį teikiamas PĮP, taip pat nepateikiama informacija</w:t>
            </w:r>
            <w:r w:rsidR="003C635E">
              <w:rPr>
                <w:rFonts w:ascii="Times New Roman" w:hAnsi="Times New Roman" w:cs="Times New Roman"/>
              </w:rPr>
              <w:t>,</w:t>
            </w:r>
            <w:r w:rsidRPr="00895AD7">
              <w:rPr>
                <w:rFonts w:ascii="Times New Roman" w:hAnsi="Times New Roman" w:cs="Times New Roman"/>
              </w:rPr>
              <w:t xml:space="preserve"> ar šis neinvesticinis veiksmas jau yra įgyvendintas (pvz. nurodant kada buvo pasirašyta jungtinės veiklos sutartis).</w:t>
            </w:r>
          </w:p>
        </w:tc>
        <w:tc>
          <w:tcPr>
            <w:tcW w:w="1994" w:type="dxa"/>
          </w:tcPr>
          <w:p w14:paraId="27754628" w14:textId="521B3E4F" w:rsidR="00FA30C6" w:rsidRPr="00895AD7" w:rsidRDefault="00FA30C6" w:rsidP="00895AD7">
            <w:pPr>
              <w:jc w:val="both"/>
              <w:rPr>
                <w:rFonts w:ascii="Times New Roman" w:hAnsi="Times New Roman" w:cs="Times New Roman"/>
              </w:rPr>
            </w:pPr>
            <w:r w:rsidRPr="00895AD7">
              <w:rPr>
                <w:rFonts w:ascii="Times New Roman" w:hAnsi="Times New Roman" w:cs="Times New Roman"/>
              </w:rPr>
              <w:t>Taikoma, kai įgyvendinama</w:t>
            </w:r>
            <w:r w:rsidR="00957D52" w:rsidRPr="00895AD7">
              <w:rPr>
                <w:rFonts w:ascii="Times New Roman" w:hAnsi="Times New Roman" w:cs="Times New Roman"/>
              </w:rPr>
              <w:t>s veiksmas</w:t>
            </w:r>
            <w:r w:rsidRPr="00895AD7">
              <w:rPr>
                <w:rFonts w:ascii="Times New Roman" w:hAnsi="Times New Roman" w:cs="Times New Roman"/>
              </w:rPr>
              <w:t xml:space="preserve"> pagal Funkcinės zonos strategiją</w:t>
            </w:r>
          </w:p>
        </w:tc>
      </w:tr>
      <w:tr w:rsidR="00844E70" w:rsidRPr="00895AD7" w14:paraId="65EA65BE" w14:textId="265881F2" w:rsidTr="006A1D9B">
        <w:trPr>
          <w:gridAfter w:val="1"/>
          <w:wAfter w:w="11" w:type="dxa"/>
        </w:trPr>
        <w:tc>
          <w:tcPr>
            <w:tcW w:w="1092" w:type="dxa"/>
          </w:tcPr>
          <w:p w14:paraId="086455CC" w14:textId="77777777" w:rsidR="00844E70" w:rsidRPr="00895AD7" w:rsidRDefault="00844E70" w:rsidP="00895AD7">
            <w:pPr>
              <w:pStyle w:val="ListParagraph"/>
              <w:numPr>
                <w:ilvl w:val="0"/>
                <w:numId w:val="1"/>
              </w:numPr>
              <w:jc w:val="both"/>
              <w:rPr>
                <w:rFonts w:ascii="Times New Roman" w:hAnsi="Times New Roman" w:cs="Times New Roman"/>
              </w:rPr>
            </w:pPr>
          </w:p>
        </w:tc>
        <w:tc>
          <w:tcPr>
            <w:tcW w:w="2162" w:type="dxa"/>
            <w:vMerge w:val="restart"/>
          </w:tcPr>
          <w:p w14:paraId="0C3C2F6E" w14:textId="4278F08B" w:rsidR="00844E70" w:rsidRPr="00895AD7" w:rsidRDefault="00844E70" w:rsidP="00895AD7">
            <w:pPr>
              <w:jc w:val="both"/>
              <w:rPr>
                <w:rFonts w:ascii="Times New Roman" w:hAnsi="Times New Roman" w:cs="Times New Roman"/>
              </w:rPr>
            </w:pPr>
            <w:r w:rsidRPr="00895AD7">
              <w:rPr>
                <w:rFonts w:ascii="Times New Roman" w:hAnsi="Times New Roman" w:cs="Times New Roman"/>
              </w:rPr>
              <w:t>2.5.2 dalis „Stebėsenos rodikliai“</w:t>
            </w:r>
          </w:p>
        </w:tc>
        <w:tc>
          <w:tcPr>
            <w:tcW w:w="8860" w:type="dxa"/>
          </w:tcPr>
          <w:p w14:paraId="7BF44AE6" w14:textId="3DBDE872" w:rsidR="00844E70" w:rsidRPr="00895AD7" w:rsidRDefault="00844E70" w:rsidP="00895AD7">
            <w:pPr>
              <w:jc w:val="both"/>
              <w:rPr>
                <w:rFonts w:ascii="Times New Roman" w:hAnsi="Times New Roman" w:cs="Times New Roman"/>
              </w:rPr>
            </w:pPr>
            <w:r w:rsidRPr="00895AD7">
              <w:rPr>
                <w:rFonts w:ascii="Times New Roman" w:hAnsi="Times New Roman" w:cs="Times New Roman"/>
              </w:rPr>
              <w:t>Nėra nurodyta, kokią vieną iš sąlygų, nurodytų Gairių 1 priedo stebėsenos rodiklio Nr. P. B.2.0076 „Integruoti teritorinio vystymo projektai“ aprašymo kortelės 8 p., atitinka Projektas.</w:t>
            </w:r>
          </w:p>
        </w:tc>
        <w:tc>
          <w:tcPr>
            <w:tcW w:w="1994" w:type="dxa"/>
          </w:tcPr>
          <w:p w14:paraId="2C7DEE2B" w14:textId="77777777" w:rsidR="00844E70" w:rsidRPr="00895AD7" w:rsidRDefault="00844E70" w:rsidP="00895AD7">
            <w:pPr>
              <w:jc w:val="both"/>
              <w:rPr>
                <w:rFonts w:ascii="Times New Roman" w:hAnsi="Times New Roman" w:cs="Times New Roman"/>
              </w:rPr>
            </w:pPr>
          </w:p>
        </w:tc>
      </w:tr>
      <w:tr w:rsidR="00844E70" w:rsidRPr="00895AD7" w14:paraId="1EE555DD" w14:textId="2F884762" w:rsidTr="006A1D9B">
        <w:trPr>
          <w:gridAfter w:val="1"/>
          <w:wAfter w:w="11" w:type="dxa"/>
        </w:trPr>
        <w:tc>
          <w:tcPr>
            <w:tcW w:w="1092" w:type="dxa"/>
          </w:tcPr>
          <w:p w14:paraId="364ADE53" w14:textId="77777777" w:rsidR="00844E70" w:rsidRPr="00895AD7" w:rsidRDefault="00844E70" w:rsidP="00895AD7">
            <w:pPr>
              <w:pStyle w:val="ListParagraph"/>
              <w:numPr>
                <w:ilvl w:val="0"/>
                <w:numId w:val="1"/>
              </w:numPr>
              <w:jc w:val="both"/>
              <w:rPr>
                <w:rFonts w:ascii="Times New Roman" w:hAnsi="Times New Roman" w:cs="Times New Roman"/>
              </w:rPr>
            </w:pPr>
          </w:p>
        </w:tc>
        <w:tc>
          <w:tcPr>
            <w:tcW w:w="2162" w:type="dxa"/>
            <w:vMerge/>
          </w:tcPr>
          <w:p w14:paraId="713FF9D7" w14:textId="77777777" w:rsidR="00844E70" w:rsidRPr="00895AD7" w:rsidRDefault="00844E70" w:rsidP="00895AD7">
            <w:pPr>
              <w:jc w:val="both"/>
              <w:rPr>
                <w:rFonts w:ascii="Times New Roman" w:hAnsi="Times New Roman" w:cs="Times New Roman"/>
              </w:rPr>
            </w:pPr>
          </w:p>
        </w:tc>
        <w:tc>
          <w:tcPr>
            <w:tcW w:w="8860" w:type="dxa"/>
          </w:tcPr>
          <w:p w14:paraId="1CCC67E5" w14:textId="6552BAF1" w:rsidR="00844E70" w:rsidRPr="00895AD7" w:rsidRDefault="00844E70" w:rsidP="00895AD7">
            <w:pPr>
              <w:autoSpaceDE w:val="0"/>
              <w:autoSpaceDN w:val="0"/>
              <w:adjustRightInd w:val="0"/>
              <w:spacing w:line="276" w:lineRule="auto"/>
              <w:jc w:val="both"/>
              <w:rPr>
                <w:rFonts w:ascii="Times New Roman" w:eastAsia="Times New Roman" w:hAnsi="Times New Roman" w:cs="Times New Roman"/>
                <w:lang w:eastAsia="en-GB" w:bidi="he-IL"/>
                <w14:textOutline w14:w="9525" w14:cap="rnd" w14:cmpd="sng" w14:algn="ctr">
                  <w14:noFill/>
                  <w14:prstDash w14:val="solid"/>
                  <w14:bevel/>
                </w14:textOutline>
              </w:rPr>
            </w:pPr>
            <w:r w:rsidRPr="00895AD7">
              <w:rPr>
                <w:rFonts w:ascii="Times New Roman" w:hAnsi="Times New Roman" w:cs="Times New Roman"/>
              </w:rPr>
              <w:t xml:space="preserve">Nėra detalizuota, </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kaip buvo įvertinta planuojama pasiekti rodiklio P.S.2.1039 „Sukurtos arba atkurtos atviros erdvės“ reikšmė (nenurodomi sklypų adresai, unikalūs sklypų numeriai, plotai, naudojimo paskirtis (jei suformuotas sklypas), kiti </w:t>
            </w:r>
            <w:r w:rsidR="00F52C12">
              <w:rPr>
                <w:rFonts w:ascii="Times New Roman" w:eastAsia="Times New Roman" w:hAnsi="Times New Roman" w:cs="Times New Roman"/>
                <w:lang w:eastAsia="en-GB" w:bidi="he-IL"/>
                <w14:textOutline w14:w="9525" w14:cap="rnd" w14:cmpd="sng" w14:algn="ctr">
                  <w14:noFill/>
                  <w14:prstDash w14:val="solid"/>
                  <w14:bevel/>
                </w14:textOutline>
              </w:rPr>
              <w:t xml:space="preserve">tvarkomos teritorijos plotą </w:t>
            </w:r>
            <w:r w:rsidRPr="00895AD7">
              <w:rPr>
                <w:rFonts w:ascii="Times New Roman" w:eastAsia="Times New Roman" w:hAnsi="Times New Roman" w:cs="Times New Roman"/>
                <w:lang w:eastAsia="en-GB" w:bidi="he-IL"/>
                <w14:textOutline w14:w="9525" w14:cap="rnd" w14:cmpd="sng" w14:algn="ctr">
                  <w14:noFill/>
                  <w14:prstDash w14:val="solid"/>
                  <w14:bevel/>
                </w14:textOutline>
              </w:rPr>
              <w:t>pagrindžiantys dokumentai).</w:t>
            </w:r>
          </w:p>
          <w:p w14:paraId="3E60B3FA" w14:textId="68BA79EE" w:rsidR="00844E70" w:rsidRPr="00895AD7" w:rsidRDefault="00844E70" w:rsidP="00895AD7">
            <w:pPr>
              <w:jc w:val="both"/>
              <w:rPr>
                <w:rFonts w:ascii="Times New Roman" w:hAnsi="Times New Roman" w:cs="Times New Roman"/>
              </w:rPr>
            </w:pPr>
          </w:p>
        </w:tc>
        <w:tc>
          <w:tcPr>
            <w:tcW w:w="1994" w:type="dxa"/>
          </w:tcPr>
          <w:p w14:paraId="1A273725" w14:textId="195195D7" w:rsidR="00844E70" w:rsidRPr="00895AD7" w:rsidRDefault="00844E70" w:rsidP="00895AD7">
            <w:pPr>
              <w:jc w:val="both"/>
              <w:rPr>
                <w:rFonts w:ascii="Times New Roman" w:hAnsi="Times New Roman" w:cs="Times New Roman"/>
              </w:rPr>
            </w:pPr>
            <w:r w:rsidRPr="00895AD7">
              <w:rPr>
                <w:rFonts w:ascii="Times New Roman" w:hAnsi="Times New Roman" w:cs="Times New Roman"/>
              </w:rPr>
              <w:t>Taikoma tik 7.1 gairėms</w:t>
            </w:r>
          </w:p>
        </w:tc>
      </w:tr>
      <w:tr w:rsidR="00844E70" w:rsidRPr="00895AD7" w14:paraId="7ED9A836" w14:textId="6E7EAAAC" w:rsidTr="006A1D9B">
        <w:trPr>
          <w:gridAfter w:val="1"/>
          <w:wAfter w:w="11" w:type="dxa"/>
        </w:trPr>
        <w:tc>
          <w:tcPr>
            <w:tcW w:w="1092" w:type="dxa"/>
          </w:tcPr>
          <w:p w14:paraId="2F23457A" w14:textId="77777777" w:rsidR="00844E70" w:rsidRPr="00895AD7" w:rsidRDefault="00844E70" w:rsidP="00895AD7">
            <w:pPr>
              <w:pStyle w:val="ListParagraph"/>
              <w:numPr>
                <w:ilvl w:val="0"/>
                <w:numId w:val="1"/>
              </w:numPr>
              <w:jc w:val="both"/>
              <w:rPr>
                <w:rFonts w:ascii="Times New Roman" w:hAnsi="Times New Roman" w:cs="Times New Roman"/>
              </w:rPr>
            </w:pPr>
          </w:p>
        </w:tc>
        <w:tc>
          <w:tcPr>
            <w:tcW w:w="2162" w:type="dxa"/>
            <w:vMerge/>
          </w:tcPr>
          <w:p w14:paraId="772D2CF0" w14:textId="77777777" w:rsidR="00844E70" w:rsidRPr="00895AD7" w:rsidRDefault="00844E70" w:rsidP="00895AD7">
            <w:pPr>
              <w:jc w:val="both"/>
              <w:rPr>
                <w:rFonts w:ascii="Times New Roman" w:hAnsi="Times New Roman" w:cs="Times New Roman"/>
              </w:rPr>
            </w:pPr>
          </w:p>
        </w:tc>
        <w:tc>
          <w:tcPr>
            <w:tcW w:w="8860" w:type="dxa"/>
          </w:tcPr>
          <w:p w14:paraId="1B21E84E" w14:textId="75460590" w:rsidR="00844E70" w:rsidRPr="00895AD7" w:rsidRDefault="00844E70" w:rsidP="00895AD7">
            <w:pPr>
              <w:jc w:val="both"/>
              <w:rPr>
                <w:rFonts w:ascii="Times New Roman" w:hAnsi="Times New Roman" w:cs="Times New Roman"/>
              </w:rPr>
            </w:pPr>
            <w:r w:rsidRPr="00895AD7">
              <w:rPr>
                <w:rFonts w:ascii="Times New Roman" w:hAnsi="Times New Roman" w:cs="Times New Roman"/>
              </w:rPr>
              <w:t>Nėra detalizuota</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 kaip buvo įvertinta planuojama pasiekti rodiklio R.S.2.3040 „Sukurtos arba atkurtos teritorijos, naudojamos ekonominei, rekreacinei ar turizmo paskirčiai“ reikšmė (nenurodomi sklypų adresai, unikalūs sklypų numeriai, plotai, naudojimo paskirtis (jei suformuotas sklypas), kiti </w:t>
            </w:r>
            <w:r w:rsidR="00F52C12">
              <w:rPr>
                <w:rFonts w:ascii="Times New Roman" w:eastAsia="Times New Roman" w:hAnsi="Times New Roman" w:cs="Times New Roman"/>
                <w:lang w:eastAsia="en-GB" w:bidi="he-IL"/>
                <w14:textOutline w14:w="9525" w14:cap="rnd" w14:cmpd="sng" w14:algn="ctr">
                  <w14:noFill/>
                  <w14:prstDash w14:val="solid"/>
                  <w14:bevel/>
                </w14:textOutline>
              </w:rPr>
              <w:t xml:space="preserve">tvarkomos teritorijos </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plotą pagrindžiantys dokumentai). Taip </w:t>
            </w:r>
            <w:r w:rsidRPr="00895AD7">
              <w:rPr>
                <w:rFonts w:ascii="Times New Roman" w:eastAsia="Times New Roman" w:hAnsi="Times New Roman" w:cs="Times New Roman"/>
                <w:lang w:eastAsia="en-GB" w:bidi="he-IL"/>
                <w14:textOutline w14:w="9525" w14:cap="rnd" w14:cmpd="sng" w14:algn="ctr">
                  <w14:noFill/>
                  <w14:prstDash w14:val="solid"/>
                  <w14:bevel/>
                </w14:textOutline>
              </w:rPr>
              <w:lastRenderedPageBreak/>
              <w:t xml:space="preserve">pat į rodiklio reikšmę nėra įtraukta </w:t>
            </w:r>
            <w:r w:rsidR="00F52C12">
              <w:rPr>
                <w:rFonts w:ascii="Times New Roman" w:eastAsia="Times New Roman" w:hAnsi="Times New Roman" w:cs="Times New Roman"/>
                <w:lang w:eastAsia="en-GB" w:bidi="he-IL"/>
                <w14:textOutline w14:w="9525" w14:cap="rnd" w14:cmpd="sng" w14:algn="ctr">
                  <w14:noFill/>
                  <w14:prstDash w14:val="solid"/>
                  <w14:bevel/>
                </w14:textOutline>
              </w:rPr>
              <w:t xml:space="preserve">projektu skirto lankyti </w:t>
            </w:r>
            <w:r w:rsidRPr="00895AD7">
              <w:rPr>
                <w:rFonts w:ascii="Times New Roman" w:eastAsia="AngsanaUPC" w:hAnsi="Times New Roman" w:cs="Times New Roman"/>
                <w:iCs/>
              </w:rPr>
              <w:t xml:space="preserve">turizmo </w:t>
            </w:r>
            <w:r w:rsidR="00F52C12">
              <w:rPr>
                <w:rFonts w:ascii="Times New Roman" w:eastAsia="AngsanaUPC" w:hAnsi="Times New Roman" w:cs="Times New Roman"/>
                <w:iCs/>
              </w:rPr>
              <w:t xml:space="preserve">objekto </w:t>
            </w:r>
            <w:r w:rsidRPr="00895AD7">
              <w:rPr>
                <w:rFonts w:ascii="Times New Roman" w:eastAsia="AngsanaUPC" w:hAnsi="Times New Roman" w:cs="Times New Roman"/>
                <w:iCs/>
              </w:rPr>
              <w:t xml:space="preserve">teritorija, kuri </w:t>
            </w:r>
            <w:r w:rsidRPr="00895AD7">
              <w:rPr>
                <w:rFonts w:ascii="Times New Roman" w:hAnsi="Times New Roman" w:cs="Times New Roman"/>
                <w:lang w:eastAsia="lt-LT"/>
              </w:rPr>
              <w:t>ribojasi su projekto įgyvendinimo teritorija ir (ar) kurią nuo projekto įgyvendinimo teritorijos skiria tik susisiekimo ir inžinerinių tinklų koridorių teritorijų sklypai.</w:t>
            </w:r>
          </w:p>
        </w:tc>
        <w:tc>
          <w:tcPr>
            <w:tcW w:w="1994" w:type="dxa"/>
          </w:tcPr>
          <w:p w14:paraId="0C66846B" w14:textId="73C3526B" w:rsidR="00844E70" w:rsidRPr="00895AD7" w:rsidRDefault="00844E70" w:rsidP="00895AD7">
            <w:pPr>
              <w:jc w:val="both"/>
              <w:rPr>
                <w:rFonts w:ascii="Times New Roman" w:hAnsi="Times New Roman" w:cs="Times New Roman"/>
              </w:rPr>
            </w:pPr>
            <w:r w:rsidRPr="00895AD7">
              <w:rPr>
                <w:rFonts w:ascii="Times New Roman" w:hAnsi="Times New Roman" w:cs="Times New Roman"/>
              </w:rPr>
              <w:lastRenderedPageBreak/>
              <w:t>Taikoma tik 7.1 gairėms</w:t>
            </w:r>
          </w:p>
        </w:tc>
      </w:tr>
      <w:tr w:rsidR="00844E70" w:rsidRPr="00895AD7" w14:paraId="71E6FA65" w14:textId="38965F43" w:rsidTr="006A1D9B">
        <w:trPr>
          <w:gridAfter w:val="1"/>
          <w:wAfter w:w="11" w:type="dxa"/>
        </w:trPr>
        <w:tc>
          <w:tcPr>
            <w:tcW w:w="1092" w:type="dxa"/>
          </w:tcPr>
          <w:p w14:paraId="571546C9" w14:textId="77777777" w:rsidR="00844E70" w:rsidRPr="00895AD7" w:rsidRDefault="00844E70" w:rsidP="00895AD7">
            <w:pPr>
              <w:pStyle w:val="ListParagraph"/>
              <w:numPr>
                <w:ilvl w:val="0"/>
                <w:numId w:val="1"/>
              </w:numPr>
              <w:jc w:val="both"/>
              <w:rPr>
                <w:rFonts w:ascii="Times New Roman" w:hAnsi="Times New Roman" w:cs="Times New Roman"/>
              </w:rPr>
            </w:pPr>
          </w:p>
        </w:tc>
        <w:tc>
          <w:tcPr>
            <w:tcW w:w="2162" w:type="dxa"/>
            <w:vMerge/>
          </w:tcPr>
          <w:p w14:paraId="66497565" w14:textId="77777777" w:rsidR="00844E70" w:rsidRPr="00895AD7" w:rsidRDefault="00844E70" w:rsidP="00895AD7">
            <w:pPr>
              <w:jc w:val="both"/>
              <w:rPr>
                <w:rFonts w:ascii="Times New Roman" w:hAnsi="Times New Roman" w:cs="Times New Roman"/>
              </w:rPr>
            </w:pPr>
          </w:p>
        </w:tc>
        <w:tc>
          <w:tcPr>
            <w:tcW w:w="8860" w:type="dxa"/>
          </w:tcPr>
          <w:p w14:paraId="2B297E82" w14:textId="4F540DD9" w:rsidR="00844E70" w:rsidRPr="00895AD7" w:rsidRDefault="00844E70" w:rsidP="00895AD7">
            <w:pPr>
              <w:jc w:val="both"/>
              <w:rPr>
                <w:rFonts w:ascii="Times New Roman" w:hAnsi="Times New Roman" w:cs="Times New Roman"/>
              </w:rPr>
            </w:pPr>
            <w:r w:rsidRPr="00895AD7">
              <w:rPr>
                <w:rFonts w:ascii="Times New Roman" w:eastAsia="Times New Roman" w:hAnsi="Times New Roman" w:cs="Times New Roman"/>
                <w:lang w:eastAsia="en-GB" w:bidi="he-IL"/>
                <w14:textOutline w14:w="9525" w14:cap="rnd" w14:cmpd="sng" w14:algn="ctr">
                  <w14:noFill/>
                  <w14:prstDash w14:val="solid"/>
                  <w14:bevel/>
                </w14:textOutline>
              </w:rPr>
              <w:t>Nėra detalizuota, kaip buvo įvertinta planuojama pasiekti rodiklio R.B.2.2052 „Rekultivuota žemė, naudojama žaliesiems plotams, socialiniams būstams, ekonominei arba kitai paskirčiai“ reikšmė. Gairių 1 priedo stebėsenos rodiklio R.B.2.2052 aprašymo kortelės 9 p. nurodyta, kad „Rekultivuota žemė suprantama kaip tvarkymo plane arba pažeistų žemių tvarkymo projekte nustatyta užteršta arba pažeista žemė, kuri buvo išvalyta arba atkurta siekiant pakartotinai naudoti teritoriją (pvz.: žaliesiems plotams, socialiniam būstui, ekonominei, kultūrinei, sporto ar bendruomeninei veiklai)“. Turi būti pagrįstas atitikimas šiam Gairių reikalavimui.</w:t>
            </w:r>
          </w:p>
        </w:tc>
        <w:tc>
          <w:tcPr>
            <w:tcW w:w="1994" w:type="dxa"/>
          </w:tcPr>
          <w:p w14:paraId="7BD162C1" w14:textId="038F570E" w:rsidR="00844E70" w:rsidRPr="00895AD7" w:rsidRDefault="00844E70" w:rsidP="00895AD7">
            <w:pPr>
              <w:jc w:val="both"/>
              <w:rPr>
                <w:rFonts w:ascii="Times New Roman" w:hAnsi="Times New Roman" w:cs="Times New Roman"/>
              </w:rPr>
            </w:pPr>
            <w:r w:rsidRPr="00895AD7">
              <w:rPr>
                <w:rFonts w:ascii="Times New Roman" w:hAnsi="Times New Roman" w:cs="Times New Roman"/>
              </w:rPr>
              <w:t>Taikoma tik 7.2 gairėms</w:t>
            </w:r>
          </w:p>
        </w:tc>
      </w:tr>
      <w:tr w:rsidR="00844E70" w:rsidRPr="00895AD7" w14:paraId="29F066D0" w14:textId="4A369368" w:rsidTr="006A1D9B">
        <w:trPr>
          <w:gridAfter w:val="1"/>
          <w:wAfter w:w="11" w:type="dxa"/>
        </w:trPr>
        <w:tc>
          <w:tcPr>
            <w:tcW w:w="1092" w:type="dxa"/>
          </w:tcPr>
          <w:p w14:paraId="2FBC10A3" w14:textId="77777777" w:rsidR="00844E70" w:rsidRPr="00895AD7" w:rsidRDefault="00844E70" w:rsidP="00895AD7">
            <w:pPr>
              <w:pStyle w:val="ListParagraph"/>
              <w:numPr>
                <w:ilvl w:val="0"/>
                <w:numId w:val="1"/>
              </w:numPr>
              <w:jc w:val="both"/>
              <w:rPr>
                <w:rFonts w:ascii="Times New Roman" w:hAnsi="Times New Roman" w:cs="Times New Roman"/>
              </w:rPr>
            </w:pPr>
          </w:p>
        </w:tc>
        <w:tc>
          <w:tcPr>
            <w:tcW w:w="2162" w:type="dxa"/>
            <w:vMerge/>
          </w:tcPr>
          <w:p w14:paraId="5CD706A5" w14:textId="77777777" w:rsidR="00844E70" w:rsidRPr="00895AD7" w:rsidRDefault="00844E70" w:rsidP="00895AD7">
            <w:pPr>
              <w:jc w:val="both"/>
              <w:rPr>
                <w:rFonts w:ascii="Times New Roman" w:hAnsi="Times New Roman" w:cs="Times New Roman"/>
              </w:rPr>
            </w:pPr>
          </w:p>
        </w:tc>
        <w:tc>
          <w:tcPr>
            <w:tcW w:w="8860" w:type="dxa"/>
          </w:tcPr>
          <w:p w14:paraId="4026C215" w14:textId="1A505063" w:rsidR="00844E70" w:rsidRPr="00895AD7" w:rsidRDefault="00844E70" w:rsidP="00895AD7">
            <w:pPr>
              <w:jc w:val="both"/>
              <w:rPr>
                <w:rFonts w:ascii="Times New Roman" w:hAnsi="Times New Roman" w:cs="Times New Roman"/>
              </w:rPr>
            </w:pPr>
            <w:r w:rsidRPr="00895AD7">
              <w:rPr>
                <w:rFonts w:ascii="Times New Roman" w:hAnsi="Times New Roman" w:cs="Times New Roman"/>
              </w:rPr>
              <w:t>Nėra pagrįsta siekiama stebėsenos rodiklio P.S.2.1034 „Naujų ar rekonstruotų pastatų, kurių pirminės energijos paklausa yra bent 20 % mažesnė, nei reikalauja energijos beveik nevartojantis pastatas“ reikšmė. Pažymime, kad vadovaujantis šio rodiklio aprašymo kortelės nuostatomis, energijos beveik nenaudojantys pastatai – pastatai, atitinkantys statybos techninio reglamento STR 2.01.02:2016 „Pastatų energinio naudingumo projektavimas ir sertifikavimas“, patvirtinto Lietuvos Respublikos aplinkos ministro 2016 m. lapkričio 11 d. įsakymu Nr. D1-754, reikalavimus A++ energinio naudingumo klasės pastatams. Turi būti pagrįsta, kaip bus užtikrintas reikalavimas, kad rekonstruoto pastato pirminės energijos paklausa būtų bent 20 % mažesnė nei to reikalaujama A++ energinio naudingumo klasės pastatams. Turi būti pateiktas pastato energinio naudingumo sertifikatas (jei buvo rengtas kaip techninio projekto sudedamoji dalis).</w:t>
            </w:r>
          </w:p>
        </w:tc>
        <w:tc>
          <w:tcPr>
            <w:tcW w:w="1994" w:type="dxa"/>
          </w:tcPr>
          <w:p w14:paraId="2AC1D460" w14:textId="463A11E6" w:rsidR="00844E70" w:rsidRPr="00895AD7" w:rsidRDefault="00844E70" w:rsidP="00895AD7">
            <w:pPr>
              <w:jc w:val="both"/>
              <w:rPr>
                <w:rFonts w:ascii="Times New Roman" w:hAnsi="Times New Roman" w:cs="Times New Roman"/>
              </w:rPr>
            </w:pPr>
            <w:r w:rsidRPr="00895AD7">
              <w:rPr>
                <w:rFonts w:ascii="Times New Roman" w:hAnsi="Times New Roman" w:cs="Times New Roman"/>
              </w:rPr>
              <w:t>Taikoma tik 7.2 gairėms</w:t>
            </w:r>
          </w:p>
        </w:tc>
      </w:tr>
      <w:tr w:rsidR="006A1D9B" w:rsidRPr="00895AD7" w14:paraId="70CDE59C" w14:textId="11BE3EA0" w:rsidTr="006A1D9B">
        <w:trPr>
          <w:gridAfter w:val="1"/>
          <w:wAfter w:w="11" w:type="dxa"/>
        </w:trPr>
        <w:tc>
          <w:tcPr>
            <w:tcW w:w="1092" w:type="dxa"/>
          </w:tcPr>
          <w:p w14:paraId="66604D06"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val="restart"/>
          </w:tcPr>
          <w:p w14:paraId="1777D69E" w14:textId="4EF78064" w:rsidR="006A1D9B" w:rsidRPr="00895AD7" w:rsidRDefault="006A1D9B" w:rsidP="00895AD7">
            <w:pPr>
              <w:jc w:val="both"/>
              <w:rPr>
                <w:rFonts w:ascii="Times New Roman" w:hAnsi="Times New Roman" w:cs="Times New Roman"/>
              </w:rPr>
            </w:pPr>
            <w:r w:rsidRPr="00895AD7">
              <w:rPr>
                <w:rFonts w:ascii="Times New Roman" w:hAnsi="Times New Roman" w:cs="Times New Roman"/>
              </w:rPr>
              <w:t>3.1 dalis „Projekto veiklos“</w:t>
            </w:r>
          </w:p>
        </w:tc>
        <w:tc>
          <w:tcPr>
            <w:tcW w:w="8860" w:type="dxa"/>
          </w:tcPr>
          <w:p w14:paraId="6B713367" w14:textId="485299E9" w:rsidR="006A1D9B" w:rsidRPr="00895AD7" w:rsidRDefault="00E20E13" w:rsidP="00895AD7">
            <w:pPr>
              <w:jc w:val="both"/>
              <w:rPr>
                <w:rFonts w:ascii="Times New Roman" w:hAnsi="Times New Roman" w:cs="Times New Roman"/>
              </w:rPr>
            </w:pPr>
            <w:r>
              <w:rPr>
                <w:rFonts w:ascii="Times New Roman" w:hAnsi="Times New Roman" w:cs="Times New Roman"/>
              </w:rPr>
              <w:t xml:space="preserve">Kai </w:t>
            </w:r>
            <w:r w:rsidR="006A1D9B" w:rsidRPr="00895AD7">
              <w:rPr>
                <w:rFonts w:ascii="Times New Roman" w:hAnsi="Times New Roman" w:cs="Times New Roman"/>
              </w:rPr>
              <w:t xml:space="preserve">Projekto veiklos yra pradėtos iki Projekto sutarties pasirašymo, PĮP 3 skyriaus 1.1 – 1.3 p. „Poreikio pagrindimas“ aprašymuose </w:t>
            </w:r>
            <w:r>
              <w:rPr>
                <w:rFonts w:ascii="Times New Roman" w:hAnsi="Times New Roman" w:cs="Times New Roman"/>
              </w:rPr>
              <w:t xml:space="preserve">nėra </w:t>
            </w:r>
            <w:r w:rsidR="006A1D9B" w:rsidRPr="00895AD7">
              <w:rPr>
                <w:rFonts w:ascii="Times New Roman" w:hAnsi="Times New Roman" w:cs="Times New Roman"/>
              </w:rPr>
              <w:t xml:space="preserve">nurodyti pirkimo sutarčių </w:t>
            </w:r>
            <w:r w:rsidR="00F52C12">
              <w:rPr>
                <w:rFonts w:ascii="Times New Roman" w:hAnsi="Times New Roman" w:cs="Times New Roman"/>
              </w:rPr>
              <w:t xml:space="preserve">ar pradėtų pirkimų </w:t>
            </w:r>
            <w:r w:rsidR="006A1D9B" w:rsidRPr="00895AD7">
              <w:rPr>
                <w:rFonts w:ascii="Times New Roman" w:hAnsi="Times New Roman" w:cs="Times New Roman"/>
              </w:rPr>
              <w:t>duomen</w:t>
            </w:r>
            <w:r>
              <w:rPr>
                <w:rFonts w:ascii="Times New Roman" w:hAnsi="Times New Roman" w:cs="Times New Roman"/>
              </w:rPr>
              <w:t>y</w:t>
            </w:r>
            <w:r w:rsidR="006A1D9B" w:rsidRPr="00895AD7">
              <w:rPr>
                <w:rFonts w:ascii="Times New Roman" w:hAnsi="Times New Roman" w:cs="Times New Roman"/>
              </w:rPr>
              <w:t>s.</w:t>
            </w:r>
          </w:p>
        </w:tc>
        <w:tc>
          <w:tcPr>
            <w:tcW w:w="1994" w:type="dxa"/>
          </w:tcPr>
          <w:p w14:paraId="4A754270" w14:textId="77777777" w:rsidR="006A1D9B" w:rsidRPr="00895AD7" w:rsidRDefault="006A1D9B" w:rsidP="00895AD7">
            <w:pPr>
              <w:jc w:val="both"/>
              <w:rPr>
                <w:rFonts w:ascii="Times New Roman" w:hAnsi="Times New Roman" w:cs="Times New Roman"/>
              </w:rPr>
            </w:pPr>
          </w:p>
        </w:tc>
      </w:tr>
      <w:tr w:rsidR="006A1D9B" w:rsidRPr="00895AD7" w14:paraId="1BE0D2B9" w14:textId="2599ADD1" w:rsidTr="006A1D9B">
        <w:trPr>
          <w:gridAfter w:val="1"/>
          <w:wAfter w:w="11" w:type="dxa"/>
        </w:trPr>
        <w:tc>
          <w:tcPr>
            <w:tcW w:w="1092" w:type="dxa"/>
          </w:tcPr>
          <w:p w14:paraId="72C8BBC1"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19D7E1E9" w14:textId="77777777" w:rsidR="006A1D9B" w:rsidRPr="00895AD7" w:rsidRDefault="006A1D9B" w:rsidP="00895AD7">
            <w:pPr>
              <w:jc w:val="both"/>
              <w:rPr>
                <w:rFonts w:ascii="Times New Roman" w:hAnsi="Times New Roman" w:cs="Times New Roman"/>
              </w:rPr>
            </w:pPr>
          </w:p>
        </w:tc>
        <w:tc>
          <w:tcPr>
            <w:tcW w:w="8860" w:type="dxa"/>
          </w:tcPr>
          <w:p w14:paraId="0A0278CC" w14:textId="6427D650" w:rsidR="006A1D9B" w:rsidRPr="00895AD7" w:rsidRDefault="006A1D9B" w:rsidP="00895AD7">
            <w:pPr>
              <w:jc w:val="both"/>
              <w:rPr>
                <w:rFonts w:ascii="Times New Roman" w:hAnsi="Times New Roman" w:cs="Times New Roman"/>
              </w:rPr>
            </w:pPr>
            <w:r w:rsidRPr="00895AD7">
              <w:rPr>
                <w:rFonts w:ascii="Times New Roman" w:hAnsi="Times New Roman" w:cs="Times New Roman"/>
              </w:rPr>
              <w:t>Į PĮP biudžetą įtraukiama faktinė IP parengimo suma</w:t>
            </w:r>
            <w:r w:rsidR="00912449">
              <w:rPr>
                <w:rFonts w:ascii="Times New Roman" w:hAnsi="Times New Roman" w:cs="Times New Roman"/>
              </w:rPr>
              <w:t>, nors</w:t>
            </w:r>
            <w:r w:rsidRPr="00895AD7">
              <w:rPr>
                <w:rFonts w:ascii="Times New Roman" w:hAnsi="Times New Roman" w:cs="Times New Roman"/>
              </w:rPr>
              <w:t xml:space="preserve"> Gairių 8 punkto lentelėje</w:t>
            </w:r>
            <w:r w:rsidR="00400138">
              <w:rPr>
                <w:rFonts w:ascii="Times New Roman" w:hAnsi="Times New Roman" w:cs="Times New Roman"/>
              </w:rPr>
              <w:t xml:space="preserve"> yra</w:t>
            </w:r>
            <w:r w:rsidRPr="00895AD7">
              <w:rPr>
                <w:rFonts w:ascii="Times New Roman" w:hAnsi="Times New Roman" w:cs="Times New Roman"/>
              </w:rPr>
              <w:t xml:space="preserve"> numatytas fiksuotasis vieneto įkainis FĮ-53-04 „Fiksuotasis vieneto įkainis visiems kitiems projektams, nesusijusiems su informacinių ir ryšių technologijų infrastruktūros ir (ar) informacinių sistemų ir (ar) registrų kūrimu ir (ar) modernizavimu ir (ar) plėtra (toliau – IVS), su PVM“, kuris privalomas taikyti IP parengimo išlaidoms padengti. Supaprastintai apmokamų išlaidų dydžių skaitinės reikšmės nurodytos 2021–2027 m. ES fondų lėšomis </w:t>
            </w:r>
            <w:r w:rsidRPr="00895AD7">
              <w:rPr>
                <w:rFonts w:ascii="Times New Roman" w:hAnsi="Times New Roman" w:cs="Times New Roman"/>
              </w:rPr>
              <w:lastRenderedPageBreak/>
              <w:t>supaprastintai apmokamų išlaidų dydžių registre, kuris skelbiamas interneto svetainėje https://www.esf.lt/projects/metodines-pagalbos-centras/fiksuotuju-dydziu-registras/.</w:t>
            </w:r>
          </w:p>
        </w:tc>
        <w:tc>
          <w:tcPr>
            <w:tcW w:w="1994" w:type="dxa"/>
          </w:tcPr>
          <w:p w14:paraId="13ADE440" w14:textId="77777777" w:rsidR="006A1D9B" w:rsidRPr="00895AD7" w:rsidRDefault="006A1D9B" w:rsidP="00895AD7">
            <w:pPr>
              <w:jc w:val="both"/>
              <w:rPr>
                <w:rFonts w:ascii="Times New Roman" w:hAnsi="Times New Roman" w:cs="Times New Roman"/>
              </w:rPr>
            </w:pPr>
          </w:p>
        </w:tc>
      </w:tr>
      <w:tr w:rsidR="006A1D9B" w:rsidRPr="00895AD7" w14:paraId="2A01E3AA" w14:textId="32787B6E" w:rsidTr="006A1D9B">
        <w:trPr>
          <w:gridAfter w:val="1"/>
          <w:wAfter w:w="11" w:type="dxa"/>
        </w:trPr>
        <w:tc>
          <w:tcPr>
            <w:tcW w:w="1092" w:type="dxa"/>
          </w:tcPr>
          <w:p w14:paraId="45D871C3"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1B911D82" w14:textId="77777777" w:rsidR="006A1D9B" w:rsidRPr="00895AD7" w:rsidRDefault="006A1D9B" w:rsidP="00895AD7">
            <w:pPr>
              <w:jc w:val="both"/>
              <w:rPr>
                <w:rFonts w:ascii="Times New Roman" w:hAnsi="Times New Roman" w:cs="Times New Roman"/>
              </w:rPr>
            </w:pPr>
          </w:p>
        </w:tc>
        <w:tc>
          <w:tcPr>
            <w:tcW w:w="8860" w:type="dxa"/>
          </w:tcPr>
          <w:p w14:paraId="629018CF" w14:textId="75B51794" w:rsidR="006A1D9B" w:rsidRPr="00895AD7" w:rsidRDefault="006A1D9B" w:rsidP="00895AD7">
            <w:pPr>
              <w:jc w:val="both"/>
              <w:rPr>
                <w:rFonts w:ascii="Times New Roman" w:hAnsi="Times New Roman" w:cs="Times New Roman"/>
              </w:rPr>
            </w:pPr>
            <w:r w:rsidRPr="00895AD7">
              <w:rPr>
                <w:rFonts w:ascii="Times New Roman" w:hAnsi="Times New Roman" w:cs="Times New Roman"/>
              </w:rPr>
              <w:t>Nėra nurodyta</w:t>
            </w:r>
            <w:r w:rsidR="00F52C12">
              <w:rPr>
                <w:rFonts w:ascii="Times New Roman" w:hAnsi="Times New Roman" w:cs="Times New Roman"/>
              </w:rPr>
              <w:t>,</w:t>
            </w:r>
            <w:r w:rsidRPr="00895AD7">
              <w:rPr>
                <w:rFonts w:ascii="Times New Roman" w:hAnsi="Times New Roman" w:cs="Times New Roman"/>
              </w:rPr>
              <w:t xml:space="preserve"> kokias PVM apmokestinamas ir PVM neapmokestinamas veiklas planuojama vykdyti Projekto metu sukurtoje ar atnaujintoje infrastruktūroje, nurodant ir PVM įstatymo straipsnius. </w:t>
            </w:r>
          </w:p>
          <w:p w14:paraId="4D14A918" w14:textId="620D1470"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Jeigu su projekto metu sukurtais rezultatais bus vykdoma mišri veikla, tuomet turi būti nurodoma, ar nėra galimybės patikimai nustatyti, kokia dalimi projekto metu Pareiškėjo patirtos pirkimo (importo) PVM išlaidos galėtų būti priskirtos PVM apmokestinamai ir kokia PVM neapmokestinamai veiklai, ir tokiu atveju konkrečiai nurodyti PVM neapmokestinamai veiklai tenkančią neatskaitomo PVM dalį. </w:t>
            </w:r>
          </w:p>
          <w:p w14:paraId="2CA7ED23" w14:textId="77777777" w:rsidR="006A1D9B" w:rsidRPr="00895AD7" w:rsidRDefault="006A1D9B" w:rsidP="00895AD7">
            <w:pPr>
              <w:jc w:val="both"/>
              <w:rPr>
                <w:rFonts w:ascii="Times New Roman" w:hAnsi="Times New Roman" w:cs="Times New Roman"/>
              </w:rPr>
            </w:pPr>
            <w:r w:rsidRPr="00895AD7">
              <w:rPr>
                <w:rFonts w:ascii="Times New Roman" w:hAnsi="Times New Roman" w:cs="Times New Roman"/>
              </w:rPr>
              <w:t>Primename, kad tinkamas finansuoti PVM yra tik ta dalimi, kurią tiesiogiai galima priskirti PVM neapmokestinamai veiklai ir kurios nėra galimybės traukti į atskaitą.</w:t>
            </w:r>
          </w:p>
          <w:p w14:paraId="41413560" w14:textId="4EB649EE"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Atkreipiame dėmesį, kad jei dalis veiklų, kurios bus vykdomos Projekto metu sukurtoje ar atnaujintoje infrastruktūroje, bus PVM apmokestinama, dalis – PVM neapmokestinama ar bus mišrus PVM, projekto įgyvendinimo plane išlaidas infrastruktūrai reikėtų skaidyti į atskiras poveikles. Išskiriant atskiras poveikles, turi būti detalizuojama, kuriose patalpose bus vykdomos veiklos, nurodyti tų patalpų plotai (kv. m): </w:t>
            </w:r>
          </w:p>
          <w:p w14:paraId="7DA97FA9" w14:textId="198EA955"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-jeigu veiklos skirtos tik PVM neapmokestinamai veiklai, toks infrastruktūros sukūrimo ar atnaujinimo PVM būtų tinkamas finansuoti ES lėšomis. Šiuo atveju poveiklėje PVM finansavimo požymis būtų „Prašoma finansuoti PVM“, taip pat būtina įrašyti PVM įstatymo straipsnį, kuriame nurodyta PVM neapmokestinama veikla, </w:t>
            </w:r>
          </w:p>
          <w:p w14:paraId="6A9363CA" w14:textId="77777777" w:rsidR="006A1D9B" w:rsidRPr="00895AD7" w:rsidRDefault="006A1D9B" w:rsidP="00895AD7">
            <w:pPr>
              <w:jc w:val="both"/>
              <w:rPr>
                <w:rFonts w:ascii="Times New Roman" w:hAnsi="Times New Roman" w:cs="Times New Roman"/>
              </w:rPr>
            </w:pPr>
            <w:r w:rsidRPr="00895AD7">
              <w:rPr>
                <w:rFonts w:ascii="Times New Roman" w:hAnsi="Times New Roman" w:cs="Times New Roman"/>
              </w:rPr>
              <w:t>-</w:t>
            </w:r>
            <w:r w:rsidRPr="00895AD7">
              <w:rPr>
                <w:rFonts w:ascii="Times New Roman" w:hAnsi="Times New Roman" w:cs="Times New Roman"/>
              </w:rPr>
              <w:tab/>
              <w:t xml:space="preserve">jeigu veiklos skirtos tik PVM apmokestinamai veiklai (pvz., valgyklos nuoma), toks infrastruktūros sukūrimo ar atnaujinimo PVM būtų netinkamas finansuoti ES lėšomis. Šiuo atveju poveiklėje PVM finansavimo požymis būtų „Neprašoma finansuoti PVM“, taip pat būtina įrašyti PVM įstatymo straipsnį, kuriame nurodyta PVM apmokestinama veikla, </w:t>
            </w:r>
          </w:p>
          <w:p w14:paraId="33681DB7" w14:textId="77777777" w:rsidR="006A1D9B" w:rsidRPr="00895AD7" w:rsidRDefault="006A1D9B" w:rsidP="00895AD7">
            <w:pPr>
              <w:jc w:val="both"/>
              <w:rPr>
                <w:rFonts w:ascii="Times New Roman" w:hAnsi="Times New Roman" w:cs="Times New Roman"/>
              </w:rPr>
            </w:pPr>
            <w:r w:rsidRPr="00895AD7">
              <w:rPr>
                <w:rFonts w:ascii="Times New Roman" w:hAnsi="Times New Roman" w:cs="Times New Roman"/>
              </w:rPr>
              <w:t>-</w:t>
            </w:r>
            <w:r w:rsidRPr="00895AD7">
              <w:rPr>
                <w:rFonts w:ascii="Times New Roman" w:hAnsi="Times New Roman" w:cs="Times New Roman"/>
              </w:rPr>
              <w:tab/>
              <w:t xml:space="preserve">jeigu veiklos skirtos mišriai veiklai (pvz., sporto salė būtų naudojama ir švietimui, ir nuomai) ir negalima tiesiogiai atskirti, kiek yra PVM apmokestinamos, kiek PVM neapmokestinamos veiklos, tuomet PVM pripažįstamas netinkamu finansuoti ir pareiškėjas gali prašyti tokio mišraus netinkamo PVM apmokėjimo Valstybės biudžeto lėšomis, skirtomis netinkamam PVM padengti. Šiuo atveju poveiklėje PVM finansavimo požymis būtų „Mišrusis PVM“, jei lėšos mišriam PVM yra numatytos RPPle ir toks PVM </w:t>
            </w:r>
            <w:r w:rsidRPr="00895AD7">
              <w:rPr>
                <w:rFonts w:ascii="Times New Roman" w:hAnsi="Times New Roman" w:cs="Times New Roman"/>
              </w:rPr>
              <w:lastRenderedPageBreak/>
              <w:t>būtų finansuojamas VB lėšomis, taip pat būtina įrašyti PVM įstatymo straipsnį, kuriame nurodyta PVM apmokestinama ir neapmokestinama veikla.</w:t>
            </w:r>
          </w:p>
          <w:p w14:paraId="2925CBA3" w14:textId="3C48CD72" w:rsidR="006A1D9B" w:rsidRPr="00895AD7" w:rsidRDefault="006A1D9B" w:rsidP="00895AD7">
            <w:pPr>
              <w:jc w:val="both"/>
              <w:rPr>
                <w:rFonts w:ascii="Times New Roman" w:hAnsi="Times New Roman" w:cs="Times New Roman"/>
              </w:rPr>
            </w:pPr>
            <w:r w:rsidRPr="00895AD7">
              <w:rPr>
                <w:rFonts w:ascii="Times New Roman" w:hAnsi="Times New Roman" w:cs="Times New Roman"/>
              </w:rPr>
              <w:t>Svarbu: Taip pat turi būti įvertintas ir projekto metu perkamo turto (baldai, įranga ir t. t.) PVM.</w:t>
            </w:r>
          </w:p>
        </w:tc>
        <w:tc>
          <w:tcPr>
            <w:tcW w:w="1994" w:type="dxa"/>
          </w:tcPr>
          <w:p w14:paraId="5323F092" w14:textId="48EC5264" w:rsidR="006A1D9B" w:rsidRPr="00895AD7" w:rsidRDefault="006A1D9B" w:rsidP="00895AD7">
            <w:pPr>
              <w:jc w:val="both"/>
              <w:rPr>
                <w:rFonts w:ascii="Times New Roman" w:hAnsi="Times New Roman" w:cs="Times New Roman"/>
              </w:rPr>
            </w:pPr>
            <w:r w:rsidRPr="00895AD7">
              <w:rPr>
                <w:rFonts w:ascii="Times New Roman" w:hAnsi="Times New Roman" w:cs="Times New Roman"/>
              </w:rPr>
              <w:lastRenderedPageBreak/>
              <w:t>Taikoma projektams, kurių vertė lygi arba viršija 5 mln. Eur.</w:t>
            </w:r>
          </w:p>
        </w:tc>
      </w:tr>
      <w:tr w:rsidR="006A1D9B" w:rsidRPr="00895AD7" w14:paraId="2306F359" w14:textId="77777777" w:rsidTr="006A1D9B">
        <w:trPr>
          <w:gridAfter w:val="1"/>
          <w:wAfter w:w="11" w:type="dxa"/>
        </w:trPr>
        <w:tc>
          <w:tcPr>
            <w:tcW w:w="1092" w:type="dxa"/>
          </w:tcPr>
          <w:p w14:paraId="596FB2F2"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2D30DCCF" w14:textId="77777777" w:rsidR="006A1D9B" w:rsidRPr="00895AD7" w:rsidRDefault="006A1D9B" w:rsidP="00895AD7">
            <w:pPr>
              <w:jc w:val="both"/>
              <w:rPr>
                <w:rFonts w:ascii="Times New Roman" w:hAnsi="Times New Roman" w:cs="Times New Roman"/>
              </w:rPr>
            </w:pPr>
          </w:p>
        </w:tc>
        <w:tc>
          <w:tcPr>
            <w:tcW w:w="8860" w:type="dxa"/>
          </w:tcPr>
          <w:p w14:paraId="4693C472" w14:textId="184CFE5A" w:rsidR="006A1D9B" w:rsidRPr="00895AD7" w:rsidRDefault="006A1D9B" w:rsidP="00CE1EAE">
            <w:pPr>
              <w:jc w:val="both"/>
              <w:rPr>
                <w:rFonts w:ascii="Times New Roman" w:hAnsi="Times New Roman" w:cs="Times New Roman"/>
              </w:rPr>
            </w:pPr>
            <w:r w:rsidRPr="00895AD7">
              <w:rPr>
                <w:rFonts w:ascii="Times New Roman" w:hAnsi="Times New Roman" w:cs="Times New Roman"/>
              </w:rPr>
              <w:t>Nėra pagrįstas statinio statybos techninės priežiūros paslaugų poreikis atsižvelgiant į LR Statybos įstatymo 35 str. 1 d. nuostatas.</w:t>
            </w:r>
            <w:r w:rsidR="00CE1EAE">
              <w:rPr>
                <w:rFonts w:ascii="Times New Roman" w:hAnsi="Times New Roman" w:cs="Times New Roman"/>
              </w:rPr>
              <w:t xml:space="preserve"> </w:t>
            </w:r>
            <w:r w:rsidRPr="00895AD7">
              <w:rPr>
                <w:rFonts w:ascii="Times New Roman" w:hAnsi="Times New Roman" w:cs="Times New Roman"/>
              </w:rPr>
              <w:t>Tuo atveju, jeigu atsižvelgiant į projekte tvarkomo statinio pobūdį techninė priežiūra nėra privaloma, minėtų paslaugų išlaidos turi būti eliminuotos iš Projekto biudžeto.</w:t>
            </w:r>
          </w:p>
        </w:tc>
        <w:tc>
          <w:tcPr>
            <w:tcW w:w="1994" w:type="dxa"/>
          </w:tcPr>
          <w:p w14:paraId="2DE41BB0" w14:textId="77777777" w:rsidR="006A1D9B" w:rsidRPr="00895AD7" w:rsidRDefault="006A1D9B" w:rsidP="00895AD7">
            <w:pPr>
              <w:jc w:val="both"/>
              <w:rPr>
                <w:rFonts w:ascii="Times New Roman" w:hAnsi="Times New Roman" w:cs="Times New Roman"/>
              </w:rPr>
            </w:pPr>
          </w:p>
        </w:tc>
      </w:tr>
      <w:tr w:rsidR="006A1D9B" w:rsidRPr="00895AD7" w14:paraId="2B08159F" w14:textId="77777777" w:rsidTr="006A1D9B">
        <w:trPr>
          <w:gridAfter w:val="1"/>
          <w:wAfter w:w="11" w:type="dxa"/>
        </w:trPr>
        <w:tc>
          <w:tcPr>
            <w:tcW w:w="1092" w:type="dxa"/>
          </w:tcPr>
          <w:p w14:paraId="115479FF"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70D8E780" w14:textId="77777777" w:rsidR="006A1D9B" w:rsidRPr="00895AD7" w:rsidRDefault="006A1D9B" w:rsidP="00895AD7">
            <w:pPr>
              <w:jc w:val="both"/>
              <w:rPr>
                <w:rFonts w:ascii="Times New Roman" w:hAnsi="Times New Roman" w:cs="Times New Roman"/>
              </w:rPr>
            </w:pPr>
          </w:p>
        </w:tc>
        <w:tc>
          <w:tcPr>
            <w:tcW w:w="8860" w:type="dxa"/>
          </w:tcPr>
          <w:p w14:paraId="4C361EB9" w14:textId="30C1DD21" w:rsidR="006A1D9B" w:rsidRPr="00895AD7" w:rsidRDefault="006A1D9B" w:rsidP="00CE1EAE">
            <w:pPr>
              <w:jc w:val="both"/>
              <w:rPr>
                <w:rFonts w:ascii="Times New Roman" w:hAnsi="Times New Roman" w:cs="Times New Roman"/>
              </w:rPr>
            </w:pPr>
            <w:r w:rsidRPr="00895AD7">
              <w:rPr>
                <w:rFonts w:ascii="Times New Roman" w:hAnsi="Times New Roman" w:cs="Times New Roman"/>
              </w:rPr>
              <w:t>Nėra pagrįstas statinio projekto vykdymo priežiūros paslaugų poreikis atsižvelgiant į LR Statybos įstatymo 36 str. 1 d. nuostatas.</w:t>
            </w:r>
            <w:r w:rsidR="00CE1EAE">
              <w:rPr>
                <w:rFonts w:ascii="Times New Roman" w:hAnsi="Times New Roman" w:cs="Times New Roman"/>
              </w:rPr>
              <w:t xml:space="preserve"> </w:t>
            </w:r>
            <w:r w:rsidRPr="00895AD7">
              <w:rPr>
                <w:rFonts w:ascii="Times New Roman" w:hAnsi="Times New Roman" w:cs="Times New Roman"/>
              </w:rPr>
              <w:t>Tuo atveju, jeigu atsižvelgiant į projekte tvarkomo statinio pobūdį techninė priežiūra nėra privaloma, minėtų paslaugų išlaidos turi būti eliminuotos iš Projekto biudžeto.</w:t>
            </w:r>
          </w:p>
        </w:tc>
        <w:tc>
          <w:tcPr>
            <w:tcW w:w="1994" w:type="dxa"/>
          </w:tcPr>
          <w:p w14:paraId="5345778C" w14:textId="77777777" w:rsidR="006A1D9B" w:rsidRPr="00895AD7" w:rsidRDefault="006A1D9B" w:rsidP="00895AD7">
            <w:pPr>
              <w:jc w:val="both"/>
              <w:rPr>
                <w:rFonts w:ascii="Times New Roman" w:hAnsi="Times New Roman" w:cs="Times New Roman"/>
              </w:rPr>
            </w:pPr>
          </w:p>
        </w:tc>
      </w:tr>
      <w:tr w:rsidR="006A1D9B" w:rsidRPr="00895AD7" w14:paraId="592560A2" w14:textId="77777777" w:rsidTr="006A1D9B">
        <w:trPr>
          <w:gridAfter w:val="1"/>
          <w:wAfter w:w="11" w:type="dxa"/>
        </w:trPr>
        <w:tc>
          <w:tcPr>
            <w:tcW w:w="1092" w:type="dxa"/>
          </w:tcPr>
          <w:p w14:paraId="15929755"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33C44CEE" w14:textId="77777777" w:rsidR="006A1D9B" w:rsidRPr="00895AD7" w:rsidRDefault="006A1D9B" w:rsidP="00895AD7">
            <w:pPr>
              <w:jc w:val="both"/>
              <w:rPr>
                <w:rFonts w:ascii="Times New Roman" w:hAnsi="Times New Roman" w:cs="Times New Roman"/>
              </w:rPr>
            </w:pPr>
          </w:p>
        </w:tc>
        <w:tc>
          <w:tcPr>
            <w:tcW w:w="8860" w:type="dxa"/>
          </w:tcPr>
          <w:p w14:paraId="0CC81105" w14:textId="454246E9" w:rsidR="006A1D9B" w:rsidRPr="00895AD7" w:rsidRDefault="006A1D9B" w:rsidP="00895AD7">
            <w:pPr>
              <w:jc w:val="both"/>
              <w:rPr>
                <w:rFonts w:ascii="Times New Roman" w:hAnsi="Times New Roman" w:cs="Times New Roman"/>
              </w:rPr>
            </w:pPr>
            <w:r w:rsidRPr="00895AD7">
              <w:rPr>
                <w:rFonts w:ascii="Times New Roman" w:hAnsi="Times New Roman" w:cs="Times New Roman"/>
              </w:rPr>
              <w:t>Nepateikta projektavimo užduotis ir sklypo brėžinys, kuriame būtų apibrėžtos aiškios darbų ribos ir nurodyta, kas bus konkrečiai daroma, t. y. iš pateikto brėžinio turi būti aišku</w:t>
            </w:r>
            <w:r w:rsidR="00CE1EAE">
              <w:rPr>
                <w:rFonts w:ascii="Times New Roman" w:hAnsi="Times New Roman" w:cs="Times New Roman"/>
              </w:rPr>
              <w:t>,</w:t>
            </w:r>
            <w:r w:rsidRPr="00895AD7">
              <w:rPr>
                <w:rFonts w:ascii="Times New Roman" w:hAnsi="Times New Roman" w:cs="Times New Roman"/>
              </w:rPr>
              <w:t xml:space="preserve"> kur bus įrengiamas</w:t>
            </w:r>
            <w:r w:rsidR="00CE1EAE">
              <w:rPr>
                <w:rFonts w:ascii="Times New Roman" w:hAnsi="Times New Roman" w:cs="Times New Roman"/>
              </w:rPr>
              <w:t>,</w:t>
            </w:r>
            <w:r w:rsidRPr="00895AD7">
              <w:rPr>
                <w:rFonts w:ascii="Times New Roman" w:hAnsi="Times New Roman" w:cs="Times New Roman"/>
              </w:rPr>
              <w:t xml:space="preserve"> pvz.</w:t>
            </w:r>
            <w:r w:rsidR="00CE1EAE">
              <w:rPr>
                <w:rFonts w:ascii="Times New Roman" w:hAnsi="Times New Roman" w:cs="Times New Roman"/>
              </w:rPr>
              <w:t>,</w:t>
            </w:r>
            <w:r w:rsidRPr="00895AD7">
              <w:rPr>
                <w:rFonts w:ascii="Times New Roman" w:hAnsi="Times New Roman" w:cs="Times New Roman"/>
              </w:rPr>
              <w:t xml:space="preserve"> privažiuojamasis kelias, automobilių stovėjimo aikštelė, mažoji architektūra ir kiti darbai.</w:t>
            </w:r>
          </w:p>
        </w:tc>
        <w:tc>
          <w:tcPr>
            <w:tcW w:w="1994" w:type="dxa"/>
          </w:tcPr>
          <w:p w14:paraId="72419606" w14:textId="2D1BB3B4" w:rsidR="006A1D9B" w:rsidRPr="00895AD7" w:rsidRDefault="006A1D9B" w:rsidP="00895AD7">
            <w:pPr>
              <w:jc w:val="both"/>
              <w:rPr>
                <w:rFonts w:ascii="Times New Roman" w:hAnsi="Times New Roman" w:cs="Times New Roman"/>
              </w:rPr>
            </w:pPr>
            <w:r w:rsidRPr="00895AD7">
              <w:rPr>
                <w:rFonts w:ascii="Times New Roman" w:hAnsi="Times New Roman" w:cs="Times New Roman"/>
              </w:rPr>
              <w:t>Kai nėra parengtas techninis projektas</w:t>
            </w:r>
          </w:p>
        </w:tc>
      </w:tr>
      <w:tr w:rsidR="006A1D9B" w:rsidRPr="00895AD7" w14:paraId="304FF130" w14:textId="77777777" w:rsidTr="006A1D9B">
        <w:trPr>
          <w:gridAfter w:val="1"/>
          <w:wAfter w:w="11" w:type="dxa"/>
        </w:trPr>
        <w:tc>
          <w:tcPr>
            <w:tcW w:w="1092" w:type="dxa"/>
          </w:tcPr>
          <w:p w14:paraId="2C35323F"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0FD56E0F" w14:textId="77777777" w:rsidR="006A1D9B" w:rsidRPr="00895AD7" w:rsidRDefault="006A1D9B" w:rsidP="00895AD7">
            <w:pPr>
              <w:jc w:val="both"/>
              <w:rPr>
                <w:rFonts w:ascii="Times New Roman" w:hAnsi="Times New Roman" w:cs="Times New Roman"/>
              </w:rPr>
            </w:pPr>
          </w:p>
        </w:tc>
        <w:tc>
          <w:tcPr>
            <w:tcW w:w="8860" w:type="dxa"/>
          </w:tcPr>
          <w:p w14:paraId="09EC00C1" w14:textId="2C52A501" w:rsidR="006A1D9B" w:rsidRPr="00895AD7" w:rsidRDefault="006A1D9B" w:rsidP="00895AD7">
            <w:pPr>
              <w:jc w:val="both"/>
              <w:rPr>
                <w:rFonts w:ascii="Times New Roman" w:hAnsi="Times New Roman" w:cs="Times New Roman"/>
              </w:rPr>
            </w:pPr>
            <w:r w:rsidRPr="00895AD7">
              <w:rPr>
                <w:rFonts w:ascii="Times New Roman" w:hAnsi="Times New Roman" w:cs="Times New Roman"/>
              </w:rPr>
              <w:t>Mažosios architektūros elementų ir įrenginių (pvz. šviestuvas su saulės baterija, išmanioji paslaugų stotelė, lauko stalų su suolais komplektas, suolas) kainoms pagrįsti yra pateikiama lokalinė sąmata, kurioje yra nurodytos šių įrenginių vertės, tačiau toks išlaidų pagrindimas nėra pakankamas, kadangi šių įrenginių įkainių nėra Sisteloje, dėl to nėra galimybės įsitikinti jų pagrįstumu. Šioms išlaidoms pagrįsti turi būti pateikti komerciniai pasiūlymai arba nuorod</w:t>
            </w:r>
            <w:r w:rsidR="00837DCE">
              <w:rPr>
                <w:rFonts w:ascii="Times New Roman" w:hAnsi="Times New Roman" w:cs="Times New Roman"/>
              </w:rPr>
              <w:t>o</w:t>
            </w:r>
            <w:r w:rsidRPr="00895AD7">
              <w:rPr>
                <w:rFonts w:ascii="Times New Roman" w:hAnsi="Times New Roman" w:cs="Times New Roman"/>
              </w:rPr>
              <w:t>s iš viešai prieinamos informacijos internete.</w:t>
            </w:r>
          </w:p>
        </w:tc>
        <w:tc>
          <w:tcPr>
            <w:tcW w:w="1994" w:type="dxa"/>
          </w:tcPr>
          <w:p w14:paraId="3DE5B4A5" w14:textId="77777777" w:rsidR="006A1D9B" w:rsidRPr="00895AD7" w:rsidRDefault="006A1D9B" w:rsidP="00895AD7">
            <w:pPr>
              <w:jc w:val="both"/>
              <w:rPr>
                <w:rFonts w:ascii="Times New Roman" w:hAnsi="Times New Roman" w:cs="Times New Roman"/>
              </w:rPr>
            </w:pPr>
          </w:p>
        </w:tc>
      </w:tr>
      <w:tr w:rsidR="006A1D9B" w:rsidRPr="00895AD7" w14:paraId="14E1C8CD" w14:textId="301BE4DC" w:rsidTr="006A1D9B">
        <w:trPr>
          <w:gridAfter w:val="1"/>
          <w:wAfter w:w="11" w:type="dxa"/>
        </w:trPr>
        <w:tc>
          <w:tcPr>
            <w:tcW w:w="1092" w:type="dxa"/>
          </w:tcPr>
          <w:p w14:paraId="47A2A3DE" w14:textId="77777777" w:rsidR="00801E01" w:rsidRPr="00895AD7" w:rsidRDefault="00801E01" w:rsidP="00895AD7">
            <w:pPr>
              <w:pStyle w:val="ListParagraph"/>
              <w:numPr>
                <w:ilvl w:val="0"/>
                <w:numId w:val="1"/>
              </w:numPr>
              <w:jc w:val="both"/>
              <w:rPr>
                <w:rFonts w:ascii="Times New Roman" w:hAnsi="Times New Roman" w:cs="Times New Roman"/>
              </w:rPr>
            </w:pPr>
          </w:p>
        </w:tc>
        <w:tc>
          <w:tcPr>
            <w:tcW w:w="2162" w:type="dxa"/>
          </w:tcPr>
          <w:p w14:paraId="457555A3" w14:textId="05AEAB0C" w:rsidR="00801E01" w:rsidRPr="00895AD7" w:rsidRDefault="0056510C" w:rsidP="00895AD7">
            <w:pPr>
              <w:jc w:val="both"/>
              <w:rPr>
                <w:rFonts w:ascii="Times New Roman" w:hAnsi="Times New Roman" w:cs="Times New Roman"/>
              </w:rPr>
            </w:pPr>
            <w:r w:rsidRPr="00895AD7">
              <w:rPr>
                <w:rFonts w:ascii="Times New Roman" w:hAnsi="Times New Roman" w:cs="Times New Roman"/>
              </w:rPr>
              <w:t>3.1.1 dalis „Nefinansuojamos projekto išlaidos“</w:t>
            </w:r>
          </w:p>
        </w:tc>
        <w:tc>
          <w:tcPr>
            <w:tcW w:w="8860" w:type="dxa"/>
          </w:tcPr>
          <w:p w14:paraId="41632DD3" w14:textId="02A7C193" w:rsidR="00801E01" w:rsidRPr="00895AD7" w:rsidRDefault="00C727D9" w:rsidP="00895AD7">
            <w:pPr>
              <w:jc w:val="both"/>
              <w:rPr>
                <w:rFonts w:ascii="Times New Roman" w:hAnsi="Times New Roman" w:cs="Times New Roman"/>
              </w:rPr>
            </w:pPr>
            <w:r w:rsidRPr="00895AD7">
              <w:rPr>
                <w:rFonts w:ascii="Times New Roman" w:hAnsi="Times New Roman" w:cs="Times New Roman"/>
              </w:rPr>
              <w:t>Nėra</w:t>
            </w:r>
            <w:r w:rsidR="00C70E4F" w:rsidRPr="00895AD7">
              <w:rPr>
                <w:rFonts w:ascii="Times New Roman" w:hAnsi="Times New Roman" w:cs="Times New Roman"/>
              </w:rPr>
              <w:t xml:space="preserve"> įvertinta visa Projekto apimtis</w:t>
            </w:r>
            <w:r w:rsidRPr="00895AD7">
              <w:rPr>
                <w:rFonts w:ascii="Times New Roman" w:hAnsi="Times New Roman" w:cs="Times New Roman"/>
              </w:rPr>
              <w:t xml:space="preserve"> ir </w:t>
            </w:r>
            <w:r w:rsidR="00C20559" w:rsidRPr="00895AD7">
              <w:rPr>
                <w:rFonts w:ascii="Times New Roman" w:hAnsi="Times New Roman" w:cs="Times New Roman"/>
              </w:rPr>
              <w:t xml:space="preserve">į PĮP 3.1.1 dalį „Nefinansuojamos projekto išlaidos“ </w:t>
            </w:r>
            <w:r w:rsidR="004A3118" w:rsidRPr="00895AD7">
              <w:rPr>
                <w:rFonts w:ascii="Times New Roman" w:hAnsi="Times New Roman" w:cs="Times New Roman"/>
              </w:rPr>
              <w:t xml:space="preserve">neįtrauktos netinkamos finansuoti, bet būtinos Projekto veikloms užbaigti </w:t>
            </w:r>
            <w:r w:rsidR="00E22A22" w:rsidRPr="00895AD7">
              <w:rPr>
                <w:rFonts w:ascii="Times New Roman" w:hAnsi="Times New Roman" w:cs="Times New Roman"/>
              </w:rPr>
              <w:t>išlaidos</w:t>
            </w:r>
            <w:r w:rsidR="00663354" w:rsidRPr="00895AD7">
              <w:rPr>
                <w:rFonts w:ascii="Times New Roman" w:hAnsi="Times New Roman" w:cs="Times New Roman"/>
              </w:rPr>
              <w:t>, taip pat</w:t>
            </w:r>
            <w:r w:rsidR="009B027D" w:rsidRPr="00895AD7">
              <w:rPr>
                <w:rFonts w:ascii="Times New Roman" w:hAnsi="Times New Roman" w:cs="Times New Roman"/>
              </w:rPr>
              <w:t xml:space="preserve"> nenurodyta</w:t>
            </w:r>
            <w:r w:rsidR="00511CEE">
              <w:rPr>
                <w:rFonts w:ascii="Times New Roman" w:hAnsi="Times New Roman" w:cs="Times New Roman"/>
              </w:rPr>
              <w:t>,</w:t>
            </w:r>
            <w:r w:rsidR="009B027D" w:rsidRPr="00895AD7">
              <w:rPr>
                <w:rFonts w:ascii="Times New Roman" w:hAnsi="Times New Roman" w:cs="Times New Roman"/>
              </w:rPr>
              <w:t xml:space="preserve"> </w:t>
            </w:r>
            <w:r w:rsidRPr="00895AD7">
              <w:rPr>
                <w:rFonts w:ascii="Times New Roman" w:hAnsi="Times New Roman" w:cs="Times New Roman"/>
              </w:rPr>
              <w:t xml:space="preserve">kokiomis lėšomis jos bus finansuojamos. </w:t>
            </w:r>
          </w:p>
        </w:tc>
        <w:tc>
          <w:tcPr>
            <w:tcW w:w="1994" w:type="dxa"/>
          </w:tcPr>
          <w:p w14:paraId="39278F95" w14:textId="77777777" w:rsidR="00801E01" w:rsidRPr="00895AD7" w:rsidRDefault="00801E01" w:rsidP="00895AD7">
            <w:pPr>
              <w:jc w:val="both"/>
              <w:rPr>
                <w:rFonts w:ascii="Times New Roman" w:hAnsi="Times New Roman" w:cs="Times New Roman"/>
              </w:rPr>
            </w:pPr>
          </w:p>
        </w:tc>
      </w:tr>
      <w:tr w:rsidR="006A1D9B" w:rsidRPr="00895AD7" w14:paraId="3B509E62" w14:textId="60F01463" w:rsidTr="006A1D9B">
        <w:trPr>
          <w:gridAfter w:val="1"/>
          <w:wAfter w:w="11" w:type="dxa"/>
        </w:trPr>
        <w:tc>
          <w:tcPr>
            <w:tcW w:w="1092" w:type="dxa"/>
          </w:tcPr>
          <w:p w14:paraId="02ACCEC3" w14:textId="77777777" w:rsidR="00801E01" w:rsidRPr="00895AD7" w:rsidRDefault="00801E01" w:rsidP="00895AD7">
            <w:pPr>
              <w:pStyle w:val="ListParagraph"/>
              <w:numPr>
                <w:ilvl w:val="0"/>
                <w:numId w:val="1"/>
              </w:numPr>
              <w:jc w:val="both"/>
              <w:rPr>
                <w:rFonts w:ascii="Times New Roman" w:hAnsi="Times New Roman" w:cs="Times New Roman"/>
              </w:rPr>
            </w:pPr>
          </w:p>
        </w:tc>
        <w:tc>
          <w:tcPr>
            <w:tcW w:w="2162" w:type="dxa"/>
          </w:tcPr>
          <w:p w14:paraId="3A84C7DC" w14:textId="021B8D1A" w:rsidR="00801E01" w:rsidRPr="00895AD7" w:rsidRDefault="00663354" w:rsidP="00895AD7">
            <w:pPr>
              <w:jc w:val="both"/>
              <w:rPr>
                <w:rFonts w:ascii="Times New Roman" w:hAnsi="Times New Roman" w:cs="Times New Roman"/>
              </w:rPr>
            </w:pPr>
            <w:r w:rsidRPr="00895AD7">
              <w:rPr>
                <w:rFonts w:ascii="Times New Roman" w:hAnsi="Times New Roman" w:cs="Times New Roman"/>
              </w:rPr>
              <w:t>3.7 dalis „Matomumas ir informavimas“</w:t>
            </w:r>
          </w:p>
        </w:tc>
        <w:tc>
          <w:tcPr>
            <w:tcW w:w="8860" w:type="dxa"/>
          </w:tcPr>
          <w:p w14:paraId="12F42588" w14:textId="2964BE7B" w:rsidR="00801E01" w:rsidRPr="00895AD7" w:rsidRDefault="004476C4" w:rsidP="00895AD7">
            <w:pPr>
              <w:jc w:val="both"/>
              <w:rPr>
                <w:rFonts w:ascii="Times New Roman" w:hAnsi="Times New Roman" w:cs="Times New Roman"/>
              </w:rPr>
            </w:pPr>
            <w:r w:rsidRPr="00895AD7">
              <w:rPr>
                <w:rFonts w:ascii="Times New Roman" w:hAnsi="Times New Roman" w:cs="Times New Roman"/>
              </w:rPr>
              <w:t>Nėra pažymėta varnele Projekto matomumo ir informavimo apie projektą priemonė Nr. 9, nors tai privalomas reikalavimas visiems projektams. Taip pat atkreipiame dėmesį, kad Projekto partneriai taip pat turi viešinti Projektą savo tinklapiuose (jei turi) ir socialiniuose tinkluose.</w:t>
            </w:r>
          </w:p>
        </w:tc>
        <w:tc>
          <w:tcPr>
            <w:tcW w:w="1994" w:type="dxa"/>
          </w:tcPr>
          <w:p w14:paraId="754B12AC" w14:textId="77777777" w:rsidR="00801E01" w:rsidRPr="00895AD7" w:rsidRDefault="00801E01" w:rsidP="00895AD7">
            <w:pPr>
              <w:jc w:val="both"/>
              <w:rPr>
                <w:rFonts w:ascii="Times New Roman" w:hAnsi="Times New Roman" w:cs="Times New Roman"/>
              </w:rPr>
            </w:pPr>
          </w:p>
        </w:tc>
      </w:tr>
      <w:tr w:rsidR="006A1D9B" w:rsidRPr="00895AD7" w14:paraId="28A56F72" w14:textId="18BDC1E8" w:rsidTr="006A1D9B">
        <w:trPr>
          <w:gridAfter w:val="1"/>
          <w:wAfter w:w="11" w:type="dxa"/>
        </w:trPr>
        <w:tc>
          <w:tcPr>
            <w:tcW w:w="1092" w:type="dxa"/>
          </w:tcPr>
          <w:p w14:paraId="2BC2270A" w14:textId="77777777" w:rsidR="00801E01" w:rsidRPr="00895AD7" w:rsidRDefault="00801E01" w:rsidP="00895AD7">
            <w:pPr>
              <w:pStyle w:val="ListParagraph"/>
              <w:numPr>
                <w:ilvl w:val="0"/>
                <w:numId w:val="1"/>
              </w:numPr>
              <w:jc w:val="both"/>
              <w:rPr>
                <w:rFonts w:ascii="Times New Roman" w:hAnsi="Times New Roman" w:cs="Times New Roman"/>
              </w:rPr>
            </w:pPr>
          </w:p>
        </w:tc>
        <w:tc>
          <w:tcPr>
            <w:tcW w:w="2162" w:type="dxa"/>
          </w:tcPr>
          <w:p w14:paraId="526068AC" w14:textId="3F6E446F" w:rsidR="00801E01" w:rsidRPr="00895AD7" w:rsidRDefault="00D91690" w:rsidP="00895AD7">
            <w:pPr>
              <w:jc w:val="both"/>
              <w:rPr>
                <w:rFonts w:ascii="Times New Roman" w:hAnsi="Times New Roman" w:cs="Times New Roman"/>
              </w:rPr>
            </w:pPr>
            <w:r w:rsidRPr="00895AD7">
              <w:rPr>
                <w:rFonts w:ascii="Times New Roman" w:hAnsi="Times New Roman" w:cs="Times New Roman"/>
              </w:rPr>
              <w:t>3.8 dalis „Horizontalieji principai“</w:t>
            </w:r>
          </w:p>
        </w:tc>
        <w:tc>
          <w:tcPr>
            <w:tcW w:w="8860" w:type="dxa"/>
          </w:tcPr>
          <w:p w14:paraId="579C779C" w14:textId="705D09DA" w:rsidR="00801E01" w:rsidRPr="00895AD7" w:rsidRDefault="00C91524" w:rsidP="00895AD7">
            <w:pPr>
              <w:jc w:val="both"/>
              <w:rPr>
                <w:rFonts w:ascii="Times New Roman" w:hAnsi="Times New Roman" w:cs="Times New Roman"/>
              </w:rPr>
            </w:pPr>
            <w:r w:rsidRPr="00895AD7">
              <w:rPr>
                <w:rFonts w:ascii="Times New Roman" w:hAnsi="Times New Roman" w:cs="Times New Roman"/>
              </w:rPr>
              <w:t>Nėra nurodyta</w:t>
            </w:r>
            <w:r w:rsidR="00D91690" w:rsidRPr="00895AD7">
              <w:rPr>
                <w:rFonts w:ascii="Times New Roman" w:hAnsi="Times New Roman" w:cs="Times New Roman"/>
              </w:rPr>
              <w:t xml:space="preserve">, prie kurio konkretaus darnaus vystymosi tikslo (-ų) aplinkosaugos, socialinėje, ekonomikos ir (ar) teritorijų vystymo srityje prisideda Projektas. Taip pat </w:t>
            </w:r>
            <w:r w:rsidRPr="00895AD7">
              <w:rPr>
                <w:rFonts w:ascii="Times New Roman" w:hAnsi="Times New Roman" w:cs="Times New Roman"/>
              </w:rPr>
              <w:t>nėra detalizuota</w:t>
            </w:r>
            <w:r w:rsidR="00D91690" w:rsidRPr="00895AD7">
              <w:rPr>
                <w:rFonts w:ascii="Times New Roman" w:hAnsi="Times New Roman" w:cs="Times New Roman"/>
              </w:rPr>
              <w:t>, kokius universalaus dizaino principus planuoja</w:t>
            </w:r>
            <w:r w:rsidRPr="00895AD7">
              <w:rPr>
                <w:rFonts w:ascii="Times New Roman" w:hAnsi="Times New Roman" w:cs="Times New Roman"/>
              </w:rPr>
              <w:t>ma</w:t>
            </w:r>
            <w:r w:rsidR="00D91690" w:rsidRPr="00895AD7">
              <w:rPr>
                <w:rFonts w:ascii="Times New Roman" w:hAnsi="Times New Roman" w:cs="Times New Roman"/>
              </w:rPr>
              <w:t xml:space="preserve"> taikyti Projekte (skiltis </w:t>
            </w:r>
            <w:r w:rsidR="00D91690" w:rsidRPr="00895AD7">
              <w:rPr>
                <w:rFonts w:ascii="Times New Roman" w:hAnsi="Times New Roman" w:cs="Times New Roman"/>
              </w:rPr>
              <w:lastRenderedPageBreak/>
              <w:t xml:space="preserve">„Lygios galimybės ir nediskriminavimas“), t.y., ar bus vadovaujamasi STR „Statinių prieinamumas“, jei taip, nurodykite, kur jis bus taikomas (pvz. pastatui, automobilių stovėjimo aikštelei). Jei bus taikomos kitos   universalaus dizaino priemonės nei yra numatyta STR „Statinių prieinamumas“, </w:t>
            </w:r>
            <w:r w:rsidR="00F43C93" w:rsidRPr="00895AD7">
              <w:rPr>
                <w:rFonts w:ascii="Times New Roman" w:hAnsi="Times New Roman" w:cs="Times New Roman"/>
              </w:rPr>
              <w:t>turi būti nurodyta</w:t>
            </w:r>
            <w:r w:rsidR="00D91690" w:rsidRPr="00895AD7">
              <w:rPr>
                <w:rFonts w:ascii="Times New Roman" w:hAnsi="Times New Roman" w:cs="Times New Roman"/>
              </w:rPr>
              <w:t>, kur ir kokios priemonės bus taikomos.</w:t>
            </w:r>
          </w:p>
        </w:tc>
        <w:tc>
          <w:tcPr>
            <w:tcW w:w="1994" w:type="dxa"/>
          </w:tcPr>
          <w:p w14:paraId="42C4ABAF" w14:textId="77777777" w:rsidR="00801E01" w:rsidRPr="00895AD7" w:rsidRDefault="00801E01" w:rsidP="00895AD7">
            <w:pPr>
              <w:jc w:val="both"/>
              <w:rPr>
                <w:rFonts w:ascii="Times New Roman" w:hAnsi="Times New Roman" w:cs="Times New Roman"/>
              </w:rPr>
            </w:pPr>
          </w:p>
        </w:tc>
      </w:tr>
      <w:tr w:rsidR="00511CEE" w:rsidRPr="00895AD7" w14:paraId="7C20BB27" w14:textId="5D59916F" w:rsidTr="006A1D9B">
        <w:trPr>
          <w:gridAfter w:val="1"/>
          <w:wAfter w:w="11" w:type="dxa"/>
        </w:trPr>
        <w:tc>
          <w:tcPr>
            <w:tcW w:w="1092" w:type="dxa"/>
          </w:tcPr>
          <w:p w14:paraId="46111CC8" w14:textId="77777777" w:rsidR="00511CEE" w:rsidRPr="00895AD7" w:rsidRDefault="00511CEE" w:rsidP="00895AD7">
            <w:pPr>
              <w:pStyle w:val="ListParagraph"/>
              <w:numPr>
                <w:ilvl w:val="0"/>
                <w:numId w:val="1"/>
              </w:numPr>
              <w:jc w:val="both"/>
              <w:rPr>
                <w:rFonts w:ascii="Times New Roman" w:hAnsi="Times New Roman" w:cs="Times New Roman"/>
              </w:rPr>
            </w:pPr>
          </w:p>
        </w:tc>
        <w:tc>
          <w:tcPr>
            <w:tcW w:w="2162" w:type="dxa"/>
            <w:vMerge w:val="restart"/>
          </w:tcPr>
          <w:p w14:paraId="4203FF36" w14:textId="77777777" w:rsidR="00511CEE" w:rsidRPr="00895AD7" w:rsidRDefault="00511CEE" w:rsidP="00895AD7">
            <w:pPr>
              <w:jc w:val="both"/>
              <w:rPr>
                <w:rFonts w:ascii="Times New Roman" w:hAnsi="Times New Roman" w:cs="Times New Roman"/>
              </w:rPr>
            </w:pPr>
          </w:p>
          <w:p w14:paraId="1564EF82" w14:textId="77777777" w:rsidR="00511CEE" w:rsidRPr="00895AD7" w:rsidRDefault="00511CEE" w:rsidP="00895AD7">
            <w:pPr>
              <w:jc w:val="both"/>
              <w:rPr>
                <w:rFonts w:ascii="Times New Roman" w:hAnsi="Times New Roman" w:cs="Times New Roman"/>
              </w:rPr>
            </w:pPr>
          </w:p>
          <w:p w14:paraId="60928EB7" w14:textId="77777777" w:rsidR="00511CEE" w:rsidRPr="00895AD7" w:rsidRDefault="00511CEE" w:rsidP="00895AD7">
            <w:pPr>
              <w:jc w:val="both"/>
              <w:rPr>
                <w:rFonts w:ascii="Times New Roman" w:hAnsi="Times New Roman" w:cs="Times New Roman"/>
              </w:rPr>
            </w:pPr>
          </w:p>
          <w:p w14:paraId="6AA44BDB" w14:textId="77777777" w:rsidR="00511CEE" w:rsidRPr="00895AD7" w:rsidRDefault="00511CEE" w:rsidP="00895AD7">
            <w:pPr>
              <w:jc w:val="both"/>
              <w:rPr>
                <w:rFonts w:ascii="Times New Roman" w:hAnsi="Times New Roman" w:cs="Times New Roman"/>
              </w:rPr>
            </w:pPr>
          </w:p>
          <w:p w14:paraId="4121F24F" w14:textId="77777777" w:rsidR="00511CEE" w:rsidRPr="00895AD7" w:rsidRDefault="00511CEE" w:rsidP="00895AD7">
            <w:pPr>
              <w:jc w:val="both"/>
              <w:rPr>
                <w:rFonts w:ascii="Times New Roman" w:hAnsi="Times New Roman" w:cs="Times New Roman"/>
              </w:rPr>
            </w:pPr>
          </w:p>
          <w:p w14:paraId="198A0863" w14:textId="4E599119" w:rsidR="00511CEE" w:rsidRPr="00895AD7" w:rsidRDefault="00511CEE" w:rsidP="00895AD7">
            <w:pPr>
              <w:jc w:val="both"/>
              <w:rPr>
                <w:rFonts w:ascii="Times New Roman" w:hAnsi="Times New Roman" w:cs="Times New Roman"/>
              </w:rPr>
            </w:pPr>
            <w:r w:rsidRPr="00895AD7">
              <w:rPr>
                <w:rFonts w:ascii="Times New Roman" w:hAnsi="Times New Roman" w:cs="Times New Roman"/>
              </w:rPr>
              <w:t>4.1 dalis „Projekto rezultatų tęstinumo planas“</w:t>
            </w:r>
          </w:p>
        </w:tc>
        <w:tc>
          <w:tcPr>
            <w:tcW w:w="8860" w:type="dxa"/>
          </w:tcPr>
          <w:p w14:paraId="5F708EBC" w14:textId="0D2B47C5" w:rsidR="00511CEE" w:rsidRPr="00895AD7" w:rsidRDefault="00511CEE" w:rsidP="00895AD7">
            <w:pPr>
              <w:jc w:val="both"/>
              <w:rPr>
                <w:rFonts w:ascii="Times New Roman" w:hAnsi="Times New Roman" w:cs="Times New Roman"/>
              </w:rPr>
            </w:pPr>
            <w:r w:rsidRPr="00895AD7">
              <w:rPr>
                <w:rFonts w:ascii="Times New Roman" w:hAnsi="Times New Roman" w:cs="Times New Roman"/>
              </w:rPr>
              <w:t>Skiriasi pateikiama informacija apie finansavimo šaltinius, pvz. aprašomojoje dalyje teigiama, kad savivaldybės administracija savo biudžete skirs lėšų sukurtos / rekonstruotos infrastruktūros tinkamos būklės užtikrinimui, tačiau šio skyriaus lentelės skiltyje “Kitas finansavimo šaltinis”  nurodyta, kad finansavimo šaltinis yra  savivaldybės biudžeto lėšos. Informacija aprašomojoje dalyje ir lentelėje turi sutapti.</w:t>
            </w:r>
          </w:p>
        </w:tc>
        <w:tc>
          <w:tcPr>
            <w:tcW w:w="1994" w:type="dxa"/>
          </w:tcPr>
          <w:p w14:paraId="502D3E24" w14:textId="77777777" w:rsidR="00511CEE" w:rsidRPr="00895AD7" w:rsidRDefault="00511CEE" w:rsidP="00895AD7">
            <w:pPr>
              <w:jc w:val="both"/>
              <w:rPr>
                <w:rFonts w:ascii="Times New Roman" w:hAnsi="Times New Roman" w:cs="Times New Roman"/>
              </w:rPr>
            </w:pPr>
          </w:p>
        </w:tc>
      </w:tr>
      <w:tr w:rsidR="00511CEE" w:rsidRPr="00895AD7" w14:paraId="50B7A4C9" w14:textId="304D9245" w:rsidTr="006A1D9B">
        <w:trPr>
          <w:gridAfter w:val="1"/>
          <w:wAfter w:w="11" w:type="dxa"/>
        </w:trPr>
        <w:tc>
          <w:tcPr>
            <w:tcW w:w="1092" w:type="dxa"/>
          </w:tcPr>
          <w:p w14:paraId="73AC86F6" w14:textId="77777777" w:rsidR="00511CEE" w:rsidRPr="00895AD7" w:rsidRDefault="00511CEE" w:rsidP="00895AD7">
            <w:pPr>
              <w:pStyle w:val="ListParagraph"/>
              <w:numPr>
                <w:ilvl w:val="0"/>
                <w:numId w:val="1"/>
              </w:numPr>
              <w:jc w:val="both"/>
              <w:rPr>
                <w:rFonts w:ascii="Times New Roman" w:hAnsi="Times New Roman" w:cs="Times New Roman"/>
              </w:rPr>
            </w:pPr>
          </w:p>
        </w:tc>
        <w:tc>
          <w:tcPr>
            <w:tcW w:w="2162" w:type="dxa"/>
            <w:vMerge/>
          </w:tcPr>
          <w:p w14:paraId="3CC29383" w14:textId="77777777" w:rsidR="00511CEE" w:rsidRPr="00895AD7" w:rsidRDefault="00511CEE" w:rsidP="00895AD7">
            <w:pPr>
              <w:jc w:val="both"/>
              <w:rPr>
                <w:rFonts w:ascii="Times New Roman" w:hAnsi="Times New Roman" w:cs="Times New Roman"/>
              </w:rPr>
            </w:pPr>
          </w:p>
        </w:tc>
        <w:tc>
          <w:tcPr>
            <w:tcW w:w="8860" w:type="dxa"/>
          </w:tcPr>
          <w:p w14:paraId="0FA1E415" w14:textId="369F3181" w:rsidR="00511CEE" w:rsidRPr="00895AD7" w:rsidRDefault="00511CEE" w:rsidP="00895AD7">
            <w:pPr>
              <w:jc w:val="both"/>
              <w:rPr>
                <w:rFonts w:ascii="Times New Roman" w:hAnsi="Times New Roman" w:cs="Times New Roman"/>
              </w:rPr>
            </w:pPr>
            <w:r w:rsidRPr="00895AD7">
              <w:rPr>
                <w:rFonts w:ascii="Times New Roman" w:hAnsi="Times New Roman" w:cs="Times New Roman"/>
              </w:rPr>
              <w:t xml:space="preserve">Neteisingai apskaičiuotos išlaidos sukurtos infrastruktūros palaikymui. Vidutinė metinė lėšų suma </w:t>
            </w:r>
            <w:r>
              <w:rPr>
                <w:rFonts w:ascii="Times New Roman" w:hAnsi="Times New Roman" w:cs="Times New Roman"/>
              </w:rPr>
              <w:t xml:space="preserve">turi būti </w:t>
            </w:r>
            <w:r w:rsidRPr="00895AD7">
              <w:rPr>
                <w:rFonts w:ascii="Times New Roman" w:hAnsi="Times New Roman" w:cs="Times New Roman"/>
              </w:rPr>
              <w:t>apskaičiuojama IP skaičiuoklės optimalios alternatyvos darbalapyje „A.8. Reinvesticijos“ ir D.1. Veiklos išlaidos“ eilutėse nurodytų išlaidų bendrą sumą dalinant iš ataskaitinio laikotarpio, likusio po investicijų.</w:t>
            </w:r>
          </w:p>
        </w:tc>
        <w:tc>
          <w:tcPr>
            <w:tcW w:w="1994" w:type="dxa"/>
          </w:tcPr>
          <w:p w14:paraId="2AF13F2E" w14:textId="743A2F1D" w:rsidR="00511CEE" w:rsidRPr="00895AD7" w:rsidRDefault="00511CEE" w:rsidP="00895AD7">
            <w:pPr>
              <w:jc w:val="both"/>
              <w:rPr>
                <w:rFonts w:ascii="Times New Roman" w:hAnsi="Times New Roman" w:cs="Times New Roman"/>
              </w:rPr>
            </w:pPr>
            <w:r w:rsidRPr="00895AD7">
              <w:rPr>
                <w:rFonts w:ascii="Times New Roman" w:hAnsi="Times New Roman" w:cs="Times New Roman"/>
              </w:rPr>
              <w:t>Kai rengiamas IP</w:t>
            </w:r>
          </w:p>
        </w:tc>
      </w:tr>
      <w:tr w:rsidR="00511CEE" w:rsidRPr="00895AD7" w14:paraId="3D071A8F" w14:textId="77777777" w:rsidTr="006A1D9B">
        <w:trPr>
          <w:gridAfter w:val="1"/>
          <w:wAfter w:w="11" w:type="dxa"/>
        </w:trPr>
        <w:tc>
          <w:tcPr>
            <w:tcW w:w="1092" w:type="dxa"/>
          </w:tcPr>
          <w:p w14:paraId="4420B290" w14:textId="77777777" w:rsidR="00511CEE" w:rsidRPr="00895AD7" w:rsidRDefault="00511CEE" w:rsidP="00895AD7">
            <w:pPr>
              <w:pStyle w:val="ListParagraph"/>
              <w:numPr>
                <w:ilvl w:val="0"/>
                <w:numId w:val="1"/>
              </w:numPr>
              <w:jc w:val="both"/>
              <w:rPr>
                <w:rFonts w:ascii="Times New Roman" w:hAnsi="Times New Roman" w:cs="Times New Roman"/>
              </w:rPr>
            </w:pPr>
          </w:p>
        </w:tc>
        <w:tc>
          <w:tcPr>
            <w:tcW w:w="2162" w:type="dxa"/>
            <w:vMerge/>
          </w:tcPr>
          <w:p w14:paraId="356F05B8" w14:textId="77777777" w:rsidR="00511CEE" w:rsidRPr="00895AD7" w:rsidRDefault="00511CEE" w:rsidP="00895AD7">
            <w:pPr>
              <w:jc w:val="both"/>
              <w:rPr>
                <w:rFonts w:ascii="Times New Roman" w:hAnsi="Times New Roman" w:cs="Times New Roman"/>
              </w:rPr>
            </w:pPr>
          </w:p>
        </w:tc>
        <w:tc>
          <w:tcPr>
            <w:tcW w:w="8860" w:type="dxa"/>
          </w:tcPr>
          <w:p w14:paraId="7F3B41A7" w14:textId="4FD9B04D" w:rsidR="00511CEE" w:rsidRPr="00895AD7" w:rsidRDefault="00511CEE" w:rsidP="00895AD7">
            <w:pPr>
              <w:jc w:val="both"/>
              <w:rPr>
                <w:rFonts w:ascii="Times New Roman" w:hAnsi="Times New Roman" w:cs="Times New Roman"/>
              </w:rPr>
            </w:pPr>
            <w:r>
              <w:rPr>
                <w:rFonts w:ascii="Times New Roman" w:hAnsi="Times New Roman" w:cs="Times New Roman"/>
              </w:rPr>
              <w:t>Jei nėra rengiamas IP, ataskaitiniam laikotarpiui reikėtų nurodyti 5 m. investicijų tęstinumo laikotarpį.</w:t>
            </w:r>
          </w:p>
        </w:tc>
        <w:tc>
          <w:tcPr>
            <w:tcW w:w="1994" w:type="dxa"/>
          </w:tcPr>
          <w:p w14:paraId="1F528D65" w14:textId="39780515" w:rsidR="00511CEE" w:rsidRPr="00895AD7" w:rsidRDefault="00F71748" w:rsidP="00895AD7">
            <w:pPr>
              <w:jc w:val="both"/>
              <w:rPr>
                <w:rFonts w:ascii="Times New Roman" w:hAnsi="Times New Roman" w:cs="Times New Roman"/>
              </w:rPr>
            </w:pPr>
            <w:r>
              <w:rPr>
                <w:rFonts w:ascii="Times New Roman" w:hAnsi="Times New Roman" w:cs="Times New Roman"/>
              </w:rPr>
              <w:t>Kai nerengiamas IP</w:t>
            </w:r>
          </w:p>
        </w:tc>
      </w:tr>
      <w:tr w:rsidR="006A1D9B" w:rsidRPr="00895AD7" w14:paraId="652C91E5" w14:textId="4C1E7DB0" w:rsidTr="006A1D9B">
        <w:trPr>
          <w:gridAfter w:val="1"/>
          <w:wAfter w:w="11" w:type="dxa"/>
        </w:trPr>
        <w:tc>
          <w:tcPr>
            <w:tcW w:w="1092" w:type="dxa"/>
          </w:tcPr>
          <w:p w14:paraId="6E971049"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val="restart"/>
          </w:tcPr>
          <w:p w14:paraId="4E59DF20" w14:textId="77777777" w:rsidR="006A1D9B" w:rsidRPr="00895AD7" w:rsidRDefault="006A1D9B" w:rsidP="00895AD7">
            <w:pPr>
              <w:jc w:val="both"/>
              <w:rPr>
                <w:rFonts w:ascii="Times New Roman" w:hAnsi="Times New Roman" w:cs="Times New Roman"/>
              </w:rPr>
            </w:pPr>
          </w:p>
          <w:p w14:paraId="50A872D7" w14:textId="77777777" w:rsidR="006A1D9B" w:rsidRPr="00895AD7" w:rsidRDefault="006A1D9B" w:rsidP="00895AD7">
            <w:pPr>
              <w:jc w:val="both"/>
              <w:rPr>
                <w:rFonts w:ascii="Times New Roman" w:hAnsi="Times New Roman" w:cs="Times New Roman"/>
              </w:rPr>
            </w:pPr>
          </w:p>
          <w:p w14:paraId="67A779EC" w14:textId="77777777" w:rsidR="006A1D9B" w:rsidRPr="00895AD7" w:rsidRDefault="006A1D9B" w:rsidP="00895AD7">
            <w:pPr>
              <w:jc w:val="both"/>
              <w:rPr>
                <w:rFonts w:ascii="Times New Roman" w:hAnsi="Times New Roman" w:cs="Times New Roman"/>
              </w:rPr>
            </w:pPr>
          </w:p>
          <w:p w14:paraId="75BD05DE" w14:textId="77777777" w:rsidR="006A1D9B" w:rsidRPr="00895AD7" w:rsidRDefault="006A1D9B" w:rsidP="00895AD7">
            <w:pPr>
              <w:jc w:val="both"/>
              <w:rPr>
                <w:rFonts w:ascii="Times New Roman" w:hAnsi="Times New Roman" w:cs="Times New Roman"/>
              </w:rPr>
            </w:pPr>
          </w:p>
          <w:p w14:paraId="10E94CA2" w14:textId="77777777" w:rsidR="006A1D9B" w:rsidRPr="00895AD7" w:rsidRDefault="006A1D9B" w:rsidP="00895AD7">
            <w:pPr>
              <w:jc w:val="both"/>
              <w:rPr>
                <w:rFonts w:ascii="Times New Roman" w:hAnsi="Times New Roman" w:cs="Times New Roman"/>
              </w:rPr>
            </w:pPr>
          </w:p>
          <w:p w14:paraId="2FC14599" w14:textId="77777777" w:rsidR="006A1D9B" w:rsidRPr="00895AD7" w:rsidRDefault="006A1D9B" w:rsidP="00895AD7">
            <w:pPr>
              <w:jc w:val="both"/>
              <w:rPr>
                <w:rFonts w:ascii="Times New Roman" w:hAnsi="Times New Roman" w:cs="Times New Roman"/>
              </w:rPr>
            </w:pPr>
          </w:p>
          <w:p w14:paraId="6FDDBE56" w14:textId="77777777" w:rsidR="006A1D9B" w:rsidRPr="00895AD7" w:rsidRDefault="006A1D9B" w:rsidP="00895AD7">
            <w:pPr>
              <w:jc w:val="both"/>
              <w:rPr>
                <w:rFonts w:ascii="Times New Roman" w:hAnsi="Times New Roman" w:cs="Times New Roman"/>
              </w:rPr>
            </w:pPr>
          </w:p>
          <w:p w14:paraId="14B7AD45" w14:textId="77777777" w:rsidR="006A1D9B" w:rsidRPr="00895AD7" w:rsidRDefault="006A1D9B" w:rsidP="00895AD7">
            <w:pPr>
              <w:jc w:val="both"/>
              <w:rPr>
                <w:rFonts w:ascii="Times New Roman" w:hAnsi="Times New Roman" w:cs="Times New Roman"/>
              </w:rPr>
            </w:pPr>
          </w:p>
          <w:p w14:paraId="3458AE4A" w14:textId="28DBD644" w:rsidR="006A1D9B" w:rsidRPr="00895AD7" w:rsidRDefault="006A1D9B" w:rsidP="00895AD7">
            <w:pPr>
              <w:jc w:val="both"/>
              <w:rPr>
                <w:rFonts w:ascii="Times New Roman" w:hAnsi="Times New Roman" w:cs="Times New Roman"/>
              </w:rPr>
            </w:pPr>
            <w:r w:rsidRPr="00895AD7">
              <w:rPr>
                <w:rFonts w:ascii="Times New Roman" w:hAnsi="Times New Roman" w:cs="Times New Roman"/>
              </w:rPr>
              <w:t>Valstybės pagalba</w:t>
            </w:r>
          </w:p>
        </w:tc>
        <w:tc>
          <w:tcPr>
            <w:tcW w:w="8860" w:type="dxa"/>
          </w:tcPr>
          <w:p w14:paraId="49232AC5" w14:textId="10DDA619"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Nėra pateikta informacija, ar įgyvendinus projekto veiklas nebus teikiama nauda galutiniams naudos gavėjams pagal Gairių 6.3.2 p. (taikoma, kai Projekto metu planuojama įgyvendinti veiklą, susijusią su viešosios turizmo infrastruktūros, skirtos informuoti keliautojus, lankytojus ir turistus apie lankytinus objektus ir (ar) juos dominančias paslaugas, sukūrimu ar modernizavimu (pvz., informacijos apie tokius galutinius naudos gavėjus viešinimu naudojantis įgyvendinant projektą sukurta ar modernizuota informavimo infrastruktūra). </w:t>
            </w:r>
          </w:p>
        </w:tc>
        <w:tc>
          <w:tcPr>
            <w:tcW w:w="1994" w:type="dxa"/>
          </w:tcPr>
          <w:p w14:paraId="48C8B223" w14:textId="77777777" w:rsidR="006A1D9B" w:rsidRPr="00895AD7" w:rsidRDefault="006A1D9B" w:rsidP="00895AD7">
            <w:pPr>
              <w:jc w:val="both"/>
              <w:rPr>
                <w:rFonts w:ascii="Times New Roman" w:hAnsi="Times New Roman" w:cs="Times New Roman"/>
              </w:rPr>
            </w:pPr>
          </w:p>
        </w:tc>
      </w:tr>
      <w:tr w:rsidR="006A1D9B" w:rsidRPr="00895AD7" w14:paraId="1B2DEFBB" w14:textId="23651B0E" w:rsidTr="006A1D9B">
        <w:trPr>
          <w:gridAfter w:val="1"/>
          <w:wAfter w:w="11" w:type="dxa"/>
        </w:trPr>
        <w:tc>
          <w:tcPr>
            <w:tcW w:w="1092" w:type="dxa"/>
          </w:tcPr>
          <w:p w14:paraId="266A6F4C" w14:textId="77777777" w:rsidR="006A1D9B" w:rsidRPr="00895AD7" w:rsidRDefault="006A1D9B" w:rsidP="00895AD7">
            <w:pPr>
              <w:pStyle w:val="ListParagraph"/>
              <w:numPr>
                <w:ilvl w:val="0"/>
                <w:numId w:val="1"/>
              </w:numPr>
              <w:jc w:val="both"/>
              <w:rPr>
                <w:rFonts w:ascii="Times New Roman" w:hAnsi="Times New Roman" w:cs="Times New Roman"/>
              </w:rPr>
            </w:pPr>
          </w:p>
        </w:tc>
        <w:tc>
          <w:tcPr>
            <w:tcW w:w="2162" w:type="dxa"/>
            <w:vMerge/>
          </w:tcPr>
          <w:p w14:paraId="5C3C6FDA" w14:textId="77777777" w:rsidR="006A1D9B" w:rsidRPr="00895AD7" w:rsidRDefault="006A1D9B" w:rsidP="00895AD7">
            <w:pPr>
              <w:jc w:val="both"/>
              <w:rPr>
                <w:rFonts w:ascii="Times New Roman" w:hAnsi="Times New Roman" w:cs="Times New Roman"/>
              </w:rPr>
            </w:pPr>
          </w:p>
        </w:tc>
        <w:tc>
          <w:tcPr>
            <w:tcW w:w="8860" w:type="dxa"/>
          </w:tcPr>
          <w:p w14:paraId="711F4F19" w14:textId="230E09F1" w:rsidR="006A1D9B" w:rsidRPr="00895AD7" w:rsidRDefault="00511CEE" w:rsidP="00895AD7">
            <w:pPr>
              <w:jc w:val="both"/>
              <w:rPr>
                <w:rFonts w:ascii="Times New Roman" w:hAnsi="Times New Roman" w:cs="Times New Roman"/>
              </w:rPr>
            </w:pPr>
            <w:r>
              <w:rPr>
                <w:rFonts w:ascii="Times New Roman" w:hAnsi="Times New Roman" w:cs="Times New Roman"/>
              </w:rPr>
              <w:t>Jei planuojame tvarkyti objekte bus vykdoma ekonominė veikla, n</w:t>
            </w:r>
            <w:r w:rsidR="006A1D9B" w:rsidRPr="00895AD7">
              <w:rPr>
                <w:rFonts w:ascii="Times New Roman" w:hAnsi="Times New Roman" w:cs="Times New Roman"/>
              </w:rPr>
              <w:t xml:space="preserve">ėra pateikta su valstybės pagalba susijusi informacija: </w:t>
            </w:r>
          </w:p>
          <w:p w14:paraId="592A64F2" w14:textId="3B997642"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1) kokio sektoriaus ir kokio dydžio įmonės </w:t>
            </w:r>
            <w:r w:rsidR="00A67E40">
              <w:rPr>
                <w:rFonts w:ascii="Times New Roman" w:hAnsi="Times New Roman" w:cs="Times New Roman"/>
              </w:rPr>
              <w:t>galės dalyvauti objekto valdyme/nuomoje</w:t>
            </w:r>
            <w:r w:rsidRPr="00895AD7">
              <w:rPr>
                <w:rFonts w:ascii="Times New Roman" w:hAnsi="Times New Roman" w:cs="Times New Roman"/>
              </w:rPr>
              <w:t>, ar jame galės dalyvauti visos norinčios dalyvauti įmonės</w:t>
            </w:r>
            <w:r w:rsidR="002438E1">
              <w:rPr>
                <w:rFonts w:ascii="Times New Roman" w:hAnsi="Times New Roman" w:cs="Times New Roman"/>
              </w:rPr>
              <w:t>, ar tik smulkios vidutinės įmonės</w:t>
            </w:r>
            <w:r w:rsidRPr="00895AD7">
              <w:rPr>
                <w:rFonts w:ascii="Times New Roman" w:hAnsi="Times New Roman" w:cs="Times New Roman"/>
              </w:rPr>
              <w:t xml:space="preserve">; </w:t>
            </w:r>
          </w:p>
          <w:p w14:paraId="4A6F8349" w14:textId="30455B2A"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2) ar </w:t>
            </w:r>
            <w:r w:rsidR="00A67E40">
              <w:rPr>
                <w:rFonts w:ascii="Times New Roman" w:hAnsi="Times New Roman" w:cs="Times New Roman"/>
              </w:rPr>
              <w:t xml:space="preserve">sukurtame objekte (pvz., </w:t>
            </w:r>
            <w:r w:rsidRPr="00895AD7">
              <w:rPr>
                <w:rFonts w:ascii="Times New Roman" w:hAnsi="Times New Roman" w:cs="Times New Roman"/>
              </w:rPr>
              <w:t>įsteigtame klasteryje</w:t>
            </w:r>
            <w:r w:rsidR="00A67E40">
              <w:rPr>
                <w:rFonts w:ascii="Times New Roman" w:hAnsi="Times New Roman" w:cs="Times New Roman"/>
              </w:rPr>
              <w:t>)</w:t>
            </w:r>
            <w:r w:rsidRPr="00895AD7">
              <w:rPr>
                <w:rFonts w:ascii="Times New Roman" w:hAnsi="Times New Roman" w:cs="Times New Roman"/>
              </w:rPr>
              <w:t xml:space="preserve"> vykdoma veikla bus skirta tik vietos įmonėms, siekiant didinti regiono ekonominį augimą (prisidėti prie verslumo didinimo ir aukšto nedarbo lygio mažinimo), ar planuojama plėtra; </w:t>
            </w:r>
          </w:p>
          <w:p w14:paraId="330C6C86" w14:textId="69A6FCC9" w:rsidR="006A1D9B" w:rsidRPr="00895AD7" w:rsidRDefault="006A1D9B" w:rsidP="00895AD7">
            <w:pPr>
              <w:jc w:val="both"/>
              <w:rPr>
                <w:rFonts w:ascii="Times New Roman" w:hAnsi="Times New Roman" w:cs="Times New Roman"/>
              </w:rPr>
            </w:pPr>
            <w:r w:rsidRPr="00895AD7">
              <w:rPr>
                <w:rFonts w:ascii="Times New Roman" w:hAnsi="Times New Roman" w:cs="Times New Roman"/>
              </w:rPr>
              <w:lastRenderedPageBreak/>
              <w:t xml:space="preserve">3) ar numatoma, kad </w:t>
            </w:r>
            <w:r w:rsidR="00A67E40">
              <w:rPr>
                <w:rFonts w:ascii="Times New Roman" w:hAnsi="Times New Roman" w:cs="Times New Roman"/>
              </w:rPr>
              <w:t xml:space="preserve">galutiniais naudos gavėjais </w:t>
            </w:r>
            <w:r w:rsidRPr="00895AD7">
              <w:rPr>
                <w:rFonts w:ascii="Times New Roman" w:hAnsi="Times New Roman" w:cs="Times New Roman"/>
              </w:rPr>
              <w:t>dalyvau</w:t>
            </w:r>
            <w:r w:rsidR="00A67E40">
              <w:rPr>
                <w:rFonts w:ascii="Times New Roman" w:hAnsi="Times New Roman" w:cs="Times New Roman"/>
              </w:rPr>
              <w:t>s</w:t>
            </w:r>
            <w:r w:rsidRPr="00895AD7">
              <w:rPr>
                <w:rFonts w:ascii="Times New Roman" w:hAnsi="Times New Roman" w:cs="Times New Roman"/>
              </w:rPr>
              <w:t xml:space="preserve"> ir užsienio kapitalo įmonės; </w:t>
            </w:r>
            <w:r w:rsidR="00A67E40">
              <w:rPr>
                <w:rFonts w:ascii="Times New Roman" w:hAnsi="Times New Roman" w:cs="Times New Roman"/>
              </w:rPr>
              <w:t>j</w:t>
            </w:r>
            <w:r w:rsidRPr="00895AD7">
              <w:rPr>
                <w:rFonts w:ascii="Times New Roman" w:hAnsi="Times New Roman" w:cs="Times New Roman"/>
              </w:rPr>
              <w:t xml:space="preserve">ei numatomos, tai kokios specialios priemonės pritraukti užsienio kapitalo įmones yra numatomos; </w:t>
            </w:r>
          </w:p>
          <w:p w14:paraId="159BF5B5" w14:textId="1C5AA7F6" w:rsidR="006A1D9B" w:rsidRPr="00895AD7" w:rsidRDefault="006A1D9B" w:rsidP="00895AD7">
            <w:pPr>
              <w:jc w:val="both"/>
              <w:rPr>
                <w:rFonts w:ascii="Times New Roman" w:hAnsi="Times New Roman" w:cs="Times New Roman"/>
              </w:rPr>
            </w:pPr>
            <w:r w:rsidRPr="00895AD7">
              <w:rPr>
                <w:rFonts w:ascii="Times New Roman" w:hAnsi="Times New Roman" w:cs="Times New Roman"/>
              </w:rPr>
              <w:t xml:space="preserve">4) ar turite informaciją, kad užsienio investicijos (iš kitų ES šalių) būtų skirtos </w:t>
            </w:r>
            <w:r w:rsidR="00A67E40">
              <w:rPr>
                <w:rFonts w:ascii="Times New Roman" w:hAnsi="Times New Roman" w:cs="Times New Roman"/>
              </w:rPr>
              <w:t xml:space="preserve">panašių objektų valdymui </w:t>
            </w:r>
            <w:r w:rsidRPr="00895AD7">
              <w:rPr>
                <w:rFonts w:ascii="Times New Roman" w:hAnsi="Times New Roman" w:cs="Times New Roman"/>
              </w:rPr>
              <w:t>regione.</w:t>
            </w:r>
          </w:p>
        </w:tc>
        <w:tc>
          <w:tcPr>
            <w:tcW w:w="1994" w:type="dxa"/>
          </w:tcPr>
          <w:p w14:paraId="78CBBACE" w14:textId="3C04191B" w:rsidR="006A1D9B" w:rsidRPr="00895AD7" w:rsidRDefault="006A1D9B" w:rsidP="00895AD7">
            <w:pPr>
              <w:jc w:val="both"/>
              <w:rPr>
                <w:rFonts w:ascii="Times New Roman" w:hAnsi="Times New Roman" w:cs="Times New Roman"/>
              </w:rPr>
            </w:pPr>
          </w:p>
        </w:tc>
      </w:tr>
    </w:tbl>
    <w:p w14:paraId="1C00134A" w14:textId="77777777" w:rsidR="000B60DC" w:rsidRDefault="000B60DC"/>
    <w:sectPr w:rsidR="000B60DC" w:rsidSect="00F0322C">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UPC">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A92"/>
    <w:multiLevelType w:val="hybridMultilevel"/>
    <w:tmpl w:val="A8728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A9472E"/>
    <w:multiLevelType w:val="hybridMultilevel"/>
    <w:tmpl w:val="5142B40C"/>
    <w:lvl w:ilvl="0" w:tplc="A254090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9FF0AAD"/>
    <w:multiLevelType w:val="hybridMultilevel"/>
    <w:tmpl w:val="BD668C96"/>
    <w:lvl w:ilvl="0" w:tplc="69C2D250">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5096640">
    <w:abstractNumId w:val="0"/>
  </w:num>
  <w:num w:numId="2" w16cid:durableId="2008244261">
    <w:abstractNumId w:val="1"/>
  </w:num>
  <w:num w:numId="3" w16cid:durableId="122456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DC"/>
    <w:rsid w:val="00000487"/>
    <w:rsid w:val="0000217D"/>
    <w:rsid w:val="000433E2"/>
    <w:rsid w:val="00067B72"/>
    <w:rsid w:val="000B2890"/>
    <w:rsid w:val="000B60DC"/>
    <w:rsid w:val="000D57CA"/>
    <w:rsid w:val="000E678E"/>
    <w:rsid w:val="000F7886"/>
    <w:rsid w:val="00106382"/>
    <w:rsid w:val="00111615"/>
    <w:rsid w:val="00115438"/>
    <w:rsid w:val="001208A5"/>
    <w:rsid w:val="001656E4"/>
    <w:rsid w:val="00180C63"/>
    <w:rsid w:val="00182033"/>
    <w:rsid w:val="001A35AF"/>
    <w:rsid w:val="001C603E"/>
    <w:rsid w:val="001F6A66"/>
    <w:rsid w:val="00202DDB"/>
    <w:rsid w:val="002129D1"/>
    <w:rsid w:val="002438E1"/>
    <w:rsid w:val="00244117"/>
    <w:rsid w:val="0024612F"/>
    <w:rsid w:val="002550D6"/>
    <w:rsid w:val="00265267"/>
    <w:rsid w:val="002669B3"/>
    <w:rsid w:val="002839F7"/>
    <w:rsid w:val="002B08BE"/>
    <w:rsid w:val="002D2DA4"/>
    <w:rsid w:val="002E392C"/>
    <w:rsid w:val="002E3CBD"/>
    <w:rsid w:val="002F7808"/>
    <w:rsid w:val="00301608"/>
    <w:rsid w:val="003062C0"/>
    <w:rsid w:val="003734F7"/>
    <w:rsid w:val="003A133E"/>
    <w:rsid w:val="003C635E"/>
    <w:rsid w:val="003D794E"/>
    <w:rsid w:val="00400138"/>
    <w:rsid w:val="00400555"/>
    <w:rsid w:val="00412319"/>
    <w:rsid w:val="00412382"/>
    <w:rsid w:val="004476C4"/>
    <w:rsid w:val="004773CA"/>
    <w:rsid w:val="004868CD"/>
    <w:rsid w:val="004A3118"/>
    <w:rsid w:val="00511CEE"/>
    <w:rsid w:val="00522309"/>
    <w:rsid w:val="005224F6"/>
    <w:rsid w:val="0054609F"/>
    <w:rsid w:val="00552528"/>
    <w:rsid w:val="0056510C"/>
    <w:rsid w:val="00576B8A"/>
    <w:rsid w:val="00583B56"/>
    <w:rsid w:val="00591128"/>
    <w:rsid w:val="00595403"/>
    <w:rsid w:val="005F195F"/>
    <w:rsid w:val="0061540B"/>
    <w:rsid w:val="00616BF9"/>
    <w:rsid w:val="00634F59"/>
    <w:rsid w:val="00651287"/>
    <w:rsid w:val="00663354"/>
    <w:rsid w:val="00674DEC"/>
    <w:rsid w:val="006A1D9B"/>
    <w:rsid w:val="006E1059"/>
    <w:rsid w:val="007204E6"/>
    <w:rsid w:val="00722873"/>
    <w:rsid w:val="00730C9B"/>
    <w:rsid w:val="00741A88"/>
    <w:rsid w:val="00775313"/>
    <w:rsid w:val="0078248A"/>
    <w:rsid w:val="00801E01"/>
    <w:rsid w:val="00837DCE"/>
    <w:rsid w:val="008416B1"/>
    <w:rsid w:val="00843E9F"/>
    <w:rsid w:val="00844E70"/>
    <w:rsid w:val="00847218"/>
    <w:rsid w:val="00867FC4"/>
    <w:rsid w:val="008945C6"/>
    <w:rsid w:val="00895AD7"/>
    <w:rsid w:val="00897972"/>
    <w:rsid w:val="008D39A0"/>
    <w:rsid w:val="008F071C"/>
    <w:rsid w:val="00912449"/>
    <w:rsid w:val="00921D0A"/>
    <w:rsid w:val="009468FF"/>
    <w:rsid w:val="00957D52"/>
    <w:rsid w:val="00960E1D"/>
    <w:rsid w:val="009A24C3"/>
    <w:rsid w:val="009B027D"/>
    <w:rsid w:val="009F688D"/>
    <w:rsid w:val="00A31B41"/>
    <w:rsid w:val="00A42849"/>
    <w:rsid w:val="00A66C68"/>
    <w:rsid w:val="00A67AE6"/>
    <w:rsid w:val="00A67E40"/>
    <w:rsid w:val="00A77893"/>
    <w:rsid w:val="00A811A8"/>
    <w:rsid w:val="00AC02CD"/>
    <w:rsid w:val="00B2663B"/>
    <w:rsid w:val="00B35276"/>
    <w:rsid w:val="00B42CFE"/>
    <w:rsid w:val="00B44937"/>
    <w:rsid w:val="00B45B6E"/>
    <w:rsid w:val="00BB2AD2"/>
    <w:rsid w:val="00BC0377"/>
    <w:rsid w:val="00BE27B8"/>
    <w:rsid w:val="00BF665A"/>
    <w:rsid w:val="00BF702E"/>
    <w:rsid w:val="00C02431"/>
    <w:rsid w:val="00C05296"/>
    <w:rsid w:val="00C20559"/>
    <w:rsid w:val="00C70E4F"/>
    <w:rsid w:val="00C727D9"/>
    <w:rsid w:val="00C83A7A"/>
    <w:rsid w:val="00C91524"/>
    <w:rsid w:val="00CA5635"/>
    <w:rsid w:val="00CA5638"/>
    <w:rsid w:val="00CE1EAE"/>
    <w:rsid w:val="00D33832"/>
    <w:rsid w:val="00D3631A"/>
    <w:rsid w:val="00D51E01"/>
    <w:rsid w:val="00D52B25"/>
    <w:rsid w:val="00D60CE3"/>
    <w:rsid w:val="00D60F44"/>
    <w:rsid w:val="00D61D2D"/>
    <w:rsid w:val="00D74D9F"/>
    <w:rsid w:val="00D7699E"/>
    <w:rsid w:val="00D815C5"/>
    <w:rsid w:val="00D91690"/>
    <w:rsid w:val="00DB5F98"/>
    <w:rsid w:val="00DC047E"/>
    <w:rsid w:val="00DC4D8C"/>
    <w:rsid w:val="00DC6470"/>
    <w:rsid w:val="00DE4C42"/>
    <w:rsid w:val="00DE5176"/>
    <w:rsid w:val="00DF3478"/>
    <w:rsid w:val="00E1518D"/>
    <w:rsid w:val="00E20E13"/>
    <w:rsid w:val="00E20FD3"/>
    <w:rsid w:val="00E22A22"/>
    <w:rsid w:val="00E31E4F"/>
    <w:rsid w:val="00E34BCE"/>
    <w:rsid w:val="00E41A40"/>
    <w:rsid w:val="00E43163"/>
    <w:rsid w:val="00E5005B"/>
    <w:rsid w:val="00E561F5"/>
    <w:rsid w:val="00E70345"/>
    <w:rsid w:val="00E955A0"/>
    <w:rsid w:val="00EB2D3F"/>
    <w:rsid w:val="00EB7968"/>
    <w:rsid w:val="00EC4769"/>
    <w:rsid w:val="00EC76CC"/>
    <w:rsid w:val="00F0322C"/>
    <w:rsid w:val="00F43C93"/>
    <w:rsid w:val="00F52C12"/>
    <w:rsid w:val="00F627EF"/>
    <w:rsid w:val="00F71748"/>
    <w:rsid w:val="00F733EC"/>
    <w:rsid w:val="00F8258A"/>
    <w:rsid w:val="00FA0151"/>
    <w:rsid w:val="00FA30C6"/>
    <w:rsid w:val="00FB48C8"/>
    <w:rsid w:val="00FC5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F69B"/>
  <w15:chartTrackingRefBased/>
  <w15:docId w15:val="{8170E0DB-9AAA-4658-A10C-543AE2AB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E6"/>
  </w:style>
  <w:style w:type="paragraph" w:styleId="Heading1">
    <w:name w:val="heading 1"/>
    <w:basedOn w:val="Normal"/>
    <w:next w:val="Normal"/>
    <w:link w:val="Heading1Char"/>
    <w:uiPriority w:val="9"/>
    <w:qFormat/>
    <w:rsid w:val="000B6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0DC"/>
    <w:rPr>
      <w:rFonts w:eastAsiaTheme="majorEastAsia" w:cstheme="majorBidi"/>
      <w:color w:val="272727" w:themeColor="text1" w:themeTint="D8"/>
    </w:rPr>
  </w:style>
  <w:style w:type="paragraph" w:styleId="Title">
    <w:name w:val="Title"/>
    <w:basedOn w:val="Normal"/>
    <w:next w:val="Normal"/>
    <w:link w:val="TitleChar"/>
    <w:uiPriority w:val="10"/>
    <w:qFormat/>
    <w:rsid w:val="000B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0DC"/>
    <w:pPr>
      <w:spacing w:before="160"/>
      <w:jc w:val="center"/>
    </w:pPr>
    <w:rPr>
      <w:i/>
      <w:iCs/>
      <w:color w:val="404040" w:themeColor="text1" w:themeTint="BF"/>
    </w:rPr>
  </w:style>
  <w:style w:type="character" w:customStyle="1" w:styleId="QuoteChar">
    <w:name w:val="Quote Char"/>
    <w:basedOn w:val="DefaultParagraphFont"/>
    <w:link w:val="Quote"/>
    <w:uiPriority w:val="29"/>
    <w:rsid w:val="000B60DC"/>
    <w:rPr>
      <w:i/>
      <w:iCs/>
      <w:color w:val="404040" w:themeColor="text1" w:themeTint="BF"/>
    </w:rPr>
  </w:style>
  <w:style w:type="paragraph" w:styleId="ListParagraph">
    <w:name w:val="List Paragraph"/>
    <w:aliases w:val="Buletai,Bullet EY,List Paragraph21,lp1,Bullet 1,Use Case List Paragraph,Numbering,ERP-List Paragraph,List Paragraph11,List Paragraph111,Paragraph,List Paragraph Red,Table of contents numbered,List Paragraph1,List Paragr1"/>
    <w:basedOn w:val="Normal"/>
    <w:link w:val="ListParagraphChar"/>
    <w:uiPriority w:val="34"/>
    <w:qFormat/>
    <w:rsid w:val="000B60DC"/>
    <w:pPr>
      <w:ind w:left="720"/>
      <w:contextualSpacing/>
    </w:pPr>
  </w:style>
  <w:style w:type="character" w:styleId="IntenseEmphasis">
    <w:name w:val="Intense Emphasis"/>
    <w:basedOn w:val="DefaultParagraphFont"/>
    <w:uiPriority w:val="21"/>
    <w:qFormat/>
    <w:rsid w:val="000B60DC"/>
    <w:rPr>
      <w:i/>
      <w:iCs/>
      <w:color w:val="0F4761" w:themeColor="accent1" w:themeShade="BF"/>
    </w:rPr>
  </w:style>
  <w:style w:type="paragraph" w:styleId="IntenseQuote">
    <w:name w:val="Intense Quote"/>
    <w:basedOn w:val="Normal"/>
    <w:next w:val="Normal"/>
    <w:link w:val="IntenseQuoteChar"/>
    <w:uiPriority w:val="30"/>
    <w:qFormat/>
    <w:rsid w:val="000B6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0DC"/>
    <w:rPr>
      <w:i/>
      <w:iCs/>
      <w:color w:val="0F4761" w:themeColor="accent1" w:themeShade="BF"/>
    </w:rPr>
  </w:style>
  <w:style w:type="character" w:styleId="IntenseReference">
    <w:name w:val="Intense Reference"/>
    <w:basedOn w:val="DefaultParagraphFont"/>
    <w:uiPriority w:val="32"/>
    <w:qFormat/>
    <w:rsid w:val="000B60DC"/>
    <w:rPr>
      <w:b/>
      <w:bCs/>
      <w:smallCaps/>
      <w:color w:val="0F4761" w:themeColor="accent1" w:themeShade="BF"/>
      <w:spacing w:val="5"/>
    </w:rPr>
  </w:style>
  <w:style w:type="table" w:styleId="TableGrid">
    <w:name w:val="Table Grid"/>
    <w:basedOn w:val="TableNormal"/>
    <w:uiPriority w:val="39"/>
    <w:rsid w:val="00F0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basedOn w:val="DefaultParagraphFont"/>
    <w:link w:val="ListParagraph"/>
    <w:uiPriority w:val="34"/>
    <w:locked/>
    <w:rsid w:val="0054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8196</Words>
  <Characters>4673</Characters>
  <Application>Microsoft Office Word</Application>
  <DocSecurity>0</DocSecurity>
  <Lines>38</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Ramanauskienė</dc:creator>
  <cp:keywords/>
  <dc:description/>
  <cp:lastModifiedBy>Rūta Kizienė</cp:lastModifiedBy>
  <cp:revision>8</cp:revision>
  <dcterms:created xsi:type="dcterms:W3CDTF">2025-02-11T12:59:00Z</dcterms:created>
  <dcterms:modified xsi:type="dcterms:W3CDTF">2025-02-11T13:20:00Z</dcterms:modified>
</cp:coreProperties>
</file>