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5" w:type="dxa"/>
        <w:tblLook w:val="04A0" w:firstRow="1" w:lastRow="0" w:firstColumn="1" w:lastColumn="0" w:noHBand="0" w:noVBand="1"/>
      </w:tblPr>
      <w:tblGrid>
        <w:gridCol w:w="606"/>
        <w:gridCol w:w="14239"/>
      </w:tblGrid>
      <w:tr w:rsidR="001E2989" w:rsidRPr="001E2989" w14:paraId="32947E32" w14:textId="77777777" w:rsidTr="00ED1609">
        <w:tc>
          <w:tcPr>
            <w:tcW w:w="606" w:type="dxa"/>
          </w:tcPr>
          <w:p w14:paraId="71644FC0" w14:textId="4C2AF970" w:rsidR="001E2989" w:rsidRPr="001E2989" w:rsidRDefault="001E2989" w:rsidP="00A20692">
            <w:pPr>
              <w:spacing w:before="120" w:after="120"/>
              <w:ind w:left="72"/>
              <w:rPr>
                <w:rFonts w:ascii="Times New Roman" w:hAnsi="Times New Roman" w:cs="Times New Roman"/>
                <w:b/>
                <w:bCs/>
              </w:rPr>
            </w:pPr>
            <w:r w:rsidRPr="001E2989">
              <w:rPr>
                <w:rFonts w:ascii="Times New Roman" w:hAnsi="Times New Roman" w:cs="Times New Roman"/>
                <w:b/>
                <w:bCs/>
              </w:rPr>
              <w:t>Nr.</w:t>
            </w:r>
          </w:p>
        </w:tc>
        <w:tc>
          <w:tcPr>
            <w:tcW w:w="14239" w:type="dxa"/>
          </w:tcPr>
          <w:p w14:paraId="3054718A" w14:textId="2ED463B0" w:rsidR="001E2989" w:rsidRPr="001E2989" w:rsidRDefault="001E2989" w:rsidP="00027CE8">
            <w:pPr>
              <w:spacing w:before="120" w:after="120"/>
              <w:ind w:left="158"/>
              <w:jc w:val="both"/>
              <w:rPr>
                <w:rFonts w:ascii="Times New Roman" w:hAnsi="Times New Roman" w:cs="Times New Roman"/>
                <w:b/>
                <w:bCs/>
              </w:rPr>
            </w:pPr>
            <w:r w:rsidRPr="001E2989">
              <w:rPr>
                <w:rFonts w:ascii="Times New Roman" w:hAnsi="Times New Roman" w:cs="Times New Roman"/>
                <w:b/>
                <w:bCs/>
              </w:rPr>
              <w:t xml:space="preserve">Dažniausiai pasitaikančios klaidos, neatitikimai, trūkumai regioninių </w:t>
            </w:r>
            <w:r>
              <w:rPr>
                <w:rFonts w:ascii="Times New Roman" w:hAnsi="Times New Roman" w:cs="Times New Roman"/>
                <w:b/>
                <w:bCs/>
              </w:rPr>
              <w:t xml:space="preserve">darnaus judumo (SM) </w:t>
            </w:r>
            <w:r w:rsidRPr="001E2989">
              <w:rPr>
                <w:rFonts w:ascii="Times New Roman" w:hAnsi="Times New Roman" w:cs="Times New Roman"/>
                <w:b/>
                <w:bCs/>
              </w:rPr>
              <w:t>pažangos priemonių</w:t>
            </w:r>
            <w:r>
              <w:rPr>
                <w:rFonts w:ascii="Times New Roman" w:hAnsi="Times New Roman" w:cs="Times New Roman"/>
                <w:b/>
                <w:bCs/>
              </w:rPr>
              <w:t xml:space="preserve"> (</w:t>
            </w:r>
            <w:proofErr w:type="spellStart"/>
            <w:r>
              <w:rPr>
                <w:rFonts w:ascii="Times New Roman" w:hAnsi="Times New Roman" w:cs="Times New Roman"/>
                <w:b/>
                <w:bCs/>
              </w:rPr>
              <w:t>PžP</w:t>
            </w:r>
            <w:proofErr w:type="spellEnd"/>
            <w:r>
              <w:rPr>
                <w:rFonts w:ascii="Times New Roman" w:hAnsi="Times New Roman" w:cs="Times New Roman"/>
                <w:b/>
                <w:bCs/>
              </w:rPr>
              <w:t xml:space="preserve">) </w:t>
            </w:r>
            <w:r w:rsidRPr="00280F92">
              <w:rPr>
                <w:rFonts w:ascii="Times New Roman" w:hAnsi="Times New Roman" w:cs="Times New Roman"/>
                <w:b/>
                <w:bCs/>
                <w:color w:val="FF0000"/>
              </w:rPr>
              <w:t>projektų įgyvendinimo planuose (PĮP)</w:t>
            </w:r>
            <w:r w:rsidRPr="001E2989">
              <w:rPr>
                <w:rFonts w:ascii="Times New Roman" w:hAnsi="Times New Roman" w:cs="Times New Roman"/>
                <w:b/>
                <w:bCs/>
              </w:rPr>
              <w:t>:</w:t>
            </w:r>
          </w:p>
        </w:tc>
      </w:tr>
      <w:tr w:rsidR="005D2A27" w:rsidRPr="001E2989" w14:paraId="2D58BBCB" w14:textId="77777777" w:rsidTr="00ED1609">
        <w:tc>
          <w:tcPr>
            <w:tcW w:w="606" w:type="dxa"/>
          </w:tcPr>
          <w:p w14:paraId="5B34F17E" w14:textId="77777777" w:rsidR="005D2A27" w:rsidRPr="00A20692" w:rsidRDefault="005D2A27" w:rsidP="00A20692">
            <w:pPr>
              <w:pStyle w:val="ListParagraph"/>
              <w:numPr>
                <w:ilvl w:val="0"/>
                <w:numId w:val="1"/>
              </w:numPr>
              <w:spacing w:before="120" w:after="120"/>
              <w:ind w:left="72" w:firstLine="0"/>
              <w:rPr>
                <w:rFonts w:ascii="Times New Roman" w:hAnsi="Times New Roman" w:cs="Times New Roman"/>
              </w:rPr>
            </w:pPr>
          </w:p>
        </w:tc>
        <w:tc>
          <w:tcPr>
            <w:tcW w:w="14239" w:type="dxa"/>
          </w:tcPr>
          <w:p w14:paraId="19214B76" w14:textId="5876FC78" w:rsidR="005D2A27" w:rsidRPr="000F0E9D" w:rsidRDefault="00240DE4" w:rsidP="00027CE8">
            <w:pPr>
              <w:spacing w:before="120" w:after="120"/>
              <w:ind w:left="158"/>
              <w:jc w:val="both"/>
              <w:rPr>
                <w:rFonts w:ascii="Times New Roman" w:hAnsi="Times New Roman" w:cs="Times New Roman"/>
              </w:rPr>
            </w:pPr>
            <w:r w:rsidRPr="00AF153D">
              <w:rPr>
                <w:rFonts w:ascii="Times New Roman" w:hAnsi="Times New Roman" w:cs="Times New Roman"/>
              </w:rPr>
              <w:t>PĮP tinkamų finansuoti išlaidų sumoje įvertintos pagal Gaires netinkamos finansuoti išlaidos</w:t>
            </w:r>
            <w:r>
              <w:rPr>
                <w:rFonts w:ascii="Times New Roman" w:hAnsi="Times New Roman" w:cs="Times New Roman"/>
              </w:rPr>
              <w:t>, t. y., d</w:t>
            </w:r>
            <w:r w:rsidR="00266527" w:rsidRPr="00465FDA">
              <w:rPr>
                <w:rFonts w:ascii="Times New Roman" w:hAnsi="Times New Roman" w:cs="Times New Roman"/>
              </w:rPr>
              <w:t xml:space="preserve">alis išlaidų, nurodytų rangos darbų sutartyje ar kituose išlaidas pagrindžiančiuose dokumentuose </w:t>
            </w:r>
            <w:r>
              <w:rPr>
                <w:rFonts w:ascii="Times New Roman" w:hAnsi="Times New Roman" w:cs="Times New Roman"/>
              </w:rPr>
              <w:t xml:space="preserve">pagal Gaires </w:t>
            </w:r>
            <w:r w:rsidR="00266527" w:rsidRPr="00465FDA">
              <w:rPr>
                <w:rFonts w:ascii="Times New Roman" w:hAnsi="Times New Roman" w:cs="Times New Roman"/>
              </w:rPr>
              <w:t>yra netinkamos finansuoti projekto lėšomis</w:t>
            </w:r>
            <w:r w:rsidR="00266527">
              <w:rPr>
                <w:rFonts w:ascii="Times New Roman" w:hAnsi="Times New Roman" w:cs="Times New Roman"/>
              </w:rPr>
              <w:t>, tačiau yra įtraukiamos į projekto biudžetą. Kita vertus, išlaidų sumos, nurodytos PĮP, neatitinka lokalinėse sąmatose nurodytų sumų, t. y. PĮP nenurodytos netinkamos finansuoti projekto lėšomis, tačiau būtinos darbams užbaigti, išlaidos.</w:t>
            </w:r>
          </w:p>
        </w:tc>
      </w:tr>
      <w:tr w:rsidR="00C83C8B" w:rsidRPr="001E2989" w14:paraId="2939AC5C" w14:textId="77777777" w:rsidTr="00ED1609">
        <w:tc>
          <w:tcPr>
            <w:tcW w:w="606" w:type="dxa"/>
          </w:tcPr>
          <w:p w14:paraId="2186D40D" w14:textId="77777777" w:rsidR="00C83C8B" w:rsidRPr="00A20692" w:rsidRDefault="00C83C8B" w:rsidP="004D5D96">
            <w:pPr>
              <w:pStyle w:val="ListParagraph"/>
              <w:numPr>
                <w:ilvl w:val="0"/>
                <w:numId w:val="1"/>
              </w:numPr>
              <w:spacing w:before="120" w:after="120"/>
              <w:ind w:left="72" w:firstLine="0"/>
              <w:rPr>
                <w:rFonts w:ascii="Times New Roman" w:hAnsi="Times New Roman" w:cs="Times New Roman"/>
              </w:rPr>
            </w:pPr>
          </w:p>
        </w:tc>
        <w:tc>
          <w:tcPr>
            <w:tcW w:w="14239" w:type="dxa"/>
          </w:tcPr>
          <w:p w14:paraId="4C81C399" w14:textId="0C607964" w:rsidR="00C83C8B" w:rsidRPr="00407677" w:rsidRDefault="00C83C8B" w:rsidP="004D5D96">
            <w:pPr>
              <w:spacing w:before="120" w:after="120"/>
              <w:ind w:left="158"/>
              <w:jc w:val="both"/>
              <w:rPr>
                <w:rFonts w:ascii="Times New Roman" w:hAnsi="Times New Roman" w:cs="Times New Roman"/>
              </w:rPr>
            </w:pPr>
            <w:r w:rsidRPr="004D5D96">
              <w:rPr>
                <w:rFonts w:ascii="Times New Roman" w:hAnsi="Times New Roman" w:cs="Times New Roman"/>
              </w:rPr>
              <w:t>PĮP 3.1 p. nurodytų veiksmų stulpelyje „Poreikio pagrindimas“ nenurod</w:t>
            </w:r>
            <w:r>
              <w:rPr>
                <w:rFonts w:ascii="Times New Roman" w:hAnsi="Times New Roman" w:cs="Times New Roman"/>
              </w:rPr>
              <w:t>oma</w:t>
            </w:r>
            <w:r w:rsidRPr="004D5D96">
              <w:rPr>
                <w:rFonts w:ascii="Times New Roman" w:hAnsi="Times New Roman" w:cs="Times New Roman"/>
              </w:rPr>
              <w:t>, kokiais dokumentais pagrindžiamas konkrečiam objektui suplanuotas biudžetas</w:t>
            </w:r>
            <w:r>
              <w:rPr>
                <w:rFonts w:ascii="Times New Roman" w:hAnsi="Times New Roman" w:cs="Times New Roman"/>
              </w:rPr>
              <w:t xml:space="preserve"> (išlaidos gali būti </w:t>
            </w:r>
            <w:r w:rsidRPr="004D5D96">
              <w:rPr>
                <w:rFonts w:ascii="Times New Roman" w:hAnsi="Times New Roman" w:cs="Times New Roman"/>
              </w:rPr>
              <w:t xml:space="preserve">grindžiamos objekto </w:t>
            </w:r>
            <w:r>
              <w:rPr>
                <w:rFonts w:ascii="Times New Roman" w:hAnsi="Times New Roman" w:cs="Times New Roman"/>
              </w:rPr>
              <w:t>s</w:t>
            </w:r>
            <w:r w:rsidRPr="004D5D96">
              <w:rPr>
                <w:rFonts w:ascii="Times New Roman" w:hAnsi="Times New Roman" w:cs="Times New Roman"/>
              </w:rPr>
              <w:t>ąmatiniais skaičiavimais, arba pasirašytos rangos darbų sutarties konkrečiais darbų kiekių žiniaraščiais, arba objekto techninio projekto konkretaus etapo lokalinėmis sąmatomis</w:t>
            </w:r>
            <w:r>
              <w:rPr>
                <w:rFonts w:ascii="Times New Roman" w:hAnsi="Times New Roman" w:cs="Times New Roman"/>
              </w:rPr>
              <w:t>)</w:t>
            </w:r>
            <w:r w:rsidRPr="004D5D96">
              <w:rPr>
                <w:rFonts w:ascii="Times New Roman" w:hAnsi="Times New Roman" w:cs="Times New Roman"/>
              </w:rPr>
              <w:t xml:space="preserve">. </w:t>
            </w:r>
            <w:r>
              <w:rPr>
                <w:rFonts w:ascii="Times New Roman" w:hAnsi="Times New Roman" w:cs="Times New Roman"/>
              </w:rPr>
              <w:t>Šios sąmatos nėra pateikiamos. Va</w:t>
            </w:r>
            <w:r w:rsidRPr="004D5D96">
              <w:rPr>
                <w:rFonts w:ascii="Times New Roman" w:hAnsi="Times New Roman" w:cs="Times New Roman"/>
              </w:rPr>
              <w:t>dovaujantis Gairių 2.18.4 p.</w:t>
            </w:r>
            <w:r>
              <w:rPr>
                <w:rFonts w:ascii="Times New Roman" w:hAnsi="Times New Roman" w:cs="Times New Roman"/>
              </w:rPr>
              <w:t>,</w:t>
            </w:r>
            <w:r w:rsidRPr="004D5D96">
              <w:rPr>
                <w:rFonts w:ascii="Times New Roman" w:hAnsi="Times New Roman" w:cs="Times New Roman"/>
              </w:rPr>
              <w:t xml:space="preserve"> objektams, kuriems nėra parengti techniniai projektai, būtina pateikti pareiškėjo patvirtintas preliminarias darbų sąmatas, parengtas sudarius preliminarius numatomų darbų kiekių žiniaraščius.</w:t>
            </w:r>
          </w:p>
        </w:tc>
      </w:tr>
      <w:tr w:rsidR="00C83C8B" w:rsidRPr="001E2989" w14:paraId="599E0D5A" w14:textId="77777777" w:rsidTr="00ED1609">
        <w:tc>
          <w:tcPr>
            <w:tcW w:w="606" w:type="dxa"/>
          </w:tcPr>
          <w:p w14:paraId="613B31C4" w14:textId="77777777" w:rsidR="00C83C8B" w:rsidRPr="00A20692" w:rsidRDefault="00C83C8B" w:rsidP="004D5D96">
            <w:pPr>
              <w:pStyle w:val="ListParagraph"/>
              <w:numPr>
                <w:ilvl w:val="0"/>
                <w:numId w:val="1"/>
              </w:numPr>
              <w:spacing w:before="120" w:after="120"/>
              <w:ind w:left="72" w:firstLine="0"/>
              <w:rPr>
                <w:rFonts w:ascii="Times New Roman" w:hAnsi="Times New Roman" w:cs="Times New Roman"/>
              </w:rPr>
            </w:pPr>
          </w:p>
        </w:tc>
        <w:tc>
          <w:tcPr>
            <w:tcW w:w="14239" w:type="dxa"/>
          </w:tcPr>
          <w:p w14:paraId="7175A0B2" w14:textId="26FC4505" w:rsidR="00657D86" w:rsidRDefault="00C83C8B" w:rsidP="00657D86">
            <w:pPr>
              <w:spacing w:before="120" w:after="120"/>
              <w:ind w:left="158"/>
              <w:jc w:val="both"/>
              <w:rPr>
                <w:rFonts w:ascii="Times New Roman" w:hAnsi="Times New Roman" w:cs="Times New Roman"/>
              </w:rPr>
            </w:pPr>
            <w:r w:rsidRPr="009F7604">
              <w:rPr>
                <w:rFonts w:ascii="Times New Roman" w:hAnsi="Times New Roman" w:cs="Times New Roman"/>
              </w:rPr>
              <w:t>PĮP 2.1 punkte projektu planuojam</w:t>
            </w:r>
            <w:r>
              <w:rPr>
                <w:rFonts w:ascii="Times New Roman" w:hAnsi="Times New Roman" w:cs="Times New Roman"/>
              </w:rPr>
              <w:t>ų</w:t>
            </w:r>
            <w:r w:rsidRPr="009F7604">
              <w:rPr>
                <w:rFonts w:ascii="Times New Roman" w:hAnsi="Times New Roman" w:cs="Times New Roman"/>
              </w:rPr>
              <w:t xml:space="preserve"> įgyvendinti veikl</w:t>
            </w:r>
            <w:r>
              <w:rPr>
                <w:rFonts w:ascii="Times New Roman" w:hAnsi="Times New Roman" w:cs="Times New Roman"/>
              </w:rPr>
              <w:t>ų</w:t>
            </w:r>
            <w:r w:rsidRPr="009F7604">
              <w:rPr>
                <w:rFonts w:ascii="Times New Roman" w:hAnsi="Times New Roman" w:cs="Times New Roman"/>
              </w:rPr>
              <w:t xml:space="preserve"> aprašyma</w:t>
            </w:r>
            <w:r>
              <w:rPr>
                <w:rFonts w:ascii="Times New Roman" w:hAnsi="Times New Roman" w:cs="Times New Roman"/>
              </w:rPr>
              <w:t xml:space="preserve">i neišsamūs ir </w:t>
            </w:r>
            <w:r w:rsidRPr="009F7604">
              <w:rPr>
                <w:rFonts w:ascii="Times New Roman" w:hAnsi="Times New Roman" w:cs="Times New Roman"/>
              </w:rPr>
              <w:t>nepakankam</w:t>
            </w:r>
            <w:r>
              <w:rPr>
                <w:rFonts w:ascii="Times New Roman" w:hAnsi="Times New Roman" w:cs="Times New Roman"/>
              </w:rPr>
              <w:t xml:space="preserve">i </w:t>
            </w:r>
            <w:r w:rsidR="00F13BAA">
              <w:rPr>
                <w:rFonts w:ascii="Times New Roman" w:hAnsi="Times New Roman" w:cs="Times New Roman"/>
              </w:rPr>
              <w:t xml:space="preserve">tvarkomų </w:t>
            </w:r>
            <w:r>
              <w:rPr>
                <w:rFonts w:ascii="Times New Roman" w:hAnsi="Times New Roman" w:cs="Times New Roman"/>
              </w:rPr>
              <w:t xml:space="preserve">objektų </w:t>
            </w:r>
            <w:r w:rsidR="00F13BAA">
              <w:rPr>
                <w:rFonts w:ascii="Times New Roman" w:hAnsi="Times New Roman" w:cs="Times New Roman"/>
              </w:rPr>
              <w:t xml:space="preserve">apibrėžimui </w:t>
            </w:r>
            <w:r>
              <w:rPr>
                <w:rFonts w:ascii="Times New Roman" w:hAnsi="Times New Roman" w:cs="Times New Roman"/>
              </w:rPr>
              <w:t>ir tinkamų finansuoti išlaidų  nustatymui</w:t>
            </w:r>
            <w:r w:rsidRPr="009F7604">
              <w:rPr>
                <w:rFonts w:ascii="Times New Roman" w:hAnsi="Times New Roman" w:cs="Times New Roman"/>
              </w:rPr>
              <w:t>: trūksta parametrų (</w:t>
            </w:r>
            <w:r w:rsidRPr="009F7604">
              <w:rPr>
                <w:rFonts w:ascii="Times New Roman" w:hAnsi="Times New Roman" w:cs="Times New Roman"/>
                <w:i/>
                <w:iCs/>
              </w:rPr>
              <w:t>objekto ilgio ir pločio</w:t>
            </w:r>
            <w:r w:rsidRPr="009F7604">
              <w:rPr>
                <w:rFonts w:ascii="Times New Roman" w:hAnsi="Times New Roman" w:cs="Times New Roman"/>
              </w:rPr>
              <w:t>), nenurodyta darbų rūšis bei pagrindinės planuojamų darbų grupės (</w:t>
            </w:r>
            <w:r w:rsidRPr="009F7604">
              <w:rPr>
                <w:rFonts w:ascii="Times New Roman" w:hAnsi="Times New Roman" w:cs="Times New Roman"/>
                <w:i/>
                <w:iCs/>
              </w:rPr>
              <w:t>pvz., dviračių tako įrengimas, apšvietimo įrengimas, mažosios architektūros įrengimas ir pan.</w:t>
            </w:r>
            <w:r w:rsidRPr="009F7604">
              <w:rPr>
                <w:rFonts w:ascii="Times New Roman" w:hAnsi="Times New Roman" w:cs="Times New Roman"/>
              </w:rPr>
              <w:t>).</w:t>
            </w:r>
            <w:r w:rsidR="00657D86">
              <w:rPr>
                <w:rFonts w:ascii="Times New Roman" w:hAnsi="Times New Roman" w:cs="Times New Roman"/>
              </w:rPr>
              <w:t xml:space="preserve"> N</w:t>
            </w:r>
            <w:r w:rsidR="00657D86" w:rsidRPr="00E7472E">
              <w:rPr>
                <w:rFonts w:ascii="Times New Roman" w:hAnsi="Times New Roman" w:cs="Times New Roman"/>
              </w:rPr>
              <w:t>umatyti plėtoti dviračių ir pėsčiųjų takų objektai apraš</w:t>
            </w:r>
            <w:r w:rsidR="00657D86">
              <w:rPr>
                <w:rFonts w:ascii="Times New Roman" w:hAnsi="Times New Roman" w:cs="Times New Roman"/>
              </w:rPr>
              <w:t>omi</w:t>
            </w:r>
            <w:r w:rsidR="00657D86" w:rsidRPr="00E7472E">
              <w:rPr>
                <w:rFonts w:ascii="Times New Roman" w:hAnsi="Times New Roman" w:cs="Times New Roman"/>
              </w:rPr>
              <w:t xml:space="preserve"> įvairiais gatvių, tiltų ar vietovių pavadinimais, kuriuos vertinant nėra įmanoma tiksliai nustatyti šių objektų vietos, darbų pradžios, pabaigos, trasų ilgių</w:t>
            </w:r>
            <w:r w:rsidR="00657D86">
              <w:rPr>
                <w:rFonts w:ascii="Times New Roman" w:hAnsi="Times New Roman" w:cs="Times New Roman"/>
              </w:rPr>
              <w:t>.</w:t>
            </w:r>
          </w:p>
          <w:p w14:paraId="36F11421" w14:textId="50E8179B" w:rsidR="00C83C8B" w:rsidRPr="00407677" w:rsidRDefault="00C83C8B" w:rsidP="004D5D96">
            <w:pPr>
              <w:spacing w:before="120" w:after="120"/>
              <w:ind w:left="158"/>
              <w:jc w:val="both"/>
              <w:rPr>
                <w:rFonts w:ascii="Times New Roman" w:hAnsi="Times New Roman" w:cs="Times New Roman"/>
              </w:rPr>
            </w:pPr>
            <w:r>
              <w:rPr>
                <w:rFonts w:ascii="Times New Roman" w:hAnsi="Times New Roman" w:cs="Times New Roman"/>
              </w:rPr>
              <w:t xml:space="preserve">Pažangos priemonių aprašymuose RPT niekada nenurodo papildomų projektų parengtumo reikalavimų, </w:t>
            </w:r>
            <w:r w:rsidR="00F13BAA">
              <w:rPr>
                <w:rFonts w:ascii="Times New Roman" w:hAnsi="Times New Roman" w:cs="Times New Roman"/>
              </w:rPr>
              <w:t xml:space="preserve">tačiau neretai jau yra parengta techninė dokumentacija arba išduoti statybos leidimai, tačiau pareiškėjas jų nepateikia. Tokiu atveju </w:t>
            </w:r>
            <w:r>
              <w:rPr>
                <w:rFonts w:ascii="Times New Roman" w:hAnsi="Times New Roman" w:cs="Times New Roman"/>
              </w:rPr>
              <w:t>papildomai prašome pateikti statybą leidžiantį dokumentą, kuris leidžia detaliau įvertinti finansuojamą objektą.</w:t>
            </w:r>
          </w:p>
        </w:tc>
      </w:tr>
      <w:tr w:rsidR="00C83C8B" w:rsidRPr="001E2989" w14:paraId="19109429" w14:textId="77777777" w:rsidTr="00ED1609">
        <w:tc>
          <w:tcPr>
            <w:tcW w:w="606" w:type="dxa"/>
          </w:tcPr>
          <w:p w14:paraId="622BF598" w14:textId="77777777" w:rsidR="00C83C8B" w:rsidRPr="00A20692" w:rsidRDefault="00C83C8B" w:rsidP="004D5D96">
            <w:pPr>
              <w:pStyle w:val="ListParagraph"/>
              <w:numPr>
                <w:ilvl w:val="0"/>
                <w:numId w:val="1"/>
              </w:numPr>
              <w:spacing w:before="120" w:after="120"/>
              <w:ind w:left="72" w:firstLine="0"/>
              <w:rPr>
                <w:rFonts w:ascii="Times New Roman" w:hAnsi="Times New Roman" w:cs="Times New Roman"/>
              </w:rPr>
            </w:pPr>
          </w:p>
        </w:tc>
        <w:tc>
          <w:tcPr>
            <w:tcW w:w="14239" w:type="dxa"/>
          </w:tcPr>
          <w:p w14:paraId="4B79C1E7" w14:textId="274A804F" w:rsidR="00C83C8B" w:rsidRPr="00407677" w:rsidRDefault="00DA035F" w:rsidP="004D5D96">
            <w:pPr>
              <w:spacing w:before="120" w:after="120"/>
              <w:ind w:left="158"/>
              <w:jc w:val="both"/>
              <w:rPr>
                <w:rFonts w:ascii="Times New Roman" w:hAnsi="Times New Roman" w:cs="Times New Roman"/>
              </w:rPr>
            </w:pPr>
            <w:r>
              <w:rPr>
                <w:rFonts w:ascii="Times New Roman" w:hAnsi="Times New Roman" w:cs="Times New Roman"/>
              </w:rPr>
              <w:t>Pr</w:t>
            </w:r>
            <w:r w:rsidRPr="001E77AC">
              <w:rPr>
                <w:rFonts w:ascii="Times New Roman" w:hAnsi="Times New Roman" w:cs="Times New Roman"/>
              </w:rPr>
              <w:t>ojekto veiklomis numatom</w:t>
            </w:r>
            <w:r>
              <w:rPr>
                <w:rFonts w:ascii="Times New Roman" w:hAnsi="Times New Roman" w:cs="Times New Roman"/>
              </w:rPr>
              <w:t>i</w:t>
            </w:r>
            <w:r w:rsidRPr="001E77AC">
              <w:rPr>
                <w:rFonts w:ascii="Times New Roman" w:hAnsi="Times New Roman" w:cs="Times New Roman"/>
              </w:rPr>
              <w:t xml:space="preserve"> įrengti bendr</w:t>
            </w:r>
            <w:r>
              <w:rPr>
                <w:rFonts w:ascii="Times New Roman" w:hAnsi="Times New Roman" w:cs="Times New Roman"/>
              </w:rPr>
              <w:t>i</w:t>
            </w:r>
            <w:r w:rsidRPr="001E77AC">
              <w:rPr>
                <w:rFonts w:ascii="Times New Roman" w:hAnsi="Times New Roman" w:cs="Times New Roman"/>
              </w:rPr>
              <w:t xml:space="preserve"> pėsčiųjų ir dvira</w:t>
            </w:r>
            <w:r>
              <w:rPr>
                <w:rFonts w:ascii="Times New Roman" w:hAnsi="Times New Roman" w:cs="Times New Roman"/>
              </w:rPr>
              <w:t xml:space="preserve">čių </w:t>
            </w:r>
            <w:r w:rsidRPr="001E77AC">
              <w:rPr>
                <w:rFonts w:ascii="Times New Roman" w:hAnsi="Times New Roman" w:cs="Times New Roman"/>
              </w:rPr>
              <w:t>taka</w:t>
            </w:r>
            <w:r>
              <w:rPr>
                <w:rFonts w:ascii="Times New Roman" w:hAnsi="Times New Roman" w:cs="Times New Roman"/>
              </w:rPr>
              <w:t>i</w:t>
            </w:r>
            <w:r w:rsidRPr="001E77AC">
              <w:rPr>
                <w:rFonts w:ascii="Times New Roman" w:hAnsi="Times New Roman" w:cs="Times New Roman"/>
              </w:rPr>
              <w:t>, tačiau, vadovaujantis Gairių 2.11.1.5 p. bendri takai finansuojami tik išskirtiniais atvejais, kai tenkinamos abi šios sąlygos: 1) dėl techninių kliūčių (</w:t>
            </w:r>
            <w:r w:rsidRPr="001E77AC">
              <w:rPr>
                <w:rFonts w:ascii="Times New Roman" w:hAnsi="Times New Roman" w:cs="Times New Roman"/>
                <w:i/>
                <w:iCs/>
              </w:rPr>
              <w:t>pvz., erdvės trūkumo dėl istoriškai susiklosčiusios miesto pastatų ir gatvių infrastruktūros, riboto infrastruktūros statinio pločio, statinio užimamo žemės sklypo riboto pločio, esamų tiltų riboto pločio, gamtosaugos ar paveldosaugos apribojimų ir pan.</w:t>
            </w:r>
            <w:r w:rsidRPr="001E77AC">
              <w:rPr>
                <w:rFonts w:ascii="Times New Roman" w:hAnsi="Times New Roman" w:cs="Times New Roman"/>
              </w:rPr>
              <w:t xml:space="preserve">) atskiro dviračių tako ar dviračių ir pėsčiųjų tako (pagal 2.11.1.2. papunktį) tiesimas yra neįmanomas; 2) laukiamas pėsčiųjų eismo intensyvumas bus mažas ir dėl mažo eismo intensyvumo dviračių eismas gali vykti vienoje erdvėje su pėsčiaisiais. </w:t>
            </w:r>
            <w:r w:rsidRPr="004D5D96">
              <w:rPr>
                <w:rFonts w:ascii="Times New Roman" w:hAnsi="Times New Roman" w:cs="Times New Roman"/>
              </w:rPr>
              <w:t xml:space="preserve">PĮP planuojamas įrengti bendras pėsčiųjų-dviračių takas dažnu atveju nėra ribojamas pastatų, sklypų ar kitų techninių kliūčių ir eismo intensyvumas mažas (pvz.,100-200 dviračių per parą), todėl </w:t>
            </w:r>
            <w:r>
              <w:rPr>
                <w:rFonts w:ascii="Times New Roman" w:hAnsi="Times New Roman" w:cs="Times New Roman"/>
              </w:rPr>
              <w:t>bendri takai negali būti įrengiami. T</w:t>
            </w:r>
            <w:r w:rsidRPr="004D5D96">
              <w:rPr>
                <w:rFonts w:ascii="Times New Roman" w:hAnsi="Times New Roman" w:cs="Times New Roman"/>
              </w:rPr>
              <w:t xml:space="preserve">okiais atvejais prašoma taisyti neatitikimą (pvz., </w:t>
            </w:r>
            <w:r>
              <w:rPr>
                <w:rFonts w:ascii="Times New Roman" w:hAnsi="Times New Roman" w:cs="Times New Roman"/>
              </w:rPr>
              <w:t xml:space="preserve">visiškai </w:t>
            </w:r>
            <w:r w:rsidRPr="004D5D96">
              <w:rPr>
                <w:rFonts w:ascii="Times New Roman" w:hAnsi="Times New Roman" w:cs="Times New Roman"/>
              </w:rPr>
              <w:t>nebetraukiant objekto į PĮP apimtį, arba koreguojant techninį projektą</w:t>
            </w:r>
            <w:r>
              <w:rPr>
                <w:rFonts w:ascii="Times New Roman" w:hAnsi="Times New Roman" w:cs="Times New Roman"/>
              </w:rPr>
              <w:t>,</w:t>
            </w:r>
            <w:r w:rsidRPr="004D5D96">
              <w:rPr>
                <w:rFonts w:ascii="Times New Roman" w:hAnsi="Times New Roman" w:cs="Times New Roman"/>
              </w:rPr>
              <w:t xml:space="preserve"> jame nurodant platesnį taką, kuriame atskiriami pėsčiųjų ir dviratininkų srautai, ar kt.)</w:t>
            </w:r>
            <w:r>
              <w:rPr>
                <w:rFonts w:ascii="Times New Roman" w:hAnsi="Times New Roman" w:cs="Times New Roman"/>
              </w:rPr>
              <w:t>.</w:t>
            </w:r>
          </w:p>
        </w:tc>
      </w:tr>
      <w:tr w:rsidR="00C83C8B" w:rsidRPr="001E2989" w14:paraId="2E142686" w14:textId="77777777" w:rsidTr="00ED1609">
        <w:tc>
          <w:tcPr>
            <w:tcW w:w="606" w:type="dxa"/>
          </w:tcPr>
          <w:p w14:paraId="5611603A" w14:textId="77777777" w:rsidR="00C83C8B" w:rsidRPr="00A20692" w:rsidRDefault="00C83C8B" w:rsidP="004D5D96">
            <w:pPr>
              <w:pStyle w:val="ListParagraph"/>
              <w:numPr>
                <w:ilvl w:val="0"/>
                <w:numId w:val="1"/>
              </w:numPr>
              <w:spacing w:before="120" w:after="120"/>
              <w:ind w:left="72" w:firstLine="0"/>
              <w:rPr>
                <w:rFonts w:ascii="Times New Roman" w:hAnsi="Times New Roman" w:cs="Times New Roman"/>
              </w:rPr>
            </w:pPr>
          </w:p>
        </w:tc>
        <w:tc>
          <w:tcPr>
            <w:tcW w:w="14239" w:type="dxa"/>
          </w:tcPr>
          <w:p w14:paraId="73A578B1" w14:textId="16B5B321" w:rsidR="00C83C8B" w:rsidRPr="00407677" w:rsidRDefault="00DA035F" w:rsidP="004D5D96">
            <w:pPr>
              <w:spacing w:before="120" w:after="120"/>
              <w:ind w:left="158"/>
              <w:jc w:val="both"/>
              <w:rPr>
                <w:rFonts w:ascii="Times New Roman" w:hAnsi="Times New Roman" w:cs="Times New Roman"/>
              </w:rPr>
            </w:pPr>
            <w:r w:rsidRPr="003A600F">
              <w:rPr>
                <w:rFonts w:ascii="Times New Roman" w:hAnsi="Times New Roman" w:cs="Times New Roman"/>
              </w:rPr>
              <w:t>Nepaaiškinta ir nepateikti įrodymai, kurie patvirtintų</w:t>
            </w:r>
            <w:r>
              <w:rPr>
                <w:rFonts w:ascii="Times New Roman" w:hAnsi="Times New Roman" w:cs="Times New Roman"/>
              </w:rPr>
              <w:t>,</w:t>
            </w:r>
            <w:r w:rsidRPr="003A600F">
              <w:rPr>
                <w:rFonts w:ascii="Times New Roman" w:hAnsi="Times New Roman" w:cs="Times New Roman"/>
              </w:rPr>
              <w:t xml:space="preserve"> kad PĮP numatytas objektas yra miesto/gyvenvietės pagrindinės </w:t>
            </w:r>
            <w:proofErr w:type="spellStart"/>
            <w:r w:rsidRPr="003A600F">
              <w:rPr>
                <w:rFonts w:ascii="Times New Roman" w:hAnsi="Times New Roman" w:cs="Times New Roman"/>
              </w:rPr>
              <w:t>bevariklio</w:t>
            </w:r>
            <w:proofErr w:type="spellEnd"/>
            <w:r w:rsidRPr="003A600F">
              <w:rPr>
                <w:rFonts w:ascii="Times New Roman" w:hAnsi="Times New Roman" w:cs="Times New Roman"/>
              </w:rPr>
              <w:t xml:space="preserve"> transporto infrastuktūros ašyse, t. y., kad šių objektų įrengimas užtikrins vientiso, rišlaus ir saugaus savarankiško infrastruktūros tinklo suformavimą, kad planuojamų objektų trasų pradžia ir pabaiga sutampa su jau egzistuojančių pagrindinių </w:t>
            </w:r>
            <w:proofErr w:type="spellStart"/>
            <w:r w:rsidRPr="003A600F">
              <w:rPr>
                <w:rFonts w:ascii="Times New Roman" w:hAnsi="Times New Roman" w:cs="Times New Roman"/>
              </w:rPr>
              <w:t>bevariklio</w:t>
            </w:r>
            <w:proofErr w:type="spellEnd"/>
            <w:r w:rsidRPr="003A600F">
              <w:rPr>
                <w:rFonts w:ascii="Times New Roman" w:hAnsi="Times New Roman" w:cs="Times New Roman"/>
              </w:rPr>
              <w:t xml:space="preserve"> transporto ašių trasomis (Gairių 2.11 p. reikalavimas).</w:t>
            </w:r>
          </w:p>
        </w:tc>
      </w:tr>
      <w:tr w:rsidR="00D77ECC" w:rsidRPr="001E2989" w14:paraId="010297CE" w14:textId="77777777" w:rsidTr="00ED1609">
        <w:tc>
          <w:tcPr>
            <w:tcW w:w="606" w:type="dxa"/>
          </w:tcPr>
          <w:p w14:paraId="45E701C8"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4A3C2920" w14:textId="6DAE1AAB" w:rsidR="00D77ECC" w:rsidRPr="00407677" w:rsidRDefault="00D77ECC" w:rsidP="00D77ECC">
            <w:pPr>
              <w:spacing w:before="120" w:after="120"/>
              <w:ind w:left="158"/>
              <w:jc w:val="both"/>
              <w:rPr>
                <w:rFonts w:ascii="Times New Roman" w:hAnsi="Times New Roman" w:cs="Times New Roman"/>
              </w:rPr>
            </w:pPr>
            <w:r w:rsidRPr="000F0E9D">
              <w:rPr>
                <w:rFonts w:ascii="Times New Roman" w:hAnsi="Times New Roman" w:cs="Times New Roman"/>
              </w:rPr>
              <w:t xml:space="preserve">Nepateikti dokumentai, </w:t>
            </w:r>
            <w:r w:rsidRPr="000F0E9D">
              <w:rPr>
                <w:rFonts w:ascii="Times New Roman" w:eastAsia="Times New Roman" w:hAnsi="Times New Roman" w:cs="Times New Roman"/>
              </w:rPr>
              <w:t>pagrindžiantys pareiškėjo daiktines teises į statinį ir (ar) žemę, kuriuose bus vykdomos projekto veiklos.</w:t>
            </w:r>
          </w:p>
        </w:tc>
      </w:tr>
      <w:tr w:rsidR="00D77ECC" w:rsidRPr="001E2989" w14:paraId="37FC25ED" w14:textId="77777777" w:rsidTr="00ED1609">
        <w:tc>
          <w:tcPr>
            <w:tcW w:w="606" w:type="dxa"/>
          </w:tcPr>
          <w:p w14:paraId="25D9B633"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2C2F91E1" w14:textId="5FF1CD48" w:rsidR="00D77ECC" w:rsidRPr="00407677" w:rsidRDefault="00D77ECC" w:rsidP="00D77ECC">
            <w:pPr>
              <w:spacing w:before="120" w:after="120"/>
              <w:ind w:left="158"/>
              <w:jc w:val="both"/>
              <w:rPr>
                <w:rFonts w:ascii="Times New Roman" w:hAnsi="Times New Roman" w:cs="Times New Roman"/>
              </w:rPr>
            </w:pPr>
            <w:r w:rsidRPr="000F0E9D">
              <w:rPr>
                <w:rFonts w:ascii="Times New Roman" w:eastAsia="Times New Roman" w:hAnsi="Times New Roman" w:cs="Times New Roman"/>
              </w:rPr>
              <w:t>Nepateiktas dokumentas, kuriuo patvirtinamas pareiškėjo užtikrinamas nuosavų lėšų prisidėjimas.</w:t>
            </w:r>
          </w:p>
        </w:tc>
      </w:tr>
      <w:tr w:rsidR="00D77ECC" w:rsidRPr="001E2989" w14:paraId="147A7AF9" w14:textId="77777777" w:rsidTr="00ED1609">
        <w:tc>
          <w:tcPr>
            <w:tcW w:w="606" w:type="dxa"/>
          </w:tcPr>
          <w:p w14:paraId="77CCF850"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0D5F1A23" w14:textId="595B1452" w:rsidR="00D77ECC" w:rsidRPr="00407677" w:rsidRDefault="00D77ECC" w:rsidP="00D77ECC">
            <w:pPr>
              <w:spacing w:before="120" w:after="120"/>
              <w:ind w:left="158"/>
              <w:jc w:val="both"/>
              <w:rPr>
                <w:rFonts w:ascii="Times New Roman" w:hAnsi="Times New Roman" w:cs="Times New Roman"/>
              </w:rPr>
            </w:pPr>
            <w:r w:rsidRPr="000F0E9D">
              <w:rPr>
                <w:rFonts w:ascii="Times New Roman" w:hAnsi="Times New Roman" w:cs="Times New Roman"/>
              </w:rPr>
              <w:t>Nepateiktas statinio projekto suderinimą su asmenų su negalia organizacijomis įrodantis dokumentas, kaip to reikalauja Gairių 3.5 p. arba paaiškinimai (pagrįsti teisės aktais), kad toks derinimas nenumatytas Statybos įstatyme ar kituose teisės aktuose.</w:t>
            </w:r>
          </w:p>
        </w:tc>
      </w:tr>
      <w:tr w:rsidR="00D77ECC" w:rsidRPr="001E2989" w14:paraId="5C33BA4A" w14:textId="77777777" w:rsidTr="00ED1609">
        <w:tc>
          <w:tcPr>
            <w:tcW w:w="606" w:type="dxa"/>
          </w:tcPr>
          <w:p w14:paraId="39012603"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7C1C13E2" w14:textId="11083480" w:rsidR="00D77ECC" w:rsidRPr="00407677" w:rsidRDefault="00D77ECC" w:rsidP="00D77ECC">
            <w:pPr>
              <w:spacing w:before="120" w:after="120"/>
              <w:ind w:left="158"/>
              <w:jc w:val="both"/>
              <w:rPr>
                <w:rFonts w:ascii="Times New Roman" w:hAnsi="Times New Roman" w:cs="Times New Roman"/>
              </w:rPr>
            </w:pPr>
            <w:r w:rsidRPr="002F3A28">
              <w:rPr>
                <w:rFonts w:ascii="Times New Roman" w:hAnsi="Times New Roman" w:cs="Times New Roman"/>
              </w:rPr>
              <w:t xml:space="preserve">Dažnai prašoma pakeisti projekto biudžeto loginę matricą PĮP </w:t>
            </w:r>
            <w:r>
              <w:rPr>
                <w:rFonts w:ascii="Times New Roman" w:hAnsi="Times New Roman" w:cs="Times New Roman"/>
              </w:rPr>
              <w:t>3.1 dalyje</w:t>
            </w:r>
            <w:r w:rsidRPr="002F3A28">
              <w:rPr>
                <w:rFonts w:ascii="Times New Roman" w:hAnsi="Times New Roman" w:cs="Times New Roman"/>
              </w:rPr>
              <w:t xml:space="preserve"> „Projekto veiklos</w:t>
            </w:r>
            <w:r>
              <w:rPr>
                <w:rFonts w:ascii="Times New Roman" w:hAnsi="Times New Roman" w:cs="Times New Roman"/>
              </w:rPr>
              <w:t xml:space="preserve"> </w:t>
            </w:r>
            <w:r w:rsidRPr="00AA3A9F">
              <w:rPr>
                <w:rFonts w:ascii="Times New Roman" w:hAnsi="Times New Roman" w:cs="Times New Roman"/>
              </w:rPr>
              <w:t>(trukmė ir etapai)</w:t>
            </w:r>
            <w:r w:rsidRPr="002F3A28">
              <w:rPr>
                <w:rFonts w:ascii="Times New Roman" w:hAnsi="Times New Roman" w:cs="Times New Roman"/>
              </w:rPr>
              <w:t>“ sukuriant daugiau veiklų, nei numatyta pirminiame PĮP, kadangi pagal Gairių 2.1 punktą „Finansuojamos veiklos ir siekiami stebėsenos rodikliai“ numatyta įgyvendinti kelias skirtingas veiklas, kurių negalima apjungti į vieną.</w:t>
            </w:r>
          </w:p>
        </w:tc>
      </w:tr>
      <w:tr w:rsidR="00D77ECC" w:rsidRPr="001E2989" w14:paraId="73385D94" w14:textId="77777777" w:rsidTr="00ED1609">
        <w:tc>
          <w:tcPr>
            <w:tcW w:w="606" w:type="dxa"/>
          </w:tcPr>
          <w:p w14:paraId="52854DF3"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5F0C3ACB" w14:textId="67712C16" w:rsidR="00D77ECC" w:rsidRPr="000F0E9D" w:rsidRDefault="00D77ECC" w:rsidP="00D77ECC">
            <w:pPr>
              <w:spacing w:before="120" w:after="120"/>
              <w:ind w:left="158"/>
              <w:jc w:val="both"/>
              <w:rPr>
                <w:rFonts w:ascii="Times New Roman" w:hAnsi="Times New Roman" w:cs="Times New Roman"/>
              </w:rPr>
            </w:pPr>
            <w:r w:rsidRPr="00407677">
              <w:rPr>
                <w:rFonts w:ascii="Times New Roman" w:hAnsi="Times New Roman" w:cs="Times New Roman"/>
              </w:rPr>
              <w:t>Neteisingai apskaičiuo</w:t>
            </w:r>
            <w:r>
              <w:rPr>
                <w:rFonts w:ascii="Times New Roman" w:hAnsi="Times New Roman" w:cs="Times New Roman"/>
              </w:rPr>
              <w:t xml:space="preserve">jama </w:t>
            </w:r>
            <w:r w:rsidRPr="00407677">
              <w:rPr>
                <w:rFonts w:ascii="Times New Roman" w:hAnsi="Times New Roman" w:cs="Times New Roman"/>
              </w:rPr>
              <w:t xml:space="preserve">netiesioginių išlaidų tinkamų finansuoti išlaidų suma (lentelės stulpelyje „Fiksuotoji norma, skirta netiesioginėms ir kitoms išlaidoms padengti“). </w:t>
            </w:r>
            <w:r w:rsidRPr="00FF1075">
              <w:rPr>
                <w:rFonts w:ascii="Times New Roman" w:hAnsi="Times New Roman" w:cs="Times New Roman"/>
              </w:rPr>
              <w:t xml:space="preserve">PĮP  </w:t>
            </w:r>
            <w:r>
              <w:rPr>
                <w:rFonts w:ascii="Times New Roman" w:hAnsi="Times New Roman" w:cs="Times New Roman"/>
              </w:rPr>
              <w:t>3.1 dalyje</w:t>
            </w:r>
            <w:r w:rsidRPr="00FF1075">
              <w:rPr>
                <w:rFonts w:ascii="Times New Roman" w:hAnsi="Times New Roman" w:cs="Times New Roman"/>
              </w:rPr>
              <w:t xml:space="preserve"> „Projekto veiklos</w:t>
            </w:r>
            <w:r>
              <w:rPr>
                <w:rFonts w:ascii="Times New Roman" w:hAnsi="Times New Roman" w:cs="Times New Roman"/>
              </w:rPr>
              <w:t xml:space="preserve"> </w:t>
            </w:r>
            <w:r w:rsidRPr="00AA3A9F">
              <w:rPr>
                <w:rFonts w:ascii="Times New Roman" w:hAnsi="Times New Roman" w:cs="Times New Roman"/>
              </w:rPr>
              <w:t>(trukmė ir etapai)</w:t>
            </w:r>
            <w:r w:rsidRPr="00FF1075">
              <w:rPr>
                <w:rFonts w:ascii="Times New Roman" w:hAnsi="Times New Roman" w:cs="Times New Roman"/>
              </w:rPr>
              <w:t>“ neteisingai apskaičiuo</w:t>
            </w:r>
            <w:r>
              <w:rPr>
                <w:rFonts w:ascii="Times New Roman" w:hAnsi="Times New Roman" w:cs="Times New Roman"/>
              </w:rPr>
              <w:t>jama n</w:t>
            </w:r>
            <w:r w:rsidRPr="00FF1075">
              <w:rPr>
                <w:rFonts w:ascii="Times New Roman" w:hAnsi="Times New Roman" w:cs="Times New Roman"/>
              </w:rPr>
              <w:t>etiesioginių išlaidų skiltis „Iš jos PVM, eurais“</w:t>
            </w:r>
            <w:r>
              <w:rPr>
                <w:rFonts w:ascii="Times New Roman" w:hAnsi="Times New Roman" w:cs="Times New Roman"/>
              </w:rPr>
              <w:t>.</w:t>
            </w:r>
          </w:p>
        </w:tc>
      </w:tr>
      <w:tr w:rsidR="00D77ECC" w:rsidRPr="001E2989" w14:paraId="6036001D" w14:textId="77777777" w:rsidTr="00ED1609">
        <w:tc>
          <w:tcPr>
            <w:tcW w:w="606" w:type="dxa"/>
          </w:tcPr>
          <w:p w14:paraId="42DFCFC2"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1F321AAC" w14:textId="75BD77B8" w:rsidR="00D77ECC" w:rsidRPr="000F0E9D" w:rsidRDefault="00D77ECC" w:rsidP="00D77ECC">
            <w:pPr>
              <w:spacing w:before="120" w:after="120"/>
              <w:ind w:left="158"/>
              <w:jc w:val="both"/>
              <w:rPr>
                <w:rFonts w:ascii="Times New Roman" w:hAnsi="Times New Roman" w:cs="Times New Roman"/>
              </w:rPr>
            </w:pPr>
            <w:r w:rsidRPr="004D5D96">
              <w:rPr>
                <w:rFonts w:ascii="Times New Roman" w:hAnsi="Times New Roman" w:cs="Times New Roman"/>
              </w:rPr>
              <w:t xml:space="preserve">PĮP projekto matomumo ir informavimo apie projektą priemonių lentelėje nurodyta neteisinga tinkamų finansuoti išlaidų suma, nes nepasirinkti aktualūs supaprastinamai apmokamų išlaidų dydžiai (aktuali versija). </w:t>
            </w:r>
            <w:r>
              <w:rPr>
                <w:rFonts w:ascii="Times New Roman" w:hAnsi="Times New Roman" w:cs="Times New Roman"/>
              </w:rPr>
              <w:t>L</w:t>
            </w:r>
            <w:r w:rsidRPr="004D5D96">
              <w:rPr>
                <w:rFonts w:ascii="Times New Roman" w:hAnsi="Times New Roman" w:cs="Times New Roman"/>
              </w:rPr>
              <w:t xml:space="preserve">entelėje tinkamų finansuoti matomumo išlaidų suma neišskaidyta proporcingai kiekvienai </w:t>
            </w:r>
            <w:proofErr w:type="spellStart"/>
            <w:r w:rsidRPr="004D5D96">
              <w:rPr>
                <w:rFonts w:ascii="Times New Roman" w:hAnsi="Times New Roman" w:cs="Times New Roman"/>
              </w:rPr>
              <w:t>poveiklei</w:t>
            </w:r>
            <w:proofErr w:type="spellEnd"/>
            <w:r w:rsidRPr="004D5D96">
              <w:rPr>
                <w:rFonts w:ascii="Times New Roman" w:hAnsi="Times New Roman" w:cs="Times New Roman"/>
              </w:rPr>
              <w:t>.</w:t>
            </w:r>
          </w:p>
        </w:tc>
      </w:tr>
      <w:tr w:rsidR="00D77ECC" w:rsidRPr="001E2989" w14:paraId="393A03F6" w14:textId="77777777" w:rsidTr="00ED1609">
        <w:tc>
          <w:tcPr>
            <w:tcW w:w="606" w:type="dxa"/>
          </w:tcPr>
          <w:p w14:paraId="2324D056"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565941B1" w14:textId="7C19EC62" w:rsidR="00D77ECC" w:rsidRPr="00C0648D" w:rsidRDefault="00845F8D" w:rsidP="00D77ECC">
            <w:pPr>
              <w:spacing w:before="120" w:after="120"/>
              <w:ind w:left="158"/>
              <w:jc w:val="both"/>
              <w:rPr>
                <w:rFonts w:ascii="Times New Roman" w:hAnsi="Times New Roman" w:cs="Times New Roman"/>
                <w:lang w:val="en-US"/>
              </w:rPr>
            </w:pPr>
            <w:r w:rsidRPr="005D2A27">
              <w:rPr>
                <w:rFonts w:ascii="Times New Roman" w:hAnsi="Times New Roman" w:cs="Times New Roman"/>
              </w:rPr>
              <w:t xml:space="preserve">PĮP 2.4 dalyje </w:t>
            </w:r>
            <w:r>
              <w:rPr>
                <w:rFonts w:ascii="Times New Roman" w:hAnsi="Times New Roman" w:cs="Times New Roman"/>
              </w:rPr>
              <w:t>n</w:t>
            </w:r>
            <w:r w:rsidRPr="005D2A27">
              <w:rPr>
                <w:rFonts w:ascii="Times New Roman" w:hAnsi="Times New Roman" w:cs="Times New Roman"/>
              </w:rPr>
              <w:t>enurod</w:t>
            </w:r>
            <w:r>
              <w:rPr>
                <w:rFonts w:ascii="Times New Roman" w:hAnsi="Times New Roman" w:cs="Times New Roman"/>
              </w:rPr>
              <w:t xml:space="preserve">omi kylantys </w:t>
            </w:r>
            <w:r w:rsidRPr="005D2A27">
              <w:rPr>
                <w:rFonts w:ascii="Times New Roman" w:hAnsi="Times New Roman" w:cs="Times New Roman"/>
              </w:rPr>
              <w:t>teisini</w:t>
            </w:r>
            <w:r>
              <w:rPr>
                <w:rFonts w:ascii="Times New Roman" w:hAnsi="Times New Roman" w:cs="Times New Roman"/>
              </w:rPr>
              <w:t>ai</w:t>
            </w:r>
            <w:r w:rsidRPr="005D2A27">
              <w:rPr>
                <w:rFonts w:ascii="Times New Roman" w:hAnsi="Times New Roman" w:cs="Times New Roman"/>
              </w:rPr>
              <w:t xml:space="preserve"> apribojim</w:t>
            </w:r>
            <w:r>
              <w:rPr>
                <w:rFonts w:ascii="Times New Roman" w:hAnsi="Times New Roman" w:cs="Times New Roman"/>
              </w:rPr>
              <w:t>ai</w:t>
            </w:r>
            <w:r w:rsidRPr="005D2A27">
              <w:rPr>
                <w:rFonts w:ascii="Times New Roman" w:hAnsi="Times New Roman" w:cs="Times New Roman"/>
              </w:rPr>
              <w:t>.</w:t>
            </w:r>
          </w:p>
        </w:tc>
      </w:tr>
      <w:tr w:rsidR="00D77ECC" w:rsidRPr="001E2989" w14:paraId="395AAA62" w14:textId="77777777" w:rsidTr="00ED1609">
        <w:tc>
          <w:tcPr>
            <w:tcW w:w="606" w:type="dxa"/>
          </w:tcPr>
          <w:p w14:paraId="4F205B9B"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276719EF" w14:textId="7D62672D" w:rsidR="00D77ECC" w:rsidRPr="000F0E9D" w:rsidRDefault="00D77ECC" w:rsidP="00D77ECC">
            <w:pPr>
              <w:spacing w:before="120" w:after="120"/>
              <w:ind w:left="158"/>
              <w:jc w:val="both"/>
              <w:rPr>
                <w:rFonts w:ascii="Times New Roman" w:hAnsi="Times New Roman" w:cs="Times New Roman"/>
              </w:rPr>
            </w:pPr>
            <w:r w:rsidRPr="00465FDA">
              <w:rPr>
                <w:rFonts w:ascii="Times New Roman" w:hAnsi="Times New Roman" w:cs="Times New Roman"/>
              </w:rPr>
              <w:t xml:space="preserve">Netinkamai suskaičiuota </w:t>
            </w:r>
            <w:r>
              <w:rPr>
                <w:rFonts w:ascii="Times New Roman" w:hAnsi="Times New Roman" w:cs="Times New Roman"/>
              </w:rPr>
              <w:t>p</w:t>
            </w:r>
            <w:r w:rsidRPr="00465FDA">
              <w:rPr>
                <w:rFonts w:ascii="Times New Roman" w:hAnsi="Times New Roman" w:cs="Times New Roman"/>
              </w:rPr>
              <w:t>rojekto matomumo ir informavimo apie projektą priemonės (fiksuotos sumos) suma</w:t>
            </w:r>
            <w:r>
              <w:rPr>
                <w:rFonts w:ascii="Times New Roman" w:hAnsi="Times New Roman" w:cs="Times New Roman"/>
              </w:rPr>
              <w:t xml:space="preserve">. Nenurodytas projekto </w:t>
            </w:r>
            <w:r w:rsidRPr="00465FDA">
              <w:rPr>
                <w:rFonts w:ascii="Times New Roman" w:hAnsi="Times New Roman" w:cs="Times New Roman"/>
              </w:rPr>
              <w:t>matomumo ir informavimo apie projektą priemonės</w:t>
            </w:r>
            <w:r>
              <w:rPr>
                <w:rFonts w:ascii="Times New Roman" w:hAnsi="Times New Roman" w:cs="Times New Roman"/>
              </w:rPr>
              <w:t xml:space="preserve"> įrengimo terminas/laikotarpis. Nepateiktas komunikacinio renginio planas (taikoma projektams, kurių vertė ≥10 mln. Eur), aprašymas, preliminari darbotvarkė ar kitoks renginį apibūdinantis dokumentas ir pagal jį parengtas išlaidų dydį pagrindžiantis dokumentas (vadovaujantis Gairių 2.18.4 p.).</w:t>
            </w:r>
          </w:p>
        </w:tc>
      </w:tr>
      <w:tr w:rsidR="00D77ECC" w:rsidRPr="001E2989" w14:paraId="364F90E5" w14:textId="77777777" w:rsidTr="00ED1609">
        <w:tc>
          <w:tcPr>
            <w:tcW w:w="606" w:type="dxa"/>
          </w:tcPr>
          <w:p w14:paraId="52E9EEF5" w14:textId="08E54966"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7380FBFA" w14:textId="0BAE651F" w:rsidR="00D77ECC" w:rsidRPr="005D2A27" w:rsidRDefault="00D77ECC" w:rsidP="00D77ECC">
            <w:pPr>
              <w:spacing w:before="120" w:after="120"/>
              <w:ind w:left="158"/>
              <w:jc w:val="both"/>
              <w:rPr>
                <w:rFonts w:ascii="Times New Roman" w:hAnsi="Times New Roman" w:cs="Times New Roman"/>
              </w:rPr>
            </w:pPr>
            <w:r w:rsidRPr="005D2A27">
              <w:rPr>
                <w:rFonts w:ascii="Times New Roman" w:hAnsi="Times New Roman" w:cs="Times New Roman"/>
              </w:rPr>
              <w:t>PĮP 2.5 dalyje „Rezultatai (produkto stebėsenos rodiklis (-</w:t>
            </w:r>
            <w:proofErr w:type="spellStart"/>
            <w:r w:rsidRPr="005D2A27">
              <w:rPr>
                <w:rFonts w:ascii="Times New Roman" w:hAnsi="Times New Roman" w:cs="Times New Roman"/>
              </w:rPr>
              <w:t>iai</w:t>
            </w:r>
            <w:proofErr w:type="spellEnd"/>
            <w:r w:rsidRPr="005D2A27">
              <w:rPr>
                <w:rFonts w:ascii="Times New Roman" w:hAnsi="Times New Roman" w:cs="Times New Roman"/>
              </w:rPr>
              <w:t>) ir (arba) rezultato stebėsenos rodiklis (-</w:t>
            </w:r>
            <w:proofErr w:type="spellStart"/>
            <w:r w:rsidRPr="005D2A27">
              <w:rPr>
                <w:rFonts w:ascii="Times New Roman" w:hAnsi="Times New Roman" w:cs="Times New Roman"/>
              </w:rPr>
              <w:t>iai</w:t>
            </w:r>
            <w:proofErr w:type="spellEnd"/>
            <w:r w:rsidRPr="005D2A27">
              <w:rPr>
                <w:rFonts w:ascii="Times New Roman" w:hAnsi="Times New Roman" w:cs="Times New Roman"/>
              </w:rPr>
              <w:t>))“ nenurod</w:t>
            </w:r>
            <w:r>
              <w:rPr>
                <w:rFonts w:ascii="Times New Roman" w:hAnsi="Times New Roman" w:cs="Times New Roman"/>
              </w:rPr>
              <w:t>oma</w:t>
            </w:r>
            <w:r w:rsidRPr="005D2A27">
              <w:rPr>
                <w:rFonts w:ascii="Times New Roman" w:hAnsi="Times New Roman" w:cs="Times New Roman"/>
              </w:rPr>
              <w:t>, kaip bus apskaičiuojama produkto stebėsenos rodiklio reikšmė ir kada rodiklis bus laikomas pasiektu (koks procesas ir kokie dokumentai tai įrodys).</w:t>
            </w:r>
          </w:p>
        </w:tc>
      </w:tr>
      <w:tr w:rsidR="00D77ECC" w:rsidRPr="001E2989" w14:paraId="72375339" w14:textId="77777777" w:rsidTr="00ED1609">
        <w:tc>
          <w:tcPr>
            <w:tcW w:w="606" w:type="dxa"/>
          </w:tcPr>
          <w:p w14:paraId="0FA01C0C" w14:textId="77777777"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0C60A219" w14:textId="1842CFB9" w:rsidR="00D77ECC" w:rsidRPr="00521E42" w:rsidRDefault="00D77ECC" w:rsidP="00D77ECC">
            <w:pPr>
              <w:spacing w:before="120" w:after="120"/>
              <w:ind w:left="158"/>
              <w:jc w:val="both"/>
              <w:rPr>
                <w:rFonts w:ascii="Times New Roman" w:hAnsi="Times New Roman" w:cs="Times New Roman"/>
              </w:rPr>
            </w:pPr>
            <w:r w:rsidRPr="00521E42">
              <w:rPr>
                <w:rFonts w:ascii="Times New Roman" w:hAnsi="Times New Roman" w:cs="Times New Roman"/>
              </w:rPr>
              <w:t xml:space="preserve">Dažnai </w:t>
            </w:r>
            <w:r>
              <w:rPr>
                <w:rFonts w:ascii="Times New Roman" w:hAnsi="Times New Roman" w:cs="Times New Roman"/>
              </w:rPr>
              <w:t xml:space="preserve">nesutampa </w:t>
            </w:r>
            <w:r w:rsidRPr="00521E42">
              <w:rPr>
                <w:rFonts w:ascii="Times New Roman" w:hAnsi="Times New Roman" w:cs="Times New Roman"/>
              </w:rPr>
              <w:t xml:space="preserve">PĮP </w:t>
            </w:r>
            <w:r>
              <w:rPr>
                <w:rFonts w:ascii="Times New Roman" w:hAnsi="Times New Roman" w:cs="Times New Roman"/>
              </w:rPr>
              <w:t xml:space="preserve">ir </w:t>
            </w:r>
            <w:r w:rsidRPr="00521E42">
              <w:rPr>
                <w:rFonts w:ascii="Times New Roman" w:hAnsi="Times New Roman" w:cs="Times New Roman"/>
              </w:rPr>
              <w:t>kartu su PĮP pateiktame projekto investicijų projekte nurodyt</w:t>
            </w:r>
            <w:r>
              <w:rPr>
                <w:rFonts w:ascii="Times New Roman" w:hAnsi="Times New Roman" w:cs="Times New Roman"/>
              </w:rPr>
              <w:t>as</w:t>
            </w:r>
            <w:r w:rsidRPr="00521E42">
              <w:rPr>
                <w:rFonts w:ascii="Times New Roman" w:hAnsi="Times New Roman" w:cs="Times New Roman"/>
              </w:rPr>
              <w:t xml:space="preserve"> projekto tiksl</w:t>
            </w:r>
            <w:r>
              <w:rPr>
                <w:rFonts w:ascii="Times New Roman" w:hAnsi="Times New Roman" w:cs="Times New Roman"/>
              </w:rPr>
              <w:t>as.</w:t>
            </w:r>
          </w:p>
        </w:tc>
      </w:tr>
      <w:tr w:rsidR="00D77ECC" w:rsidRPr="001E2989" w14:paraId="6D27B62E" w14:textId="77777777" w:rsidTr="00ED1609">
        <w:tc>
          <w:tcPr>
            <w:tcW w:w="606" w:type="dxa"/>
          </w:tcPr>
          <w:p w14:paraId="0D0655BF" w14:textId="13AEB70E"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47143450" w14:textId="161F3336" w:rsidR="00D77ECC" w:rsidRPr="001E2989" w:rsidRDefault="00D77ECC" w:rsidP="00D77ECC">
            <w:pPr>
              <w:spacing w:before="120" w:after="120"/>
              <w:ind w:left="158"/>
              <w:jc w:val="both"/>
              <w:rPr>
                <w:rFonts w:ascii="Times New Roman" w:hAnsi="Times New Roman" w:cs="Times New Roman"/>
              </w:rPr>
            </w:pPr>
            <w:r w:rsidRPr="00EA0526">
              <w:rPr>
                <w:rFonts w:ascii="Times New Roman" w:hAnsi="Times New Roman" w:cs="Times New Roman"/>
              </w:rPr>
              <w:t>Trūksta įrodymų, kaip užtikrintas Gairių 2.17.1 punkto reikalavimas (projektu įgyvendinamas(-i) miesto tvarios plėtros strategijoje ar funkcinės zonos strategijoje numatytas(-i) investicinis(-</w:t>
            </w:r>
            <w:proofErr w:type="spellStart"/>
            <w:r w:rsidRPr="00EA0526">
              <w:rPr>
                <w:rFonts w:ascii="Times New Roman" w:hAnsi="Times New Roman" w:cs="Times New Roman"/>
              </w:rPr>
              <w:t>iai</w:t>
            </w:r>
            <w:proofErr w:type="spellEnd"/>
            <w:r w:rsidRPr="00EA0526">
              <w:rPr>
                <w:rFonts w:ascii="Times New Roman" w:hAnsi="Times New Roman" w:cs="Times New Roman"/>
              </w:rPr>
              <w:t>) veiksmas(-ai)</w:t>
            </w:r>
            <w:r w:rsidRPr="00EA0526">
              <w:rPr>
                <w:rFonts w:ascii="Times New Roman" w:hAnsi="Times New Roman" w:cs="Times New Roman"/>
                <w:b/>
                <w:bCs/>
              </w:rPr>
              <w:t xml:space="preserve"> </w:t>
            </w:r>
            <w:r w:rsidRPr="00EA0526">
              <w:rPr>
                <w:rFonts w:ascii="Times New Roman" w:hAnsi="Times New Roman" w:cs="Times New Roman"/>
              </w:rPr>
              <w:t>ar jo dalis(-</w:t>
            </w:r>
            <w:proofErr w:type="spellStart"/>
            <w:r w:rsidRPr="00EA0526">
              <w:rPr>
                <w:rFonts w:ascii="Times New Roman" w:hAnsi="Times New Roman" w:cs="Times New Roman"/>
              </w:rPr>
              <w:t>ys</w:t>
            </w:r>
            <w:proofErr w:type="spellEnd"/>
            <w:r w:rsidRPr="00EA0526">
              <w:rPr>
                <w:rFonts w:ascii="Times New Roman" w:hAnsi="Times New Roman" w:cs="Times New Roman"/>
              </w:rPr>
              <w:t>)</w:t>
            </w:r>
            <w:r>
              <w:rPr>
                <w:rFonts w:ascii="Times New Roman" w:hAnsi="Times New Roman" w:cs="Times New Roman"/>
              </w:rPr>
              <w:t>.</w:t>
            </w:r>
          </w:p>
        </w:tc>
      </w:tr>
      <w:tr w:rsidR="00D77ECC" w:rsidRPr="001E2989" w14:paraId="39DE280A" w14:textId="77777777" w:rsidTr="00ED1609">
        <w:trPr>
          <w:trHeight w:val="197"/>
        </w:trPr>
        <w:tc>
          <w:tcPr>
            <w:tcW w:w="606" w:type="dxa"/>
          </w:tcPr>
          <w:p w14:paraId="1366BBD6" w14:textId="0F57D28F"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6740BEA2" w14:textId="2E037F1F" w:rsidR="00D77ECC" w:rsidRPr="00E33DC6" w:rsidRDefault="00D77ECC" w:rsidP="00D77ECC">
            <w:pPr>
              <w:spacing w:before="120" w:after="120"/>
              <w:ind w:left="158"/>
              <w:jc w:val="both"/>
              <w:rPr>
                <w:rFonts w:ascii="Times New Roman" w:hAnsi="Times New Roman" w:cs="Times New Roman"/>
              </w:rPr>
            </w:pPr>
            <w:r w:rsidRPr="00E33DC6">
              <w:rPr>
                <w:rFonts w:ascii="Times New Roman" w:hAnsi="Times New Roman" w:cs="Times New Roman"/>
              </w:rPr>
              <w:t xml:space="preserve">Nedetalizuotas PĮP </w:t>
            </w:r>
            <w:r>
              <w:rPr>
                <w:rFonts w:ascii="Times New Roman" w:hAnsi="Times New Roman" w:cs="Times New Roman"/>
              </w:rPr>
              <w:t>3.8 dalis</w:t>
            </w:r>
            <w:r w:rsidRPr="00E33DC6">
              <w:rPr>
                <w:rFonts w:ascii="Times New Roman" w:hAnsi="Times New Roman" w:cs="Times New Roman"/>
              </w:rPr>
              <w:t xml:space="preserve"> „Horizontalieji principai</w:t>
            </w:r>
            <w:r>
              <w:rPr>
                <w:rFonts w:ascii="Times New Roman" w:hAnsi="Times New Roman" w:cs="Times New Roman"/>
              </w:rPr>
              <w:t xml:space="preserve"> </w:t>
            </w:r>
            <w:r w:rsidRPr="00221410">
              <w:rPr>
                <w:rFonts w:ascii="Times New Roman" w:hAnsi="Times New Roman" w:cs="Times New Roman"/>
              </w:rPr>
              <w:t>(toliau – HP) ir atitinkamos Europos Sąjungos pagrindinių teisių chartijos (toliau – Chartija) nuostatos</w:t>
            </w:r>
            <w:r w:rsidRPr="00E33DC6">
              <w:rPr>
                <w:rFonts w:ascii="Times New Roman" w:hAnsi="Times New Roman" w:cs="Times New Roman"/>
              </w:rPr>
              <w:t>“, įskaitant reikšmingos žalos nedarymo principo aprašymą nurodant realius įsipareigojimus (ar jau atliktus veiksmus), numatytus užpildytame Gairių 1 priede.</w:t>
            </w:r>
          </w:p>
        </w:tc>
      </w:tr>
      <w:tr w:rsidR="00D77ECC" w:rsidRPr="001E2989" w14:paraId="39D256DA" w14:textId="77777777" w:rsidTr="00ED1609">
        <w:tc>
          <w:tcPr>
            <w:tcW w:w="606" w:type="dxa"/>
          </w:tcPr>
          <w:p w14:paraId="55522576" w14:textId="18FC540A" w:rsidR="00D77ECC" w:rsidRPr="00A20692" w:rsidRDefault="00D77ECC" w:rsidP="00D77ECC">
            <w:pPr>
              <w:pStyle w:val="ListParagraph"/>
              <w:numPr>
                <w:ilvl w:val="0"/>
                <w:numId w:val="1"/>
              </w:numPr>
              <w:spacing w:before="120" w:after="120"/>
              <w:ind w:left="72" w:firstLine="0"/>
              <w:rPr>
                <w:rFonts w:ascii="Times New Roman" w:hAnsi="Times New Roman" w:cs="Times New Roman"/>
              </w:rPr>
            </w:pPr>
          </w:p>
        </w:tc>
        <w:tc>
          <w:tcPr>
            <w:tcW w:w="14239" w:type="dxa"/>
          </w:tcPr>
          <w:p w14:paraId="4B73F031" w14:textId="0EE14DF1" w:rsidR="00D77ECC" w:rsidRPr="00E16E91" w:rsidRDefault="00D77ECC" w:rsidP="00D77ECC">
            <w:pPr>
              <w:spacing w:before="120" w:after="120"/>
              <w:ind w:left="158"/>
              <w:jc w:val="both"/>
              <w:rPr>
                <w:rFonts w:ascii="Times New Roman" w:hAnsi="Times New Roman" w:cs="Times New Roman"/>
              </w:rPr>
            </w:pPr>
            <w:r w:rsidRPr="00E16E91">
              <w:rPr>
                <w:rFonts w:ascii="Times New Roman" w:hAnsi="Times New Roman" w:cs="Times New Roman"/>
              </w:rPr>
              <w:t>Nurodyti netinkami duomenys (neatitinkantys investicijų projekto) PĮP 12 skirsnio „Projekto rezultatų tęstinumo planas“ lentelėje</w:t>
            </w:r>
            <w:r>
              <w:rPr>
                <w:rFonts w:ascii="Times New Roman" w:hAnsi="Times New Roman" w:cs="Times New Roman"/>
              </w:rPr>
              <w:t xml:space="preserve"> (neatitinka rezultatų palaikymo sumos, ar ataskaitinis laikotarpis, nurodytas investicijų projekte).</w:t>
            </w:r>
          </w:p>
        </w:tc>
      </w:tr>
    </w:tbl>
    <w:p w14:paraId="15B26665" w14:textId="77777777" w:rsidR="00ED1609" w:rsidRDefault="00ED1609">
      <w:r>
        <w:br w:type="page"/>
      </w:r>
    </w:p>
    <w:tbl>
      <w:tblPr>
        <w:tblStyle w:val="TableGrid"/>
        <w:tblW w:w="14845" w:type="dxa"/>
        <w:tblLook w:val="04A0" w:firstRow="1" w:lastRow="0" w:firstColumn="1" w:lastColumn="0" w:noHBand="0" w:noVBand="1"/>
      </w:tblPr>
      <w:tblGrid>
        <w:gridCol w:w="606"/>
        <w:gridCol w:w="14239"/>
      </w:tblGrid>
      <w:tr w:rsidR="00A20692" w:rsidRPr="001E2989" w14:paraId="409CFEED" w14:textId="77777777" w:rsidTr="00ED1609">
        <w:tc>
          <w:tcPr>
            <w:tcW w:w="606" w:type="dxa"/>
          </w:tcPr>
          <w:p w14:paraId="03345F54" w14:textId="39553A82" w:rsidR="00A20692" w:rsidRPr="005E49DA" w:rsidRDefault="00A20692" w:rsidP="005E49DA">
            <w:pPr>
              <w:spacing w:before="120" w:after="120"/>
              <w:rPr>
                <w:rFonts w:ascii="Times New Roman" w:hAnsi="Times New Roman" w:cs="Times New Roman"/>
              </w:rPr>
            </w:pPr>
          </w:p>
        </w:tc>
        <w:tc>
          <w:tcPr>
            <w:tcW w:w="14239" w:type="dxa"/>
          </w:tcPr>
          <w:p w14:paraId="0B39B9E3" w14:textId="66DB1513" w:rsidR="00A20692" w:rsidRPr="001E2989" w:rsidRDefault="005E49DA" w:rsidP="008839CD">
            <w:pPr>
              <w:spacing w:before="120" w:after="120"/>
              <w:ind w:left="162"/>
              <w:jc w:val="both"/>
              <w:rPr>
                <w:rFonts w:ascii="Times New Roman" w:hAnsi="Times New Roman" w:cs="Times New Roman"/>
              </w:rPr>
            </w:pPr>
            <w:r w:rsidRPr="001E2989">
              <w:rPr>
                <w:rFonts w:ascii="Times New Roman" w:hAnsi="Times New Roman" w:cs="Times New Roman"/>
                <w:b/>
                <w:bCs/>
              </w:rPr>
              <w:t xml:space="preserve">Dažniausiai pasitaikančios klaidos, neatitikimai, trūkumai regioninių </w:t>
            </w:r>
            <w:r>
              <w:rPr>
                <w:rFonts w:ascii="Times New Roman" w:hAnsi="Times New Roman" w:cs="Times New Roman"/>
                <w:b/>
                <w:bCs/>
              </w:rPr>
              <w:t xml:space="preserve">darnaus judumo (SM) </w:t>
            </w:r>
            <w:r w:rsidRPr="001E2989">
              <w:rPr>
                <w:rFonts w:ascii="Times New Roman" w:hAnsi="Times New Roman" w:cs="Times New Roman"/>
                <w:b/>
                <w:bCs/>
              </w:rPr>
              <w:t>pažangos priemonių</w:t>
            </w:r>
            <w:r>
              <w:rPr>
                <w:rFonts w:ascii="Times New Roman" w:hAnsi="Times New Roman" w:cs="Times New Roman"/>
                <w:b/>
                <w:bCs/>
              </w:rPr>
              <w:t xml:space="preserve"> (</w:t>
            </w:r>
            <w:proofErr w:type="spellStart"/>
            <w:r>
              <w:rPr>
                <w:rFonts w:ascii="Times New Roman" w:hAnsi="Times New Roman" w:cs="Times New Roman"/>
                <w:b/>
                <w:bCs/>
              </w:rPr>
              <w:t>PžP</w:t>
            </w:r>
            <w:proofErr w:type="spellEnd"/>
            <w:r>
              <w:rPr>
                <w:rFonts w:ascii="Times New Roman" w:hAnsi="Times New Roman" w:cs="Times New Roman"/>
                <w:b/>
                <w:bCs/>
              </w:rPr>
              <w:t xml:space="preserve">) </w:t>
            </w:r>
            <w:r w:rsidRPr="001E2989">
              <w:rPr>
                <w:rFonts w:ascii="Times New Roman" w:hAnsi="Times New Roman" w:cs="Times New Roman"/>
                <w:b/>
                <w:bCs/>
              </w:rPr>
              <w:t>projektų</w:t>
            </w:r>
            <w:r w:rsidR="009F3DF6">
              <w:rPr>
                <w:rFonts w:ascii="Times New Roman" w:hAnsi="Times New Roman" w:cs="Times New Roman"/>
                <w:b/>
                <w:bCs/>
              </w:rPr>
              <w:t xml:space="preserve"> </w:t>
            </w:r>
            <w:r w:rsidR="009F3DF6" w:rsidRPr="009F3DF6">
              <w:rPr>
                <w:rFonts w:ascii="Times New Roman" w:hAnsi="Times New Roman" w:cs="Times New Roman"/>
                <w:b/>
                <w:bCs/>
                <w:color w:val="4C94D8" w:themeColor="text2" w:themeTint="80"/>
              </w:rPr>
              <w:t>investicijų pla</w:t>
            </w:r>
            <w:r w:rsidRPr="009F3DF6">
              <w:rPr>
                <w:rFonts w:ascii="Times New Roman" w:hAnsi="Times New Roman" w:cs="Times New Roman"/>
                <w:b/>
                <w:bCs/>
                <w:color w:val="4C94D8" w:themeColor="text2" w:themeTint="80"/>
              </w:rPr>
              <w:t>nuose (</w:t>
            </w:r>
            <w:r w:rsidR="009F3DF6" w:rsidRPr="009F3DF6">
              <w:rPr>
                <w:rFonts w:ascii="Times New Roman" w:hAnsi="Times New Roman" w:cs="Times New Roman"/>
                <w:b/>
                <w:bCs/>
                <w:color w:val="4C94D8" w:themeColor="text2" w:themeTint="80"/>
              </w:rPr>
              <w:t>I</w:t>
            </w:r>
            <w:r w:rsidRPr="009F3DF6">
              <w:rPr>
                <w:rFonts w:ascii="Times New Roman" w:hAnsi="Times New Roman" w:cs="Times New Roman"/>
                <w:b/>
                <w:bCs/>
                <w:color w:val="4C94D8" w:themeColor="text2" w:themeTint="80"/>
              </w:rPr>
              <w:t>P)</w:t>
            </w:r>
            <w:r w:rsidRPr="001E2989">
              <w:rPr>
                <w:rFonts w:ascii="Times New Roman" w:hAnsi="Times New Roman" w:cs="Times New Roman"/>
                <w:b/>
                <w:bCs/>
              </w:rPr>
              <w:t>:</w:t>
            </w:r>
          </w:p>
        </w:tc>
      </w:tr>
      <w:tr w:rsidR="00A20692" w:rsidRPr="001E2989" w14:paraId="36B7D4B2" w14:textId="77777777" w:rsidTr="00ED1609">
        <w:tc>
          <w:tcPr>
            <w:tcW w:w="606" w:type="dxa"/>
          </w:tcPr>
          <w:p w14:paraId="6867D93B" w14:textId="77777777" w:rsidR="00A20692" w:rsidRPr="00A20692" w:rsidRDefault="00A20692"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73058B24" w14:textId="256B836A" w:rsidR="00A20692" w:rsidRPr="001E2989" w:rsidRDefault="00596294" w:rsidP="00596294">
            <w:pPr>
              <w:spacing w:before="120" w:after="120"/>
              <w:ind w:left="162"/>
              <w:jc w:val="both"/>
              <w:rPr>
                <w:rFonts w:ascii="Times New Roman" w:hAnsi="Times New Roman" w:cs="Times New Roman"/>
              </w:rPr>
            </w:pPr>
            <w:r>
              <w:rPr>
                <w:rFonts w:ascii="Times New Roman" w:hAnsi="Times New Roman" w:cs="Times New Roman"/>
              </w:rPr>
              <w:t xml:space="preserve">Taikomi netinkami </w:t>
            </w:r>
            <w:r w:rsidR="00602101">
              <w:rPr>
                <w:rFonts w:ascii="Times New Roman" w:hAnsi="Times New Roman" w:cs="Times New Roman"/>
              </w:rPr>
              <w:t>soc</w:t>
            </w:r>
            <w:r w:rsidR="00D0614A">
              <w:rPr>
                <w:rFonts w:ascii="Times New Roman" w:hAnsi="Times New Roman" w:cs="Times New Roman"/>
              </w:rPr>
              <w:t>ialinė</w:t>
            </w:r>
            <w:r>
              <w:rPr>
                <w:rFonts w:ascii="Times New Roman" w:hAnsi="Times New Roman" w:cs="Times New Roman"/>
              </w:rPr>
              <w:t>s</w:t>
            </w:r>
            <w:r w:rsidR="00D0614A">
              <w:rPr>
                <w:rFonts w:ascii="Times New Roman" w:hAnsi="Times New Roman" w:cs="Times New Roman"/>
              </w:rPr>
              <w:t xml:space="preserve"> ekonominė</w:t>
            </w:r>
            <w:r>
              <w:rPr>
                <w:rFonts w:ascii="Times New Roman" w:hAnsi="Times New Roman" w:cs="Times New Roman"/>
              </w:rPr>
              <w:t>s</w:t>
            </w:r>
            <w:r w:rsidR="00D0614A">
              <w:rPr>
                <w:rFonts w:ascii="Times New Roman" w:hAnsi="Times New Roman" w:cs="Times New Roman"/>
              </w:rPr>
              <w:t xml:space="preserve"> </w:t>
            </w:r>
            <w:r w:rsidR="00CE254C" w:rsidRPr="00CC5E16">
              <w:rPr>
                <w:rFonts w:ascii="Times New Roman" w:hAnsi="Times New Roman" w:cs="Times New Roman"/>
              </w:rPr>
              <w:t>naud</w:t>
            </w:r>
            <w:r>
              <w:rPr>
                <w:rFonts w:ascii="Times New Roman" w:hAnsi="Times New Roman" w:cs="Times New Roman"/>
              </w:rPr>
              <w:t xml:space="preserve">os kriterijai </w:t>
            </w:r>
            <w:r w:rsidR="00CE254C" w:rsidRPr="00CC5E16">
              <w:rPr>
                <w:rFonts w:ascii="Times New Roman" w:hAnsi="Times New Roman" w:cs="Times New Roman"/>
              </w:rPr>
              <w:t>(</w:t>
            </w:r>
            <w:r>
              <w:rPr>
                <w:rFonts w:ascii="Times New Roman" w:hAnsi="Times New Roman" w:cs="Times New Roman"/>
              </w:rPr>
              <w:t>pvz., v</w:t>
            </w:r>
            <w:r w:rsidR="00CE254C" w:rsidRPr="00CC5E16">
              <w:rPr>
                <w:rFonts w:ascii="Times New Roman" w:hAnsi="Times New Roman" w:cs="Times New Roman"/>
              </w:rPr>
              <w:t>ietovės patrauklumo padidėjimas</w:t>
            </w:r>
            <w:r>
              <w:rPr>
                <w:rFonts w:ascii="Times New Roman" w:hAnsi="Times New Roman" w:cs="Times New Roman"/>
              </w:rPr>
              <w:t>,</w:t>
            </w:r>
            <w:r w:rsidR="00CE254C" w:rsidRPr="00CC5E16">
              <w:rPr>
                <w:rFonts w:ascii="Times New Roman" w:hAnsi="Times New Roman" w:cs="Times New Roman"/>
              </w:rPr>
              <w:t xml:space="preserve"> išreiškiamas nekilnojamojo turto vertės augimu</w:t>
            </w:r>
            <w:r>
              <w:rPr>
                <w:rFonts w:ascii="Times New Roman" w:hAnsi="Times New Roman" w:cs="Times New Roman"/>
              </w:rPr>
              <w:t xml:space="preserve">, kuris neadekvatus </w:t>
            </w:r>
            <w:r w:rsidRPr="00C07482">
              <w:rPr>
                <w:rFonts w:ascii="Times New Roman" w:hAnsi="Times New Roman" w:cs="Times New Roman"/>
              </w:rPr>
              <w:t>projektu sprendžiamo</w:t>
            </w:r>
            <w:r>
              <w:rPr>
                <w:rFonts w:ascii="Times New Roman" w:hAnsi="Times New Roman" w:cs="Times New Roman"/>
              </w:rPr>
              <w:t>ms</w:t>
            </w:r>
            <w:r w:rsidRPr="00C07482">
              <w:rPr>
                <w:rFonts w:ascii="Times New Roman" w:hAnsi="Times New Roman" w:cs="Times New Roman"/>
              </w:rPr>
              <w:t xml:space="preserve"> problemo</w:t>
            </w:r>
            <w:r>
              <w:rPr>
                <w:rFonts w:ascii="Times New Roman" w:hAnsi="Times New Roman" w:cs="Times New Roman"/>
              </w:rPr>
              <w:t>m</w:t>
            </w:r>
            <w:r w:rsidRPr="00C07482">
              <w:rPr>
                <w:rFonts w:ascii="Times New Roman" w:hAnsi="Times New Roman" w:cs="Times New Roman"/>
              </w:rPr>
              <w:t>s, priežast</w:t>
            </w:r>
            <w:r>
              <w:rPr>
                <w:rFonts w:ascii="Times New Roman" w:hAnsi="Times New Roman" w:cs="Times New Roman"/>
              </w:rPr>
              <w:t>ims</w:t>
            </w:r>
            <w:r w:rsidRPr="00C07482">
              <w:rPr>
                <w:rFonts w:ascii="Times New Roman" w:hAnsi="Times New Roman" w:cs="Times New Roman"/>
              </w:rPr>
              <w:t>, tiksla</w:t>
            </w:r>
            <w:r>
              <w:rPr>
                <w:rFonts w:ascii="Times New Roman" w:hAnsi="Times New Roman" w:cs="Times New Roman"/>
              </w:rPr>
              <w:t>ms</w:t>
            </w:r>
            <w:r w:rsidRPr="00C07482">
              <w:rPr>
                <w:rFonts w:ascii="Times New Roman" w:hAnsi="Times New Roman" w:cs="Times New Roman"/>
              </w:rPr>
              <w:t>, uždavinia</w:t>
            </w:r>
            <w:r>
              <w:rPr>
                <w:rFonts w:ascii="Times New Roman" w:hAnsi="Times New Roman" w:cs="Times New Roman"/>
              </w:rPr>
              <w:t>ms</w:t>
            </w:r>
            <w:r w:rsidRPr="00C07482">
              <w:rPr>
                <w:rFonts w:ascii="Times New Roman" w:hAnsi="Times New Roman" w:cs="Times New Roman"/>
              </w:rPr>
              <w:t xml:space="preserve"> ir naudo</w:t>
            </w:r>
            <w:r>
              <w:rPr>
                <w:rFonts w:ascii="Times New Roman" w:hAnsi="Times New Roman" w:cs="Times New Roman"/>
              </w:rPr>
              <w:t>m</w:t>
            </w:r>
            <w:r w:rsidRPr="00C07482">
              <w:rPr>
                <w:rFonts w:ascii="Times New Roman" w:hAnsi="Times New Roman" w:cs="Times New Roman"/>
              </w:rPr>
              <w:t xml:space="preserve">s </w:t>
            </w:r>
            <w:r>
              <w:rPr>
                <w:rFonts w:ascii="Times New Roman" w:hAnsi="Times New Roman" w:cs="Times New Roman"/>
              </w:rPr>
              <w:t>–</w:t>
            </w:r>
            <w:r w:rsidRPr="00C07482">
              <w:rPr>
                <w:rFonts w:ascii="Times New Roman" w:hAnsi="Times New Roman" w:cs="Times New Roman"/>
              </w:rPr>
              <w:t xml:space="preserve"> </w:t>
            </w:r>
            <w:r>
              <w:rPr>
                <w:rFonts w:ascii="Times New Roman" w:hAnsi="Times New Roman" w:cs="Times New Roman"/>
              </w:rPr>
              <w:t xml:space="preserve">tai, kas </w:t>
            </w:r>
            <w:r w:rsidRPr="00C07482">
              <w:rPr>
                <w:rFonts w:ascii="Times New Roman" w:hAnsi="Times New Roman" w:cs="Times New Roman"/>
              </w:rPr>
              <w:t xml:space="preserve">susiję su nepakankamai išvystyta </w:t>
            </w:r>
            <w:proofErr w:type="spellStart"/>
            <w:r w:rsidRPr="00C07482">
              <w:rPr>
                <w:rFonts w:ascii="Times New Roman" w:hAnsi="Times New Roman" w:cs="Times New Roman"/>
              </w:rPr>
              <w:t>bevarklio</w:t>
            </w:r>
            <w:proofErr w:type="spellEnd"/>
            <w:r w:rsidRPr="00C07482">
              <w:rPr>
                <w:rFonts w:ascii="Times New Roman" w:hAnsi="Times New Roman" w:cs="Times New Roman"/>
              </w:rPr>
              <w:t xml:space="preserve"> transporto infrastruktūra, pernelyg mažu gyventojų judėjimu, sveikata, per dideliu užterštumu</w:t>
            </w:r>
            <w:r>
              <w:rPr>
                <w:rFonts w:ascii="Times New Roman" w:hAnsi="Times New Roman" w:cs="Times New Roman"/>
              </w:rPr>
              <w:t xml:space="preserve"> (pastarieji gali būti vertinami per kitokias </w:t>
            </w:r>
            <w:r w:rsidRPr="00C07482">
              <w:rPr>
                <w:rFonts w:ascii="Times New Roman" w:hAnsi="Times New Roman" w:cs="Times New Roman"/>
              </w:rPr>
              <w:t xml:space="preserve">projekto socialines naudas - nelaimingų atsitikimų sumažėjimą, išvengiant žūčių ir įvairių traumų, sveikatos, triukšmo, automobilių eksploatacinių išlaidų sumažėjimą, ŠESD sumažėjimą ar </w:t>
            </w:r>
            <w:proofErr w:type="spellStart"/>
            <w:r w:rsidRPr="00C07482">
              <w:rPr>
                <w:rFonts w:ascii="Times New Roman" w:hAnsi="Times New Roman" w:cs="Times New Roman"/>
              </w:rPr>
              <w:t>kt</w:t>
            </w:r>
            <w:proofErr w:type="spellEnd"/>
            <w:r>
              <w:rPr>
                <w:rFonts w:ascii="Times New Roman" w:hAnsi="Times New Roman" w:cs="Times New Roman"/>
              </w:rPr>
              <w:t xml:space="preserve">). O vertinant </w:t>
            </w:r>
            <w:r w:rsidRPr="00C07482">
              <w:rPr>
                <w:rFonts w:ascii="Times New Roman" w:hAnsi="Times New Roman" w:cs="Times New Roman"/>
              </w:rPr>
              <w:t>IP ir skaičiuoklę mat</w:t>
            </w:r>
            <w:r>
              <w:rPr>
                <w:rFonts w:ascii="Times New Roman" w:hAnsi="Times New Roman" w:cs="Times New Roman"/>
              </w:rPr>
              <w:t xml:space="preserve">ome, </w:t>
            </w:r>
            <w:r w:rsidRPr="00C07482">
              <w:rPr>
                <w:rFonts w:ascii="Times New Roman" w:hAnsi="Times New Roman" w:cs="Times New Roman"/>
              </w:rPr>
              <w:t xml:space="preserve">kad didžiausia </w:t>
            </w:r>
            <w:r>
              <w:rPr>
                <w:rFonts w:ascii="Times New Roman" w:hAnsi="Times New Roman" w:cs="Times New Roman"/>
              </w:rPr>
              <w:t xml:space="preserve">nurodyta ir bene </w:t>
            </w:r>
            <w:r w:rsidRPr="00C07482">
              <w:rPr>
                <w:rFonts w:ascii="Times New Roman" w:hAnsi="Times New Roman" w:cs="Times New Roman"/>
              </w:rPr>
              <w:t>vienintelė nauda yra nekilnojamojo turto vertės padidėjimas. Atsižvelgiant į tai, kad projekto tikslas yra ne nekilnojamojo turto vertės padidinimas - šis naudos komponentas arba turėtų būti visai nevertinamas, arba jo teikiama nauda turėtų būti ne pagrindinė.</w:t>
            </w:r>
          </w:p>
        </w:tc>
      </w:tr>
      <w:tr w:rsidR="007945AE" w:rsidRPr="001E2989" w14:paraId="31FEC4D6" w14:textId="77777777" w:rsidTr="00ED1609">
        <w:tc>
          <w:tcPr>
            <w:tcW w:w="606" w:type="dxa"/>
          </w:tcPr>
          <w:p w14:paraId="6A9577F6" w14:textId="77777777" w:rsidR="007945AE" w:rsidRPr="00A20692" w:rsidRDefault="007945AE"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03280970" w14:textId="2682628C" w:rsidR="0016507C" w:rsidRPr="00E845F6" w:rsidRDefault="0016507C" w:rsidP="0016507C">
            <w:pPr>
              <w:spacing w:before="120" w:after="120"/>
              <w:ind w:left="162"/>
              <w:jc w:val="both"/>
              <w:rPr>
                <w:rFonts w:ascii="Times New Roman" w:hAnsi="Times New Roman" w:cs="Times New Roman"/>
              </w:rPr>
            </w:pPr>
            <w:r>
              <w:rPr>
                <w:rFonts w:ascii="Times New Roman" w:hAnsi="Times New Roman" w:cs="Times New Roman"/>
              </w:rPr>
              <w:t>Neįvertinamas objekto poreikis (pvz., naujo tako), p</w:t>
            </w:r>
            <w:r w:rsidR="007945AE" w:rsidRPr="00E845F6">
              <w:rPr>
                <w:rFonts w:ascii="Times New Roman" w:hAnsi="Times New Roman" w:cs="Times New Roman"/>
              </w:rPr>
              <w:t xml:space="preserve">lanuojamas statyti </w:t>
            </w:r>
            <w:r w:rsidR="004521BD">
              <w:rPr>
                <w:rFonts w:ascii="Times New Roman" w:hAnsi="Times New Roman" w:cs="Times New Roman"/>
              </w:rPr>
              <w:t>naujas objektas</w:t>
            </w:r>
            <w:r w:rsidR="003111AB">
              <w:rPr>
                <w:rFonts w:ascii="Times New Roman" w:hAnsi="Times New Roman" w:cs="Times New Roman"/>
              </w:rPr>
              <w:t>, pritaikytas pėstiesiems ir dviratininkams</w:t>
            </w:r>
            <w:r w:rsidR="007945AE" w:rsidRPr="00E845F6">
              <w:rPr>
                <w:rFonts w:ascii="Times New Roman" w:hAnsi="Times New Roman" w:cs="Times New Roman"/>
              </w:rPr>
              <w:t>, tačiau IP ne</w:t>
            </w:r>
            <w:r w:rsidR="00596294">
              <w:rPr>
                <w:rFonts w:ascii="Times New Roman" w:hAnsi="Times New Roman" w:cs="Times New Roman"/>
              </w:rPr>
              <w:t xml:space="preserve">vertinami </w:t>
            </w:r>
            <w:r w:rsidR="007945AE" w:rsidRPr="00E845F6">
              <w:rPr>
                <w:rFonts w:ascii="Times New Roman" w:hAnsi="Times New Roman" w:cs="Times New Roman"/>
              </w:rPr>
              <w:t>pėsči</w:t>
            </w:r>
            <w:r w:rsidR="00596294">
              <w:rPr>
                <w:rFonts w:ascii="Times New Roman" w:hAnsi="Times New Roman" w:cs="Times New Roman"/>
              </w:rPr>
              <w:t xml:space="preserve">ųjų </w:t>
            </w:r>
            <w:r w:rsidR="007945AE" w:rsidRPr="00E845F6">
              <w:rPr>
                <w:rFonts w:ascii="Times New Roman" w:hAnsi="Times New Roman" w:cs="Times New Roman"/>
              </w:rPr>
              <w:t xml:space="preserve">poreikiai, statistika, </w:t>
            </w:r>
            <w:r w:rsidR="003111AB">
              <w:rPr>
                <w:rFonts w:ascii="Times New Roman" w:hAnsi="Times New Roman" w:cs="Times New Roman"/>
              </w:rPr>
              <w:t>naujo objekto</w:t>
            </w:r>
            <w:r w:rsidR="007945AE" w:rsidRPr="00E845F6">
              <w:rPr>
                <w:rFonts w:ascii="Times New Roman" w:hAnsi="Times New Roman" w:cs="Times New Roman"/>
              </w:rPr>
              <w:t xml:space="preserve"> teikiama nauda</w:t>
            </w:r>
            <w:r w:rsidR="00E845F6" w:rsidRPr="00E845F6">
              <w:rPr>
                <w:rFonts w:ascii="Times New Roman" w:hAnsi="Times New Roman" w:cs="Times New Roman"/>
              </w:rPr>
              <w:t>.</w:t>
            </w:r>
            <w:r>
              <w:rPr>
                <w:rFonts w:ascii="Times New Roman" w:hAnsi="Times New Roman" w:cs="Times New Roman"/>
              </w:rPr>
              <w:t xml:space="preserve"> Netinkamai nustatoma </w:t>
            </w:r>
            <w:r w:rsidRPr="0059751A">
              <w:rPr>
                <w:rFonts w:ascii="Times New Roman" w:hAnsi="Times New Roman" w:cs="Times New Roman"/>
              </w:rPr>
              <w:t>tikslin</w:t>
            </w:r>
            <w:r>
              <w:rPr>
                <w:rFonts w:ascii="Times New Roman" w:hAnsi="Times New Roman" w:cs="Times New Roman"/>
              </w:rPr>
              <w:t>ė</w:t>
            </w:r>
            <w:r w:rsidRPr="0059751A">
              <w:rPr>
                <w:rFonts w:ascii="Times New Roman" w:hAnsi="Times New Roman" w:cs="Times New Roman"/>
              </w:rPr>
              <w:t xml:space="preserve"> grup</w:t>
            </w:r>
            <w:r>
              <w:rPr>
                <w:rFonts w:ascii="Times New Roman" w:hAnsi="Times New Roman" w:cs="Times New Roman"/>
              </w:rPr>
              <w:t>ė, pvz., ja</w:t>
            </w:r>
            <w:r w:rsidRPr="0059751A">
              <w:rPr>
                <w:rFonts w:ascii="Times New Roman" w:hAnsi="Times New Roman" w:cs="Times New Roman"/>
              </w:rPr>
              <w:t xml:space="preserve"> laikomi visi miesto gyventojai, </w:t>
            </w:r>
            <w:r>
              <w:rPr>
                <w:rFonts w:ascii="Times New Roman" w:hAnsi="Times New Roman" w:cs="Times New Roman"/>
              </w:rPr>
              <w:t xml:space="preserve">nors </w:t>
            </w:r>
            <w:r w:rsidRPr="0059751A">
              <w:rPr>
                <w:rFonts w:ascii="Times New Roman" w:hAnsi="Times New Roman" w:cs="Times New Roman"/>
              </w:rPr>
              <w:t>projekto veiklomis įrengiama tik pėsčiųjų ir dviratininkų tako dalis.</w:t>
            </w:r>
            <w:r>
              <w:rPr>
                <w:rFonts w:ascii="Times New Roman" w:hAnsi="Times New Roman" w:cs="Times New Roman"/>
              </w:rPr>
              <w:t xml:space="preserve"> </w:t>
            </w:r>
            <w:r>
              <w:rPr>
                <w:rFonts w:ascii="Times New Roman" w:eastAsia="Times New Roman" w:hAnsi="Times New Roman" w:cs="Times New Roman"/>
              </w:rPr>
              <w:t xml:space="preserve">Atliekant paklausos analizę analizuojama tik bendra miesto (kartu palyginant su visos Lietuvos) gyventojų statistinė analizė – amžiaus, gimstamumo ir mirtingumo, imigracijos ir emigracijos rodikliai, nedarbas ir kt., tačiau neatliekama pagrindinių pėsčiųjų ir dviračių tako paklausos rodiklių analizė – </w:t>
            </w:r>
            <w:proofErr w:type="spellStart"/>
            <w:r>
              <w:rPr>
                <w:rFonts w:ascii="Times New Roman" w:eastAsia="Times New Roman" w:hAnsi="Times New Roman" w:cs="Times New Roman"/>
              </w:rPr>
              <w:t>bevariklėmis</w:t>
            </w:r>
            <w:proofErr w:type="spellEnd"/>
            <w:r>
              <w:rPr>
                <w:rFonts w:ascii="Times New Roman" w:eastAsia="Times New Roman" w:hAnsi="Times New Roman" w:cs="Times New Roman"/>
              </w:rPr>
              <w:t xml:space="preserve"> transporto priemonėmis besinaudojančių asmenų skaičius ir jų kitimo dinamika, nesudarytos jų ateities kitimo prognozės.</w:t>
            </w:r>
          </w:p>
        </w:tc>
      </w:tr>
      <w:tr w:rsidR="0016507C" w:rsidRPr="001E2989" w14:paraId="33CD58D0" w14:textId="77777777" w:rsidTr="00ED1609">
        <w:tc>
          <w:tcPr>
            <w:tcW w:w="606" w:type="dxa"/>
          </w:tcPr>
          <w:p w14:paraId="07C06D3F" w14:textId="77777777" w:rsidR="0016507C" w:rsidRPr="00A20692" w:rsidRDefault="0016507C"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7C2BB50B" w14:textId="087BBDD2" w:rsidR="0016507C" w:rsidRPr="00F80357" w:rsidRDefault="0016507C" w:rsidP="008839CD">
            <w:pPr>
              <w:spacing w:before="120" w:after="120"/>
              <w:ind w:left="162"/>
              <w:jc w:val="both"/>
              <w:rPr>
                <w:rFonts w:ascii="Times New Roman" w:hAnsi="Times New Roman" w:cs="Times New Roman"/>
              </w:rPr>
            </w:pPr>
            <w:r w:rsidRPr="00010739">
              <w:rPr>
                <w:rFonts w:ascii="Times New Roman" w:eastAsia="Times New Roman" w:hAnsi="Times New Roman" w:cs="Times New Roman"/>
              </w:rPr>
              <w:t>Iš PĮP ir IP pateiktos informacijos nėra aišk</w:t>
            </w:r>
            <w:r>
              <w:rPr>
                <w:rFonts w:ascii="Times New Roman" w:eastAsia="Times New Roman" w:hAnsi="Times New Roman" w:cs="Times New Roman"/>
              </w:rPr>
              <w:t xml:space="preserve">i darbų rūšis, t. y., </w:t>
            </w:r>
            <w:r w:rsidRPr="00010739">
              <w:rPr>
                <w:rFonts w:ascii="Times New Roman" w:eastAsia="Times New Roman" w:hAnsi="Times New Roman" w:cs="Times New Roman"/>
              </w:rPr>
              <w:t>ar pėsčiųjų ir dviračių taką planuojama įrengti naujai, ar remontuojant esamą infrastruktūrą</w:t>
            </w:r>
            <w:r>
              <w:rPr>
                <w:rFonts w:ascii="Times New Roman" w:eastAsia="Times New Roman" w:hAnsi="Times New Roman" w:cs="Times New Roman"/>
              </w:rPr>
              <w:t>, todėl netinkamai nustatomi esamos būklės</w:t>
            </w:r>
            <w:r w:rsidRPr="00010739">
              <w:rPr>
                <w:rFonts w:ascii="Times New Roman" w:eastAsia="Times New Roman" w:hAnsi="Times New Roman" w:cs="Times New Roman"/>
              </w:rPr>
              <w:t xml:space="preserve"> palaikymo </w:t>
            </w:r>
            <w:r>
              <w:rPr>
                <w:rFonts w:ascii="Times New Roman" w:eastAsia="Times New Roman" w:hAnsi="Times New Roman" w:cs="Times New Roman"/>
              </w:rPr>
              <w:t>finansiniai srautai</w:t>
            </w:r>
            <w:r w:rsidRPr="00010739">
              <w:rPr>
                <w:rFonts w:ascii="Times New Roman" w:eastAsia="Times New Roman" w:hAnsi="Times New Roman" w:cs="Times New Roman"/>
              </w:rPr>
              <w:t xml:space="preserve"> </w:t>
            </w:r>
            <w:r>
              <w:rPr>
                <w:rFonts w:ascii="Times New Roman" w:eastAsia="Times New Roman" w:hAnsi="Times New Roman" w:cs="Times New Roman"/>
              </w:rPr>
              <w:t>ir kitą informaciją, kurią numato IP rengimo metodika.</w:t>
            </w:r>
          </w:p>
        </w:tc>
      </w:tr>
      <w:tr w:rsidR="00FA2CD7" w:rsidRPr="001E2989" w14:paraId="36138D6B" w14:textId="77777777" w:rsidTr="00ED1609">
        <w:tc>
          <w:tcPr>
            <w:tcW w:w="606" w:type="dxa"/>
          </w:tcPr>
          <w:p w14:paraId="6564F834" w14:textId="77777777" w:rsidR="00FA2CD7" w:rsidRPr="00A20692" w:rsidRDefault="00FA2CD7"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6D92DC1F" w14:textId="16B9B070" w:rsidR="00FA2CD7" w:rsidRPr="00F80357" w:rsidRDefault="00FA2CD7" w:rsidP="008839CD">
            <w:pPr>
              <w:spacing w:before="120" w:after="120"/>
              <w:ind w:left="162"/>
              <w:jc w:val="both"/>
              <w:rPr>
                <w:rFonts w:ascii="Times New Roman" w:hAnsi="Times New Roman" w:cs="Times New Roman"/>
              </w:rPr>
            </w:pPr>
            <w:r w:rsidRPr="00F80357">
              <w:rPr>
                <w:rFonts w:ascii="Times New Roman" w:hAnsi="Times New Roman" w:cs="Times New Roman"/>
              </w:rPr>
              <w:t xml:space="preserve">IP </w:t>
            </w:r>
            <w:r w:rsidR="00235EDA" w:rsidRPr="00F80357">
              <w:rPr>
                <w:rFonts w:ascii="Times New Roman" w:hAnsi="Times New Roman" w:cs="Times New Roman"/>
              </w:rPr>
              <w:t xml:space="preserve">analizuojami kelerių metų senumo duomenys, </w:t>
            </w:r>
            <w:r w:rsidR="00596294">
              <w:rPr>
                <w:rFonts w:ascii="Times New Roman" w:hAnsi="Times New Roman" w:cs="Times New Roman"/>
              </w:rPr>
              <w:t xml:space="preserve">nors </w:t>
            </w:r>
            <w:r w:rsidR="00235EDA" w:rsidRPr="00F80357">
              <w:rPr>
                <w:rFonts w:ascii="Times New Roman" w:hAnsi="Times New Roman" w:cs="Times New Roman"/>
              </w:rPr>
              <w:t>v</w:t>
            </w:r>
            <w:r w:rsidRPr="00F80357">
              <w:rPr>
                <w:rFonts w:ascii="Times New Roman" w:hAnsi="Times New Roman" w:cs="Times New Roman"/>
              </w:rPr>
              <w:t>adovaujantis IP rengimo metodika turėtų būti analizuojami ne senesni nei praeitų metų duomenys, arba pateikiamas pagrindimas, kodėl šių duomenų dar nėra, ar, kad jie neprieinami</w:t>
            </w:r>
            <w:r w:rsidR="00F80357" w:rsidRPr="00F80357">
              <w:rPr>
                <w:rFonts w:ascii="Times New Roman" w:hAnsi="Times New Roman" w:cs="Times New Roman"/>
              </w:rPr>
              <w:t>.</w:t>
            </w:r>
          </w:p>
        </w:tc>
      </w:tr>
      <w:tr w:rsidR="009D3C88" w:rsidRPr="001E2989" w14:paraId="460350BD" w14:textId="77777777" w:rsidTr="00ED1609">
        <w:tc>
          <w:tcPr>
            <w:tcW w:w="606" w:type="dxa"/>
          </w:tcPr>
          <w:p w14:paraId="7F543E2C" w14:textId="77777777" w:rsidR="009D3C88" w:rsidRPr="00A20692" w:rsidRDefault="009D3C88"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5DE219C4" w14:textId="5E417785" w:rsidR="009D3C88" w:rsidRPr="009D3C88" w:rsidRDefault="009D3C88" w:rsidP="008839CD">
            <w:pPr>
              <w:spacing w:before="120" w:after="120"/>
              <w:ind w:left="162"/>
              <w:jc w:val="both"/>
              <w:rPr>
                <w:rFonts w:ascii="Times New Roman" w:hAnsi="Times New Roman" w:cs="Times New Roman"/>
              </w:rPr>
            </w:pPr>
            <w:r w:rsidRPr="009D3C88">
              <w:rPr>
                <w:rFonts w:ascii="Times New Roman" w:hAnsi="Times New Roman" w:cs="Times New Roman"/>
              </w:rPr>
              <w:t>IP nurodom</w:t>
            </w:r>
            <w:r w:rsidR="00596294">
              <w:rPr>
                <w:rFonts w:ascii="Times New Roman" w:hAnsi="Times New Roman" w:cs="Times New Roman"/>
              </w:rPr>
              <w:t xml:space="preserve">i </w:t>
            </w:r>
            <w:r w:rsidRPr="009D3C88">
              <w:rPr>
                <w:rFonts w:ascii="Times New Roman" w:hAnsi="Times New Roman" w:cs="Times New Roman"/>
              </w:rPr>
              <w:t>nebegaliojant</w:t>
            </w:r>
            <w:r w:rsidR="00596294">
              <w:rPr>
                <w:rFonts w:ascii="Times New Roman" w:hAnsi="Times New Roman" w:cs="Times New Roman"/>
              </w:rPr>
              <w:t>y</w:t>
            </w:r>
            <w:r w:rsidRPr="009D3C88">
              <w:rPr>
                <w:rFonts w:ascii="Times New Roman" w:hAnsi="Times New Roman" w:cs="Times New Roman"/>
              </w:rPr>
              <w:t>s dokumenta</w:t>
            </w:r>
            <w:r w:rsidR="00596294">
              <w:rPr>
                <w:rFonts w:ascii="Times New Roman" w:hAnsi="Times New Roman" w:cs="Times New Roman"/>
              </w:rPr>
              <w:t>i</w:t>
            </w:r>
            <w:r w:rsidRPr="009D3C88">
              <w:rPr>
                <w:rFonts w:ascii="Times New Roman" w:hAnsi="Times New Roman" w:cs="Times New Roman"/>
              </w:rPr>
              <w:t>.</w:t>
            </w:r>
          </w:p>
        </w:tc>
      </w:tr>
      <w:tr w:rsidR="000114EC" w:rsidRPr="001E2989" w14:paraId="327B1D15" w14:textId="77777777" w:rsidTr="00ED1609">
        <w:tc>
          <w:tcPr>
            <w:tcW w:w="606" w:type="dxa"/>
          </w:tcPr>
          <w:p w14:paraId="4FA90A18" w14:textId="77777777" w:rsidR="000114EC" w:rsidRPr="00A20692" w:rsidRDefault="000114EC"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22F52AE3" w14:textId="78A3D6C8" w:rsidR="000114EC" w:rsidRPr="009D3C88" w:rsidRDefault="000114EC" w:rsidP="008839CD">
            <w:pPr>
              <w:spacing w:before="120" w:after="120"/>
              <w:ind w:left="162"/>
              <w:jc w:val="both"/>
              <w:rPr>
                <w:rFonts w:ascii="Times New Roman" w:hAnsi="Times New Roman" w:cs="Times New Roman"/>
              </w:rPr>
            </w:pPr>
            <w:r>
              <w:rPr>
                <w:rFonts w:ascii="Times New Roman" w:hAnsi="Times New Roman" w:cs="Times New Roman"/>
              </w:rPr>
              <w:t xml:space="preserve">IP </w:t>
            </w:r>
            <w:r w:rsidRPr="00A9001E">
              <w:rPr>
                <w:rFonts w:ascii="Times New Roman" w:hAnsi="Times New Roman" w:cs="Times New Roman"/>
              </w:rPr>
              <w:t>nurodytos projekto rezultatų palaikymo išlaidos nepagrįstos metodika ar skaičiavimais</w:t>
            </w:r>
            <w:r>
              <w:rPr>
                <w:rFonts w:ascii="Times New Roman" w:hAnsi="Times New Roman" w:cs="Times New Roman"/>
              </w:rPr>
              <w:t>.</w:t>
            </w:r>
            <w:r w:rsidR="0016507C">
              <w:rPr>
                <w:rFonts w:ascii="Times New Roman" w:eastAsia="Times New Roman" w:hAnsi="Times New Roman" w:cs="Times New Roman"/>
              </w:rPr>
              <w:t xml:space="preserve"> IP nenumatytos būtinos reinvesticijos, pvz., mažajai architektūrai (suoliukai, šiukšliadėžės ir kt.).</w:t>
            </w:r>
          </w:p>
        </w:tc>
      </w:tr>
      <w:tr w:rsidR="0024164A" w:rsidRPr="001E2989" w14:paraId="07D00B63" w14:textId="77777777" w:rsidTr="00ED1609">
        <w:tc>
          <w:tcPr>
            <w:tcW w:w="606" w:type="dxa"/>
          </w:tcPr>
          <w:p w14:paraId="7207F437" w14:textId="77777777" w:rsidR="0024164A" w:rsidRPr="00A20692" w:rsidRDefault="0024164A"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3630C3B0" w14:textId="43DD63AC" w:rsidR="0024164A" w:rsidRPr="00ED7C10" w:rsidRDefault="0024164A" w:rsidP="00027CE8">
            <w:pPr>
              <w:spacing w:before="120" w:after="120"/>
              <w:ind w:left="187"/>
              <w:jc w:val="both"/>
              <w:rPr>
                <w:rFonts w:ascii="Times New Roman" w:eastAsia="Times New Roman" w:hAnsi="Times New Roman" w:cs="Times New Roman"/>
              </w:rPr>
            </w:pPr>
            <w:r>
              <w:rPr>
                <w:rFonts w:ascii="Times New Roman" w:eastAsia="Times New Roman" w:hAnsi="Times New Roman" w:cs="Times New Roman"/>
              </w:rPr>
              <w:t>IP ne</w:t>
            </w:r>
            <w:r w:rsidRPr="000C4035">
              <w:rPr>
                <w:rFonts w:ascii="Times New Roman" w:eastAsia="Times New Roman" w:hAnsi="Times New Roman" w:cs="Times New Roman"/>
              </w:rPr>
              <w:t>aptarti projekto sprendiniui taikom</w:t>
            </w:r>
            <w:r w:rsidR="00CE507F">
              <w:rPr>
                <w:rFonts w:ascii="Times New Roman" w:eastAsia="Times New Roman" w:hAnsi="Times New Roman" w:cs="Times New Roman"/>
              </w:rPr>
              <w:t>i</w:t>
            </w:r>
            <w:r w:rsidRPr="000C4035">
              <w:rPr>
                <w:rFonts w:ascii="Times New Roman" w:eastAsia="Times New Roman" w:hAnsi="Times New Roman" w:cs="Times New Roman"/>
              </w:rPr>
              <w:t xml:space="preserve"> teisini</w:t>
            </w:r>
            <w:r w:rsidR="00CE507F">
              <w:rPr>
                <w:rFonts w:ascii="Times New Roman" w:eastAsia="Times New Roman" w:hAnsi="Times New Roman" w:cs="Times New Roman"/>
              </w:rPr>
              <w:t>ai</w:t>
            </w:r>
            <w:r w:rsidRPr="000C4035">
              <w:rPr>
                <w:rFonts w:ascii="Times New Roman" w:eastAsia="Times New Roman" w:hAnsi="Times New Roman" w:cs="Times New Roman"/>
              </w:rPr>
              <w:t xml:space="preserve"> reikalavim</w:t>
            </w:r>
            <w:r w:rsidR="00CE507F">
              <w:rPr>
                <w:rFonts w:ascii="Times New Roman" w:eastAsia="Times New Roman" w:hAnsi="Times New Roman" w:cs="Times New Roman"/>
              </w:rPr>
              <w:t>ai</w:t>
            </w:r>
            <w:r w:rsidRPr="000C4035">
              <w:rPr>
                <w:rFonts w:ascii="Times New Roman" w:eastAsia="Times New Roman" w:hAnsi="Times New Roman" w:cs="Times New Roman"/>
              </w:rPr>
              <w:t xml:space="preserve"> ir iš jų kylan</w:t>
            </w:r>
            <w:r w:rsidR="00CE507F">
              <w:rPr>
                <w:rFonts w:ascii="Times New Roman" w:eastAsia="Times New Roman" w:hAnsi="Times New Roman" w:cs="Times New Roman"/>
              </w:rPr>
              <w:t>tys</w:t>
            </w:r>
            <w:r w:rsidRPr="000C4035">
              <w:rPr>
                <w:rFonts w:ascii="Times New Roman" w:eastAsia="Times New Roman" w:hAnsi="Times New Roman" w:cs="Times New Roman"/>
              </w:rPr>
              <w:t xml:space="preserve"> apribojim</w:t>
            </w:r>
            <w:r w:rsidR="00CE507F">
              <w:rPr>
                <w:rFonts w:ascii="Times New Roman" w:eastAsia="Times New Roman" w:hAnsi="Times New Roman" w:cs="Times New Roman"/>
              </w:rPr>
              <w:t>ai</w:t>
            </w:r>
            <w:r w:rsidRPr="000C4035">
              <w:rPr>
                <w:rFonts w:ascii="Times New Roman" w:eastAsia="Times New Roman" w:hAnsi="Times New Roman" w:cs="Times New Roman"/>
              </w:rPr>
              <w:t xml:space="preserve"> pagal Gairių 2.11 p</w:t>
            </w:r>
            <w:r w:rsidR="00CE507F">
              <w:rPr>
                <w:rFonts w:ascii="Times New Roman" w:eastAsia="Times New Roman" w:hAnsi="Times New Roman" w:cs="Times New Roman"/>
              </w:rPr>
              <w:t>.</w:t>
            </w:r>
          </w:p>
        </w:tc>
      </w:tr>
      <w:tr w:rsidR="003E1147" w:rsidRPr="001E2989" w14:paraId="2317DD56" w14:textId="77777777" w:rsidTr="00ED1609">
        <w:tc>
          <w:tcPr>
            <w:tcW w:w="606" w:type="dxa"/>
          </w:tcPr>
          <w:p w14:paraId="3BC10612" w14:textId="77777777" w:rsidR="003E1147" w:rsidRPr="00A20692" w:rsidRDefault="003E1147"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7712B0DC" w14:textId="5DE250C2" w:rsidR="003E1147" w:rsidRPr="00DF28A0" w:rsidRDefault="0016507C" w:rsidP="00027CE8">
            <w:pPr>
              <w:spacing w:before="120" w:after="120"/>
              <w:ind w:left="187"/>
              <w:jc w:val="both"/>
              <w:rPr>
                <w:rFonts w:ascii="Times New Roman" w:eastAsia="Times New Roman" w:hAnsi="Times New Roman" w:cs="Times New Roman"/>
              </w:rPr>
            </w:pPr>
            <w:r>
              <w:rPr>
                <w:rFonts w:ascii="Times New Roman" w:eastAsia="Times New Roman" w:hAnsi="Times New Roman" w:cs="Times New Roman"/>
              </w:rPr>
              <w:t xml:space="preserve">Skiriasi išlaidų informacija </w:t>
            </w:r>
            <w:r w:rsidR="00A2759B">
              <w:rPr>
                <w:rFonts w:ascii="Times New Roman" w:eastAsia="Times New Roman" w:hAnsi="Times New Roman" w:cs="Times New Roman"/>
              </w:rPr>
              <w:t xml:space="preserve">nurodyta </w:t>
            </w:r>
            <w:r>
              <w:rPr>
                <w:rFonts w:ascii="Times New Roman" w:eastAsia="Times New Roman" w:hAnsi="Times New Roman" w:cs="Times New Roman"/>
              </w:rPr>
              <w:t>PĮP ir IP.</w:t>
            </w:r>
          </w:p>
        </w:tc>
      </w:tr>
      <w:tr w:rsidR="00A14C4E" w:rsidRPr="001E2989" w14:paraId="26B8F929" w14:textId="77777777" w:rsidTr="00ED1609">
        <w:tc>
          <w:tcPr>
            <w:tcW w:w="606" w:type="dxa"/>
          </w:tcPr>
          <w:p w14:paraId="30600B90" w14:textId="77777777" w:rsidR="00A14C4E" w:rsidRPr="00A20692" w:rsidRDefault="00A14C4E"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6FA84DAE" w14:textId="4EDD0250" w:rsidR="00A14C4E" w:rsidRPr="0034210F" w:rsidRDefault="00A14C4E" w:rsidP="00027CE8">
            <w:pPr>
              <w:spacing w:before="120" w:after="120"/>
              <w:ind w:left="180"/>
              <w:jc w:val="both"/>
              <w:rPr>
                <w:rFonts w:ascii="Times New Roman" w:eastAsia="Times New Roman" w:hAnsi="Times New Roman" w:cs="Times New Roman"/>
              </w:rPr>
            </w:pPr>
            <w:r w:rsidRPr="0034210F">
              <w:rPr>
                <w:rFonts w:ascii="Times New Roman" w:eastAsia="Times New Roman" w:hAnsi="Times New Roman" w:cs="Times New Roman"/>
              </w:rPr>
              <w:t xml:space="preserve">Pagal IP </w:t>
            </w:r>
            <w:r w:rsidR="00A2759B">
              <w:rPr>
                <w:rFonts w:ascii="Times New Roman" w:eastAsia="Times New Roman" w:hAnsi="Times New Roman" w:cs="Times New Roman"/>
              </w:rPr>
              <w:t>informaciją (</w:t>
            </w:r>
            <w:r w:rsidRPr="0034210F">
              <w:rPr>
                <w:rFonts w:ascii="Times New Roman" w:eastAsia="Times New Roman" w:hAnsi="Times New Roman" w:cs="Times New Roman"/>
              </w:rPr>
              <w:t>schem</w:t>
            </w:r>
            <w:r w:rsidR="00A2759B">
              <w:rPr>
                <w:rFonts w:ascii="Times New Roman" w:eastAsia="Times New Roman" w:hAnsi="Times New Roman" w:cs="Times New Roman"/>
              </w:rPr>
              <w:t xml:space="preserve">as) </w:t>
            </w:r>
            <w:r w:rsidRPr="0034210F">
              <w:rPr>
                <w:rFonts w:ascii="Times New Roman" w:eastAsia="Times New Roman" w:hAnsi="Times New Roman" w:cs="Times New Roman"/>
              </w:rPr>
              <w:t>matyti, kad pėsčiųjų ir dviračių takas susijungs su kitais projektais planuojamais įrengti pėsčiųjų ir dviračių takais</w:t>
            </w:r>
            <w:r w:rsidR="00A2759B">
              <w:rPr>
                <w:rFonts w:ascii="Times New Roman" w:eastAsia="Times New Roman" w:hAnsi="Times New Roman" w:cs="Times New Roman"/>
              </w:rPr>
              <w:t xml:space="preserve">, t. y., </w:t>
            </w:r>
            <w:r w:rsidR="00B37C1C" w:rsidRPr="0034210F">
              <w:rPr>
                <w:rFonts w:ascii="Times New Roman" w:eastAsia="Times New Roman" w:hAnsi="Times New Roman" w:cs="Times New Roman"/>
              </w:rPr>
              <w:t>projekta</w:t>
            </w:r>
            <w:r w:rsidR="00A2759B">
              <w:rPr>
                <w:rFonts w:ascii="Times New Roman" w:eastAsia="Times New Roman" w:hAnsi="Times New Roman" w:cs="Times New Roman"/>
              </w:rPr>
              <w:t>i</w:t>
            </w:r>
            <w:r w:rsidR="00B37C1C" w:rsidRPr="0034210F">
              <w:rPr>
                <w:rFonts w:ascii="Times New Roman" w:eastAsia="Times New Roman" w:hAnsi="Times New Roman" w:cs="Times New Roman"/>
              </w:rPr>
              <w:t xml:space="preserve"> turi tiesiogines sąsajas su kitais projektais, </w:t>
            </w:r>
            <w:r w:rsidR="0034210F" w:rsidRPr="0034210F">
              <w:rPr>
                <w:rFonts w:ascii="Times New Roman" w:eastAsia="Times New Roman" w:hAnsi="Times New Roman" w:cs="Times New Roman"/>
              </w:rPr>
              <w:t>t</w:t>
            </w:r>
            <w:r w:rsidR="00A2759B">
              <w:rPr>
                <w:rFonts w:ascii="Times New Roman" w:eastAsia="Times New Roman" w:hAnsi="Times New Roman" w:cs="Times New Roman"/>
              </w:rPr>
              <w:t xml:space="preserve">ačiau nedetalizuota </w:t>
            </w:r>
            <w:r w:rsidR="00B37C1C" w:rsidRPr="0034210F">
              <w:rPr>
                <w:rFonts w:ascii="Times New Roman" w:eastAsia="Times New Roman" w:hAnsi="Times New Roman" w:cs="Times New Roman"/>
              </w:rPr>
              <w:t>ir n</w:t>
            </w:r>
            <w:r w:rsidR="00A2759B">
              <w:rPr>
                <w:rFonts w:ascii="Times New Roman" w:eastAsia="Times New Roman" w:hAnsi="Times New Roman" w:cs="Times New Roman"/>
              </w:rPr>
              <w:t>enu</w:t>
            </w:r>
            <w:r w:rsidR="00B37C1C" w:rsidRPr="0034210F">
              <w:rPr>
                <w:rFonts w:ascii="Times New Roman" w:eastAsia="Times New Roman" w:hAnsi="Times New Roman" w:cs="Times New Roman"/>
              </w:rPr>
              <w:t>rodyt</w:t>
            </w:r>
            <w:r w:rsidR="00A2759B">
              <w:rPr>
                <w:rFonts w:ascii="Times New Roman" w:eastAsia="Times New Roman" w:hAnsi="Times New Roman" w:cs="Times New Roman"/>
              </w:rPr>
              <w:t>a</w:t>
            </w:r>
            <w:r w:rsidR="00970E4C">
              <w:rPr>
                <w:rFonts w:ascii="Times New Roman" w:eastAsia="Times New Roman" w:hAnsi="Times New Roman" w:cs="Times New Roman"/>
              </w:rPr>
              <w:t>,</w:t>
            </w:r>
            <w:r w:rsidR="00B37C1C" w:rsidRPr="0034210F">
              <w:rPr>
                <w:rFonts w:ascii="Times New Roman" w:eastAsia="Times New Roman" w:hAnsi="Times New Roman" w:cs="Times New Roman"/>
              </w:rPr>
              <w:t xml:space="preserve"> kaip bus užtikrinamas atskyrimas ir tai, kad tos pačios išlaidos susikirtimuose nebus finansuojamos 2 k</w:t>
            </w:r>
            <w:r w:rsidR="0034210F" w:rsidRPr="0034210F">
              <w:rPr>
                <w:rFonts w:ascii="Times New Roman" w:eastAsia="Times New Roman" w:hAnsi="Times New Roman" w:cs="Times New Roman"/>
              </w:rPr>
              <w:t>artus</w:t>
            </w:r>
            <w:r w:rsidR="00B37C1C" w:rsidRPr="0034210F">
              <w:rPr>
                <w:rFonts w:ascii="Times New Roman" w:eastAsia="Times New Roman" w:hAnsi="Times New Roman" w:cs="Times New Roman"/>
              </w:rPr>
              <w:t>.</w:t>
            </w:r>
          </w:p>
        </w:tc>
      </w:tr>
      <w:tr w:rsidR="00E5231F" w:rsidRPr="001E2989" w14:paraId="09B1C95F" w14:textId="77777777" w:rsidTr="00ED1609">
        <w:tc>
          <w:tcPr>
            <w:tcW w:w="606" w:type="dxa"/>
          </w:tcPr>
          <w:p w14:paraId="22211B51" w14:textId="77777777" w:rsidR="00E5231F" w:rsidRPr="00A20692" w:rsidRDefault="00E5231F"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6B21C5E5" w14:textId="781F74F2" w:rsidR="00E5231F" w:rsidRPr="00E7472E" w:rsidRDefault="00E5231F" w:rsidP="00027CE8">
            <w:pPr>
              <w:spacing w:before="120" w:after="120"/>
              <w:ind w:left="180"/>
              <w:jc w:val="both"/>
              <w:rPr>
                <w:rFonts w:ascii="Times New Roman" w:hAnsi="Times New Roman" w:cs="Times New Roman"/>
              </w:rPr>
            </w:pPr>
            <w:r w:rsidRPr="00095572">
              <w:rPr>
                <w:rFonts w:ascii="Times New Roman" w:hAnsi="Times New Roman" w:cs="Times New Roman"/>
              </w:rPr>
              <w:t xml:space="preserve">Projekto </w:t>
            </w:r>
            <w:r w:rsidR="000C2B00">
              <w:rPr>
                <w:rFonts w:ascii="Times New Roman" w:hAnsi="Times New Roman" w:cs="Times New Roman"/>
              </w:rPr>
              <w:t>IP</w:t>
            </w:r>
            <w:r w:rsidRPr="00095572">
              <w:rPr>
                <w:rFonts w:ascii="Times New Roman" w:hAnsi="Times New Roman" w:cs="Times New Roman"/>
              </w:rPr>
              <w:t xml:space="preserve"> skaičiuoklėje, nustatant objektų išlaidų vertes naudojami infliacijos duomenys</w:t>
            </w:r>
            <w:r w:rsidR="007C13BE">
              <w:rPr>
                <w:rFonts w:ascii="Times New Roman" w:hAnsi="Times New Roman" w:cs="Times New Roman"/>
              </w:rPr>
              <w:t>, t</w:t>
            </w:r>
            <w:r w:rsidR="007C13BE" w:rsidRPr="00095572">
              <w:rPr>
                <w:rFonts w:ascii="Times New Roman" w:hAnsi="Times New Roman" w:cs="Times New Roman"/>
              </w:rPr>
              <w:t xml:space="preserve">ačiau </w:t>
            </w:r>
            <w:r w:rsidR="000C2B00">
              <w:rPr>
                <w:rFonts w:ascii="Times New Roman" w:hAnsi="Times New Roman" w:cs="Times New Roman"/>
              </w:rPr>
              <w:t>IP</w:t>
            </w:r>
            <w:r w:rsidR="007C13BE" w:rsidRPr="00095572">
              <w:rPr>
                <w:rFonts w:ascii="Times New Roman" w:hAnsi="Times New Roman" w:cs="Times New Roman"/>
              </w:rPr>
              <w:t xml:space="preserve"> nepateikti paaiškinimai</w:t>
            </w:r>
            <w:r w:rsidR="000C2B00">
              <w:rPr>
                <w:rFonts w:ascii="Times New Roman" w:hAnsi="Times New Roman" w:cs="Times New Roman"/>
              </w:rPr>
              <w:t>,</w:t>
            </w:r>
            <w:r w:rsidR="007C13BE" w:rsidRPr="00095572">
              <w:rPr>
                <w:rFonts w:ascii="Times New Roman" w:hAnsi="Times New Roman" w:cs="Times New Roman"/>
              </w:rPr>
              <w:t xml:space="preserve"> kaip nustatyti šie infliacijos dydžiai, nepateiktos nuorodos</w:t>
            </w:r>
            <w:r w:rsidR="000C2B00">
              <w:rPr>
                <w:rFonts w:ascii="Times New Roman" w:hAnsi="Times New Roman" w:cs="Times New Roman"/>
              </w:rPr>
              <w:t>,</w:t>
            </w:r>
            <w:r w:rsidR="007C13BE" w:rsidRPr="00095572">
              <w:rPr>
                <w:rFonts w:ascii="Times New Roman" w:hAnsi="Times New Roman" w:cs="Times New Roman"/>
              </w:rPr>
              <w:t xml:space="preserve"> kokiais oficialiais statistiniais duomenimis vadovautasi</w:t>
            </w:r>
            <w:r w:rsidR="007C13BE">
              <w:rPr>
                <w:rFonts w:ascii="Times New Roman" w:hAnsi="Times New Roman" w:cs="Times New Roman"/>
              </w:rPr>
              <w:t>.</w:t>
            </w:r>
          </w:p>
        </w:tc>
      </w:tr>
      <w:tr w:rsidR="00816EB9" w:rsidRPr="001E2989" w14:paraId="6901821B" w14:textId="77777777" w:rsidTr="00ED1609">
        <w:tc>
          <w:tcPr>
            <w:tcW w:w="606" w:type="dxa"/>
          </w:tcPr>
          <w:p w14:paraId="56EB76F2" w14:textId="77777777" w:rsidR="00816EB9" w:rsidRPr="00A20692" w:rsidRDefault="00816EB9" w:rsidP="00280F92">
            <w:pPr>
              <w:pStyle w:val="ListParagraph"/>
              <w:numPr>
                <w:ilvl w:val="0"/>
                <w:numId w:val="2"/>
              </w:numPr>
              <w:tabs>
                <w:tab w:val="left" w:pos="432"/>
              </w:tabs>
              <w:spacing w:before="120" w:after="120"/>
              <w:ind w:left="252" w:hanging="208"/>
              <w:rPr>
                <w:rFonts w:ascii="Times New Roman" w:hAnsi="Times New Roman" w:cs="Times New Roman"/>
              </w:rPr>
            </w:pPr>
          </w:p>
        </w:tc>
        <w:tc>
          <w:tcPr>
            <w:tcW w:w="14239" w:type="dxa"/>
          </w:tcPr>
          <w:p w14:paraId="223F147B" w14:textId="26887C5C" w:rsidR="00816EB9" w:rsidRPr="00095572" w:rsidRDefault="00816EB9" w:rsidP="00027CE8">
            <w:pPr>
              <w:spacing w:before="120" w:after="120"/>
              <w:ind w:left="180"/>
              <w:jc w:val="both"/>
              <w:rPr>
                <w:rFonts w:ascii="Times New Roman" w:hAnsi="Times New Roman" w:cs="Times New Roman"/>
              </w:rPr>
            </w:pPr>
            <w:r>
              <w:rPr>
                <w:rFonts w:ascii="Times New Roman" w:hAnsi="Times New Roman" w:cs="Times New Roman"/>
              </w:rPr>
              <w:t>IP nurod</w:t>
            </w:r>
            <w:r w:rsidR="00A2759B">
              <w:rPr>
                <w:rFonts w:ascii="Times New Roman" w:hAnsi="Times New Roman" w:cs="Times New Roman"/>
              </w:rPr>
              <w:t xml:space="preserve">omi </w:t>
            </w:r>
            <w:r>
              <w:rPr>
                <w:rFonts w:ascii="Times New Roman" w:hAnsi="Times New Roman" w:cs="Times New Roman"/>
              </w:rPr>
              <w:t>neracional</w:t>
            </w:r>
            <w:r w:rsidR="00A2759B">
              <w:rPr>
                <w:rFonts w:ascii="Times New Roman" w:hAnsi="Times New Roman" w:cs="Times New Roman"/>
              </w:rPr>
              <w:t>ū</w:t>
            </w:r>
            <w:r>
              <w:rPr>
                <w:rFonts w:ascii="Times New Roman" w:hAnsi="Times New Roman" w:cs="Times New Roman"/>
              </w:rPr>
              <w:t xml:space="preserve">s </w:t>
            </w:r>
            <w:r w:rsidR="00A2759B">
              <w:rPr>
                <w:rFonts w:ascii="Times New Roman" w:hAnsi="Times New Roman" w:cs="Times New Roman"/>
              </w:rPr>
              <w:t xml:space="preserve">ir netinkami </w:t>
            </w:r>
            <w:r w:rsidRPr="005B23E9">
              <w:rPr>
                <w:rFonts w:ascii="Times New Roman" w:hAnsi="Times New Roman" w:cs="Times New Roman"/>
              </w:rPr>
              <w:t>projekto ataskaitin</w:t>
            </w:r>
            <w:r w:rsidR="005A2038">
              <w:rPr>
                <w:rFonts w:ascii="Times New Roman" w:hAnsi="Times New Roman" w:cs="Times New Roman"/>
              </w:rPr>
              <w:t>i</w:t>
            </w:r>
            <w:r w:rsidR="00A2759B">
              <w:rPr>
                <w:rFonts w:ascii="Times New Roman" w:hAnsi="Times New Roman" w:cs="Times New Roman"/>
              </w:rPr>
              <w:t>ai</w:t>
            </w:r>
            <w:r w:rsidRPr="005B23E9">
              <w:rPr>
                <w:rFonts w:ascii="Times New Roman" w:hAnsi="Times New Roman" w:cs="Times New Roman"/>
              </w:rPr>
              <w:t xml:space="preserve"> laikotarp</w:t>
            </w:r>
            <w:r w:rsidR="005A2038">
              <w:rPr>
                <w:rFonts w:ascii="Times New Roman" w:hAnsi="Times New Roman" w:cs="Times New Roman"/>
              </w:rPr>
              <w:t>i</w:t>
            </w:r>
            <w:r w:rsidR="00A2759B">
              <w:rPr>
                <w:rFonts w:ascii="Times New Roman" w:hAnsi="Times New Roman" w:cs="Times New Roman"/>
              </w:rPr>
              <w:t>ai</w:t>
            </w:r>
            <w:r w:rsidRPr="005B23E9">
              <w:rPr>
                <w:rFonts w:ascii="Times New Roman" w:hAnsi="Times New Roman" w:cs="Times New Roman"/>
              </w:rPr>
              <w:t xml:space="preserve"> (</w:t>
            </w:r>
            <w:r w:rsidR="00A2759B">
              <w:rPr>
                <w:rFonts w:ascii="Times New Roman" w:hAnsi="Times New Roman" w:cs="Times New Roman"/>
              </w:rPr>
              <w:t>trukmė</w:t>
            </w:r>
            <w:r w:rsidRPr="005B23E9">
              <w:rPr>
                <w:rFonts w:ascii="Times New Roman" w:hAnsi="Times New Roman" w:cs="Times New Roman"/>
              </w:rPr>
              <w:t>).</w:t>
            </w:r>
          </w:p>
        </w:tc>
      </w:tr>
    </w:tbl>
    <w:p w14:paraId="33B18E28" w14:textId="2B5FDC70" w:rsidR="007E4674" w:rsidRDefault="007E4674"/>
    <w:sectPr w:rsidR="007E4674" w:rsidSect="001E298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B96"/>
    <w:multiLevelType w:val="hybridMultilevel"/>
    <w:tmpl w:val="1A8E2F08"/>
    <w:lvl w:ilvl="0" w:tplc="0C88FD5C">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E17B75"/>
    <w:multiLevelType w:val="hybridMultilevel"/>
    <w:tmpl w:val="86342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597067"/>
    <w:multiLevelType w:val="hybridMultilevel"/>
    <w:tmpl w:val="863423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5842347">
    <w:abstractNumId w:val="1"/>
  </w:num>
  <w:num w:numId="2" w16cid:durableId="2135950686">
    <w:abstractNumId w:val="2"/>
  </w:num>
  <w:num w:numId="3" w16cid:durableId="112612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89"/>
    <w:rsid w:val="0000538C"/>
    <w:rsid w:val="00007995"/>
    <w:rsid w:val="000114EC"/>
    <w:rsid w:val="000123BF"/>
    <w:rsid w:val="0002222D"/>
    <w:rsid w:val="00027CE8"/>
    <w:rsid w:val="000522CF"/>
    <w:rsid w:val="00056E47"/>
    <w:rsid w:val="0006009C"/>
    <w:rsid w:val="00060253"/>
    <w:rsid w:val="000961E0"/>
    <w:rsid w:val="000B51F4"/>
    <w:rsid w:val="000C2B00"/>
    <w:rsid w:val="000D3272"/>
    <w:rsid w:val="000F0E9D"/>
    <w:rsid w:val="000F466A"/>
    <w:rsid w:val="000F672F"/>
    <w:rsid w:val="000F6744"/>
    <w:rsid w:val="00107ED4"/>
    <w:rsid w:val="00111FEA"/>
    <w:rsid w:val="00115B93"/>
    <w:rsid w:val="0013741A"/>
    <w:rsid w:val="00143717"/>
    <w:rsid w:val="00155EE9"/>
    <w:rsid w:val="0016507C"/>
    <w:rsid w:val="001673A1"/>
    <w:rsid w:val="00170FA6"/>
    <w:rsid w:val="00173674"/>
    <w:rsid w:val="001825AE"/>
    <w:rsid w:val="00182D18"/>
    <w:rsid w:val="00185925"/>
    <w:rsid w:val="001A0A67"/>
    <w:rsid w:val="001B1642"/>
    <w:rsid w:val="001B6673"/>
    <w:rsid w:val="001D6642"/>
    <w:rsid w:val="001E2989"/>
    <w:rsid w:val="001E77AC"/>
    <w:rsid w:val="001F3F43"/>
    <w:rsid w:val="00206804"/>
    <w:rsid w:val="002128CF"/>
    <w:rsid w:val="00221410"/>
    <w:rsid w:val="00234F85"/>
    <w:rsid w:val="002359E1"/>
    <w:rsid w:val="00235EDA"/>
    <w:rsid w:val="00240DE4"/>
    <w:rsid w:val="0024164A"/>
    <w:rsid w:val="0026427E"/>
    <w:rsid w:val="002654A6"/>
    <w:rsid w:val="00266527"/>
    <w:rsid w:val="00280F92"/>
    <w:rsid w:val="00284FA8"/>
    <w:rsid w:val="0029085E"/>
    <w:rsid w:val="00292BEF"/>
    <w:rsid w:val="002974DB"/>
    <w:rsid w:val="00297FE7"/>
    <w:rsid w:val="002B216E"/>
    <w:rsid w:val="002B74AC"/>
    <w:rsid w:val="002D00E2"/>
    <w:rsid w:val="002D1F1F"/>
    <w:rsid w:val="002D3682"/>
    <w:rsid w:val="002D7013"/>
    <w:rsid w:val="002F3A28"/>
    <w:rsid w:val="002F62F2"/>
    <w:rsid w:val="003111AB"/>
    <w:rsid w:val="0034040A"/>
    <w:rsid w:val="0034210F"/>
    <w:rsid w:val="00355A5B"/>
    <w:rsid w:val="00362A2A"/>
    <w:rsid w:val="003737AA"/>
    <w:rsid w:val="003A51AA"/>
    <w:rsid w:val="003A600F"/>
    <w:rsid w:val="003E1147"/>
    <w:rsid w:val="003F0719"/>
    <w:rsid w:val="003F451C"/>
    <w:rsid w:val="00403F97"/>
    <w:rsid w:val="00406FB9"/>
    <w:rsid w:val="00407677"/>
    <w:rsid w:val="00413018"/>
    <w:rsid w:val="00420563"/>
    <w:rsid w:val="00421048"/>
    <w:rsid w:val="00440E27"/>
    <w:rsid w:val="004521BD"/>
    <w:rsid w:val="004644C2"/>
    <w:rsid w:val="00465FDA"/>
    <w:rsid w:val="00492EFE"/>
    <w:rsid w:val="004B1B59"/>
    <w:rsid w:val="004C23B8"/>
    <w:rsid w:val="004D4DD5"/>
    <w:rsid w:val="004D5D96"/>
    <w:rsid w:val="004E55B5"/>
    <w:rsid w:val="0051455E"/>
    <w:rsid w:val="00521285"/>
    <w:rsid w:val="00521E42"/>
    <w:rsid w:val="0053278C"/>
    <w:rsid w:val="0054098B"/>
    <w:rsid w:val="00542EC3"/>
    <w:rsid w:val="00547606"/>
    <w:rsid w:val="00566054"/>
    <w:rsid w:val="00577994"/>
    <w:rsid w:val="00590E74"/>
    <w:rsid w:val="0059278B"/>
    <w:rsid w:val="005961E5"/>
    <w:rsid w:val="00596294"/>
    <w:rsid w:val="0059751A"/>
    <w:rsid w:val="005A023D"/>
    <w:rsid w:val="005A2038"/>
    <w:rsid w:val="005A2E2F"/>
    <w:rsid w:val="005C1A66"/>
    <w:rsid w:val="005D2A27"/>
    <w:rsid w:val="005E49DA"/>
    <w:rsid w:val="00602101"/>
    <w:rsid w:val="0060318C"/>
    <w:rsid w:val="006037B6"/>
    <w:rsid w:val="006174CC"/>
    <w:rsid w:val="00657D86"/>
    <w:rsid w:val="00680961"/>
    <w:rsid w:val="0068293C"/>
    <w:rsid w:val="00686F86"/>
    <w:rsid w:val="006B2E50"/>
    <w:rsid w:val="006E0662"/>
    <w:rsid w:val="006E19CC"/>
    <w:rsid w:val="00744963"/>
    <w:rsid w:val="007508E3"/>
    <w:rsid w:val="0075160A"/>
    <w:rsid w:val="00754A60"/>
    <w:rsid w:val="007571E4"/>
    <w:rsid w:val="00763AB2"/>
    <w:rsid w:val="0077783C"/>
    <w:rsid w:val="00780637"/>
    <w:rsid w:val="00785B54"/>
    <w:rsid w:val="0078714D"/>
    <w:rsid w:val="007945AE"/>
    <w:rsid w:val="007A39F5"/>
    <w:rsid w:val="007B5EAE"/>
    <w:rsid w:val="007B65D5"/>
    <w:rsid w:val="007C13BE"/>
    <w:rsid w:val="007D11AA"/>
    <w:rsid w:val="007E4674"/>
    <w:rsid w:val="008052BB"/>
    <w:rsid w:val="00816EB9"/>
    <w:rsid w:val="00817ACB"/>
    <w:rsid w:val="008365E8"/>
    <w:rsid w:val="008427A8"/>
    <w:rsid w:val="00845F8D"/>
    <w:rsid w:val="008463DD"/>
    <w:rsid w:val="00854CD0"/>
    <w:rsid w:val="0086146F"/>
    <w:rsid w:val="0087051A"/>
    <w:rsid w:val="008839CD"/>
    <w:rsid w:val="0088736D"/>
    <w:rsid w:val="008B64F5"/>
    <w:rsid w:val="008C493D"/>
    <w:rsid w:val="008C7BD9"/>
    <w:rsid w:val="008D7B49"/>
    <w:rsid w:val="008F4BB0"/>
    <w:rsid w:val="008F5F43"/>
    <w:rsid w:val="0090234C"/>
    <w:rsid w:val="00922D31"/>
    <w:rsid w:val="00926907"/>
    <w:rsid w:val="00926CEF"/>
    <w:rsid w:val="009326D1"/>
    <w:rsid w:val="00950752"/>
    <w:rsid w:val="00970E4C"/>
    <w:rsid w:val="009732F8"/>
    <w:rsid w:val="00982783"/>
    <w:rsid w:val="009A25BA"/>
    <w:rsid w:val="009A7ABD"/>
    <w:rsid w:val="009D3C88"/>
    <w:rsid w:val="009F2A7C"/>
    <w:rsid w:val="009F3DF6"/>
    <w:rsid w:val="009F4673"/>
    <w:rsid w:val="009F7604"/>
    <w:rsid w:val="00A12BAC"/>
    <w:rsid w:val="00A14C4E"/>
    <w:rsid w:val="00A16684"/>
    <w:rsid w:val="00A20692"/>
    <w:rsid w:val="00A2759B"/>
    <w:rsid w:val="00A32F08"/>
    <w:rsid w:val="00A37EA8"/>
    <w:rsid w:val="00A52C37"/>
    <w:rsid w:val="00A53F9F"/>
    <w:rsid w:val="00A956A4"/>
    <w:rsid w:val="00AA1AC0"/>
    <w:rsid w:val="00AA3A9F"/>
    <w:rsid w:val="00AA679D"/>
    <w:rsid w:val="00AE7229"/>
    <w:rsid w:val="00AF153D"/>
    <w:rsid w:val="00B02CA6"/>
    <w:rsid w:val="00B17EB9"/>
    <w:rsid w:val="00B2069E"/>
    <w:rsid w:val="00B32992"/>
    <w:rsid w:val="00B375B1"/>
    <w:rsid w:val="00B37C1C"/>
    <w:rsid w:val="00B717E2"/>
    <w:rsid w:val="00B718C1"/>
    <w:rsid w:val="00B818B8"/>
    <w:rsid w:val="00BA4031"/>
    <w:rsid w:val="00BA724D"/>
    <w:rsid w:val="00BC1B2F"/>
    <w:rsid w:val="00BC50EA"/>
    <w:rsid w:val="00BE02C9"/>
    <w:rsid w:val="00BF510B"/>
    <w:rsid w:val="00C0648D"/>
    <w:rsid w:val="00C07482"/>
    <w:rsid w:val="00C302E4"/>
    <w:rsid w:val="00C4203B"/>
    <w:rsid w:val="00C50D39"/>
    <w:rsid w:val="00C80FEC"/>
    <w:rsid w:val="00C83C8B"/>
    <w:rsid w:val="00C90916"/>
    <w:rsid w:val="00CA5C14"/>
    <w:rsid w:val="00CA63AD"/>
    <w:rsid w:val="00CC1B79"/>
    <w:rsid w:val="00CC433E"/>
    <w:rsid w:val="00CC49E1"/>
    <w:rsid w:val="00CD1816"/>
    <w:rsid w:val="00CD7B06"/>
    <w:rsid w:val="00CE254C"/>
    <w:rsid w:val="00CE507F"/>
    <w:rsid w:val="00D01D1D"/>
    <w:rsid w:val="00D0614A"/>
    <w:rsid w:val="00D1397E"/>
    <w:rsid w:val="00D261CC"/>
    <w:rsid w:val="00D45BD6"/>
    <w:rsid w:val="00D677B0"/>
    <w:rsid w:val="00D67AD8"/>
    <w:rsid w:val="00D7307E"/>
    <w:rsid w:val="00D77ECC"/>
    <w:rsid w:val="00D856B8"/>
    <w:rsid w:val="00D94C03"/>
    <w:rsid w:val="00DA035F"/>
    <w:rsid w:val="00DB0517"/>
    <w:rsid w:val="00DB3AE0"/>
    <w:rsid w:val="00DD005A"/>
    <w:rsid w:val="00DD5F16"/>
    <w:rsid w:val="00DE4D2B"/>
    <w:rsid w:val="00DF2B30"/>
    <w:rsid w:val="00E1389C"/>
    <w:rsid w:val="00E13C63"/>
    <w:rsid w:val="00E15A59"/>
    <w:rsid w:val="00E16E91"/>
    <w:rsid w:val="00E26973"/>
    <w:rsid w:val="00E30D88"/>
    <w:rsid w:val="00E31941"/>
    <w:rsid w:val="00E33DC6"/>
    <w:rsid w:val="00E43AE2"/>
    <w:rsid w:val="00E5231F"/>
    <w:rsid w:val="00E70C02"/>
    <w:rsid w:val="00E845F6"/>
    <w:rsid w:val="00E902F8"/>
    <w:rsid w:val="00E97247"/>
    <w:rsid w:val="00EA0526"/>
    <w:rsid w:val="00EB3FA7"/>
    <w:rsid w:val="00EB4322"/>
    <w:rsid w:val="00ED06D6"/>
    <w:rsid w:val="00ED1609"/>
    <w:rsid w:val="00EF06CB"/>
    <w:rsid w:val="00EF5141"/>
    <w:rsid w:val="00EF791D"/>
    <w:rsid w:val="00EF7E61"/>
    <w:rsid w:val="00F13BAA"/>
    <w:rsid w:val="00F15D07"/>
    <w:rsid w:val="00F34E78"/>
    <w:rsid w:val="00F44EDA"/>
    <w:rsid w:val="00F72930"/>
    <w:rsid w:val="00F7683D"/>
    <w:rsid w:val="00F80357"/>
    <w:rsid w:val="00F86A13"/>
    <w:rsid w:val="00F94964"/>
    <w:rsid w:val="00FA19EE"/>
    <w:rsid w:val="00FA2CD7"/>
    <w:rsid w:val="00FB2C0D"/>
    <w:rsid w:val="00FC6B16"/>
    <w:rsid w:val="00FC77F6"/>
    <w:rsid w:val="00FD60AF"/>
    <w:rsid w:val="00FF1075"/>
    <w:rsid w:val="00FF7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9506"/>
  <w15:chartTrackingRefBased/>
  <w15:docId w15:val="{C9983DD1-5DB2-41F1-A764-535D0C14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989"/>
    <w:rPr>
      <w:rFonts w:eastAsiaTheme="majorEastAsia" w:cstheme="majorBidi"/>
      <w:color w:val="272727" w:themeColor="text1" w:themeTint="D8"/>
    </w:rPr>
  </w:style>
  <w:style w:type="paragraph" w:styleId="Title">
    <w:name w:val="Title"/>
    <w:basedOn w:val="Normal"/>
    <w:next w:val="Normal"/>
    <w:link w:val="TitleChar"/>
    <w:uiPriority w:val="10"/>
    <w:qFormat/>
    <w:rsid w:val="001E2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989"/>
    <w:pPr>
      <w:spacing w:before="160"/>
      <w:jc w:val="center"/>
    </w:pPr>
    <w:rPr>
      <w:i/>
      <w:iCs/>
      <w:color w:val="404040" w:themeColor="text1" w:themeTint="BF"/>
    </w:rPr>
  </w:style>
  <w:style w:type="character" w:customStyle="1" w:styleId="QuoteChar">
    <w:name w:val="Quote Char"/>
    <w:basedOn w:val="DefaultParagraphFont"/>
    <w:link w:val="Quote"/>
    <w:uiPriority w:val="29"/>
    <w:rsid w:val="001E2989"/>
    <w:rPr>
      <w:i/>
      <w:iCs/>
      <w:color w:val="404040" w:themeColor="text1" w:themeTint="BF"/>
    </w:rPr>
  </w:style>
  <w:style w:type="paragraph" w:styleId="ListParagraph">
    <w:name w:val="List Paragraph"/>
    <w:aliases w:val="Buletai,Bullet EY,List Paragraph21,lp1,Bullet 1,Use Case List Paragraph,Numbering,ERP-List Paragraph,List Paragraph11,List Paragraph111,Paragraph,List Paragraph Red,Table of contents numbered,lenteles,List Paragr1,List Paragraph1"/>
    <w:basedOn w:val="Normal"/>
    <w:link w:val="ListParagraphChar"/>
    <w:uiPriority w:val="34"/>
    <w:qFormat/>
    <w:rsid w:val="001E2989"/>
    <w:pPr>
      <w:ind w:left="720"/>
      <w:contextualSpacing/>
    </w:pPr>
  </w:style>
  <w:style w:type="character" w:styleId="IntenseEmphasis">
    <w:name w:val="Intense Emphasis"/>
    <w:basedOn w:val="DefaultParagraphFont"/>
    <w:uiPriority w:val="21"/>
    <w:qFormat/>
    <w:rsid w:val="001E2989"/>
    <w:rPr>
      <w:i/>
      <w:iCs/>
      <w:color w:val="0F4761" w:themeColor="accent1" w:themeShade="BF"/>
    </w:rPr>
  </w:style>
  <w:style w:type="paragraph" w:styleId="IntenseQuote">
    <w:name w:val="Intense Quote"/>
    <w:basedOn w:val="Normal"/>
    <w:next w:val="Normal"/>
    <w:link w:val="IntenseQuoteChar"/>
    <w:uiPriority w:val="30"/>
    <w:qFormat/>
    <w:rsid w:val="001E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989"/>
    <w:rPr>
      <w:i/>
      <w:iCs/>
      <w:color w:val="0F4761" w:themeColor="accent1" w:themeShade="BF"/>
    </w:rPr>
  </w:style>
  <w:style w:type="character" w:styleId="IntenseReference">
    <w:name w:val="Intense Reference"/>
    <w:basedOn w:val="DefaultParagraphFont"/>
    <w:uiPriority w:val="32"/>
    <w:qFormat/>
    <w:rsid w:val="001E2989"/>
    <w:rPr>
      <w:b/>
      <w:bCs/>
      <w:smallCaps/>
      <w:color w:val="0F4761" w:themeColor="accent1" w:themeShade="BF"/>
      <w:spacing w:val="5"/>
    </w:rPr>
  </w:style>
  <w:style w:type="table" w:styleId="TableGrid">
    <w:name w:val="Table Grid"/>
    <w:basedOn w:val="TableNormal"/>
    <w:uiPriority w:val="39"/>
    <w:rsid w:val="001E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qFormat/>
    <w:locked/>
    <w:rsid w:val="00FA19EE"/>
  </w:style>
  <w:style w:type="paragraph" w:styleId="Revision">
    <w:name w:val="Revision"/>
    <w:hidden/>
    <w:uiPriority w:val="99"/>
    <w:semiHidden/>
    <w:rsid w:val="00137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6702</Words>
  <Characters>3821</Characters>
  <Application>Microsoft Office Word</Application>
  <DocSecurity>4</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Druktenienė</dc:creator>
  <cp:keywords/>
  <dc:description/>
  <cp:lastModifiedBy>Auksė Druktenienė</cp:lastModifiedBy>
  <cp:revision>2</cp:revision>
  <dcterms:created xsi:type="dcterms:W3CDTF">2025-01-21T14:46:00Z</dcterms:created>
  <dcterms:modified xsi:type="dcterms:W3CDTF">2025-01-21T14:46:00Z</dcterms:modified>
</cp:coreProperties>
</file>