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95CD4" w14:textId="5FAE142F" w:rsidR="00001E74" w:rsidRPr="004D4A14" w:rsidRDefault="00001E74" w:rsidP="00001E74">
      <w:pPr>
        <w:pStyle w:val="Pagrindinispaprastastekstas"/>
        <w:rPr>
          <w:rFonts w:ascii="Times New Roman" w:hAnsi="Times New Roman"/>
        </w:rPr>
      </w:pPr>
      <w:bookmarkStart w:id="0" w:name="_Toc98339799"/>
      <w:bookmarkStart w:id="1" w:name="_Toc98339835"/>
      <w:bookmarkStart w:id="2" w:name="_Toc390787064"/>
      <w:r w:rsidRPr="004D4A14">
        <w:rPr>
          <w:rFonts w:ascii="Times New Roman" w:hAnsi="Times New Roman"/>
        </w:rPr>
        <w:t>&lt;...&gt;</w:t>
      </w:r>
    </w:p>
    <w:p w14:paraId="61C33BE4" w14:textId="75C45F4F" w:rsidR="004A025E" w:rsidRPr="004D4A14" w:rsidRDefault="004A025E" w:rsidP="00001E74">
      <w:pPr>
        <w:pStyle w:val="Antrat1"/>
        <w:spacing w:before="0"/>
      </w:pPr>
      <w:r w:rsidRPr="004D4A14">
        <w:t>PROGRAMOS STRATEGIJA: PAGRINDINIAI PLĖTROS UŽDAVINIAI IR PRIEMONĖS</w:t>
      </w:r>
      <w:bookmarkEnd w:id="0"/>
    </w:p>
    <w:p w14:paraId="7EEECA67" w14:textId="77777777" w:rsidR="004A025E" w:rsidRPr="004D4A14" w:rsidRDefault="004A025E" w:rsidP="004A025E">
      <w:pPr>
        <w:spacing w:after="0"/>
        <w:jc w:val="right"/>
        <w:rPr>
          <w:rFonts w:cs="Times New Roman"/>
          <w:b/>
          <w:iCs/>
          <w:szCs w:val="24"/>
          <w:lang w:bidi="lt-LT"/>
        </w:rPr>
      </w:pPr>
      <w:r w:rsidRPr="004D4A14">
        <w:rPr>
          <w:rFonts w:cs="Times New Roman"/>
          <w:b/>
          <w:iCs/>
          <w:szCs w:val="24"/>
          <w:lang w:bidi="lt-LT"/>
        </w:rPr>
        <w:t>1 lentelė</w:t>
      </w:r>
    </w:p>
    <w:tbl>
      <w:tblPr>
        <w:tblStyle w:val="Lentelstinklelis"/>
        <w:tblW w:w="5000" w:type="pct"/>
        <w:tblLayout w:type="fixed"/>
        <w:tblLook w:val="04A0" w:firstRow="1" w:lastRow="0" w:firstColumn="1" w:lastColumn="0" w:noHBand="0" w:noVBand="1"/>
      </w:tblPr>
      <w:tblGrid>
        <w:gridCol w:w="2599"/>
        <w:gridCol w:w="2078"/>
        <w:gridCol w:w="4951"/>
      </w:tblGrid>
      <w:tr w:rsidR="004A025E" w:rsidRPr="004D4A14" w14:paraId="0472CEBE" w14:textId="77777777" w:rsidTr="00552778">
        <w:trPr>
          <w:tblHeader/>
        </w:trPr>
        <w:tc>
          <w:tcPr>
            <w:tcW w:w="1350" w:type="pct"/>
            <w:vAlign w:val="center"/>
          </w:tcPr>
          <w:p w14:paraId="29D7DAEA" w14:textId="77777777" w:rsidR="004A025E" w:rsidRPr="004D4A14" w:rsidRDefault="004A025E" w:rsidP="00552778">
            <w:pPr>
              <w:jc w:val="center"/>
              <w:rPr>
                <w:rFonts w:cs="Times New Roman"/>
                <w:b/>
                <w:bCs/>
                <w:iCs/>
                <w:sz w:val="22"/>
                <w:lang w:bidi="lt-LT"/>
              </w:rPr>
            </w:pPr>
            <w:r w:rsidRPr="004D4A14">
              <w:rPr>
                <w:rFonts w:cs="Times New Roman"/>
                <w:b/>
                <w:bCs/>
                <w:sz w:val="22"/>
                <w:lang w:bidi="lt-LT"/>
              </w:rPr>
              <w:t>Politikos tikslas</w:t>
            </w:r>
          </w:p>
        </w:tc>
        <w:tc>
          <w:tcPr>
            <w:tcW w:w="1079" w:type="pct"/>
            <w:vAlign w:val="center"/>
          </w:tcPr>
          <w:p w14:paraId="58F60279" w14:textId="77777777" w:rsidR="004A025E" w:rsidRPr="004D4A14" w:rsidRDefault="004A025E" w:rsidP="00552778">
            <w:pPr>
              <w:jc w:val="center"/>
              <w:rPr>
                <w:rFonts w:cs="Times New Roman"/>
                <w:b/>
                <w:bCs/>
                <w:iCs/>
                <w:sz w:val="22"/>
                <w:lang w:bidi="lt-LT"/>
              </w:rPr>
            </w:pPr>
            <w:r w:rsidRPr="004D4A14">
              <w:rPr>
                <w:rFonts w:cs="Times New Roman"/>
                <w:b/>
                <w:bCs/>
                <w:sz w:val="22"/>
                <w:lang w:bidi="lt-LT"/>
              </w:rPr>
              <w:t>Konkretus uždavinys arba specialus prioritetas</w:t>
            </w:r>
          </w:p>
        </w:tc>
        <w:tc>
          <w:tcPr>
            <w:tcW w:w="2571" w:type="pct"/>
            <w:vAlign w:val="center"/>
          </w:tcPr>
          <w:p w14:paraId="70C9B006" w14:textId="77777777" w:rsidR="004A025E" w:rsidRPr="004D4A14" w:rsidRDefault="004A025E" w:rsidP="00552778">
            <w:pPr>
              <w:ind w:firstLine="567"/>
              <w:jc w:val="center"/>
              <w:rPr>
                <w:rFonts w:cs="Times New Roman"/>
                <w:b/>
                <w:bCs/>
                <w:iCs/>
                <w:sz w:val="22"/>
                <w:lang w:bidi="lt-LT"/>
              </w:rPr>
            </w:pPr>
            <w:r w:rsidRPr="004D4A14">
              <w:rPr>
                <w:rFonts w:cs="Times New Roman"/>
                <w:b/>
                <w:bCs/>
                <w:iCs/>
                <w:sz w:val="22"/>
                <w:lang w:bidi="lt-LT"/>
              </w:rPr>
              <w:t>Pagrindimas (santrauka)</w:t>
            </w:r>
          </w:p>
        </w:tc>
      </w:tr>
      <w:tr w:rsidR="000A3C7C" w:rsidRPr="004D4A14" w14:paraId="1EB6DDE7" w14:textId="77777777" w:rsidTr="00552778">
        <w:tc>
          <w:tcPr>
            <w:tcW w:w="1350" w:type="pct"/>
          </w:tcPr>
          <w:p w14:paraId="43720C8A" w14:textId="24FA29A6" w:rsidR="000A3C7C" w:rsidRPr="004D4A14" w:rsidRDefault="000A3C7C" w:rsidP="000A3C7C">
            <w:pPr>
              <w:pStyle w:val="Sraopastraipa"/>
              <w:ind w:left="0" w:right="35"/>
              <w:rPr>
                <w:rFonts w:cs="Times New Roman"/>
                <w:b/>
                <w:bCs/>
                <w:iCs/>
                <w:sz w:val="22"/>
                <w:lang w:bidi="lt-LT"/>
              </w:rPr>
            </w:pPr>
            <w:r w:rsidRPr="004D4A14">
              <w:rPr>
                <w:rFonts w:cs="Times New Roman"/>
                <w:b/>
                <w:bCs/>
                <w:iCs/>
                <w:sz w:val="22"/>
                <w:lang w:bidi="lt-LT"/>
              </w:rPr>
              <w:t>1. Konkurencingesnė ir pažangesnė Europa</w:t>
            </w:r>
          </w:p>
        </w:tc>
        <w:tc>
          <w:tcPr>
            <w:tcW w:w="1079" w:type="pct"/>
          </w:tcPr>
          <w:p w14:paraId="0957E8D9" w14:textId="0F7DBDFD" w:rsidR="000A3C7C" w:rsidRPr="004D4A14" w:rsidRDefault="001F55F0" w:rsidP="000A3C7C">
            <w:pPr>
              <w:rPr>
                <w:rFonts w:cs="Times New Roman"/>
                <w:bCs/>
                <w:iCs/>
                <w:sz w:val="22"/>
                <w:lang w:bidi="lt-LT"/>
              </w:rPr>
            </w:pPr>
            <w:r w:rsidRPr="004D4A14">
              <w:rPr>
                <w:rFonts w:cs="Times New Roman"/>
                <w:bCs/>
                <w:iCs/>
                <w:sz w:val="22"/>
                <w:lang w:bidi="lt-LT"/>
              </w:rPr>
              <w:t>11.1 Didinti pramonės pajėgumus, siekiant skatinti gynybos pajėgumų didinimą, pirmenybę teikiant dvejopo naudojimo pajėgumams</w:t>
            </w:r>
          </w:p>
        </w:tc>
        <w:tc>
          <w:tcPr>
            <w:tcW w:w="2571" w:type="pct"/>
          </w:tcPr>
          <w:p w14:paraId="7A37E799" w14:textId="5717AC7E" w:rsidR="00284D47" w:rsidRPr="004D4A14" w:rsidRDefault="00ED1DDA" w:rsidP="000A3C7C">
            <w:pPr>
              <w:jc w:val="both"/>
              <w:rPr>
                <w:bCs/>
                <w:sz w:val="22"/>
              </w:rPr>
            </w:pPr>
            <w:r w:rsidRPr="004D4A14">
              <w:rPr>
                <w:sz w:val="22"/>
              </w:rPr>
              <w:t xml:space="preserve">Nuo Rusijos invazijos į Ukrainą 2022 m. išryškėjo, </w:t>
            </w:r>
            <w:r w:rsidR="00771BF7" w:rsidRPr="004D4A14">
              <w:rPr>
                <w:sz w:val="22"/>
              </w:rPr>
              <w:t xml:space="preserve">kaip svarbu </w:t>
            </w:r>
            <w:r w:rsidR="00581A9B" w:rsidRPr="004D4A14">
              <w:rPr>
                <w:sz w:val="22"/>
              </w:rPr>
              <w:t xml:space="preserve">didinti saugumą, </w:t>
            </w:r>
            <w:r w:rsidR="00581A9B" w:rsidRPr="004D4A14">
              <w:rPr>
                <w:rFonts w:eastAsia="Calibri" w:cs="Times New Roman"/>
                <w:bCs/>
                <w:sz w:val="22"/>
                <w:lang w:bidi="lt-LT"/>
              </w:rPr>
              <w:t xml:space="preserve">kuriant </w:t>
            </w:r>
            <w:r w:rsidRPr="004D4A14">
              <w:rPr>
                <w:rFonts w:eastAsia="Calibri" w:cs="Times New Roman"/>
                <w:bCs/>
                <w:sz w:val="22"/>
                <w:lang w:bidi="lt-LT"/>
              </w:rPr>
              <w:t xml:space="preserve">stiprią bei konkurencingą gynybos pramonę. </w:t>
            </w:r>
          </w:p>
          <w:p w14:paraId="13EED73B" w14:textId="78A4F899" w:rsidR="00ED1DDA" w:rsidRPr="004D4A14" w:rsidRDefault="00284D47" w:rsidP="000A3C7C">
            <w:pPr>
              <w:jc w:val="both"/>
              <w:rPr>
                <w:bCs/>
                <w:sz w:val="22"/>
              </w:rPr>
            </w:pPr>
            <w:r w:rsidRPr="004D4A14">
              <w:rPr>
                <w:bCs/>
                <w:sz w:val="22"/>
              </w:rPr>
              <w:t xml:space="preserve">Gynybos sektoriaus įmonės 2022–2024 m. laikotarpiu fiksavo bendrą MTEP investicijų augimą. 2022 m. deklaruota 13,4 mln. Eur MTEP </w:t>
            </w:r>
            <w:r w:rsidR="00771BF7" w:rsidRPr="004D4A14">
              <w:rPr>
                <w:bCs/>
                <w:sz w:val="22"/>
              </w:rPr>
              <w:t>išlaidų</w:t>
            </w:r>
            <w:r w:rsidRPr="004D4A14">
              <w:rPr>
                <w:bCs/>
                <w:sz w:val="22"/>
              </w:rPr>
              <w:t>, o 2024 m. – 15,1 mln. Eur, t. y. 13 proc. daugiau. Šis augimas</w:t>
            </w:r>
            <w:r w:rsidR="009419F9" w:rsidRPr="004D4A14">
              <w:rPr>
                <w:bCs/>
                <w:sz w:val="22"/>
              </w:rPr>
              <w:t xml:space="preserve"> </w:t>
            </w:r>
            <w:r w:rsidRPr="004D4A14">
              <w:rPr>
                <w:bCs/>
                <w:sz w:val="22"/>
              </w:rPr>
              <w:t>rodo išlaikomą sektoriaus orientaciją į inovacij</w:t>
            </w:r>
            <w:r w:rsidR="00771BF7" w:rsidRPr="004D4A14">
              <w:rPr>
                <w:bCs/>
                <w:sz w:val="22"/>
              </w:rPr>
              <w:t>ų kūrimą.</w:t>
            </w:r>
          </w:p>
          <w:p w14:paraId="358583A9" w14:textId="0E6F500B" w:rsidR="00CC1BA9" w:rsidRPr="004D4A14" w:rsidRDefault="00CC1BA9" w:rsidP="000A3C7C">
            <w:pPr>
              <w:jc w:val="both"/>
              <w:rPr>
                <w:bCs/>
                <w:sz w:val="22"/>
              </w:rPr>
            </w:pPr>
            <w:r w:rsidRPr="004D4A14">
              <w:rPr>
                <w:bCs/>
                <w:sz w:val="22"/>
              </w:rPr>
              <w:t xml:space="preserve">Vertinant inovatyvumo lygį pagal įmonių aktyvumą, 2022 m. MTEP </w:t>
            </w:r>
            <w:r w:rsidR="00451925" w:rsidRPr="004D4A14">
              <w:rPr>
                <w:bCs/>
                <w:sz w:val="22"/>
              </w:rPr>
              <w:t>išlaidas</w:t>
            </w:r>
            <w:r w:rsidRPr="004D4A14">
              <w:rPr>
                <w:bCs/>
                <w:sz w:val="22"/>
              </w:rPr>
              <w:t xml:space="preserve"> deklaravo 24 proc. gynybos sektoriaus įmonių, o 2024 m. –</w:t>
            </w:r>
            <w:r w:rsidR="009419F9" w:rsidRPr="004D4A14">
              <w:rPr>
                <w:bCs/>
                <w:sz w:val="22"/>
              </w:rPr>
              <w:t xml:space="preserve"> </w:t>
            </w:r>
            <w:r w:rsidRPr="004D4A14">
              <w:rPr>
                <w:bCs/>
                <w:sz w:val="22"/>
              </w:rPr>
              <w:t xml:space="preserve">19 proc. </w:t>
            </w:r>
            <w:r w:rsidR="00C61985" w:rsidRPr="004D4A14">
              <w:rPr>
                <w:bCs/>
                <w:sz w:val="22"/>
              </w:rPr>
              <w:t>M</w:t>
            </w:r>
            <w:r w:rsidRPr="004D4A14">
              <w:rPr>
                <w:bCs/>
                <w:sz w:val="22"/>
              </w:rPr>
              <w:t>ažėjanti dalis rodo silpnėjančią sektoriaus inovatyvią bazę ir gali būti signalas apie nepakankamą finansavimo, testavimo ar mokestinių paskatų veiksmingumą.</w:t>
            </w:r>
          </w:p>
          <w:p w14:paraId="12443762" w14:textId="55691170" w:rsidR="009E6D53" w:rsidRPr="004D4A14" w:rsidRDefault="009B0AD2" w:rsidP="009E6D53">
            <w:pPr>
              <w:jc w:val="both"/>
              <w:rPr>
                <w:bCs/>
                <w:iCs/>
                <w:color w:val="EE0000"/>
                <w:sz w:val="22"/>
              </w:rPr>
            </w:pPr>
            <w:r w:rsidRPr="004D4A14">
              <w:rPr>
                <w:sz w:val="22"/>
              </w:rPr>
              <w:t xml:space="preserve">EK </w:t>
            </w:r>
            <w:r w:rsidR="004D2B92" w:rsidRPr="004D4A14">
              <w:rPr>
                <w:sz w:val="22"/>
              </w:rPr>
              <w:t>parengtoje</w:t>
            </w:r>
            <w:r w:rsidR="004D2B92" w:rsidRPr="004D4A14">
              <w:rPr>
                <w:b/>
                <w:bCs/>
                <w:sz w:val="22"/>
              </w:rPr>
              <w:t xml:space="preserve"> Baltojoje knygoje dėl Europos gynybos</w:t>
            </w:r>
            <w:r w:rsidR="004D2B92" w:rsidRPr="004D4A14">
              <w:rPr>
                <w:bCs/>
                <w:sz w:val="22"/>
              </w:rPr>
              <w:t>: Pasirengimas 2030</w:t>
            </w:r>
            <w:r w:rsidR="00D07E65" w:rsidRPr="004D4A14">
              <w:rPr>
                <w:bCs/>
                <w:sz w:val="22"/>
              </w:rPr>
              <w:t xml:space="preserve"> </w:t>
            </w:r>
            <w:r w:rsidR="004D2B92" w:rsidRPr="004D4A14">
              <w:rPr>
                <w:bCs/>
                <w:sz w:val="22"/>
              </w:rPr>
              <w:t>pristatytas naujas požiūris į gynybą ir nustat</w:t>
            </w:r>
            <w:r w:rsidR="007334EF" w:rsidRPr="004D4A14">
              <w:rPr>
                <w:bCs/>
                <w:sz w:val="22"/>
              </w:rPr>
              <w:t>yti</w:t>
            </w:r>
            <w:r w:rsidR="004D2B92" w:rsidRPr="004D4A14">
              <w:rPr>
                <w:bCs/>
                <w:sz w:val="22"/>
              </w:rPr>
              <w:t xml:space="preserve"> investicijų poreikiai.</w:t>
            </w:r>
            <w:r w:rsidR="007334EF" w:rsidRPr="004D4A14">
              <w:rPr>
                <w:bCs/>
                <w:sz w:val="22"/>
              </w:rPr>
              <w:t xml:space="preserve"> </w:t>
            </w:r>
            <w:r w:rsidR="009E6D53" w:rsidRPr="004D4A14">
              <w:rPr>
                <w:bCs/>
                <w:sz w:val="22"/>
              </w:rPr>
              <w:t>Šio prioriteto investicijos prisidės prie šiame dokumente išskirtų prioritetinių sričių: mokslinių tyrimų ir technologinės plėtros skatinimo ir paramos Europos gynybos pramonės pajėgumų didinimui.</w:t>
            </w:r>
          </w:p>
          <w:p w14:paraId="63479FA1" w14:textId="7AD4B5BB" w:rsidR="00C10D5B" w:rsidRPr="004D4A14" w:rsidRDefault="00596394" w:rsidP="000A3C7C">
            <w:pPr>
              <w:jc w:val="both"/>
              <w:rPr>
                <w:sz w:val="22"/>
              </w:rPr>
            </w:pPr>
            <w:r w:rsidRPr="004D4A14">
              <w:rPr>
                <w:sz w:val="22"/>
              </w:rPr>
              <w:t>Lietuvai, kaip ES rytinio pasienio š</w:t>
            </w:r>
            <w:r w:rsidR="00725B56" w:rsidRPr="004D4A14">
              <w:rPr>
                <w:sz w:val="22"/>
              </w:rPr>
              <w:t>aliai</w:t>
            </w:r>
            <w:r w:rsidRPr="004D4A14">
              <w:rPr>
                <w:sz w:val="22"/>
              </w:rPr>
              <w:t>,</w:t>
            </w:r>
            <w:r w:rsidR="00725B56" w:rsidRPr="004D4A14">
              <w:rPr>
                <w:sz w:val="22"/>
              </w:rPr>
              <w:t xml:space="preserve"> pasižyminčiai</w:t>
            </w:r>
            <w:r w:rsidR="004066BA" w:rsidRPr="004D4A14">
              <w:rPr>
                <w:sz w:val="22"/>
              </w:rPr>
              <w:t xml:space="preserve"> maža ir </w:t>
            </w:r>
            <w:r w:rsidR="000A3C7C" w:rsidRPr="004D4A14">
              <w:rPr>
                <w:sz w:val="22"/>
              </w:rPr>
              <w:t xml:space="preserve">atvira ekonomika, būtina </w:t>
            </w:r>
            <w:r w:rsidR="004066BA" w:rsidRPr="004D4A14">
              <w:rPr>
                <w:sz w:val="22"/>
              </w:rPr>
              <w:t xml:space="preserve">suteikti finansinius svertus, </w:t>
            </w:r>
            <w:r w:rsidR="00725B56" w:rsidRPr="004D4A14">
              <w:rPr>
                <w:sz w:val="22"/>
              </w:rPr>
              <w:t>s</w:t>
            </w:r>
            <w:r w:rsidR="004066BA" w:rsidRPr="004D4A14">
              <w:rPr>
                <w:sz w:val="22"/>
              </w:rPr>
              <w:t>katin</w:t>
            </w:r>
            <w:r w:rsidR="00725B56" w:rsidRPr="004D4A14">
              <w:rPr>
                <w:sz w:val="22"/>
              </w:rPr>
              <w:t>ant</w:t>
            </w:r>
            <w:r w:rsidR="004066BA" w:rsidRPr="004D4A14">
              <w:rPr>
                <w:sz w:val="22"/>
              </w:rPr>
              <w:t xml:space="preserve"> investicij</w:t>
            </w:r>
            <w:r w:rsidR="00725B56" w:rsidRPr="004D4A14">
              <w:rPr>
                <w:sz w:val="22"/>
              </w:rPr>
              <w:t>a</w:t>
            </w:r>
            <w:r w:rsidR="004066BA" w:rsidRPr="004D4A14">
              <w:rPr>
                <w:sz w:val="22"/>
              </w:rPr>
              <w:t>s į gynybos pajėgumus, pirmiausiai nacionaliniam saugumui užtikrinti.</w:t>
            </w:r>
            <w:r w:rsidR="000A3C7C" w:rsidRPr="004D4A14">
              <w:rPr>
                <w:rFonts w:eastAsia="Times New Roman"/>
                <w:bCs/>
                <w:iCs/>
                <w:sz w:val="22"/>
              </w:rPr>
              <w:t xml:space="preserve">  Atliepiant</w:t>
            </w:r>
            <w:r w:rsidR="002D1A44" w:rsidRPr="004D4A14">
              <w:rPr>
                <w:rFonts w:eastAsia="Times New Roman"/>
                <w:bCs/>
                <w:iCs/>
                <w:sz w:val="22"/>
              </w:rPr>
              <w:t xml:space="preserve"> Lietuvos Respublikos g</w:t>
            </w:r>
            <w:r w:rsidR="000A3C7C" w:rsidRPr="004D4A14">
              <w:rPr>
                <w:sz w:val="22"/>
              </w:rPr>
              <w:t xml:space="preserve">ynybos ir saugumo pramonės plėtros 2023–2027 m. gairių tikslus, kuriais siekiama </w:t>
            </w:r>
            <w:r w:rsidR="0002305D" w:rsidRPr="004D4A14">
              <w:rPr>
                <w:sz w:val="22"/>
              </w:rPr>
              <w:t xml:space="preserve">didinti gynybos ir saugumo pramonės konkurencingumą, skatinti inovacijas ir investicijas į gynybos ir saugumo pramonę, </w:t>
            </w:r>
            <w:r w:rsidR="000A3C7C" w:rsidRPr="004D4A14">
              <w:rPr>
                <w:sz w:val="22"/>
              </w:rPr>
              <w:t xml:space="preserve">o taip pat paskatinti lietuviškos kilmės produktų eksportą, </w:t>
            </w:r>
            <w:r w:rsidR="00FA4429" w:rsidRPr="004D4A14">
              <w:rPr>
                <w:sz w:val="22"/>
              </w:rPr>
              <w:t xml:space="preserve">darbo vietų kūrimą </w:t>
            </w:r>
            <w:r w:rsidR="000F1B0E" w:rsidRPr="004D4A14">
              <w:rPr>
                <w:sz w:val="22"/>
              </w:rPr>
              <w:t xml:space="preserve">itin </w:t>
            </w:r>
            <w:r w:rsidR="000A3C7C" w:rsidRPr="004D4A14">
              <w:rPr>
                <w:sz w:val="22"/>
              </w:rPr>
              <w:t xml:space="preserve">svarbu investuoti į </w:t>
            </w:r>
            <w:r w:rsidR="0002305D" w:rsidRPr="004D4A14">
              <w:rPr>
                <w:sz w:val="22"/>
              </w:rPr>
              <w:t xml:space="preserve">inovatyvių produktų, skirtų gynybos ir saugumo sektoriui, kūrimą ir vystymą, </w:t>
            </w:r>
            <w:r w:rsidR="00FA4429" w:rsidRPr="004D4A14">
              <w:rPr>
                <w:sz w:val="22"/>
              </w:rPr>
              <w:t xml:space="preserve">šio sektoriaus </w:t>
            </w:r>
            <w:r w:rsidR="0002305D" w:rsidRPr="004D4A14">
              <w:rPr>
                <w:sz w:val="22"/>
              </w:rPr>
              <w:t xml:space="preserve">įmonių </w:t>
            </w:r>
            <w:r w:rsidR="00FA4429" w:rsidRPr="004D4A14">
              <w:rPr>
                <w:sz w:val="22"/>
              </w:rPr>
              <w:t xml:space="preserve">naujų gamybos pajėgumų sukūrimą, </w:t>
            </w:r>
            <w:r w:rsidR="0002305D" w:rsidRPr="004D4A14">
              <w:rPr>
                <w:sz w:val="22"/>
              </w:rPr>
              <w:t>bandymų infrastruktūrą</w:t>
            </w:r>
            <w:r w:rsidR="00FA4429" w:rsidRPr="004D4A14">
              <w:rPr>
                <w:sz w:val="22"/>
              </w:rPr>
              <w:t xml:space="preserve"> </w:t>
            </w:r>
            <w:r w:rsidR="0002305D" w:rsidRPr="004D4A14">
              <w:rPr>
                <w:sz w:val="22"/>
              </w:rPr>
              <w:t>ir inovacijų partnerystės veiklas.</w:t>
            </w:r>
            <w:r w:rsidR="00575B6F" w:rsidRPr="004D4A14">
              <w:rPr>
                <w:sz w:val="22"/>
              </w:rPr>
              <w:t xml:space="preserve"> </w:t>
            </w:r>
          </w:p>
          <w:p w14:paraId="1FD20CEE" w14:textId="38179AB6" w:rsidR="001108B9" w:rsidRPr="004D4A14" w:rsidRDefault="00575B6F" w:rsidP="000A3C7C">
            <w:pPr>
              <w:jc w:val="both"/>
              <w:rPr>
                <w:sz w:val="22"/>
              </w:rPr>
            </w:pPr>
            <w:r w:rsidRPr="004D4A14">
              <w:rPr>
                <w:sz w:val="22"/>
              </w:rPr>
              <w:t>Nors g</w:t>
            </w:r>
            <w:r w:rsidRPr="004D4A14">
              <w:rPr>
                <w:bCs/>
                <w:sz w:val="22"/>
              </w:rPr>
              <w:t>ynybos sektoriaus įmonės 2022–2024 m. laikotarpiu išlaikė nuosaikų MTEP investicijų augimą, tačiau išryškėj</w:t>
            </w:r>
            <w:r w:rsidR="00780760" w:rsidRPr="004D4A14">
              <w:rPr>
                <w:bCs/>
                <w:sz w:val="22"/>
              </w:rPr>
              <w:t>o</w:t>
            </w:r>
            <w:r w:rsidRPr="004D4A14">
              <w:rPr>
                <w:bCs/>
                <w:sz w:val="22"/>
              </w:rPr>
              <w:t xml:space="preserve"> svarbūs struktūriniai pokyčiai.</w:t>
            </w:r>
            <w:r w:rsidR="002B5B20" w:rsidRPr="004D4A14">
              <w:rPr>
                <w:bCs/>
                <w:sz w:val="22"/>
              </w:rPr>
              <w:t xml:space="preserve"> </w:t>
            </w:r>
            <w:r w:rsidR="001108B9" w:rsidRPr="004D4A14">
              <w:rPr>
                <w:sz w:val="22"/>
              </w:rPr>
              <w:t xml:space="preserve">Regioniniu požiūriu būtinas diferencijuotas intervencijos modelis, kryptingai išnaudojant regionų stiprybes taikant individualizuotas intervencijas. </w:t>
            </w:r>
          </w:p>
          <w:p w14:paraId="1D59F273" w14:textId="115126A8" w:rsidR="000A3C7C" w:rsidRPr="004D4A14" w:rsidRDefault="000A3C7C" w:rsidP="000A3C7C">
            <w:pPr>
              <w:jc w:val="both"/>
              <w:rPr>
                <w:rFonts w:eastAsia="Times New Roman" w:cs="Times New Roman"/>
                <w:bCs/>
                <w:iCs/>
                <w:sz w:val="22"/>
              </w:rPr>
            </w:pPr>
            <w:r w:rsidRPr="004D4A14">
              <w:rPr>
                <w:rFonts w:eastAsia="Times New Roman"/>
                <w:sz w:val="22"/>
              </w:rPr>
              <w:t xml:space="preserve">Pasirenkama </w:t>
            </w:r>
            <w:r w:rsidRPr="004D4A14">
              <w:rPr>
                <w:rFonts w:eastAsia="Times New Roman"/>
                <w:b/>
                <w:sz w:val="22"/>
              </w:rPr>
              <w:t>finansavimo forma</w:t>
            </w:r>
            <w:r w:rsidRPr="004D4A14">
              <w:rPr>
                <w:rFonts w:eastAsia="Times New Roman"/>
                <w:sz w:val="22"/>
              </w:rPr>
              <w:t xml:space="preserve"> – dotacija dėl jos skatinamojo poveikio ir veiklų pobūdžio. P</w:t>
            </w:r>
            <w:r w:rsidRPr="004D4A14">
              <w:rPr>
                <w:rFonts w:eastAsia="Times New Roman"/>
                <w:sz w:val="22"/>
                <w:lang w:eastAsia="lt-LT"/>
              </w:rPr>
              <w:t xml:space="preserve">lanuojamos vykdyti veiklos trumpuoju laikotarpiu negeneruoja pajamų, </w:t>
            </w:r>
            <w:r w:rsidRPr="004D4A14">
              <w:rPr>
                <w:rFonts w:eastAsia="Times New Roman"/>
                <w:bCs/>
                <w:iCs/>
                <w:sz w:val="22"/>
              </w:rPr>
              <w:t xml:space="preserve">pasižymi didele rizika, </w:t>
            </w:r>
            <w:r w:rsidRPr="004D4A14">
              <w:rPr>
                <w:rFonts w:eastAsia="Times New Roman"/>
                <w:sz w:val="22"/>
                <w:lang w:eastAsia="lt-LT"/>
              </w:rPr>
              <w:t xml:space="preserve">reikalauja didelių investicijų. </w:t>
            </w:r>
          </w:p>
        </w:tc>
      </w:tr>
      <w:tr w:rsidR="00197FF3" w:rsidRPr="004D4A14" w14:paraId="58FF7A36" w14:textId="77777777" w:rsidTr="00552778">
        <w:tc>
          <w:tcPr>
            <w:tcW w:w="1350" w:type="pct"/>
            <w:vMerge w:val="restart"/>
          </w:tcPr>
          <w:p w14:paraId="72829797" w14:textId="77777777" w:rsidR="00197FF3" w:rsidRPr="004D4A14" w:rsidRDefault="00197FF3" w:rsidP="00D163E2">
            <w:pPr>
              <w:pStyle w:val="Sraopastraipa"/>
              <w:ind w:left="0" w:right="35"/>
              <w:rPr>
                <w:rFonts w:cs="Times New Roman"/>
                <w:b/>
                <w:bCs/>
                <w:iCs/>
                <w:sz w:val="22"/>
                <w:lang w:bidi="lt-LT"/>
              </w:rPr>
            </w:pPr>
            <w:r w:rsidRPr="004D4A14">
              <w:rPr>
                <w:rFonts w:cs="Times New Roman"/>
                <w:b/>
                <w:bCs/>
                <w:iCs/>
                <w:sz w:val="22"/>
                <w:lang w:bidi="lt-LT"/>
              </w:rPr>
              <w:lastRenderedPageBreak/>
              <w:t>2. Žalesnė Europa</w:t>
            </w:r>
          </w:p>
          <w:p w14:paraId="16FE7850" w14:textId="77777777" w:rsidR="00197FF3" w:rsidRPr="004D4A14" w:rsidRDefault="00197FF3" w:rsidP="00D163E2">
            <w:pPr>
              <w:rPr>
                <w:rFonts w:cs="Times New Roman"/>
                <w:b/>
                <w:bCs/>
                <w:iCs/>
                <w:sz w:val="22"/>
                <w:lang w:bidi="lt-LT"/>
              </w:rPr>
            </w:pPr>
          </w:p>
          <w:p w14:paraId="3B5A63AA" w14:textId="77777777" w:rsidR="00197FF3" w:rsidRPr="004D4A14" w:rsidRDefault="00197FF3" w:rsidP="00D163E2">
            <w:pPr>
              <w:rPr>
                <w:rFonts w:cs="Times New Roman"/>
                <w:b/>
                <w:bCs/>
                <w:iCs/>
                <w:sz w:val="22"/>
                <w:lang w:bidi="lt-LT"/>
              </w:rPr>
            </w:pPr>
          </w:p>
          <w:p w14:paraId="15AE38FE" w14:textId="77777777" w:rsidR="00197FF3" w:rsidRPr="004D4A14" w:rsidRDefault="00197FF3" w:rsidP="00D163E2">
            <w:pPr>
              <w:rPr>
                <w:rFonts w:cs="Times New Roman"/>
                <w:b/>
                <w:bCs/>
                <w:iCs/>
                <w:sz w:val="22"/>
                <w:lang w:bidi="lt-LT"/>
              </w:rPr>
            </w:pPr>
          </w:p>
          <w:p w14:paraId="13866F6B" w14:textId="77777777" w:rsidR="00197FF3" w:rsidRPr="004D4A14" w:rsidRDefault="00197FF3" w:rsidP="00D163E2">
            <w:pPr>
              <w:pStyle w:val="Sraopastraipa"/>
              <w:ind w:left="0" w:right="35"/>
              <w:rPr>
                <w:rFonts w:cs="Times New Roman"/>
                <w:b/>
                <w:bCs/>
                <w:iCs/>
                <w:sz w:val="22"/>
                <w:lang w:bidi="lt-LT"/>
              </w:rPr>
            </w:pPr>
          </w:p>
        </w:tc>
        <w:tc>
          <w:tcPr>
            <w:tcW w:w="1079" w:type="pct"/>
          </w:tcPr>
          <w:p w14:paraId="276D1AE4" w14:textId="3D6C564E" w:rsidR="00197FF3" w:rsidRPr="004D4A14" w:rsidRDefault="00197FF3" w:rsidP="00D163E2">
            <w:pPr>
              <w:rPr>
                <w:rFonts w:cs="Times New Roman"/>
                <w:sz w:val="22"/>
                <w:lang w:bidi="lt-LT"/>
              </w:rPr>
            </w:pPr>
            <w:r w:rsidRPr="004D4A14">
              <w:rPr>
                <w:rFonts w:cs="Times New Roman"/>
                <w:sz w:val="22"/>
              </w:rPr>
              <w:t xml:space="preserve">2.5 </w:t>
            </w:r>
            <w:bookmarkStart w:id="3" w:name="_Hlk215829806"/>
            <w:r w:rsidR="009445B3" w:rsidRPr="004D4A14">
              <w:rPr>
                <w:rFonts w:cs="Times New Roman"/>
                <w:sz w:val="22"/>
              </w:rPr>
              <w:t>Skatinti s</w:t>
            </w:r>
            <w:r w:rsidRPr="004D4A14">
              <w:rPr>
                <w:rFonts w:cs="Times New Roman"/>
                <w:sz w:val="22"/>
              </w:rPr>
              <w:t>augi</w:t>
            </w:r>
            <w:r w:rsidR="009445B3" w:rsidRPr="004D4A14">
              <w:rPr>
                <w:rFonts w:cs="Times New Roman"/>
                <w:sz w:val="22"/>
              </w:rPr>
              <w:t>ą</w:t>
            </w:r>
            <w:r w:rsidRPr="004D4A14">
              <w:rPr>
                <w:rFonts w:cs="Times New Roman"/>
                <w:sz w:val="22"/>
              </w:rPr>
              <w:t xml:space="preserve"> prieig</w:t>
            </w:r>
            <w:r w:rsidR="009445B3" w:rsidRPr="004D4A14">
              <w:rPr>
                <w:rFonts w:cs="Times New Roman"/>
                <w:sz w:val="22"/>
              </w:rPr>
              <w:t>ą</w:t>
            </w:r>
            <w:r w:rsidRPr="004D4A14">
              <w:rPr>
                <w:rFonts w:cs="Times New Roman"/>
                <w:sz w:val="22"/>
              </w:rPr>
              <w:t xml:space="preserve"> prie vandens, tvarios vandentvarkos, įskaitant integruotą vandentvarką, ir vandens išteklių atsparum</w:t>
            </w:r>
            <w:r w:rsidR="009445B3" w:rsidRPr="004D4A14">
              <w:rPr>
                <w:rFonts w:cs="Times New Roman"/>
                <w:sz w:val="22"/>
              </w:rPr>
              <w:t>ą</w:t>
            </w:r>
            <w:bookmarkEnd w:id="3"/>
          </w:p>
        </w:tc>
        <w:tc>
          <w:tcPr>
            <w:tcW w:w="2571" w:type="pct"/>
          </w:tcPr>
          <w:p w14:paraId="22087E5C" w14:textId="77777777" w:rsidR="00197FF3" w:rsidRPr="004D4A14" w:rsidRDefault="00197FF3" w:rsidP="00D163E2">
            <w:pPr>
              <w:jc w:val="both"/>
              <w:rPr>
                <w:bCs/>
                <w:sz w:val="22"/>
              </w:rPr>
            </w:pPr>
            <w:r w:rsidRPr="004D4A14">
              <w:rPr>
                <w:bCs/>
                <w:sz w:val="22"/>
              </w:rPr>
              <w:t>Vien</w:t>
            </w:r>
            <w:r w:rsidRPr="004D4A14">
              <w:rPr>
                <w:rFonts w:cs="Times New Roman"/>
                <w:b/>
                <w:bCs/>
                <w:iCs/>
                <w:color w:val="000000" w:themeColor="text1"/>
                <w:sz w:val="22"/>
                <w:lang w:bidi="lt-LT"/>
              </w:rPr>
              <w:t>a</w:t>
            </w:r>
            <w:r w:rsidRPr="004D4A14">
              <w:rPr>
                <w:bCs/>
                <w:sz w:val="22"/>
              </w:rPr>
              <w:t xml:space="preserve">s iš </w:t>
            </w:r>
            <w:r w:rsidRPr="004D4A14">
              <w:rPr>
                <w:b/>
                <w:bCs/>
                <w:sz w:val="22"/>
              </w:rPr>
              <w:t>Europos žaliojo kurso</w:t>
            </w:r>
            <w:r w:rsidRPr="004D4A14">
              <w:rPr>
                <w:bCs/>
                <w:sz w:val="22"/>
              </w:rPr>
              <w:t xml:space="preserve"> tikslų yra siekiamybė apsaugoti, išsaugoti ir sustiprinti ES gamtinį kapitalą bei atkurti natūralią požeminio ir paviršinio vandens būklę. Darnus geriamojo vandens tiekimas ir nuotekų tvarkymas reikšmingai prisideda prie šių siekių įgyvendinimo.</w:t>
            </w:r>
          </w:p>
          <w:p w14:paraId="3AE461FE" w14:textId="77777777" w:rsidR="00197FF3" w:rsidRPr="004D4A14" w:rsidRDefault="00197FF3" w:rsidP="00D163E2">
            <w:pPr>
              <w:jc w:val="both"/>
              <w:rPr>
                <w:bCs/>
                <w:sz w:val="22"/>
              </w:rPr>
            </w:pPr>
            <w:r w:rsidRPr="004D4A14">
              <w:rPr>
                <w:bCs/>
                <w:iCs/>
                <w:sz w:val="22"/>
              </w:rPr>
              <w:t xml:space="preserve">Didžiausią neigiamą poveikį Lietuvos paviršiniams vandenims daro pasklidoji tarša iš žemės ūkio sektoriaus, taip pat </w:t>
            </w:r>
            <w:r w:rsidRPr="004D4A14">
              <w:rPr>
                <w:bCs/>
                <w:sz w:val="22"/>
              </w:rPr>
              <w:t>netinkamai tvarkomos individualios nuotekos. Lietuvos teritorija yra jautri azotui ir fosforui zona. Per didelis maistingųjų medžiagų kiekis neigiamai veikia vandens telkinių būklę ir sukelia eutrofikaciją visuose vandens telkiniuose. Todėl svarbu imtis priemonių nuotekų tvarkymo sistemų plėtrai ir nuotekų valymo įrenginių rekonstrukcijai užtikrinti, siekiant mažinti vandens telkinių taršą ir sudaryti galimybes visiems gyventojams gauti saugos ir kokybės reikalavimus atitinkantį geriamąjį vandenį.</w:t>
            </w:r>
          </w:p>
          <w:p w14:paraId="48132E92" w14:textId="77777777" w:rsidR="00197FF3" w:rsidRPr="004D4A14" w:rsidRDefault="00197FF3" w:rsidP="00D163E2">
            <w:pPr>
              <w:jc w:val="both"/>
              <w:rPr>
                <w:bCs/>
                <w:sz w:val="22"/>
              </w:rPr>
            </w:pPr>
            <w:r w:rsidRPr="004D4A14">
              <w:rPr>
                <w:b/>
                <w:bCs/>
                <w:sz w:val="22"/>
              </w:rPr>
              <w:t xml:space="preserve">Pagrindinis NPP tikslas iki 2030 m. </w:t>
            </w:r>
            <w:r w:rsidRPr="004D4A14">
              <w:rPr>
                <w:bCs/>
                <w:sz w:val="22"/>
              </w:rPr>
              <w:t>pasiekti, kad visi vandens telkiniai būtų geros būklės ir visos viešosios geriamojo vandens tiekimo ir nuotekų tvarkymo įmonės veiktų efektyviai. Taip pat siekiama padidinti nuotekų tvarkymo paslaugų prieinamumą iki 95 % šalies gyventojų (padidėtų 18 proc. p., palyginti su 2020 m.), o geriamojo vandens srityje – iki 90 % (padidėtų 7 proc. p., palyginti su 2020 m.).</w:t>
            </w:r>
          </w:p>
          <w:p w14:paraId="048696DD" w14:textId="13C00BD3" w:rsidR="00197FF3" w:rsidRPr="004D4A14" w:rsidRDefault="00197FF3" w:rsidP="00D163E2">
            <w:pPr>
              <w:jc w:val="both"/>
              <w:rPr>
                <w:rFonts w:eastAsia="Times New Roman" w:cs="Times New Roman"/>
                <w:sz w:val="22"/>
              </w:rPr>
            </w:pPr>
            <w:r w:rsidRPr="004D4A14">
              <w:rPr>
                <w:rFonts w:eastAsia="Times New Roman" w:cs="Times New Roman"/>
                <w:sz w:val="22"/>
              </w:rPr>
              <w:t>Kintant geopolitinei situacijai, tampa dar svarbiau užtikrinti saugų ir patikimą geriamojo vandens tiekimą. Tam r</w:t>
            </w:r>
            <w:r w:rsidRPr="004D4A14">
              <w:rPr>
                <w:rFonts w:eastAsia="Times New Roman" w:cs="Times New Roman"/>
                <w:color w:val="000000" w:themeColor="text1"/>
                <w:sz w:val="22"/>
              </w:rPr>
              <w:t>eikalinga didinti centralizuotos</w:t>
            </w:r>
            <w:r w:rsidRPr="004D4A14">
              <w:rPr>
                <w:rFonts w:eastAsia="Times New Roman" w:cs="Times New Roman"/>
                <w:b/>
                <w:bCs/>
                <w:color w:val="000000" w:themeColor="text1"/>
                <w:sz w:val="22"/>
              </w:rPr>
              <w:t xml:space="preserve"> geriamojo vandens tiekimo infrastruktūros apsaugą ir viešųjų vandens tiekėjų ir nuotekų tvarkytojų valdymo centrų atsparumą, </w:t>
            </w:r>
            <w:r w:rsidRPr="004D4A14">
              <w:rPr>
                <w:rFonts w:eastAsia="Times New Roman" w:cs="Times New Roman"/>
                <w:color w:val="000000" w:themeColor="text1"/>
                <w:sz w:val="22"/>
              </w:rPr>
              <w:t>fizinę ir veiklos</w:t>
            </w:r>
            <w:r w:rsidRPr="004D4A14">
              <w:rPr>
                <w:rFonts w:eastAsia="Times New Roman" w:cs="Times New Roman"/>
                <w:b/>
                <w:bCs/>
                <w:color w:val="000000" w:themeColor="text1"/>
                <w:sz w:val="22"/>
              </w:rPr>
              <w:t xml:space="preserve"> </w:t>
            </w:r>
            <w:r w:rsidRPr="004D4A14">
              <w:rPr>
                <w:rFonts w:eastAsia="Times New Roman" w:cs="Times New Roman"/>
                <w:color w:val="000000" w:themeColor="text1"/>
                <w:sz w:val="22"/>
              </w:rPr>
              <w:t xml:space="preserve">apsaugą. Įgyvendinat veiklą, bus siekiama apsaugoti įmones, jų turtą, darbuotojus ir gyventojus nuo neteisėto fizinio poveikio, kad būtų užtikrintas nepertraukiamas saugus vartojimui geriamojo vandens </w:t>
            </w:r>
            <w:r w:rsidRPr="004D4A14">
              <w:rPr>
                <w:rFonts w:eastAsia="Times New Roman" w:cs="Times New Roman"/>
                <w:sz w:val="22"/>
              </w:rPr>
              <w:t xml:space="preserve">tiekimas. Ši veikla atliepia nacionalinius saugumo poreikius bei prisideda prie </w:t>
            </w:r>
            <w:r w:rsidRPr="004D4A14">
              <w:rPr>
                <w:rFonts w:eastAsia="Times New Roman" w:cs="Times New Roman"/>
                <w:b/>
                <w:bCs/>
                <w:sz w:val="22"/>
              </w:rPr>
              <w:t xml:space="preserve">Europos hidrologinio atsparumo strategijos </w:t>
            </w:r>
            <w:r w:rsidRPr="004D4A14">
              <w:rPr>
                <w:rFonts w:eastAsia="Times New Roman" w:cs="Times New Roman"/>
                <w:sz w:val="22"/>
              </w:rPr>
              <w:t>tikslų įgyvendinimo.</w:t>
            </w:r>
          </w:p>
          <w:p w14:paraId="152E3E3E" w14:textId="77777777" w:rsidR="00197FF3" w:rsidRPr="004D4A14" w:rsidRDefault="00197FF3" w:rsidP="00D163E2">
            <w:pPr>
              <w:jc w:val="both"/>
              <w:rPr>
                <w:bCs/>
                <w:sz w:val="22"/>
              </w:rPr>
            </w:pPr>
            <w:r w:rsidRPr="004D4A14">
              <w:rPr>
                <w:bCs/>
                <w:sz w:val="22"/>
              </w:rPr>
              <w:t xml:space="preserve">Pasirenkama </w:t>
            </w:r>
            <w:r w:rsidRPr="004D4A14">
              <w:rPr>
                <w:b/>
                <w:bCs/>
                <w:sz w:val="22"/>
              </w:rPr>
              <w:t>finansavimo forma</w:t>
            </w:r>
            <w:r w:rsidRPr="004D4A14">
              <w:rPr>
                <w:bCs/>
                <w:sz w:val="22"/>
              </w:rPr>
              <w:t xml:space="preserve"> – dotacijos. </w:t>
            </w:r>
            <w:r w:rsidRPr="004D4A14">
              <w:rPr>
                <w:sz w:val="22"/>
              </w:rPr>
              <w:t>Planuojamos vykdyti veiklos negeneruos pajamų, todėl joms neplanuojama taikyti finansinių priemonių.</w:t>
            </w:r>
          </w:p>
          <w:p w14:paraId="1FAD5E18" w14:textId="2A16989B" w:rsidR="00197FF3" w:rsidRPr="004D4A14" w:rsidRDefault="00197FF3" w:rsidP="00D163E2">
            <w:pPr>
              <w:jc w:val="both"/>
              <w:rPr>
                <w:sz w:val="22"/>
              </w:rPr>
            </w:pPr>
            <w:r w:rsidRPr="004D4A14">
              <w:rPr>
                <w:bCs/>
                <w:sz w:val="22"/>
              </w:rPr>
              <w:t xml:space="preserve">Darnios vandentvarkos </w:t>
            </w:r>
            <w:r w:rsidRPr="004D4A14">
              <w:rPr>
                <w:color w:val="000000"/>
                <w:sz w:val="22"/>
              </w:rPr>
              <w:t xml:space="preserve">veiklos leis siekti </w:t>
            </w:r>
            <w:r w:rsidRPr="004D4A14">
              <w:rPr>
                <w:b/>
                <w:color w:val="000000"/>
                <w:sz w:val="22"/>
              </w:rPr>
              <w:t>BJRS</w:t>
            </w:r>
            <w:r w:rsidRPr="004D4A14">
              <w:rPr>
                <w:b/>
                <w:bCs/>
                <w:sz w:val="22"/>
              </w:rPr>
              <w:t xml:space="preserve"> </w:t>
            </w:r>
            <w:r w:rsidRPr="004D4A14">
              <w:rPr>
                <w:bCs/>
                <w:sz w:val="22"/>
              </w:rPr>
              <w:t xml:space="preserve">politinės srities </w:t>
            </w:r>
            <w:r w:rsidRPr="004D4A14">
              <w:rPr>
                <w:color w:val="000000"/>
                <w:sz w:val="22"/>
              </w:rPr>
              <w:t>„</w:t>
            </w:r>
            <w:proofErr w:type="spellStart"/>
            <w:r w:rsidRPr="004D4A14">
              <w:rPr>
                <w:color w:val="000000"/>
                <w:sz w:val="22"/>
              </w:rPr>
              <w:t>Nutri</w:t>
            </w:r>
            <w:proofErr w:type="spellEnd"/>
            <w:r w:rsidRPr="004D4A14">
              <w:rPr>
                <w:color w:val="000000"/>
                <w:sz w:val="22"/>
              </w:rPr>
              <w:t xml:space="preserve">“ tikslų, kuriais </w:t>
            </w:r>
            <w:r w:rsidRPr="004D4A14">
              <w:rPr>
                <w:bCs/>
                <w:sz w:val="22"/>
              </w:rPr>
              <w:t>siekiama mažinti taršos patekimą į vandens telkinius, ir turės netiesioginę įtaką sritims „Pavojai“ bei „Sveikata“.</w:t>
            </w:r>
          </w:p>
        </w:tc>
      </w:tr>
      <w:tr w:rsidR="00197FF3" w:rsidRPr="004D4A14" w14:paraId="765CED6E" w14:textId="77777777" w:rsidTr="00552778">
        <w:tc>
          <w:tcPr>
            <w:tcW w:w="1350" w:type="pct"/>
            <w:vMerge/>
          </w:tcPr>
          <w:p w14:paraId="6600D2F4" w14:textId="77777777" w:rsidR="00197FF3" w:rsidRPr="004D4A14" w:rsidRDefault="00197FF3" w:rsidP="00197FF3">
            <w:pPr>
              <w:pStyle w:val="Sraopastraipa"/>
              <w:ind w:left="0" w:right="35"/>
              <w:rPr>
                <w:rFonts w:cs="Times New Roman"/>
                <w:b/>
                <w:bCs/>
                <w:iCs/>
                <w:sz w:val="22"/>
                <w:lang w:bidi="lt-LT"/>
              </w:rPr>
            </w:pPr>
          </w:p>
        </w:tc>
        <w:tc>
          <w:tcPr>
            <w:tcW w:w="1079" w:type="pct"/>
          </w:tcPr>
          <w:p w14:paraId="3E637598" w14:textId="1E10D50C" w:rsidR="00197FF3" w:rsidRPr="004D4A14" w:rsidRDefault="00197FF3" w:rsidP="00197FF3">
            <w:pPr>
              <w:rPr>
                <w:rFonts w:cs="Times New Roman"/>
                <w:iCs/>
                <w:sz w:val="22"/>
                <w:lang w:bidi="lt-LT"/>
              </w:rPr>
            </w:pPr>
            <w:r w:rsidRPr="004D4A14">
              <w:rPr>
                <w:sz w:val="22"/>
              </w:rPr>
              <w:t xml:space="preserve">13.1 </w:t>
            </w:r>
            <w:r w:rsidR="001D3B11" w:rsidRPr="004D4A14">
              <w:rPr>
                <w:sz w:val="22"/>
              </w:rPr>
              <w:t>Skatinti e</w:t>
            </w:r>
            <w:r w:rsidRPr="004D4A14">
              <w:rPr>
                <w:sz w:val="22"/>
              </w:rPr>
              <w:t xml:space="preserve">nergetikos jungčių ir susijusios perdavimo, </w:t>
            </w:r>
            <w:r w:rsidRPr="004D4A14">
              <w:rPr>
                <w:sz w:val="22"/>
              </w:rPr>
              <w:lastRenderedPageBreak/>
              <w:t>paskirstymo ir pagalbinės infrastruktūros, taip pat kritinės energetinės infrastruktūros apsaug</w:t>
            </w:r>
            <w:r w:rsidR="001D3B11" w:rsidRPr="004D4A14">
              <w:rPr>
                <w:sz w:val="22"/>
              </w:rPr>
              <w:t>ą</w:t>
            </w:r>
            <w:r w:rsidRPr="004D4A14">
              <w:rPr>
                <w:sz w:val="22"/>
              </w:rPr>
              <w:t xml:space="preserve"> bei įkrovimo infrastruktūros diegim</w:t>
            </w:r>
            <w:r w:rsidR="001D3B11" w:rsidRPr="004D4A14">
              <w:rPr>
                <w:sz w:val="22"/>
              </w:rPr>
              <w:t>ą</w:t>
            </w:r>
          </w:p>
          <w:p w14:paraId="48A9D4B3" w14:textId="77777777" w:rsidR="00197FF3" w:rsidRPr="004D4A14" w:rsidRDefault="00197FF3" w:rsidP="00197FF3">
            <w:pPr>
              <w:rPr>
                <w:rFonts w:cs="Times New Roman"/>
                <w:sz w:val="22"/>
              </w:rPr>
            </w:pPr>
          </w:p>
        </w:tc>
        <w:tc>
          <w:tcPr>
            <w:tcW w:w="2571" w:type="pct"/>
          </w:tcPr>
          <w:p w14:paraId="75AEE77F" w14:textId="77777777" w:rsidR="00197FF3" w:rsidRPr="004D4A14" w:rsidRDefault="00197FF3" w:rsidP="00197FF3">
            <w:pPr>
              <w:jc w:val="both"/>
              <w:rPr>
                <w:rFonts w:eastAsia="Times New Roman" w:cs="Times New Roman"/>
                <w:sz w:val="22"/>
              </w:rPr>
            </w:pPr>
            <w:r w:rsidRPr="004D4A14">
              <w:rPr>
                <w:rFonts w:eastAsia="Times New Roman" w:cs="Times New Roman"/>
                <w:sz w:val="22"/>
              </w:rPr>
              <w:lastRenderedPageBreak/>
              <w:t xml:space="preserve">Energetikos sektorius vis dažniau susiduria su hibridinėmis grėsmėmis – kibernetinėmis atakomis, fiziniu sabotažu ir informacinėmis manipuliacijomis. Šios grėsmės gali destabilizuoti elektros tiekimą, </w:t>
            </w:r>
            <w:r w:rsidRPr="004D4A14">
              <w:rPr>
                <w:rFonts w:eastAsia="Times New Roman" w:cs="Times New Roman"/>
                <w:sz w:val="22"/>
              </w:rPr>
              <w:lastRenderedPageBreak/>
              <w:t>paveikti visuomenės pasitikėjimą ir sukelti plataus masto krizes. O klimato kaita didina ekstremalių oro reiškinių dažnį ir intensyvumą, kelia grėsmę infrastruktūros fiziniam stabilumui.</w:t>
            </w:r>
          </w:p>
          <w:p w14:paraId="51F3F297" w14:textId="77777777" w:rsidR="00197FF3" w:rsidRPr="004D4A14" w:rsidRDefault="00197FF3" w:rsidP="00197FF3">
            <w:pPr>
              <w:jc w:val="both"/>
              <w:rPr>
                <w:rFonts w:eastAsia="Times New Roman" w:cs="Times New Roman"/>
                <w:sz w:val="22"/>
              </w:rPr>
            </w:pPr>
            <w:r w:rsidRPr="004D4A14">
              <w:rPr>
                <w:rFonts w:eastAsia="Times New Roman" w:cs="Times New Roman"/>
                <w:sz w:val="22"/>
              </w:rPr>
              <w:t>Patikimas elektros tiekimas yra būtinas visų gyvybiškai svarbių paslaugų veikimui – sveikatos apsaugai, ryšiams, vandens tiekimui, transportui. Net trumpalaikiai tiekimo sutrikimai gali sukelti grandininį poveikį visuomenės stabilumui. Atspari infrastruktūra užtikrina valstybės funkcionavimą net ir krizės metu.</w:t>
            </w:r>
          </w:p>
          <w:p w14:paraId="16AE63A6" w14:textId="77777777" w:rsidR="00197FF3" w:rsidRPr="004D4A14" w:rsidRDefault="00197FF3" w:rsidP="00197FF3">
            <w:pPr>
              <w:jc w:val="both"/>
              <w:rPr>
                <w:rFonts w:eastAsia="Times New Roman" w:cs="Times New Roman"/>
                <w:sz w:val="22"/>
              </w:rPr>
            </w:pPr>
            <w:r w:rsidRPr="004D4A14">
              <w:rPr>
                <w:rFonts w:eastAsia="Times New Roman" w:cs="Times New Roman"/>
                <w:sz w:val="22"/>
              </w:rPr>
              <w:t xml:space="preserve">EK komunikate „2025 m. strateginės perspektyvos ataskaita. Atsparumas 2.0: ES įgalinimas klestėti neramumų ir neapibrėžtumo metu” pabrėžiama, kad ypatingas dėmesys turėtų būti skiriamas ES sukurtų strateginių veiksnių, tokių kaip saugi skaitmeninė infrastruktūra, </w:t>
            </w:r>
            <w:r w:rsidRPr="004D4A14">
              <w:rPr>
                <w:rFonts w:eastAsia="Times New Roman" w:cs="Times New Roman"/>
                <w:b/>
                <w:bCs/>
                <w:sz w:val="22"/>
              </w:rPr>
              <w:t>energetikos tinklai</w:t>
            </w:r>
            <w:r w:rsidRPr="004D4A14">
              <w:rPr>
                <w:rFonts w:eastAsia="Times New Roman" w:cs="Times New Roman"/>
                <w:sz w:val="22"/>
              </w:rPr>
              <w:t>, transporto tinklai ir infrastruktūra, kosmoso infrastruktūra ir paslaugos bei informacijos rinkimo ir analizės sistemos, kūrimui ir įgyvendinimui.</w:t>
            </w:r>
          </w:p>
          <w:p w14:paraId="3B319426" w14:textId="77777777" w:rsidR="00197FF3" w:rsidRPr="004D4A14" w:rsidRDefault="00197FF3" w:rsidP="00197FF3">
            <w:pPr>
              <w:jc w:val="both"/>
              <w:rPr>
                <w:rFonts w:eastAsia="Times New Roman" w:cs="Times New Roman"/>
                <w:sz w:val="22"/>
              </w:rPr>
            </w:pPr>
            <w:r w:rsidRPr="004D4A14">
              <w:rPr>
                <w:rFonts w:eastAsia="Times New Roman" w:cs="Times New Roman"/>
                <w:sz w:val="22"/>
              </w:rPr>
              <w:t xml:space="preserve">Požeminės elektros kabelių linijos užtikrina didesnę infrastruktūros apsaugą hibridinių išpuolių ar karinių operacijų atveju, nes požeminė infrastruktūra yra daug atsparesnė fizinei žalai ir ją sunkiau vizualiai aptikti. Šie aspektai yra ypač aktualūs atsižvelgiant į Lietuvos, kaip ES pasienio valstybės, esančios šalia agresorių šalių, padėtį ir iš to kylančias grėsmes. Ypač kai pastaraisiais metais buvo vykdomos hibridinės atakos prieš ES ypatingos svarbos energetikos infrastruktūrą, o pastaruoju metu buvo atvejų, kai </w:t>
            </w:r>
            <w:proofErr w:type="spellStart"/>
            <w:r w:rsidRPr="004D4A14">
              <w:rPr>
                <w:rFonts w:eastAsia="Times New Roman" w:cs="Times New Roman"/>
                <w:sz w:val="22"/>
              </w:rPr>
              <w:t>dronai</w:t>
            </w:r>
            <w:proofErr w:type="spellEnd"/>
            <w:r w:rsidRPr="004D4A14">
              <w:rPr>
                <w:rFonts w:eastAsia="Times New Roman" w:cs="Times New Roman"/>
                <w:sz w:val="22"/>
              </w:rPr>
              <w:t xml:space="preserve"> ar kiti skraidantys objektai iš Rusijos ir (arba) Baltarusijos, pažeisdami oro erdvę, sudužo Lietuvos teritorijoje. Todėl elektros oro linijų keitimas požeminėmis kabelių linijomis padidins patikimumą ne tik skirstymo, bet ir perdavimo lygmeniu, prisidėdamas prie sklandaus regioninių energijos rinkų integravimo ir palaikydamas ES energetinio saugumo tikslus.</w:t>
            </w:r>
          </w:p>
          <w:p w14:paraId="780D3C29" w14:textId="77777777" w:rsidR="00197FF3" w:rsidRPr="004D4A14" w:rsidRDefault="00197FF3" w:rsidP="00197FF3">
            <w:pPr>
              <w:jc w:val="both"/>
              <w:rPr>
                <w:rFonts w:cs="Times New Roman"/>
                <w:noProof/>
                <w:sz w:val="22"/>
                <w:lang w:eastAsia="lt-LT"/>
              </w:rPr>
            </w:pPr>
            <w:r w:rsidRPr="004D4A14">
              <w:rPr>
                <w:rFonts w:cs="Times New Roman"/>
                <w:noProof/>
                <w:sz w:val="22"/>
                <w:lang w:eastAsia="lt-LT"/>
              </w:rPr>
              <w:t>Įgyvendinant veiklas, numatoma prisidėti prie BJRS</w:t>
            </w:r>
            <w:r w:rsidRPr="004D4A14">
              <w:rPr>
                <w:rFonts w:cs="Times New Roman"/>
                <w:sz w:val="22"/>
              </w:rPr>
              <w:t xml:space="preserve"> politikos krypties „Energetika“ veiklų</w:t>
            </w:r>
            <w:r w:rsidRPr="004D4A14">
              <w:rPr>
                <w:rFonts w:eastAsia="Calibri" w:cs="Times New Roman"/>
                <w:noProof/>
                <w:sz w:val="22"/>
                <w:lang w:eastAsia="lt-LT" w:bidi="lt-LT"/>
              </w:rPr>
              <w:t xml:space="preserve"> </w:t>
            </w:r>
            <w:r w:rsidRPr="004D4A14">
              <w:rPr>
                <w:rFonts w:cs="Times New Roman"/>
                <w:noProof/>
                <w:sz w:val="22"/>
                <w:lang w:eastAsia="lt-LT"/>
              </w:rPr>
              <w:t>įgyvendinimo.</w:t>
            </w:r>
          </w:p>
          <w:p w14:paraId="3651ACBF" w14:textId="2EC9E03D" w:rsidR="00197FF3" w:rsidRPr="004D4A14" w:rsidRDefault="00197FF3" w:rsidP="00197FF3">
            <w:pPr>
              <w:jc w:val="both"/>
              <w:rPr>
                <w:bCs/>
                <w:sz w:val="22"/>
              </w:rPr>
            </w:pPr>
            <w:r w:rsidRPr="004D4A14">
              <w:rPr>
                <w:bCs/>
                <w:iCs/>
                <w:sz w:val="22"/>
              </w:rPr>
              <w:t xml:space="preserve">Pasirenkama </w:t>
            </w:r>
            <w:r w:rsidRPr="004D4A14">
              <w:rPr>
                <w:b/>
                <w:bCs/>
                <w:iCs/>
                <w:sz w:val="22"/>
              </w:rPr>
              <w:t>finansavimo forma</w:t>
            </w:r>
            <w:r w:rsidRPr="004D4A14">
              <w:rPr>
                <w:bCs/>
                <w:iCs/>
                <w:sz w:val="22"/>
              </w:rPr>
              <w:t xml:space="preserve"> – dotacijos. </w:t>
            </w:r>
            <w:r w:rsidRPr="004D4A14">
              <w:rPr>
                <w:sz w:val="22"/>
              </w:rPr>
              <w:t>Planuojamos vykdyti veiklos negeneruos pajamų, todėl joms neplanuojama taikyti finansinių priemonių.</w:t>
            </w:r>
          </w:p>
        </w:tc>
      </w:tr>
      <w:tr w:rsidR="00197FF3" w:rsidRPr="004D4A14" w14:paraId="38AB76F9" w14:textId="77777777" w:rsidTr="00552778">
        <w:tc>
          <w:tcPr>
            <w:tcW w:w="1350" w:type="pct"/>
          </w:tcPr>
          <w:p w14:paraId="08582E75" w14:textId="443A9DC7" w:rsidR="00197FF3" w:rsidRPr="004D4A14" w:rsidRDefault="009C14FB" w:rsidP="00197FF3">
            <w:pPr>
              <w:pStyle w:val="Sraopastraipa"/>
              <w:ind w:left="0" w:right="35"/>
              <w:rPr>
                <w:rFonts w:cs="Times New Roman"/>
                <w:b/>
                <w:bCs/>
                <w:iCs/>
                <w:sz w:val="22"/>
                <w:lang w:bidi="lt-LT"/>
              </w:rPr>
            </w:pPr>
            <w:r w:rsidRPr="004D4A14">
              <w:rPr>
                <w:rFonts w:cs="Times New Roman"/>
                <w:b/>
                <w:bCs/>
                <w:iCs/>
                <w:sz w:val="22"/>
                <w:lang w:bidi="lt-LT"/>
              </w:rPr>
              <w:lastRenderedPageBreak/>
              <w:t>3. Labiau sujungta Europa</w:t>
            </w:r>
          </w:p>
        </w:tc>
        <w:tc>
          <w:tcPr>
            <w:tcW w:w="1079" w:type="pct"/>
          </w:tcPr>
          <w:p w14:paraId="39FB05D6" w14:textId="1775C28F" w:rsidR="00197FF3" w:rsidRPr="004D4A14" w:rsidRDefault="009C14FB" w:rsidP="00C8137F">
            <w:pPr>
              <w:rPr>
                <w:rFonts w:cs="Times New Roman"/>
                <w:sz w:val="22"/>
              </w:rPr>
            </w:pPr>
            <w:r w:rsidRPr="004D4A14">
              <w:rPr>
                <w:rFonts w:cs="Times New Roman"/>
                <w:sz w:val="22"/>
              </w:rPr>
              <w:t xml:space="preserve">3.3 </w:t>
            </w:r>
            <w:bookmarkStart w:id="4" w:name="_Hlk215832701"/>
            <w:r w:rsidR="00C8137F" w:rsidRPr="004D4A14">
              <w:rPr>
                <w:rFonts w:cs="Times New Roman"/>
                <w:sz w:val="22"/>
              </w:rPr>
              <w:t>Sukurti atsparią gynybos infrastruktūrą, pirmenybę teikiant dvejopo naudojimo infrastruktūrai, taip pat, siekti skatinti karinį mobilumą ES ir gerinti civilinę parengtį</w:t>
            </w:r>
            <w:bookmarkEnd w:id="4"/>
          </w:p>
        </w:tc>
        <w:tc>
          <w:tcPr>
            <w:tcW w:w="2571" w:type="pct"/>
          </w:tcPr>
          <w:p w14:paraId="79E3D2E3" w14:textId="77777777" w:rsidR="009C14FB" w:rsidRPr="004D4A14" w:rsidRDefault="009C14FB" w:rsidP="009C14FB">
            <w:pPr>
              <w:jc w:val="both"/>
              <w:rPr>
                <w:bCs/>
                <w:iCs/>
                <w:sz w:val="22"/>
              </w:rPr>
            </w:pPr>
            <w:r w:rsidRPr="004D4A14">
              <w:rPr>
                <w:bCs/>
                <w:iCs/>
                <w:sz w:val="22"/>
              </w:rPr>
              <w:t>Pasikeitus geopolitinei situacijai regione ir padidėjus tarptautinei įtampai, iškilo poreikis didinti Europos šalių </w:t>
            </w:r>
            <w:r w:rsidRPr="004D4A14">
              <w:rPr>
                <w:b/>
                <w:bCs/>
                <w:iCs/>
                <w:sz w:val="22"/>
              </w:rPr>
              <w:t>karinio mobilumo</w:t>
            </w:r>
            <w:r w:rsidRPr="004D4A14">
              <w:rPr>
                <w:bCs/>
                <w:iCs/>
                <w:sz w:val="22"/>
              </w:rPr>
              <w:t> galimybes, įrengti </w:t>
            </w:r>
            <w:r w:rsidRPr="004D4A14">
              <w:rPr>
                <w:b/>
                <w:bCs/>
                <w:iCs/>
                <w:sz w:val="22"/>
              </w:rPr>
              <w:t>dvejopo naudojimo infrastruktūrą</w:t>
            </w:r>
            <w:r w:rsidRPr="004D4A14">
              <w:rPr>
                <w:bCs/>
                <w:iCs/>
                <w:sz w:val="22"/>
              </w:rPr>
              <w:t> ir stiprinti </w:t>
            </w:r>
            <w:r w:rsidRPr="004D4A14">
              <w:rPr>
                <w:b/>
                <w:bCs/>
                <w:iCs/>
                <w:sz w:val="22"/>
              </w:rPr>
              <w:t>civilinę parengtį</w:t>
            </w:r>
            <w:r w:rsidRPr="004D4A14">
              <w:rPr>
                <w:bCs/>
                <w:iCs/>
                <w:sz w:val="22"/>
              </w:rPr>
              <w:t>. </w:t>
            </w:r>
          </w:p>
          <w:p w14:paraId="341E4CDF" w14:textId="77777777" w:rsidR="009C14FB" w:rsidRPr="004D4A14" w:rsidRDefault="009C14FB" w:rsidP="009C14FB">
            <w:pPr>
              <w:jc w:val="both"/>
              <w:rPr>
                <w:bCs/>
                <w:iCs/>
                <w:sz w:val="22"/>
              </w:rPr>
            </w:pPr>
            <w:r w:rsidRPr="004D4A14">
              <w:rPr>
                <w:bCs/>
                <w:iCs/>
                <w:sz w:val="22"/>
              </w:rPr>
              <w:t>Auganti grėsmė nuo hibridinių ir konvencinių priešiškų veiksmų verčia užtikrinti, kad </w:t>
            </w:r>
            <w:r w:rsidRPr="004D4A14">
              <w:rPr>
                <w:b/>
                <w:bCs/>
                <w:iCs/>
                <w:sz w:val="22"/>
              </w:rPr>
              <w:t>transporto infrastruktūra </w:t>
            </w:r>
            <w:r w:rsidRPr="004D4A14">
              <w:rPr>
                <w:bCs/>
                <w:iCs/>
                <w:sz w:val="22"/>
              </w:rPr>
              <w:t xml:space="preserve">būtų parengta greitai reaguoti, būtų atspari ir pritaikyta tiek kariniams, tiek civiliniams poreikiams, užtikrinant nacionalinį saugumą ir </w:t>
            </w:r>
            <w:r w:rsidRPr="004D4A14">
              <w:rPr>
                <w:bCs/>
                <w:iCs/>
                <w:sz w:val="22"/>
              </w:rPr>
              <w:lastRenderedPageBreak/>
              <w:t>ekonominį stabilumą. Investicijos bus skiriamos modernizuoti transporto infrastruktūrą, kad ji atitiktų ES ir NATO dvejopo naudojimo standartus, apibrėžtus 2021 m. rugpjūčio 10 d. Komisijos įgyvendinimo reglamente (ES) 2021/1328, taip pat, užtikrinant jos tinkamumą ir civiliniam, ir kariniam naudojimui. Investicijos prisidės prie Karinio mobilumo veiksmų plano 2.0, įgyvendinamo kartu su kitomis atsakingomis šalies institucijomis, vykdymo. </w:t>
            </w:r>
          </w:p>
          <w:p w14:paraId="0977CAFA" w14:textId="77777777" w:rsidR="009C14FB" w:rsidRPr="004D4A14" w:rsidRDefault="009C14FB" w:rsidP="009C14FB">
            <w:pPr>
              <w:jc w:val="both"/>
              <w:rPr>
                <w:bCs/>
                <w:iCs/>
                <w:sz w:val="22"/>
              </w:rPr>
            </w:pPr>
            <w:r w:rsidRPr="004D4A14">
              <w:rPr>
                <w:bCs/>
                <w:iCs/>
                <w:sz w:val="22"/>
              </w:rPr>
              <w:t>Praėjusi COVID-19 pandemija ir karas Ukrainoje rodo, kad sveikatos sektoriaus parengtis tampa vienu iš esminių nacionalinio saugumo aspektų. Investicijas numatoma nukreipti į </w:t>
            </w:r>
            <w:r w:rsidRPr="004D4A14">
              <w:rPr>
                <w:b/>
                <w:bCs/>
                <w:iCs/>
                <w:sz w:val="22"/>
              </w:rPr>
              <w:t>sveikatos sistemos infrastruktūros</w:t>
            </w:r>
            <w:r w:rsidRPr="004D4A14">
              <w:rPr>
                <w:bCs/>
                <w:iCs/>
                <w:sz w:val="22"/>
              </w:rPr>
              <w:t> atsparumo stiprinimą ir jos pritaikymą reaguoti į ekstremaliąsias situacijas, krizes bei karo grėsmes. </w:t>
            </w:r>
          </w:p>
          <w:p w14:paraId="53B282A1" w14:textId="77777777" w:rsidR="009C14FB" w:rsidRPr="004D4A14" w:rsidRDefault="009C14FB" w:rsidP="009C14FB">
            <w:pPr>
              <w:jc w:val="both"/>
              <w:rPr>
                <w:bCs/>
                <w:iCs/>
                <w:sz w:val="22"/>
              </w:rPr>
            </w:pPr>
            <w:r w:rsidRPr="004D4A14">
              <w:rPr>
                <w:bCs/>
                <w:iCs/>
                <w:sz w:val="22"/>
              </w:rPr>
              <w:t>Kartu, itin svarbu </w:t>
            </w:r>
            <w:r w:rsidRPr="004D4A14">
              <w:rPr>
                <w:b/>
                <w:bCs/>
                <w:iCs/>
                <w:sz w:val="22"/>
              </w:rPr>
              <w:t>stiprinti civilinę parengtį</w:t>
            </w:r>
            <w:r w:rsidRPr="004D4A14">
              <w:rPr>
                <w:bCs/>
                <w:iCs/>
                <w:sz w:val="22"/>
              </w:rPr>
              <w:t>, įgalinančią grėsmių atveju užtikrinti visuomenės saugumą, gyvybiškai svarbių valstybės ir visuomenės funkcijų tęstinumą ir prisidėti prie šalies saugumo ir gynybos. Todėl investicijos bus skiriamos gyventojų perspėjimo infrastruktūros tobulinimui ir viešąjį saugumą užtikrinančių institucijų pajėgumų stiprinimui, gyventojų švietimui civilinės saugos klausimais. Taip pat, siekiant pagerinti civilinės saugos sistemos išvystymo lygį, lėšos bus skiriamos priedangų įrengimui ar modernizavimui, ekstremaliųjų situacijų operacijų centrų atnaujinimui. </w:t>
            </w:r>
          </w:p>
          <w:p w14:paraId="024A41F8" w14:textId="77777777" w:rsidR="009C14FB" w:rsidRPr="004D4A14" w:rsidRDefault="009C14FB" w:rsidP="009C14FB">
            <w:pPr>
              <w:jc w:val="both"/>
              <w:rPr>
                <w:bCs/>
                <w:iCs/>
                <w:sz w:val="22"/>
              </w:rPr>
            </w:pPr>
            <w:r w:rsidRPr="004D4A14">
              <w:rPr>
                <w:bCs/>
                <w:iCs/>
                <w:sz w:val="22"/>
              </w:rPr>
              <w:t>Veiklų įgyvendinimas prisidės prie </w:t>
            </w:r>
            <w:r w:rsidRPr="004D4A14">
              <w:rPr>
                <w:b/>
                <w:bCs/>
                <w:iCs/>
                <w:sz w:val="22"/>
              </w:rPr>
              <w:t>BJRS </w:t>
            </w:r>
            <w:r w:rsidRPr="004D4A14">
              <w:rPr>
                <w:bCs/>
                <w:iCs/>
                <w:sz w:val="22"/>
              </w:rPr>
              <w:t>politikos tikslų „Sauga“ ir „Saugumas“, ES pasirengimo krizėms strategijos bei 2024–2029 m. strateginėje darbotvarkėje nurodyto ES prioriteto ,,Stipri ir saugi Europa“ tikslų įgyvendinimo. </w:t>
            </w:r>
          </w:p>
          <w:p w14:paraId="6E1BB995" w14:textId="68BF1358" w:rsidR="00197FF3" w:rsidRPr="004D4A14" w:rsidRDefault="009C14FB" w:rsidP="00197FF3">
            <w:pPr>
              <w:jc w:val="both"/>
              <w:rPr>
                <w:bCs/>
                <w:sz w:val="22"/>
              </w:rPr>
            </w:pPr>
            <w:r w:rsidRPr="004D4A14">
              <w:rPr>
                <w:bCs/>
                <w:iCs/>
                <w:sz w:val="22"/>
              </w:rPr>
              <w:t>Pasirenkama finansavimo forma – </w:t>
            </w:r>
            <w:r w:rsidRPr="004D4A14">
              <w:rPr>
                <w:b/>
                <w:bCs/>
                <w:iCs/>
                <w:sz w:val="22"/>
              </w:rPr>
              <w:t>dotacija</w:t>
            </w:r>
            <w:r w:rsidRPr="004D4A14">
              <w:rPr>
                <w:bCs/>
                <w:iCs/>
                <w:sz w:val="22"/>
              </w:rPr>
              <w:t>. Planuojamos vykdyti veiklos negeneruoja pajamų, todėl joms neplanuojama taikyti finansinių priemonių.</w:t>
            </w:r>
            <w:r w:rsidRPr="004D4A14">
              <w:rPr>
                <w:bCs/>
                <w:sz w:val="22"/>
              </w:rPr>
              <w:t xml:space="preserve"> </w:t>
            </w:r>
          </w:p>
        </w:tc>
      </w:tr>
      <w:tr w:rsidR="009550C5" w:rsidRPr="004D4A14" w14:paraId="176E9DE1" w14:textId="77777777" w:rsidTr="00552778">
        <w:tc>
          <w:tcPr>
            <w:tcW w:w="1350" w:type="pct"/>
            <w:vMerge w:val="restart"/>
          </w:tcPr>
          <w:p w14:paraId="7B01CC07" w14:textId="13812395" w:rsidR="009550C5" w:rsidRPr="004D4A14" w:rsidRDefault="009550C5" w:rsidP="00197FF3">
            <w:pPr>
              <w:pStyle w:val="Sraopastraipa"/>
              <w:ind w:left="0" w:right="35"/>
              <w:rPr>
                <w:rFonts w:cs="Times New Roman"/>
                <w:b/>
                <w:bCs/>
                <w:iCs/>
                <w:sz w:val="22"/>
                <w:lang w:bidi="lt-LT"/>
              </w:rPr>
            </w:pPr>
            <w:r w:rsidRPr="004D4A14">
              <w:rPr>
                <w:rFonts w:cs="Times New Roman"/>
                <w:b/>
                <w:bCs/>
                <w:iCs/>
                <w:sz w:val="22"/>
                <w:lang w:bidi="lt-LT"/>
              </w:rPr>
              <w:lastRenderedPageBreak/>
              <w:t>4. Socialiai atsakingesnė ir įtraukesnė Europa </w:t>
            </w:r>
          </w:p>
        </w:tc>
        <w:tc>
          <w:tcPr>
            <w:tcW w:w="1079" w:type="pct"/>
          </w:tcPr>
          <w:p w14:paraId="0EFD272D" w14:textId="439FB130" w:rsidR="009550C5" w:rsidRPr="004D4A14" w:rsidRDefault="009550C5" w:rsidP="00197FF3">
            <w:pPr>
              <w:rPr>
                <w:rFonts w:cs="Times New Roman"/>
                <w:sz w:val="22"/>
              </w:rPr>
            </w:pPr>
            <w:r w:rsidRPr="004D4A14">
              <w:rPr>
                <w:sz w:val="22"/>
              </w:rPr>
              <w:t xml:space="preserve">4.4. </w:t>
            </w:r>
            <w:r w:rsidRPr="004D4A14">
              <w:rPr>
                <w:iCs/>
                <w:sz w:val="22"/>
                <w:lang w:bidi="lt-LT"/>
              </w:rPr>
              <w:t xml:space="preserve">Skatinti mokymąsi visą gyvenimą, visų pirma siekti, kad visi turėtų lanksčių kvalifikacijos kėlimo ir persikvalifikavimo galimybių, atsižvelgiant į verslumo ir skaitmeninius įgūdžius, geriau numatyti pokyčius ir naujų įgūdžių </w:t>
            </w:r>
            <w:r w:rsidRPr="004D4A14">
              <w:rPr>
                <w:iCs/>
                <w:sz w:val="22"/>
                <w:lang w:bidi="lt-LT"/>
              </w:rPr>
              <w:lastRenderedPageBreak/>
              <w:t>reikalavimus, grindžiamus darbo rinkos poreikiais, sudaryti palankesnes sąlygas keisti profesinę veiklą ir skatinti profesinį judumą</w:t>
            </w:r>
          </w:p>
        </w:tc>
        <w:tc>
          <w:tcPr>
            <w:tcW w:w="2571" w:type="pct"/>
          </w:tcPr>
          <w:p w14:paraId="689EEA45" w14:textId="65F46834" w:rsidR="009550C5" w:rsidRPr="004D4A14" w:rsidRDefault="009550C5" w:rsidP="00903AFF">
            <w:pPr>
              <w:jc w:val="both"/>
              <w:rPr>
                <w:bCs/>
                <w:iCs/>
                <w:sz w:val="22"/>
              </w:rPr>
            </w:pPr>
            <w:r w:rsidRPr="004D4A14">
              <w:rPr>
                <w:bCs/>
                <w:iCs/>
                <w:sz w:val="22"/>
              </w:rPr>
              <w:lastRenderedPageBreak/>
              <w:t>Lietuvoje daug iššūkių kelia beveik nedidėjantis MVG rodiklis (2020 m. sudarė 5,9 %, o ES – 10,9 %), kurį lemia nepakankamas suaugusiųjų įsitraukimas į MVG veiklas ir teisingų visuomenės nuostatų MVG srityje nebuvimas. Lietuva yra viena iš 20 % ES valstybių su didžiausiais įgūdžių DR neatitikimais, kas atskleidžia profesinio orientavimo sistemos trūkumus, nepakankamą mokymo paslaugų pritaikymą ateities poreikiams. Demografinė kaita lemia mažėjančius žmogiškuosius išteklius ir tokiu būdu didina poreikį keisti ar lavinti darbingo amžiaus žmonių bei žemos kvalifikacijos suaugusiųjų kompetencijas. </w:t>
            </w:r>
          </w:p>
          <w:p w14:paraId="338E585F" w14:textId="77777777" w:rsidR="009550C5" w:rsidRPr="004D4A14" w:rsidRDefault="009550C5" w:rsidP="00903AFF">
            <w:pPr>
              <w:jc w:val="both"/>
              <w:rPr>
                <w:bCs/>
                <w:iCs/>
                <w:sz w:val="22"/>
              </w:rPr>
            </w:pPr>
            <w:r w:rsidRPr="004D4A14">
              <w:rPr>
                <w:bCs/>
                <w:iCs/>
                <w:sz w:val="22"/>
              </w:rPr>
              <w:t xml:space="preserve">Atsižvelgiant į iššūkius, numatoma plėtoti inovatyvią ir vieningą MVG sistemą, apimančią įvairias </w:t>
            </w:r>
            <w:r w:rsidRPr="004D4A14">
              <w:rPr>
                <w:bCs/>
                <w:iCs/>
                <w:sz w:val="22"/>
              </w:rPr>
              <w:lastRenderedPageBreak/>
              <w:t>profesinio orientavimo, mokymosi, kompetencijų ir kvalifikacijų pripažinimo galimybes besimokantiems, dirbantiems ir nedirbantiems asmenims. Mokymosi galimybės atlieps šalies ekonominės raidos poreikius (papildomą dėmesį skiriant APV kompetencijų ugdymui), remiantis Žmogiškųjų išteklių sistemos informacija. Planuojama skirti daug dėmesio žemos kvalifikacijos suaugusių asmenų, migrantų, pabėgėlių ir kt. suaugusiųjų įgūdžių tobulinimui, siekiant didesnės jų atitikties aktualiems DR poreikiams, kartu ugdant žaliuosius įgūdžius. </w:t>
            </w:r>
          </w:p>
          <w:p w14:paraId="76E0FF4A" w14:textId="77777777" w:rsidR="009550C5" w:rsidRPr="004D4A14" w:rsidRDefault="009550C5" w:rsidP="00903AFF">
            <w:pPr>
              <w:jc w:val="both"/>
              <w:rPr>
                <w:bCs/>
                <w:iCs/>
                <w:sz w:val="22"/>
              </w:rPr>
            </w:pPr>
            <w:r w:rsidRPr="004D4A14">
              <w:rPr>
                <w:bCs/>
                <w:iCs/>
                <w:sz w:val="22"/>
              </w:rPr>
              <w:t>Šiais veiksmais siekiama prisidėti prie NPP tikslo, padidinti per pastarąsias 4 savaites besimokiusių 25–64 m. asmenų dalį nuo 6,9 % (2019 m.) iki 15 % (2030 m.). </w:t>
            </w:r>
          </w:p>
          <w:p w14:paraId="1C541E11" w14:textId="22D0BCB7" w:rsidR="009550C5" w:rsidRPr="004D4A14" w:rsidRDefault="009550C5" w:rsidP="00903AFF">
            <w:pPr>
              <w:jc w:val="both"/>
              <w:rPr>
                <w:bCs/>
                <w:iCs/>
                <w:sz w:val="22"/>
              </w:rPr>
            </w:pPr>
            <w:r w:rsidRPr="004D4A14">
              <w:rPr>
                <w:bCs/>
                <w:iCs/>
                <w:sz w:val="22"/>
              </w:rPr>
              <w:t>Atsižvelgiant į geopolitinės situacijos pokyčius, numatoma stiprinti </w:t>
            </w:r>
            <w:r w:rsidRPr="004D4A14">
              <w:rPr>
                <w:b/>
                <w:bCs/>
                <w:iCs/>
                <w:sz w:val="22"/>
              </w:rPr>
              <w:t>sveikatos priežiūros specialistų kompetencijas</w:t>
            </w:r>
            <w:r w:rsidRPr="004D4A14">
              <w:rPr>
                <w:bCs/>
                <w:iCs/>
                <w:sz w:val="22"/>
              </w:rPr>
              <w:t xml:space="preserve">, kad jie galėtų operatyviai ir koordinuotai teikti paslaugas ekstremaliųjų situacijų ar </w:t>
            </w:r>
            <w:r w:rsidR="00522263" w:rsidRPr="004D4A14">
              <w:rPr>
                <w:bCs/>
                <w:iCs/>
                <w:sz w:val="22"/>
              </w:rPr>
              <w:t>konflikto</w:t>
            </w:r>
            <w:r w:rsidRPr="004D4A14">
              <w:rPr>
                <w:bCs/>
                <w:iCs/>
                <w:sz w:val="22"/>
              </w:rPr>
              <w:t xml:space="preserve"> metu. Taip pat bus organizuojami </w:t>
            </w:r>
            <w:r w:rsidRPr="004D4A14">
              <w:rPr>
                <w:b/>
                <w:bCs/>
                <w:iCs/>
                <w:sz w:val="22"/>
              </w:rPr>
              <w:t>gyventojų sveikatos raštingumo ir psichologinio atsparumo didinimo mokymai</w:t>
            </w:r>
            <w:r w:rsidRPr="004D4A14">
              <w:rPr>
                <w:bCs/>
                <w:iCs/>
                <w:sz w:val="22"/>
              </w:rPr>
              <w:t>, vykdomas </w:t>
            </w:r>
            <w:r w:rsidRPr="004D4A14">
              <w:rPr>
                <w:b/>
                <w:bCs/>
                <w:iCs/>
                <w:sz w:val="22"/>
              </w:rPr>
              <w:t>gyventojų švietimas civilinės saugos klausimais, </w:t>
            </w:r>
            <w:r w:rsidRPr="004D4A14">
              <w:rPr>
                <w:bCs/>
                <w:iCs/>
                <w:sz w:val="22"/>
              </w:rPr>
              <w:t>siekiant ugdyti praktinius parengties įgūdžius, stiprinant gebėjimus savarankiškai ir atsakingai veikti įvairių grėsmių metu. Civilinės saugos mokymai bus grindžiami </w:t>
            </w:r>
            <w:r w:rsidRPr="004D4A14">
              <w:rPr>
                <w:b/>
                <w:bCs/>
                <w:iCs/>
                <w:sz w:val="22"/>
              </w:rPr>
              <w:t>BIVP metodu</w:t>
            </w:r>
            <w:r w:rsidRPr="004D4A14">
              <w:rPr>
                <w:bCs/>
                <w:iCs/>
                <w:sz w:val="22"/>
              </w:rPr>
              <w:t>, užtikrinančiu aktyvų gyventojų įsitraukimą, praktinių gebėjimų formavimą ir bendruomeniškumo stiprinimą. </w:t>
            </w:r>
          </w:p>
          <w:p w14:paraId="35FE1F97" w14:textId="77777777" w:rsidR="009550C5" w:rsidRPr="004D4A14" w:rsidRDefault="009550C5" w:rsidP="00903AFF">
            <w:pPr>
              <w:jc w:val="both"/>
              <w:rPr>
                <w:bCs/>
                <w:iCs/>
                <w:sz w:val="22"/>
              </w:rPr>
            </w:pPr>
            <w:r w:rsidRPr="004D4A14">
              <w:rPr>
                <w:bCs/>
                <w:iCs/>
                <w:sz w:val="22"/>
              </w:rPr>
              <w:t>Pasirenkama </w:t>
            </w:r>
            <w:r w:rsidRPr="004D4A14">
              <w:rPr>
                <w:b/>
                <w:bCs/>
                <w:iCs/>
                <w:sz w:val="22"/>
              </w:rPr>
              <w:t>finansavimo forma</w:t>
            </w:r>
            <w:r w:rsidRPr="004D4A14">
              <w:rPr>
                <w:bCs/>
                <w:iCs/>
                <w:sz w:val="22"/>
              </w:rPr>
              <w:t> – dotacija, nes planuojamos vykdyti veiklos susijusios su viešųjų paslaugų, kurios negeneruoja pajamų, teikimu. </w:t>
            </w:r>
          </w:p>
          <w:p w14:paraId="710EBA78" w14:textId="77777777" w:rsidR="009550C5" w:rsidRPr="004D4A14" w:rsidRDefault="009550C5" w:rsidP="00903AFF">
            <w:pPr>
              <w:jc w:val="both"/>
              <w:rPr>
                <w:bCs/>
                <w:iCs/>
                <w:sz w:val="22"/>
              </w:rPr>
            </w:pPr>
            <w:r w:rsidRPr="004D4A14">
              <w:rPr>
                <w:bCs/>
                <w:iCs/>
                <w:sz w:val="22"/>
              </w:rPr>
              <w:t>Uždaviniu siekiama </w:t>
            </w:r>
            <w:r w:rsidRPr="004D4A14">
              <w:rPr>
                <w:b/>
                <w:bCs/>
                <w:iCs/>
                <w:sz w:val="22"/>
              </w:rPr>
              <w:t>BJRS </w:t>
            </w:r>
            <w:r w:rsidRPr="004D4A14">
              <w:rPr>
                <w:bCs/>
                <w:iCs/>
                <w:sz w:val="22"/>
              </w:rPr>
              <w:t>politinės srities „Švietimas“ tikslų, nes juo koncentruojamasi į mokymosi galimybių visiems sistemos tobulinimą. </w:t>
            </w:r>
          </w:p>
          <w:p w14:paraId="20D49BED" w14:textId="77777777" w:rsidR="009550C5" w:rsidRPr="004D4A14" w:rsidRDefault="009550C5" w:rsidP="00903AFF">
            <w:pPr>
              <w:jc w:val="both"/>
              <w:rPr>
                <w:bCs/>
                <w:iCs/>
                <w:sz w:val="22"/>
              </w:rPr>
            </w:pPr>
          </w:p>
        </w:tc>
      </w:tr>
      <w:tr w:rsidR="009550C5" w:rsidRPr="004D4A14" w14:paraId="65E27C7D" w14:textId="77777777" w:rsidTr="00552778">
        <w:tc>
          <w:tcPr>
            <w:tcW w:w="1350" w:type="pct"/>
            <w:vMerge/>
          </w:tcPr>
          <w:p w14:paraId="1FDFA347" w14:textId="77777777" w:rsidR="009550C5" w:rsidRPr="004D4A14" w:rsidRDefault="009550C5" w:rsidP="00197FF3">
            <w:pPr>
              <w:pStyle w:val="Sraopastraipa"/>
              <w:ind w:left="0" w:right="35"/>
              <w:rPr>
                <w:rFonts w:cs="Times New Roman"/>
                <w:b/>
                <w:bCs/>
                <w:iCs/>
                <w:sz w:val="22"/>
                <w:lang w:bidi="lt-LT"/>
              </w:rPr>
            </w:pPr>
          </w:p>
        </w:tc>
        <w:tc>
          <w:tcPr>
            <w:tcW w:w="1079" w:type="pct"/>
          </w:tcPr>
          <w:p w14:paraId="6187978F" w14:textId="04131FA0" w:rsidR="009550C5" w:rsidRPr="004D4A14" w:rsidRDefault="009550C5" w:rsidP="00197FF3">
            <w:pPr>
              <w:rPr>
                <w:sz w:val="22"/>
              </w:rPr>
            </w:pPr>
            <w:r w:rsidRPr="004D4A14">
              <w:rPr>
                <w:sz w:val="22"/>
              </w:rPr>
              <w:t xml:space="preserve">17.1 </w:t>
            </w:r>
            <w:r w:rsidR="00C8137F" w:rsidRPr="004D4A14">
              <w:rPr>
                <w:sz w:val="22"/>
              </w:rPr>
              <w:t>Skatinti g</w:t>
            </w:r>
            <w:r w:rsidRPr="004D4A14">
              <w:rPr>
                <w:sz w:val="22"/>
              </w:rPr>
              <w:t>alimyb</w:t>
            </w:r>
            <w:r w:rsidR="00C8137F" w:rsidRPr="004D4A14">
              <w:rPr>
                <w:sz w:val="22"/>
              </w:rPr>
              <w:t>es</w:t>
            </w:r>
            <w:r w:rsidRPr="004D4A14">
              <w:rPr>
                <w:sz w:val="22"/>
              </w:rPr>
              <w:t xml:space="preserve"> gauti prieinamą ir tvarų būst</w:t>
            </w:r>
            <w:r w:rsidR="00C8137F" w:rsidRPr="004D4A14">
              <w:rPr>
                <w:sz w:val="22"/>
              </w:rPr>
              <w:t>ą</w:t>
            </w:r>
            <w:r w:rsidRPr="004D4A14">
              <w:rPr>
                <w:sz w:val="22"/>
              </w:rPr>
              <w:t xml:space="preserve"> </w:t>
            </w:r>
          </w:p>
        </w:tc>
        <w:tc>
          <w:tcPr>
            <w:tcW w:w="2571" w:type="pct"/>
          </w:tcPr>
          <w:p w14:paraId="2DA97A6C" w14:textId="6EDD755E" w:rsidR="009550C5" w:rsidRPr="004D4A14" w:rsidRDefault="009550C5" w:rsidP="009550C5">
            <w:pPr>
              <w:jc w:val="both"/>
              <w:rPr>
                <w:rFonts w:eastAsia="Calibri" w:cs="Times New Roman"/>
                <w:noProof/>
                <w:sz w:val="22"/>
                <w:lang w:eastAsia="lt-LT" w:bidi="lt-LT"/>
              </w:rPr>
            </w:pPr>
            <w:r w:rsidRPr="004D4A14">
              <w:rPr>
                <w:rFonts w:eastAsia="Calibri" w:cs="Times New Roman"/>
                <w:noProof/>
                <w:sz w:val="22"/>
                <w:lang w:eastAsia="lt-LT" w:bidi="lt-LT"/>
              </w:rPr>
              <w:t xml:space="preserve">Būtina </w:t>
            </w:r>
            <w:r w:rsidRPr="004D4A14">
              <w:rPr>
                <w:rFonts w:eastAsia="Calibri" w:cs="Times New Roman"/>
                <w:b/>
                <w:noProof/>
                <w:sz w:val="22"/>
                <w:lang w:eastAsia="lt-LT" w:bidi="lt-LT"/>
              </w:rPr>
              <w:t>stiprinti aprūpinimo socialiniu būstu priemones</w:t>
            </w:r>
            <w:r w:rsidRPr="004D4A14">
              <w:rPr>
                <w:rFonts w:eastAsia="Calibri" w:cs="Times New Roman"/>
                <w:noProof/>
                <w:sz w:val="22"/>
                <w:lang w:eastAsia="lt-LT" w:bidi="lt-LT"/>
              </w:rPr>
              <w:t>, kad asmenys (šeimos), kurie dėl nepakankamų pajamų ir (ar) kitų objektyvių priežasčių negali apsirūpinti būstu savarankiškai, gautų atitinkamą paramą.</w:t>
            </w:r>
          </w:p>
          <w:p w14:paraId="59CA4BDD" w14:textId="77777777" w:rsidR="009550C5" w:rsidRPr="004D4A14" w:rsidRDefault="009550C5" w:rsidP="009550C5">
            <w:pPr>
              <w:jc w:val="both"/>
              <w:rPr>
                <w:rFonts w:eastAsia="Calibri" w:cs="Times New Roman"/>
                <w:noProof/>
                <w:sz w:val="22"/>
                <w:lang w:eastAsia="lt-LT" w:bidi="lt-LT"/>
              </w:rPr>
            </w:pPr>
            <w:r w:rsidRPr="004D4A14">
              <w:rPr>
                <w:rFonts w:eastAsia="Calibri" w:cs="Times New Roman"/>
                <w:noProof/>
                <w:sz w:val="22"/>
                <w:lang w:eastAsia="lt-LT" w:bidi="lt-LT"/>
              </w:rPr>
              <w:t xml:space="preserve">Nepaisant savivaldybių kasmet vykdomos socialinio būsto fondo plėtros, asmenų (šeimų) aprūpinimo socialiniu būstu problema išlieka vis dar aktuali. Investicijos į socialinį būstą taip pat prisidės prie Vaiko garantijų sistemos įgyvendinimo. Vaiko garantijų sistema tinkamas būsto sąlygas įvardija kaip vieną iš 5 pagrindinių teisių ir su jomis susijusių paslaugų, kurios turėtų būti suteikiamos vaikams, kuriems gresia skurdas arba socialinė atskirtis. </w:t>
            </w:r>
            <w:r w:rsidRPr="004D4A14">
              <w:rPr>
                <w:rFonts w:eastAsia="Calibri" w:cs="Times New Roman"/>
                <w:iCs/>
                <w:noProof/>
                <w:sz w:val="22"/>
                <w:lang w:eastAsia="lt-LT" w:bidi="lt-LT"/>
              </w:rPr>
              <w:t xml:space="preserve">Be to, investicijos į socialinio būsto plėtrą prisidės prie </w:t>
            </w:r>
            <w:r w:rsidRPr="004D4A14">
              <w:rPr>
                <w:rFonts w:eastAsia="Calibri" w:cs="Times New Roman"/>
                <w:iCs/>
                <w:noProof/>
                <w:sz w:val="22"/>
                <w:lang w:eastAsia="lt-LT" w:bidi="lt-LT"/>
              </w:rPr>
              <w:lastRenderedPageBreak/>
              <w:t>Europos Tarybos rekomendacijų Lietuvai, kuriomis siūloma gerinti socialinio būsto preinamumą ir jo kokybę, įgyvendinimo.</w:t>
            </w:r>
          </w:p>
          <w:p w14:paraId="29CE2EB4" w14:textId="40CD33D4" w:rsidR="009550C5" w:rsidRPr="004D4A14" w:rsidRDefault="009550C5" w:rsidP="009550C5">
            <w:pPr>
              <w:jc w:val="both"/>
              <w:rPr>
                <w:bCs/>
                <w:iCs/>
                <w:sz w:val="22"/>
              </w:rPr>
            </w:pPr>
            <w:r w:rsidRPr="004D4A14">
              <w:rPr>
                <w:rFonts w:eastAsia="Calibri" w:cs="Times New Roman"/>
                <w:noProof/>
                <w:sz w:val="22"/>
                <w:lang w:eastAsia="lt-LT" w:bidi="lt-LT"/>
              </w:rPr>
              <w:t xml:space="preserve">Pasirenkama </w:t>
            </w:r>
            <w:r w:rsidRPr="004D4A14">
              <w:rPr>
                <w:rFonts w:eastAsia="Calibri" w:cs="Times New Roman"/>
                <w:b/>
                <w:noProof/>
                <w:sz w:val="22"/>
                <w:lang w:eastAsia="lt-LT" w:bidi="lt-LT"/>
              </w:rPr>
              <w:t>finansavimo forma</w:t>
            </w:r>
            <w:r w:rsidRPr="004D4A14">
              <w:rPr>
                <w:rFonts w:eastAsia="Calibri" w:cs="Times New Roman"/>
                <w:noProof/>
                <w:sz w:val="22"/>
                <w:lang w:eastAsia="lt-LT" w:bidi="lt-LT"/>
              </w:rPr>
              <w:t xml:space="preserve"> – dotacija. Planuojamos vykdyti veiklos negeneruos pajamų, todėl joms neplanuojama taikyti finansinių priemonių.</w:t>
            </w:r>
          </w:p>
        </w:tc>
      </w:tr>
    </w:tbl>
    <w:p w14:paraId="167804D9" w14:textId="77777777" w:rsidR="009C14FB" w:rsidRPr="004D4A14" w:rsidRDefault="009C14FB" w:rsidP="009C14FB">
      <w:pPr>
        <w:pStyle w:val="Pagrindinispaprastastekstas"/>
      </w:pPr>
    </w:p>
    <w:p w14:paraId="7F7EFAF9" w14:textId="77777777" w:rsidR="00001E74" w:rsidRPr="004D4A14" w:rsidRDefault="00001E74" w:rsidP="00001E74">
      <w:pPr>
        <w:pStyle w:val="Pagrindinispaprastastekstas"/>
        <w:rPr>
          <w:rFonts w:ascii="Times New Roman" w:hAnsi="Times New Roman"/>
        </w:rPr>
      </w:pPr>
      <w:r w:rsidRPr="004D4A14">
        <w:rPr>
          <w:rFonts w:ascii="Times New Roman" w:hAnsi="Times New Roman"/>
        </w:rPr>
        <w:t>&lt;...&gt;</w:t>
      </w:r>
    </w:p>
    <w:p w14:paraId="6B334DCF" w14:textId="77777777" w:rsidR="009C14FB" w:rsidRPr="004D4A14" w:rsidRDefault="009C14FB">
      <w:pPr>
        <w:rPr>
          <w:rFonts w:asciiTheme="majorHAnsi" w:eastAsiaTheme="majorEastAsia" w:hAnsiTheme="majorHAnsi" w:cstheme="majorBidi"/>
          <w:b/>
          <w:bCs/>
          <w:caps/>
          <w:color w:val="365F91" w:themeColor="accent1" w:themeShade="BF"/>
          <w:sz w:val="28"/>
          <w:szCs w:val="28"/>
        </w:rPr>
      </w:pPr>
      <w:r w:rsidRPr="004D4A14">
        <w:br w:type="page"/>
      </w:r>
    </w:p>
    <w:p w14:paraId="0BC1FCB8" w14:textId="5F755A41" w:rsidR="005276DA" w:rsidRPr="004D4A14" w:rsidRDefault="00D93C68" w:rsidP="0001329C">
      <w:pPr>
        <w:pStyle w:val="Antrat1"/>
        <w:jc w:val="both"/>
      </w:pPr>
      <w:r w:rsidRPr="004D4A14">
        <w:lastRenderedPageBreak/>
        <w:t>11</w:t>
      </w:r>
      <w:r w:rsidR="004D01F2" w:rsidRPr="004D4A14">
        <w:t>.</w:t>
      </w:r>
      <w:r w:rsidR="005276DA" w:rsidRPr="004D4A14">
        <w:t xml:space="preserve"> </w:t>
      </w:r>
      <w:r w:rsidRPr="004D4A14">
        <w:t xml:space="preserve">specialus </w:t>
      </w:r>
      <w:r w:rsidR="005276DA" w:rsidRPr="004D4A14">
        <w:t xml:space="preserve">prioritetas. </w:t>
      </w:r>
      <w:bookmarkEnd w:id="1"/>
      <w:r w:rsidR="00D4254C" w:rsidRPr="004D4A14">
        <w:t>GYNYBOS IR SAUGUMO PRAMONĖ</w:t>
      </w:r>
      <w:r w:rsidRPr="004D4A14">
        <w:t>s stiprinimas</w:t>
      </w:r>
    </w:p>
    <w:p w14:paraId="2C08C7C2" w14:textId="4F6D2087" w:rsidR="005276DA" w:rsidRPr="004D4A14" w:rsidRDefault="005276DA" w:rsidP="0001329C">
      <w:pPr>
        <w:pStyle w:val="Antrat2"/>
        <w:jc w:val="both"/>
      </w:pPr>
      <w:bookmarkStart w:id="5" w:name="_Toc98339836"/>
      <w:r w:rsidRPr="004D4A14">
        <w:t xml:space="preserve">Konkretus uždavinys – </w:t>
      </w:r>
      <w:bookmarkEnd w:id="5"/>
      <w:r w:rsidR="003E070E" w:rsidRPr="004D4A14">
        <w:rPr>
          <w:lang w:val="en-US"/>
        </w:rPr>
        <w:t xml:space="preserve">11.1 </w:t>
      </w:r>
      <w:r w:rsidR="00D20905" w:rsidRPr="004D4A14">
        <w:t>Didinti pramonės pajėgumus, siekiant skatinti gynybos pajėgumų didinimą</w:t>
      </w:r>
      <w:r w:rsidR="00781D69" w:rsidRPr="004D4A14">
        <w:t>,</w:t>
      </w:r>
      <w:r w:rsidR="00D20905" w:rsidRPr="004D4A14">
        <w:t xml:space="preserve"> pirmenybę teikiant dvejopo naudojimo</w:t>
      </w:r>
      <w:r w:rsidR="00B57C93" w:rsidRPr="004D4A14">
        <w:t xml:space="preserve"> </w:t>
      </w:r>
      <w:r w:rsidR="00D20905" w:rsidRPr="004D4A14">
        <w:t>pajėgumams</w:t>
      </w:r>
    </w:p>
    <w:p w14:paraId="67E417B2" w14:textId="77777777" w:rsidR="00316179" w:rsidRPr="004D4A14" w:rsidRDefault="00316179" w:rsidP="00C34645">
      <w:pPr>
        <w:pStyle w:val="Stilius1"/>
      </w:pPr>
      <w:r w:rsidRPr="004D4A14">
        <w:t>Įgyvendinamos veiklos</w:t>
      </w:r>
    </w:p>
    <w:tbl>
      <w:tblPr>
        <w:tblStyle w:val="Lentelstinklelis2"/>
        <w:tblW w:w="9715" w:type="dxa"/>
        <w:tblLook w:val="04A0" w:firstRow="1" w:lastRow="0" w:firstColumn="1" w:lastColumn="0" w:noHBand="0" w:noVBand="1"/>
      </w:tblPr>
      <w:tblGrid>
        <w:gridCol w:w="9715"/>
      </w:tblGrid>
      <w:tr w:rsidR="00316179" w:rsidRPr="004D4A14" w14:paraId="574F20CD" w14:textId="77777777" w:rsidTr="001A3458">
        <w:trPr>
          <w:trHeight w:val="283"/>
        </w:trPr>
        <w:tc>
          <w:tcPr>
            <w:tcW w:w="9715" w:type="dxa"/>
          </w:tcPr>
          <w:p w14:paraId="2D5E8FB7" w14:textId="64288CD6" w:rsidR="00233F35" w:rsidRPr="004D4A14" w:rsidRDefault="00233F35" w:rsidP="00233F35">
            <w:pPr>
              <w:spacing w:before="120" w:after="120"/>
              <w:jc w:val="both"/>
              <w:rPr>
                <w:rFonts w:ascii="Times New Roman" w:eastAsia="Times New Roman" w:hAnsi="Times New Roman" w:cs="Times New Roman"/>
                <w:bCs/>
              </w:rPr>
            </w:pPr>
            <w:r w:rsidRPr="004D4A14">
              <w:rPr>
                <w:rFonts w:ascii="Times New Roman" w:eastAsia="Times New Roman" w:hAnsi="Times New Roman" w:cs="Times New Roman"/>
                <w:bCs/>
              </w:rPr>
              <w:t xml:space="preserve">Pasikeitus Lietuvos ir visos ES geopolitinei padėčiai ir identifikavus, kad gynybos ir saugumo pramonės vystymosi greitis Lietuvoje neatitinka kylančio grėsmės lygio, itin svarbu paspartinti investicijas </w:t>
            </w:r>
            <w:r w:rsidR="009E164C" w:rsidRPr="004D4A14">
              <w:rPr>
                <w:rFonts w:ascii="Times New Roman" w:eastAsia="Times New Roman" w:hAnsi="Times New Roman" w:cs="Times New Roman"/>
                <w:bCs/>
              </w:rPr>
              <w:t xml:space="preserve">į </w:t>
            </w:r>
            <w:r w:rsidR="000138E4" w:rsidRPr="004D4A14">
              <w:rPr>
                <w:rFonts w:ascii="Times New Roman" w:eastAsia="Times New Roman" w:hAnsi="Times New Roman" w:cs="Times New Roman"/>
                <w:bCs/>
              </w:rPr>
              <w:t xml:space="preserve">gynybos ir saugumo </w:t>
            </w:r>
            <w:r w:rsidRPr="004D4A14">
              <w:rPr>
                <w:rFonts w:ascii="Times New Roman" w:eastAsia="Times New Roman" w:hAnsi="Times New Roman" w:cs="Times New Roman"/>
                <w:bCs/>
              </w:rPr>
              <w:t>pramonės pajėgumų stiprinimą, skatinant dvejopos paskirties ir gynybos produktų kūrimą bei technologinę plėtrą.</w:t>
            </w:r>
            <w:r w:rsidRPr="004D4A14">
              <w:rPr>
                <w:rFonts w:ascii="Times New Roman" w:eastAsia="Times New Roman" w:hAnsi="Times New Roman" w:cs="Times New Roman"/>
                <w:bCs/>
                <w:lang w:val="en-US"/>
              </w:rPr>
              <w:t xml:space="preserve"> </w:t>
            </w:r>
            <w:r w:rsidRPr="004D4A14">
              <w:rPr>
                <w:rFonts w:ascii="Times New Roman" w:eastAsia="Times New Roman" w:hAnsi="Times New Roman" w:cs="Times New Roman"/>
                <w:bCs/>
              </w:rPr>
              <w:t xml:space="preserve">Gynybos ir saugumo pramonės sektorius tampa neatsiejama nacionalinio saugumo dalimi, o kartu – ir ekonomikos </w:t>
            </w:r>
            <w:r w:rsidR="000138E4" w:rsidRPr="004D4A14">
              <w:rPr>
                <w:rFonts w:ascii="Times New Roman" w:eastAsia="Times New Roman" w:hAnsi="Times New Roman" w:cs="Times New Roman"/>
                <w:bCs/>
              </w:rPr>
              <w:t>bei inovacijų skatinimo</w:t>
            </w:r>
            <w:r w:rsidRPr="004D4A14">
              <w:rPr>
                <w:rFonts w:ascii="Times New Roman" w:eastAsia="Times New Roman" w:hAnsi="Times New Roman" w:cs="Times New Roman"/>
                <w:bCs/>
              </w:rPr>
              <w:t xml:space="preserve"> priemone.</w:t>
            </w:r>
          </w:p>
          <w:p w14:paraId="0EA5C1DE" w14:textId="4BC30260" w:rsidR="00233F35" w:rsidRPr="004D4A14" w:rsidRDefault="00233F35" w:rsidP="00233F35">
            <w:pPr>
              <w:spacing w:before="120" w:after="120"/>
              <w:jc w:val="both"/>
              <w:rPr>
                <w:rFonts w:ascii="Times New Roman" w:eastAsia="Times New Roman" w:hAnsi="Times New Roman" w:cs="Times New Roman"/>
                <w:bCs/>
                <w:lang w:val="en-US"/>
              </w:rPr>
            </w:pPr>
            <w:r w:rsidRPr="004D4A14">
              <w:rPr>
                <w:rFonts w:ascii="Times New Roman" w:eastAsia="Times New Roman" w:hAnsi="Times New Roman" w:cs="Times New Roman"/>
                <w:bCs/>
              </w:rPr>
              <w:t xml:space="preserve">2023 </w:t>
            </w:r>
            <w:r w:rsidR="001818C5" w:rsidRPr="004D4A14">
              <w:rPr>
                <w:rFonts w:ascii="Times New Roman" w:eastAsia="Times New Roman" w:hAnsi="Times New Roman" w:cs="Times New Roman"/>
                <w:bCs/>
              </w:rPr>
              <w:t xml:space="preserve">m. </w:t>
            </w:r>
            <w:r w:rsidRPr="004D4A14">
              <w:rPr>
                <w:rFonts w:ascii="Times New Roman" w:eastAsia="Times New Roman" w:hAnsi="Times New Roman" w:cs="Times New Roman"/>
                <w:bCs/>
              </w:rPr>
              <w:t xml:space="preserve">Lietuvoje gynybos ir saugumo srityje veikė bent 89 įmonės bei 6 mokslo ir tyrimų institucijos. Nors sektorius rodo augimo tendenciją – 2025 m. balandžio </w:t>
            </w:r>
            <w:r w:rsidR="004C34A5" w:rsidRPr="004D4A14">
              <w:rPr>
                <w:rFonts w:ascii="Times New Roman" w:eastAsia="Times New Roman" w:hAnsi="Times New Roman" w:cs="Times New Roman"/>
                <w:bCs/>
              </w:rPr>
              <w:t xml:space="preserve">mėn. </w:t>
            </w:r>
            <w:r w:rsidRPr="004D4A14">
              <w:rPr>
                <w:rFonts w:ascii="Times New Roman" w:eastAsia="Times New Roman" w:hAnsi="Times New Roman" w:cs="Times New Roman"/>
                <w:bCs/>
              </w:rPr>
              <w:t xml:space="preserve">duomenimis įmonių skaičius padidėjo 11 proc., pasiekdamas apie 100 įmonių – jis tebėra stipriai išskaidytas, kur dominuoja mažos įmonės. </w:t>
            </w:r>
          </w:p>
          <w:p w14:paraId="634DB9AF" w14:textId="64ADEF89" w:rsidR="00233F35" w:rsidRPr="004D4A14" w:rsidRDefault="002D1424" w:rsidP="00233F35">
            <w:pPr>
              <w:spacing w:before="120" w:after="120"/>
              <w:jc w:val="both"/>
              <w:rPr>
                <w:rFonts w:ascii="Times New Roman" w:eastAsia="Times New Roman" w:hAnsi="Times New Roman" w:cs="Times New Roman"/>
                <w:bCs/>
              </w:rPr>
            </w:pPr>
            <w:r w:rsidRPr="004D4A14">
              <w:rPr>
                <w:rFonts w:ascii="Times New Roman" w:eastAsia="Times New Roman" w:hAnsi="Times New Roman" w:cs="Times New Roman"/>
                <w:bCs/>
              </w:rPr>
              <w:t xml:space="preserve">Reikšmingiausia MTEP išlaidų dinamika fiksuojama regioniniu lygmeniu. </w:t>
            </w:r>
            <w:r w:rsidR="00233F35" w:rsidRPr="004D4A14">
              <w:rPr>
                <w:rFonts w:ascii="Times New Roman" w:eastAsia="Times New Roman" w:hAnsi="Times New Roman" w:cs="Times New Roman"/>
                <w:bCs/>
              </w:rPr>
              <w:t xml:space="preserve">VVL regione MTEP </w:t>
            </w:r>
            <w:r w:rsidR="000138E4" w:rsidRPr="004D4A14">
              <w:rPr>
                <w:rFonts w:ascii="Times New Roman" w:eastAsia="Times New Roman" w:hAnsi="Times New Roman" w:cs="Times New Roman"/>
                <w:bCs/>
              </w:rPr>
              <w:t>išlaidos</w:t>
            </w:r>
            <w:r w:rsidR="00233F35" w:rsidRPr="004D4A14">
              <w:rPr>
                <w:rFonts w:ascii="Times New Roman" w:eastAsia="Times New Roman" w:hAnsi="Times New Roman" w:cs="Times New Roman"/>
                <w:bCs/>
              </w:rPr>
              <w:t xml:space="preserve"> išaugo net 160 proc. – nuo 4 mln. Eur 2022 m. iki 10,3 mln. Eur 2024 m. Tai rodo ženklų inovacinės veiklos aktyvėjimą regione</w:t>
            </w:r>
            <w:r w:rsidR="00265133" w:rsidRPr="004D4A14">
              <w:rPr>
                <w:rFonts w:ascii="Times New Roman" w:eastAsia="Times New Roman" w:hAnsi="Times New Roman" w:cs="Times New Roman"/>
                <w:bCs/>
              </w:rPr>
              <w:t>.</w:t>
            </w:r>
            <w:r w:rsidR="00233F35" w:rsidRPr="004D4A14">
              <w:rPr>
                <w:rFonts w:ascii="Times New Roman" w:eastAsia="Times New Roman" w:hAnsi="Times New Roman" w:cs="Times New Roman"/>
                <w:bCs/>
              </w:rPr>
              <w:t xml:space="preserve"> Tuo tarpu Sostinės regione MTEP </w:t>
            </w:r>
            <w:r w:rsidR="000138E4" w:rsidRPr="004D4A14">
              <w:rPr>
                <w:rFonts w:ascii="Times New Roman" w:eastAsia="Times New Roman" w:hAnsi="Times New Roman" w:cs="Times New Roman"/>
                <w:bCs/>
              </w:rPr>
              <w:t>išlaidos</w:t>
            </w:r>
            <w:r w:rsidR="00233F35" w:rsidRPr="004D4A14">
              <w:rPr>
                <w:rFonts w:ascii="Times New Roman" w:eastAsia="Times New Roman" w:hAnsi="Times New Roman" w:cs="Times New Roman"/>
                <w:bCs/>
              </w:rPr>
              <w:t xml:space="preserve"> sumažėjo beveik perpus – nuo 9,4 mln. Eur iki 4,8 mln. Eur, t. y. 49 proc. kritimas. Šis neatitikimas tarp regionų </w:t>
            </w:r>
            <w:r w:rsidR="00265133" w:rsidRPr="004D4A14">
              <w:rPr>
                <w:rFonts w:ascii="Times New Roman" w:eastAsia="Times New Roman" w:hAnsi="Times New Roman" w:cs="Times New Roman"/>
                <w:bCs/>
              </w:rPr>
              <w:t xml:space="preserve">rodo, </w:t>
            </w:r>
            <w:r w:rsidR="00233F35" w:rsidRPr="004D4A14">
              <w:rPr>
                <w:rFonts w:ascii="Times New Roman" w:eastAsia="Times New Roman" w:hAnsi="Times New Roman" w:cs="Times New Roman"/>
                <w:bCs/>
              </w:rPr>
              <w:t>kad vyksta inovacijų perkėlimas iš sostinės į inžineriniu požiūriu stipresnius regionus arba mažėja inovatyvių veiklų apimtis didmiesčiuose.</w:t>
            </w:r>
          </w:p>
          <w:p w14:paraId="11858626" w14:textId="301224A5" w:rsidR="00BE1170" w:rsidRPr="004D4A14" w:rsidRDefault="00233F35" w:rsidP="009E58AD">
            <w:pPr>
              <w:spacing w:before="120" w:after="120"/>
              <w:jc w:val="both"/>
              <w:rPr>
                <w:rFonts w:ascii="Times New Roman" w:eastAsia="Times New Roman" w:hAnsi="Times New Roman" w:cs="Times New Roman"/>
                <w:bCs/>
              </w:rPr>
            </w:pPr>
            <w:r w:rsidRPr="004D4A14">
              <w:rPr>
                <w:rFonts w:ascii="Times New Roman" w:eastAsia="Times New Roman" w:hAnsi="Times New Roman" w:cs="Times New Roman"/>
                <w:bCs/>
              </w:rPr>
              <w:t xml:space="preserve">Vertinant inovatyvumo lygį pagal įmonių aktyvumą, 2022 m. MTEP </w:t>
            </w:r>
            <w:r w:rsidR="000138E4" w:rsidRPr="004D4A14">
              <w:rPr>
                <w:rFonts w:ascii="Times New Roman" w:eastAsia="Times New Roman" w:hAnsi="Times New Roman" w:cs="Times New Roman"/>
                <w:bCs/>
              </w:rPr>
              <w:t>išlaidas</w:t>
            </w:r>
            <w:r w:rsidRPr="004D4A14">
              <w:rPr>
                <w:rFonts w:ascii="Times New Roman" w:eastAsia="Times New Roman" w:hAnsi="Times New Roman" w:cs="Times New Roman"/>
                <w:bCs/>
              </w:rPr>
              <w:t xml:space="preserve"> deklaravo 20 įmonių, arba 24 proc. gynybos sektoriaus įmonių, o 2024 m. – jau tik 18 įmonių (19 proc.). Nors absoliutūs skaičiai nėra drastiškai skirtingi, mažėjanti dalis rodo silpnėjančią sektoriaus inovatyvią bazę ir gali būti signalas apie nepakankamą finansavimo, testavimo ar mokestinių paskatų veiksmingumą.</w:t>
            </w:r>
          </w:p>
          <w:p w14:paraId="0542ED0F" w14:textId="654BA3E4" w:rsidR="0009238E" w:rsidRPr="004D4A14" w:rsidRDefault="0009238E" w:rsidP="009E58AD">
            <w:pPr>
              <w:spacing w:before="120" w:after="120"/>
              <w:jc w:val="both"/>
              <w:rPr>
                <w:rFonts w:ascii="Times New Roman" w:eastAsia="Times New Roman" w:hAnsi="Times New Roman" w:cs="Times New Roman"/>
                <w:bCs/>
              </w:rPr>
            </w:pPr>
            <w:r w:rsidRPr="004D4A14">
              <w:rPr>
                <w:rFonts w:ascii="Times New Roman" w:eastAsia="Times New Roman" w:hAnsi="Times New Roman" w:cs="Times New Roman"/>
                <w:bCs/>
              </w:rPr>
              <w:t xml:space="preserve">Nedarbo lygis Lietuvoje nuo 2022 m. iki 2024 m. nežymiai išaugo (nuo 5,9 proc. iki 7,1 proc.). Panašios </w:t>
            </w:r>
            <w:r w:rsidR="002D5A98" w:rsidRPr="004D4A14">
              <w:rPr>
                <w:rFonts w:ascii="Times New Roman" w:eastAsia="Times New Roman" w:hAnsi="Times New Roman" w:cs="Times New Roman"/>
                <w:bCs/>
              </w:rPr>
              <w:t xml:space="preserve">augimo </w:t>
            </w:r>
            <w:r w:rsidRPr="004D4A14">
              <w:rPr>
                <w:rFonts w:ascii="Times New Roman" w:eastAsia="Times New Roman" w:hAnsi="Times New Roman" w:cs="Times New Roman"/>
                <w:bCs/>
              </w:rPr>
              <w:t>tendencijos fiksuojamos ir regionuose (Sostinės regione 2022 m. siekė 4,5 proc., 2024 m.</w:t>
            </w:r>
            <w:r w:rsidRPr="004D4A14">
              <w:rPr>
                <w:rFonts w:ascii="Times New Roman" w:eastAsia="Times New Roman" w:hAnsi="Times New Roman" w:cs="Times New Roman"/>
                <w:bCs/>
                <w:sz w:val="24"/>
              </w:rPr>
              <w:t xml:space="preserve"> </w:t>
            </w:r>
            <w:r w:rsidRPr="004D4A14">
              <w:rPr>
                <w:rFonts w:ascii="Times New Roman" w:eastAsia="Times New Roman" w:hAnsi="Times New Roman" w:cs="Times New Roman"/>
                <w:bCs/>
              </w:rPr>
              <w:t>– 5,9 proc., VVL regione 2022 m. siekė 6,6 proc., 2024 m. – 7,7 proc.)</w:t>
            </w:r>
            <w:r w:rsidR="002D5A98" w:rsidRPr="004D4A14">
              <w:rPr>
                <w:rFonts w:ascii="Times New Roman" w:eastAsia="Times New Roman" w:hAnsi="Times New Roman" w:cs="Times New Roman"/>
                <w:bCs/>
              </w:rPr>
              <w:t>, tačiau VVL regione nedarbo lygis lyginant su Sostinės regionu, 2024 m. buvo 1,8 proc. didesnis.</w:t>
            </w:r>
          </w:p>
          <w:p w14:paraId="1233F175" w14:textId="4314A4C9" w:rsidR="009E58AD" w:rsidRPr="004D4A14" w:rsidRDefault="009E58AD" w:rsidP="009E58AD">
            <w:pPr>
              <w:spacing w:before="120" w:after="120"/>
              <w:jc w:val="both"/>
              <w:rPr>
                <w:rFonts w:ascii="Times New Roman" w:eastAsia="Times New Roman" w:hAnsi="Times New Roman" w:cs="Times New Roman"/>
                <w:bCs/>
              </w:rPr>
            </w:pPr>
            <w:r w:rsidRPr="004D4A14">
              <w:rPr>
                <w:rFonts w:ascii="Times New Roman" w:eastAsia="Times New Roman" w:hAnsi="Times New Roman" w:cs="Times New Roman"/>
                <w:bCs/>
              </w:rPr>
              <w:t xml:space="preserve">Lietuvoje veikianti inovacijų ir MTEP infrastruktūra yra gana fragmentuota, veikia izoliuotai, neužtikrina lygiateisių inovacijų kūrimo galimybių, o regioninės specializacijos nėra pilnai išnaudojamos. </w:t>
            </w:r>
            <w:r w:rsidR="00306A42" w:rsidRPr="004D4A14">
              <w:rPr>
                <w:rFonts w:ascii="Times New Roman" w:eastAsia="Times New Roman" w:hAnsi="Times New Roman" w:cs="Times New Roman"/>
                <w:bCs/>
              </w:rPr>
              <w:t>Gynybos pramonės augimą Lietuvoje šiuo metu daugiausia generuoja startuoliai ir mažos įmonės, kurios dažnai neturi pakankamų resursų testavimo laboratorijoms, tyrimų infrastruktūrai ar eksperimentavimui su pavojingais produktais. Dėl ši</w:t>
            </w:r>
            <w:r w:rsidR="00607788" w:rsidRPr="004D4A14">
              <w:rPr>
                <w:rFonts w:ascii="Times New Roman" w:eastAsia="Times New Roman" w:hAnsi="Times New Roman" w:cs="Times New Roman"/>
                <w:bCs/>
              </w:rPr>
              <w:t>ų</w:t>
            </w:r>
            <w:r w:rsidR="00306A42" w:rsidRPr="004D4A14">
              <w:rPr>
                <w:rFonts w:ascii="Times New Roman" w:eastAsia="Times New Roman" w:hAnsi="Times New Roman" w:cs="Times New Roman"/>
                <w:bCs/>
              </w:rPr>
              <w:t xml:space="preserve"> prieža</w:t>
            </w:r>
            <w:r w:rsidR="00607788" w:rsidRPr="004D4A14">
              <w:rPr>
                <w:rFonts w:ascii="Times New Roman" w:eastAsia="Times New Roman" w:hAnsi="Times New Roman" w:cs="Times New Roman"/>
                <w:bCs/>
              </w:rPr>
              <w:t>sčių</w:t>
            </w:r>
            <w:r w:rsidR="00306A42" w:rsidRPr="004D4A14">
              <w:rPr>
                <w:rFonts w:ascii="Times New Roman" w:eastAsia="Times New Roman" w:hAnsi="Times New Roman" w:cs="Times New Roman"/>
                <w:bCs/>
              </w:rPr>
              <w:t xml:space="preserve"> jos priverstos ieškoti testavimo galimybių užsienyje (pvz., Ukrainoje, JAV, Estijoje), susidurdamos su papildoma administracine ir finansine našta.</w:t>
            </w:r>
            <w:r w:rsidR="00607788" w:rsidRPr="004D4A14">
              <w:rPr>
                <w:rFonts w:ascii="Times New Roman" w:eastAsia="Times New Roman" w:hAnsi="Times New Roman" w:cs="Times New Roman"/>
                <w:bCs/>
              </w:rPr>
              <w:t xml:space="preserve"> Investicijos į v</w:t>
            </w:r>
            <w:r w:rsidR="009E164C" w:rsidRPr="004D4A14">
              <w:rPr>
                <w:rFonts w:ascii="Times New Roman" w:eastAsia="Times New Roman" w:hAnsi="Times New Roman" w:cs="Times New Roman"/>
                <w:bCs/>
              </w:rPr>
              <w:t xml:space="preserve">iešos prieigos </w:t>
            </w:r>
            <w:r w:rsidRPr="004D4A14">
              <w:rPr>
                <w:rFonts w:ascii="Times New Roman" w:eastAsia="Times New Roman" w:hAnsi="Times New Roman" w:cs="Times New Roman"/>
                <w:bCs/>
              </w:rPr>
              <w:t>infrastruktūr</w:t>
            </w:r>
            <w:r w:rsidR="00607788" w:rsidRPr="004D4A14">
              <w:rPr>
                <w:rFonts w:ascii="Times New Roman" w:eastAsia="Times New Roman" w:hAnsi="Times New Roman" w:cs="Times New Roman"/>
                <w:bCs/>
              </w:rPr>
              <w:t>ą</w:t>
            </w:r>
            <w:r w:rsidRPr="004D4A14">
              <w:rPr>
                <w:rFonts w:ascii="Times New Roman" w:eastAsia="Times New Roman" w:hAnsi="Times New Roman" w:cs="Times New Roman"/>
                <w:bCs/>
              </w:rPr>
              <w:t xml:space="preserve"> padėtų suvaldyti sektoriaus fragmentaciją, sukurtų pagrindą kokybiškesniam augimui – didesnių, technologinių įmonių stiprėjimui,</w:t>
            </w:r>
            <w:r w:rsidR="001818C5" w:rsidRPr="004D4A14">
              <w:rPr>
                <w:rFonts w:ascii="Times New Roman" w:eastAsia="Times New Roman" w:hAnsi="Times New Roman" w:cs="Times New Roman"/>
                <w:bCs/>
              </w:rPr>
              <w:t xml:space="preserve"> </w:t>
            </w:r>
            <w:r w:rsidRPr="004D4A14">
              <w:rPr>
                <w:rFonts w:ascii="Times New Roman" w:eastAsia="Times New Roman" w:hAnsi="Times New Roman" w:cs="Times New Roman"/>
                <w:bCs/>
              </w:rPr>
              <w:t xml:space="preserve">greitesniam inovacijų </w:t>
            </w:r>
            <w:proofErr w:type="spellStart"/>
            <w:r w:rsidRPr="004D4A14">
              <w:rPr>
                <w:rFonts w:ascii="Times New Roman" w:eastAsia="Times New Roman" w:hAnsi="Times New Roman" w:cs="Times New Roman"/>
                <w:bCs/>
              </w:rPr>
              <w:t>komercializavimui</w:t>
            </w:r>
            <w:proofErr w:type="spellEnd"/>
            <w:r w:rsidRPr="004D4A14">
              <w:rPr>
                <w:rFonts w:ascii="Times New Roman" w:eastAsia="Times New Roman" w:hAnsi="Times New Roman" w:cs="Times New Roman"/>
                <w:bCs/>
              </w:rPr>
              <w:t xml:space="preserve"> ir gilesniam integravimuisi į NATO bei ES inovacijų programas. </w:t>
            </w:r>
          </w:p>
          <w:p w14:paraId="3CA14642" w14:textId="66D4B4FA" w:rsidR="00695E1F" w:rsidRPr="004D4A14" w:rsidRDefault="00D06B7D" w:rsidP="00695E1F">
            <w:pPr>
              <w:spacing w:before="120" w:after="120"/>
              <w:jc w:val="both"/>
              <w:rPr>
                <w:rFonts w:ascii="Times New Roman" w:eastAsia="Times New Roman" w:hAnsi="Times New Roman" w:cs="Times New Roman"/>
                <w:bCs/>
              </w:rPr>
            </w:pPr>
            <w:r w:rsidRPr="004D4A14">
              <w:rPr>
                <w:rFonts w:ascii="Times New Roman" w:eastAsia="Times New Roman" w:hAnsi="Times New Roman" w:cs="Times New Roman"/>
                <w:bCs/>
              </w:rPr>
              <w:t xml:space="preserve">Dar viena </w:t>
            </w:r>
            <w:r w:rsidR="00695E1F" w:rsidRPr="004D4A14">
              <w:rPr>
                <w:rFonts w:ascii="Times New Roman" w:eastAsia="Times New Roman" w:hAnsi="Times New Roman" w:cs="Times New Roman"/>
                <w:bCs/>
              </w:rPr>
              <w:t>problema</w:t>
            </w:r>
            <w:r w:rsidR="00163B6D" w:rsidRPr="004D4A14">
              <w:rPr>
                <w:rFonts w:ascii="Times New Roman" w:eastAsia="Times New Roman" w:hAnsi="Times New Roman" w:cs="Times New Roman"/>
                <w:bCs/>
              </w:rPr>
              <w:t>,</w:t>
            </w:r>
            <w:r w:rsidR="00695E1F" w:rsidRPr="004D4A14">
              <w:rPr>
                <w:rFonts w:ascii="Times New Roman" w:eastAsia="Times New Roman" w:hAnsi="Times New Roman" w:cs="Times New Roman"/>
                <w:bCs/>
              </w:rPr>
              <w:t xml:space="preserve"> su kuria susiduria Lietuvos gynybos ir saugumo pramonės srityje veikiantys ir dvejopos paskirties technologijas vystantys inovatoriai – nėra nuosekliai veikiančio mechanizmo, kuris leistų efektyviai vystyti ir finansuoti technologijų kūrimą nuo ankstyvojo prototipo iki pilnos gamybos. Negalėdami užsitikrinti finansinių resursų, potencialių kontraktų ir įsigijimų, o taip pat, dėl rizikos ir komercinio neapibrėžtumo gynybos ar dvejopos paskirties technologijas kuriantys inovatoriai, nepasiekia brandos stadijos ir kuriamas produktas nėra išvystomas iki bandomosios partijos sukūrimo. Atsižvelgiant į </w:t>
            </w:r>
            <w:r w:rsidR="00A42546" w:rsidRPr="004D4A14">
              <w:rPr>
                <w:rFonts w:ascii="Times New Roman" w:eastAsia="Times New Roman" w:hAnsi="Times New Roman" w:cs="Times New Roman"/>
                <w:bCs/>
              </w:rPr>
              <w:t>tai</w:t>
            </w:r>
            <w:r w:rsidR="00695E1F" w:rsidRPr="004D4A14">
              <w:rPr>
                <w:rFonts w:ascii="Times New Roman" w:eastAsia="Times New Roman" w:hAnsi="Times New Roman" w:cs="Times New Roman"/>
                <w:bCs/>
              </w:rPr>
              <w:t xml:space="preserve">, siūloma pasitelkti ES viešųjų pirkimų direktyva 2014/24/ES reglamentuojamą inovacijų partnerystės mechanizmą </w:t>
            </w:r>
            <w:r w:rsidR="001F55F0" w:rsidRPr="004D4A14">
              <w:rPr>
                <w:rFonts w:ascii="Times New Roman" w:eastAsia="Times New Roman" w:hAnsi="Times New Roman" w:cs="Times New Roman"/>
                <w:bCs/>
              </w:rPr>
              <w:t xml:space="preserve">– viešojo pirkimo modelį, kuris suteikia galimybę vienoje sutartyje apjungti tiek MTEP veiklas, tiek galutinį produkto įsigijimą. </w:t>
            </w:r>
            <w:r w:rsidR="00695E1F" w:rsidRPr="004D4A14">
              <w:rPr>
                <w:rFonts w:ascii="Times New Roman" w:eastAsia="Times New Roman" w:hAnsi="Times New Roman" w:cs="Times New Roman"/>
                <w:bCs/>
              </w:rPr>
              <w:t xml:space="preserve">Toks modelis ypač svarbus mažosioms ir vidutinėms įmonėms bei startuoliams, kuriantiems tiek Sostinės, tiek Vidurio ir vakarų Lietuvos regionuose, kuriems iki šiol trūko priemonių saugiai pereiti nuo eksperimentinės plėtros prie realaus tiekimo nacionalinei gynybos sistemai. </w:t>
            </w:r>
          </w:p>
          <w:p w14:paraId="4348AD2A" w14:textId="3E7A6B1A" w:rsidR="002841B9" w:rsidRPr="004D4A14" w:rsidRDefault="00863C59" w:rsidP="007E5172">
            <w:pPr>
              <w:spacing w:before="120" w:after="120"/>
              <w:jc w:val="both"/>
              <w:rPr>
                <w:rFonts w:ascii="Times New Roman" w:eastAsia="Times New Roman" w:hAnsi="Times New Roman" w:cs="Times New Roman"/>
                <w:bCs/>
              </w:rPr>
            </w:pPr>
            <w:r w:rsidRPr="004D4A14">
              <w:rPr>
                <w:rFonts w:ascii="Times New Roman" w:eastAsia="Times New Roman" w:hAnsi="Times New Roman" w:cs="Times New Roman"/>
                <w:bCs/>
              </w:rPr>
              <w:t>Investicijos į MTEP yra vienas pagrindinių įmonių</w:t>
            </w:r>
            <w:r w:rsidR="00BE1170" w:rsidRPr="004D4A14">
              <w:rPr>
                <w:rFonts w:ascii="Times New Roman" w:eastAsia="Times New Roman" w:hAnsi="Times New Roman" w:cs="Times New Roman"/>
                <w:bCs/>
              </w:rPr>
              <w:t xml:space="preserve"> </w:t>
            </w:r>
            <w:r w:rsidRPr="004D4A14">
              <w:rPr>
                <w:rFonts w:ascii="Times New Roman" w:eastAsia="Times New Roman" w:hAnsi="Times New Roman" w:cs="Times New Roman"/>
                <w:bCs/>
              </w:rPr>
              <w:t xml:space="preserve">ir visos </w:t>
            </w:r>
            <w:r w:rsidR="009C4403" w:rsidRPr="004D4A14">
              <w:rPr>
                <w:rFonts w:ascii="Times New Roman" w:eastAsia="Times New Roman" w:hAnsi="Times New Roman" w:cs="Times New Roman"/>
                <w:bCs/>
              </w:rPr>
              <w:t>šalies</w:t>
            </w:r>
            <w:r w:rsidRPr="004D4A14">
              <w:rPr>
                <w:rFonts w:ascii="Times New Roman" w:eastAsia="Times New Roman" w:hAnsi="Times New Roman" w:cs="Times New Roman"/>
                <w:bCs/>
              </w:rPr>
              <w:t xml:space="preserve"> konkurencingumo v</w:t>
            </w:r>
            <w:r w:rsidR="00BE1170" w:rsidRPr="004D4A14">
              <w:rPr>
                <w:rFonts w:ascii="Times New Roman" w:eastAsia="Times New Roman" w:hAnsi="Times New Roman" w:cs="Times New Roman"/>
                <w:bCs/>
              </w:rPr>
              <w:t>ariklių</w:t>
            </w:r>
            <w:r w:rsidRPr="004D4A14">
              <w:rPr>
                <w:rFonts w:ascii="Times New Roman" w:eastAsia="Times New Roman" w:hAnsi="Times New Roman" w:cs="Times New Roman"/>
                <w:bCs/>
              </w:rPr>
              <w:t>.</w:t>
            </w:r>
            <w:r w:rsidR="00BE1170" w:rsidRPr="004D4A14">
              <w:rPr>
                <w:rFonts w:ascii="Dosis" w:hAnsi="Dosis"/>
                <w:color w:val="3D3D3D"/>
                <w:sz w:val="26"/>
                <w:szCs w:val="26"/>
                <w:shd w:val="clear" w:color="auto" w:fill="FFFFFF"/>
              </w:rPr>
              <w:t xml:space="preserve"> </w:t>
            </w:r>
            <w:r w:rsidR="002D1424" w:rsidRPr="004D4A14">
              <w:rPr>
                <w:rFonts w:ascii="Times New Roman" w:hAnsi="Times New Roman" w:cs="Times New Roman"/>
                <w:color w:val="3D3D3D"/>
                <w:shd w:val="clear" w:color="auto" w:fill="FFFFFF"/>
              </w:rPr>
              <w:t xml:space="preserve">Todėl, </w:t>
            </w:r>
            <w:r w:rsidR="002D1424" w:rsidRPr="004D4A14">
              <w:rPr>
                <w:rFonts w:ascii="Times New Roman" w:eastAsia="Times New Roman" w:hAnsi="Times New Roman" w:cs="Times New Roman"/>
                <w:bCs/>
              </w:rPr>
              <w:t>s</w:t>
            </w:r>
            <w:r w:rsidR="00BE1170" w:rsidRPr="004D4A14">
              <w:rPr>
                <w:rFonts w:ascii="Times New Roman" w:eastAsia="Times New Roman" w:hAnsi="Times New Roman" w:cs="Times New Roman"/>
                <w:bCs/>
              </w:rPr>
              <w:t xml:space="preserve">iekiant paskatinti gynybos ir saugumo srities įmonių konkurencingumą, būtina didinti investicijas į MTEP, kadangi </w:t>
            </w:r>
            <w:r w:rsidR="00BE1170" w:rsidRPr="004D4A14">
              <w:rPr>
                <w:rFonts w:ascii="Times New Roman" w:eastAsia="Times New Roman" w:hAnsi="Times New Roman" w:cs="Times New Roman"/>
                <w:bCs/>
              </w:rPr>
              <w:lastRenderedPageBreak/>
              <w:t>jos reikšmingai prisideda prie naujų technologijų ir inovacijų atsiradimo bei yra vienas iš pagrindinių ekonomikos vystymąsi ir konkurencingumą skatinančių veiksnių. </w:t>
            </w:r>
            <w:r w:rsidR="002D5A98" w:rsidRPr="004D4A14">
              <w:rPr>
                <w:rFonts w:ascii="Times New Roman" w:eastAsia="Times New Roman" w:hAnsi="Times New Roman" w:cs="Times New Roman"/>
                <w:bCs/>
              </w:rPr>
              <w:t>Investicijos</w:t>
            </w:r>
            <w:r w:rsidR="005C4F35" w:rsidRPr="004D4A14">
              <w:rPr>
                <w:rFonts w:ascii="Times New Roman" w:eastAsia="Times New Roman" w:hAnsi="Times New Roman" w:cs="Times New Roman"/>
                <w:bCs/>
              </w:rPr>
              <w:t xml:space="preserve"> į</w:t>
            </w:r>
            <w:r w:rsidR="0009238E" w:rsidRPr="004D4A14">
              <w:rPr>
                <w:rFonts w:ascii="Times New Roman" w:eastAsia="Times New Roman" w:hAnsi="Times New Roman" w:cs="Times New Roman"/>
                <w:bCs/>
              </w:rPr>
              <w:t xml:space="preserve"> naujus</w:t>
            </w:r>
            <w:r w:rsidR="005C4F35" w:rsidRPr="004D4A14">
              <w:rPr>
                <w:rFonts w:ascii="Times New Roman" w:eastAsia="Times New Roman" w:hAnsi="Times New Roman" w:cs="Times New Roman"/>
                <w:bCs/>
              </w:rPr>
              <w:t xml:space="preserve"> amunicijos gamybos pajėgumus, </w:t>
            </w:r>
            <w:r w:rsidR="002D5A98" w:rsidRPr="004D4A14">
              <w:rPr>
                <w:rFonts w:ascii="Times New Roman" w:eastAsia="Times New Roman" w:hAnsi="Times New Roman" w:cs="Times New Roman"/>
                <w:bCs/>
              </w:rPr>
              <w:t xml:space="preserve">prisidės prie darbo vietų sukūrimo VVL regione, didins </w:t>
            </w:r>
            <w:r w:rsidR="005C4F35" w:rsidRPr="004D4A14">
              <w:rPr>
                <w:rFonts w:ascii="Times New Roman" w:eastAsia="Times New Roman" w:hAnsi="Times New Roman" w:cs="Times New Roman"/>
                <w:bCs/>
              </w:rPr>
              <w:t>gynybos ir saugumo pramonės pajėgum</w:t>
            </w:r>
            <w:r w:rsidR="002D5A98" w:rsidRPr="004D4A14">
              <w:rPr>
                <w:rFonts w:ascii="Times New Roman" w:eastAsia="Times New Roman" w:hAnsi="Times New Roman" w:cs="Times New Roman"/>
                <w:bCs/>
              </w:rPr>
              <w:t>us</w:t>
            </w:r>
            <w:r w:rsidR="005C4F35" w:rsidRPr="004D4A14">
              <w:rPr>
                <w:rFonts w:ascii="Times New Roman" w:eastAsia="Times New Roman" w:hAnsi="Times New Roman" w:cs="Times New Roman"/>
                <w:bCs/>
              </w:rPr>
              <w:t xml:space="preserve"> bei užtikrin</w:t>
            </w:r>
            <w:r w:rsidR="002D5A98" w:rsidRPr="004D4A14">
              <w:rPr>
                <w:rFonts w:ascii="Times New Roman" w:eastAsia="Times New Roman" w:hAnsi="Times New Roman" w:cs="Times New Roman"/>
                <w:bCs/>
              </w:rPr>
              <w:t>s</w:t>
            </w:r>
            <w:r w:rsidR="005C4F35" w:rsidRPr="004D4A14">
              <w:rPr>
                <w:rFonts w:ascii="Times New Roman" w:eastAsia="Times New Roman" w:hAnsi="Times New Roman" w:cs="Times New Roman"/>
                <w:bCs/>
              </w:rPr>
              <w:t xml:space="preserve"> ne tik nacionalinį, bet ir viso regiono saugumą.</w:t>
            </w:r>
          </w:p>
          <w:p w14:paraId="5AC3296E" w14:textId="0DCE6D6D" w:rsidR="00713E06" w:rsidRPr="004D4A14" w:rsidRDefault="00B17B14" w:rsidP="007E5172">
            <w:pPr>
              <w:spacing w:before="120" w:after="120"/>
              <w:jc w:val="both"/>
              <w:rPr>
                <w:rFonts w:ascii="Times New Roman" w:eastAsia="Times New Roman" w:hAnsi="Times New Roman" w:cs="Times New Roman"/>
                <w:bCs/>
              </w:rPr>
            </w:pPr>
            <w:r w:rsidRPr="004D4A14">
              <w:rPr>
                <w:rFonts w:ascii="Times New Roman" w:eastAsia="Times New Roman" w:hAnsi="Times New Roman" w:cs="Times New Roman"/>
                <w:bCs/>
              </w:rPr>
              <w:t xml:space="preserve">Veiksmų rūšys, siekiant </w:t>
            </w:r>
            <w:r w:rsidR="00D1704E" w:rsidRPr="004D4A14">
              <w:rPr>
                <w:rFonts w:ascii="Times New Roman" w:eastAsia="Times New Roman" w:hAnsi="Times New Roman" w:cs="Times New Roman"/>
                <w:bCs/>
              </w:rPr>
              <w:t xml:space="preserve">skatinti gynybos pajėgumų didinimą </w:t>
            </w:r>
            <w:r w:rsidRPr="004D4A14">
              <w:rPr>
                <w:rFonts w:ascii="Times New Roman" w:eastAsia="Times New Roman" w:hAnsi="Times New Roman" w:cs="Times New Roman"/>
                <w:bCs/>
              </w:rPr>
              <w:t>bei stiprinti Lietuvos ir visos ES</w:t>
            </w:r>
            <w:r w:rsidR="00D1704E" w:rsidRPr="004D4A14">
              <w:rPr>
                <w:rFonts w:ascii="Times New Roman" w:eastAsia="Times New Roman" w:hAnsi="Times New Roman" w:cs="Times New Roman"/>
                <w:bCs/>
              </w:rPr>
              <w:t xml:space="preserve"> saugumo pramonę</w:t>
            </w:r>
            <w:r w:rsidRPr="004D4A14">
              <w:rPr>
                <w:rFonts w:ascii="Times New Roman" w:eastAsia="Times New Roman" w:hAnsi="Times New Roman" w:cs="Times New Roman"/>
                <w:bCs/>
              </w:rPr>
              <w:t>:</w:t>
            </w:r>
          </w:p>
          <w:p w14:paraId="715B385D" w14:textId="5A3C0DC7" w:rsidR="00713E06" w:rsidRPr="004D4A14" w:rsidRDefault="00713E06" w:rsidP="00713E06">
            <w:pPr>
              <w:spacing w:before="120" w:after="120"/>
              <w:jc w:val="both"/>
              <w:rPr>
                <w:rFonts w:ascii="Times New Roman" w:eastAsia="Times New Roman" w:hAnsi="Times New Roman" w:cs="Times New Roman"/>
                <w:bCs/>
              </w:rPr>
            </w:pPr>
            <w:r w:rsidRPr="004D4A14">
              <w:rPr>
                <w:rFonts w:ascii="Times New Roman" w:eastAsia="Times New Roman" w:hAnsi="Times New Roman" w:cs="Times New Roman"/>
                <w:b/>
                <w:bCs/>
              </w:rPr>
              <w:t xml:space="preserve">Didinti įmonių pajėgumus investuoti į inovatyvių produktų, skirtų gynybos ir saugumo sektoriui, kūrimą ir vystymą: </w:t>
            </w:r>
            <w:r w:rsidRPr="004D4A14">
              <w:rPr>
                <w:rFonts w:ascii="Times New Roman" w:eastAsia="Times New Roman" w:hAnsi="Times New Roman" w:cs="Times New Roman"/>
                <w:bCs/>
              </w:rPr>
              <w:t xml:space="preserve">investuojama į </w:t>
            </w:r>
            <w:r w:rsidR="00BD07CD" w:rsidRPr="004D4A14">
              <w:rPr>
                <w:rFonts w:ascii="Times New Roman" w:eastAsia="Times New Roman" w:hAnsi="Times New Roman" w:cs="Times New Roman"/>
                <w:bCs/>
              </w:rPr>
              <w:t xml:space="preserve">įmonių </w:t>
            </w:r>
            <w:r w:rsidRPr="004D4A14">
              <w:rPr>
                <w:rFonts w:ascii="Times New Roman" w:eastAsia="Times New Roman" w:hAnsi="Times New Roman" w:cs="Times New Roman"/>
                <w:bCs/>
              </w:rPr>
              <w:t xml:space="preserve">MTEP vykdymo veiklas, tokiu būdu skatinant privačių investicijų į MTEP augimą gynybos ir saugumo sektoriuje. Veikla prisideda prie sisteminio pajėgumų investuoti stiprinimo, įmonėms žengiant nuo idėjos prie testuoto prototipo ir ankstyvosios </w:t>
            </w:r>
            <w:proofErr w:type="spellStart"/>
            <w:r w:rsidRPr="004D4A14">
              <w:rPr>
                <w:rFonts w:ascii="Times New Roman" w:eastAsia="Times New Roman" w:hAnsi="Times New Roman" w:cs="Times New Roman"/>
                <w:bCs/>
              </w:rPr>
              <w:t>komercializacijos</w:t>
            </w:r>
            <w:proofErr w:type="spellEnd"/>
            <w:r w:rsidRPr="004D4A14">
              <w:rPr>
                <w:rFonts w:ascii="Times New Roman" w:eastAsia="Times New Roman" w:hAnsi="Times New Roman" w:cs="Times New Roman"/>
                <w:bCs/>
              </w:rPr>
              <w:t xml:space="preserve"> stadijos. Sėkmingai vystomi prototipai padės įmonėms tapti konkurencingomis tiek vietiniuose, tiek ES bei NATO projektuose, kur svarbu ne tik mokslinis potencialas, bet ir technologinis pasirengimas.</w:t>
            </w:r>
            <w:r w:rsidR="00D1704E" w:rsidRPr="004D4A14">
              <w:rPr>
                <w:rFonts w:ascii="Times New Roman" w:eastAsia="Times New Roman" w:hAnsi="Times New Roman" w:cs="Times New Roman"/>
                <w:bCs/>
              </w:rPr>
              <w:t xml:space="preserve"> Veikla įgyvendinama Sostinės ir VVL regionuose.</w:t>
            </w:r>
          </w:p>
          <w:p w14:paraId="78BF75DE" w14:textId="32B3E5B0" w:rsidR="008D5595" w:rsidRPr="004D4A14" w:rsidRDefault="008D5595" w:rsidP="008D5595">
            <w:pPr>
              <w:spacing w:before="120" w:after="120"/>
              <w:jc w:val="both"/>
              <w:rPr>
                <w:rFonts w:ascii="Times New Roman" w:eastAsia="Times New Roman" w:hAnsi="Times New Roman" w:cs="Times New Roman"/>
                <w:bCs/>
              </w:rPr>
            </w:pPr>
            <w:bookmarkStart w:id="6" w:name="_Hlk202881891"/>
            <w:bookmarkStart w:id="7" w:name="_Hlk202881936"/>
            <w:r w:rsidRPr="004D4A14">
              <w:rPr>
                <w:rFonts w:ascii="Times New Roman" w:eastAsia="Times New Roman" w:hAnsi="Times New Roman" w:cs="Times New Roman"/>
                <w:b/>
                <w:bCs/>
              </w:rPr>
              <w:t xml:space="preserve">Skatinti Lietuvos inovacijų ekosistemą, išvystant gynybos ir saugumo pramonės įmonėms skirtą viešos prieigos eksperimentavimo, </w:t>
            </w:r>
            <w:proofErr w:type="spellStart"/>
            <w:r w:rsidRPr="004D4A14">
              <w:rPr>
                <w:rFonts w:ascii="Times New Roman" w:eastAsia="Times New Roman" w:hAnsi="Times New Roman" w:cs="Times New Roman"/>
                <w:b/>
                <w:bCs/>
              </w:rPr>
              <w:t>prototipavimo</w:t>
            </w:r>
            <w:proofErr w:type="spellEnd"/>
            <w:r w:rsidRPr="004D4A14">
              <w:rPr>
                <w:rFonts w:ascii="Times New Roman" w:eastAsia="Times New Roman" w:hAnsi="Times New Roman" w:cs="Times New Roman"/>
                <w:b/>
                <w:bCs/>
              </w:rPr>
              <w:t xml:space="preserve"> ir bandymų infrastruktūrą</w:t>
            </w:r>
            <w:bookmarkEnd w:id="6"/>
            <w:r w:rsidRPr="004D4A14">
              <w:rPr>
                <w:rFonts w:ascii="Times New Roman" w:eastAsia="Times New Roman" w:hAnsi="Times New Roman" w:cs="Times New Roman"/>
                <w:b/>
                <w:bCs/>
              </w:rPr>
              <w:t xml:space="preserve">. </w:t>
            </w:r>
            <w:bookmarkEnd w:id="7"/>
            <w:r w:rsidRPr="004D4A14">
              <w:rPr>
                <w:rFonts w:ascii="Times New Roman" w:eastAsia="Times New Roman" w:hAnsi="Times New Roman" w:cs="Times New Roman"/>
                <w:bCs/>
              </w:rPr>
              <w:t xml:space="preserve">Siekiant užtikrinti sklandų ir efektyvų </w:t>
            </w:r>
            <w:proofErr w:type="spellStart"/>
            <w:r w:rsidRPr="004D4A14">
              <w:rPr>
                <w:rFonts w:ascii="Times New Roman" w:eastAsia="Times New Roman" w:hAnsi="Times New Roman" w:cs="Times New Roman"/>
                <w:bCs/>
              </w:rPr>
              <w:t>Miltech</w:t>
            </w:r>
            <w:proofErr w:type="spellEnd"/>
            <w:r w:rsidRPr="004D4A14">
              <w:rPr>
                <w:rFonts w:ascii="Times New Roman" w:eastAsia="Times New Roman" w:hAnsi="Times New Roman" w:cs="Times New Roman"/>
                <w:bCs/>
              </w:rPr>
              <w:t xml:space="preserve"> smėliadėžės darbą</w:t>
            </w:r>
            <w:r w:rsidRPr="004D4A14">
              <w:rPr>
                <w:rFonts w:ascii="Times New Roman" w:eastAsia="Times New Roman" w:hAnsi="Times New Roman" w:cs="Times New Roman"/>
                <w:b/>
                <w:bCs/>
              </w:rPr>
              <w:t xml:space="preserve"> </w:t>
            </w:r>
            <w:r w:rsidRPr="004D4A14">
              <w:rPr>
                <w:rFonts w:ascii="Times New Roman" w:eastAsia="Times New Roman" w:hAnsi="Times New Roman" w:cs="Times New Roman"/>
                <w:bCs/>
              </w:rPr>
              <w:t>bus investuojama į gynybos ir saugumo pramonės įmon</w:t>
            </w:r>
            <w:r w:rsidR="00BD07CD" w:rsidRPr="004D4A14">
              <w:rPr>
                <w:rFonts w:ascii="Times New Roman" w:eastAsia="Times New Roman" w:hAnsi="Times New Roman" w:cs="Times New Roman"/>
                <w:bCs/>
              </w:rPr>
              <w:t>ei</w:t>
            </w:r>
            <w:r w:rsidRPr="004D4A14">
              <w:rPr>
                <w:rFonts w:ascii="Times New Roman" w:eastAsia="Times New Roman" w:hAnsi="Times New Roman" w:cs="Times New Roman"/>
                <w:bCs/>
              </w:rPr>
              <w:t xml:space="preserve"> </w:t>
            </w:r>
            <w:r w:rsidR="00BD07CD" w:rsidRPr="004D4A14">
              <w:rPr>
                <w:rFonts w:ascii="Times New Roman" w:eastAsia="Times New Roman" w:hAnsi="Times New Roman" w:cs="Times New Roman"/>
                <w:bCs/>
              </w:rPr>
              <w:t xml:space="preserve">reikalingus viešos prieigos </w:t>
            </w:r>
            <w:r w:rsidRPr="004D4A14">
              <w:rPr>
                <w:rFonts w:ascii="Times New Roman" w:eastAsia="Times New Roman" w:hAnsi="Times New Roman" w:cs="Times New Roman"/>
                <w:bCs/>
              </w:rPr>
              <w:t>infrastruktūros objektus – eksperimentinės plėtros laboratorijų, testavimo</w:t>
            </w:r>
            <w:r w:rsidR="00E52FB7" w:rsidRPr="004D4A14">
              <w:rPr>
                <w:rFonts w:ascii="Times New Roman" w:eastAsia="Times New Roman" w:hAnsi="Times New Roman" w:cs="Times New Roman"/>
                <w:bCs/>
              </w:rPr>
              <w:t xml:space="preserve"> teritorijų</w:t>
            </w:r>
            <w:r w:rsidRPr="004D4A14">
              <w:rPr>
                <w:rFonts w:ascii="Times New Roman" w:eastAsia="Times New Roman" w:hAnsi="Times New Roman" w:cs="Times New Roman"/>
                <w:bCs/>
              </w:rPr>
              <w:t>, demonstravimo erdvių ir panašių objektų statybą ar (ir) rekonstrukciją ir įrengimą (įskaitant reikalingos teritorijos  pritaikymą).</w:t>
            </w:r>
            <w:r w:rsidR="00D1704E" w:rsidRPr="004D4A14">
              <w:rPr>
                <w:rFonts w:ascii="Times New Roman" w:eastAsia="Times New Roman" w:hAnsi="Times New Roman" w:cs="Times New Roman"/>
                <w:color w:val="000000"/>
                <w:sz w:val="24"/>
              </w:rPr>
              <w:t xml:space="preserve"> </w:t>
            </w:r>
            <w:r w:rsidR="00D1704E" w:rsidRPr="004D4A14">
              <w:rPr>
                <w:rFonts w:ascii="Times New Roman" w:eastAsia="Times New Roman" w:hAnsi="Times New Roman" w:cs="Times New Roman"/>
                <w:bCs/>
              </w:rPr>
              <w:t>Veikla įgyvendinama VVL regione.</w:t>
            </w:r>
          </w:p>
          <w:p w14:paraId="1F9C4ABE" w14:textId="63199E97" w:rsidR="000E65C9" w:rsidRPr="004D4A14" w:rsidRDefault="008C3A69" w:rsidP="00697FA4">
            <w:pPr>
              <w:jc w:val="both"/>
              <w:rPr>
                <w:rFonts w:ascii="Times New Roman" w:eastAsia="Times New Roman" w:hAnsi="Times New Roman" w:cs="Times New Roman"/>
              </w:rPr>
            </w:pPr>
            <w:r w:rsidRPr="004D4A14">
              <w:rPr>
                <w:rFonts w:ascii="Times New Roman" w:eastAsia="Times New Roman" w:hAnsi="Times New Roman" w:cs="Times New Roman"/>
                <w:b/>
                <w:bCs/>
              </w:rPr>
              <w:t xml:space="preserve">Skatinti inovacijų bendradarbiavimo partnerystės veiklas gynybos ir saugumo srityje: </w:t>
            </w:r>
            <w:r w:rsidRPr="004D4A14">
              <w:rPr>
                <w:rFonts w:ascii="Times New Roman" w:eastAsia="Times New Roman" w:hAnsi="Times New Roman" w:cs="Times New Roman"/>
              </w:rPr>
              <w:t>investuojama į bandomųjų partijų (prototipų) testavimą, vertinimą ir įsigijimą (7–8 techninės parengties lygis). Veikla įgyvendinama taikant inovacijų partnerystės modelį, kuris leidžia viešajam pirkėjui kartu su tiekėju vystyti sprendimus etapais – nuo funkcinio reikalavimo iki prototipo išbandymo – su aiškia galimybe pereiti į bandomosios partijos įsigijimą.</w:t>
            </w:r>
            <w:r w:rsidR="00D1704E" w:rsidRPr="004D4A14">
              <w:rPr>
                <w:rFonts w:ascii="Times New Roman" w:eastAsia="Times New Roman" w:hAnsi="Times New Roman" w:cs="Times New Roman"/>
              </w:rPr>
              <w:t xml:space="preserve"> Veikla įgyvendinama Sostinės ir VVL regionuose.</w:t>
            </w:r>
          </w:p>
          <w:p w14:paraId="69DD5DCE" w14:textId="77777777" w:rsidR="00CE5645" w:rsidRPr="004D4A14" w:rsidRDefault="00CE5645" w:rsidP="009B182D">
            <w:pPr>
              <w:jc w:val="both"/>
              <w:rPr>
                <w:rFonts w:ascii="Times New Roman" w:eastAsia="Times New Roman" w:hAnsi="Times New Roman" w:cs="Times New Roman"/>
                <w:b/>
                <w:bCs/>
                <w:sz w:val="14"/>
                <w:szCs w:val="14"/>
              </w:rPr>
            </w:pPr>
          </w:p>
          <w:p w14:paraId="779D5CB9" w14:textId="77777777" w:rsidR="00233F35" w:rsidRPr="004D4A14" w:rsidRDefault="00CE5645" w:rsidP="009B182D">
            <w:pPr>
              <w:jc w:val="both"/>
              <w:rPr>
                <w:rFonts w:ascii="Times New Roman" w:eastAsia="Times New Roman" w:hAnsi="Times New Roman" w:cs="Times New Roman"/>
              </w:rPr>
            </w:pPr>
            <w:r w:rsidRPr="004D4A14">
              <w:rPr>
                <w:rFonts w:ascii="Times New Roman" w:eastAsia="Times New Roman" w:hAnsi="Times New Roman" w:cs="Times New Roman"/>
                <w:b/>
                <w:bCs/>
              </w:rPr>
              <w:t xml:space="preserve">Siekiant skatinti investicijas į naujus amunicijos gamybos pajėgumus, didinti gynybos ir saugumo pramonės pajėgumus bei užtikrinti nacionalinį ir viso regiono saugumą: </w:t>
            </w:r>
            <w:r w:rsidRPr="004D4A14">
              <w:rPr>
                <w:rFonts w:ascii="Times New Roman" w:eastAsia="Times New Roman" w:hAnsi="Times New Roman" w:cs="Times New Roman"/>
              </w:rPr>
              <w:t xml:space="preserve">bus investuojama </w:t>
            </w:r>
            <w:r w:rsidR="00BC474E" w:rsidRPr="004D4A14">
              <w:rPr>
                <w:rFonts w:ascii="Times New Roman" w:eastAsia="Times New Roman" w:hAnsi="Times New Roman" w:cs="Times New Roman"/>
              </w:rPr>
              <w:t xml:space="preserve">į </w:t>
            </w:r>
            <w:r w:rsidRPr="004D4A14">
              <w:rPr>
                <w:rFonts w:ascii="Times New Roman" w:eastAsia="Times New Roman" w:hAnsi="Times New Roman" w:cs="Times New Roman"/>
              </w:rPr>
              <w:t>amunicijos gamybos pajėgumams sukurti reikalingos infrastruktūros sukūrimą ir gamybos įrenginių įsigijimą. Planuojama investuoti į valstybės valdomos AB „Giraitės ginkluotės gamykl</w:t>
            </w:r>
            <w:r w:rsidR="00832774" w:rsidRPr="004D4A14">
              <w:rPr>
                <w:rFonts w:ascii="Times New Roman" w:eastAsia="Times New Roman" w:hAnsi="Times New Roman" w:cs="Times New Roman"/>
              </w:rPr>
              <w:t>a</w:t>
            </w:r>
            <w:r w:rsidRPr="004D4A14">
              <w:rPr>
                <w:rFonts w:ascii="Times New Roman" w:eastAsia="Times New Roman" w:hAnsi="Times New Roman" w:cs="Times New Roman"/>
              </w:rPr>
              <w:t>“ vidutinio kalibro NATO standarto 30-35 mm amunicijos gamybinių pajėgumų sukūrimą Lietuvoje.</w:t>
            </w:r>
            <w:r w:rsidRPr="004D4A14">
              <w:rPr>
                <w:rFonts w:ascii="Times New Roman" w:eastAsia="Times New Roman" w:hAnsi="Times New Roman" w:cs="Times New Roman"/>
                <w:sz w:val="24"/>
              </w:rPr>
              <w:t xml:space="preserve"> </w:t>
            </w:r>
            <w:r w:rsidRPr="004D4A14">
              <w:rPr>
                <w:rFonts w:ascii="Times New Roman" w:eastAsia="Times New Roman" w:hAnsi="Times New Roman" w:cs="Times New Roman"/>
              </w:rPr>
              <w:t>Veikla įgyvendinama VVL regione.</w:t>
            </w:r>
          </w:p>
          <w:p w14:paraId="2E60EC1F" w14:textId="6AFB1E37" w:rsidR="0007460D" w:rsidRPr="004D4A14" w:rsidRDefault="0007460D" w:rsidP="009B182D">
            <w:pPr>
              <w:jc w:val="both"/>
              <w:rPr>
                <w:rFonts w:ascii="Times New Roman" w:eastAsia="Times New Roman" w:hAnsi="Times New Roman" w:cs="Times New Roman"/>
              </w:rPr>
            </w:pPr>
            <w:r w:rsidRPr="004D4A14">
              <w:rPr>
                <w:rFonts w:ascii="Times New Roman" w:hAnsi="Times New Roman" w:cs="Times New Roman"/>
                <w:color w:val="000000" w:themeColor="text1"/>
              </w:rPr>
              <w:t>Uždavinio veiklos (veiksmų rūšys) įvertintos vadovaujantis EGADP NRŽ gairėmis, todėl laikoma, kad atitinka NRŽ principą.</w:t>
            </w:r>
          </w:p>
        </w:tc>
      </w:tr>
    </w:tbl>
    <w:p w14:paraId="11AA3384" w14:textId="77777777" w:rsidR="00316179" w:rsidRPr="004D4A14" w:rsidRDefault="00316179" w:rsidP="00C34645">
      <w:pPr>
        <w:pStyle w:val="Stilius1"/>
      </w:pPr>
      <w:r w:rsidRPr="004D4A14">
        <w:lastRenderedPageBreak/>
        <w:t>Pagrindinės tikslinės grupės</w:t>
      </w:r>
    </w:p>
    <w:tbl>
      <w:tblPr>
        <w:tblStyle w:val="Lentelstinklelis2"/>
        <w:tblW w:w="0" w:type="auto"/>
        <w:tblLook w:val="04A0" w:firstRow="1" w:lastRow="0" w:firstColumn="1" w:lastColumn="0" w:noHBand="0" w:noVBand="1"/>
      </w:tblPr>
      <w:tblGrid>
        <w:gridCol w:w="9628"/>
      </w:tblGrid>
      <w:tr w:rsidR="00316179" w:rsidRPr="004D4A14" w14:paraId="1283BA69" w14:textId="77777777" w:rsidTr="00341651">
        <w:tc>
          <w:tcPr>
            <w:tcW w:w="9854" w:type="dxa"/>
            <w:shd w:val="clear" w:color="auto" w:fill="FFFFFF" w:themeFill="background1"/>
          </w:tcPr>
          <w:p w14:paraId="59B1BBF0" w14:textId="38845167" w:rsidR="0048182B" w:rsidRPr="004D4A14" w:rsidRDefault="000A63E9" w:rsidP="00CA0B50">
            <w:pPr>
              <w:pStyle w:val="Default"/>
              <w:jc w:val="both"/>
              <w:rPr>
                <w:rFonts w:ascii="Times New Roman" w:eastAsia="Times New Roman" w:hAnsi="Times New Roman"/>
                <w:color w:val="auto"/>
                <w:szCs w:val="22"/>
                <w:lang w:eastAsia="ja-JP"/>
              </w:rPr>
            </w:pPr>
            <w:r w:rsidRPr="004D4A14">
              <w:rPr>
                <w:rFonts w:ascii="Times New Roman" w:eastAsia="Times New Roman" w:hAnsi="Times New Roman"/>
                <w:color w:val="auto"/>
                <w:szCs w:val="22"/>
                <w:lang w:eastAsia="ja-JP"/>
              </w:rPr>
              <w:t>Mažos</w:t>
            </w:r>
            <w:r w:rsidR="006915BD" w:rsidRPr="004D4A14">
              <w:rPr>
                <w:rFonts w:ascii="Times New Roman" w:eastAsia="Times New Roman" w:hAnsi="Times New Roman"/>
                <w:color w:val="auto"/>
                <w:szCs w:val="22"/>
                <w:lang w:eastAsia="ja-JP"/>
              </w:rPr>
              <w:t xml:space="preserve"> ir</w:t>
            </w:r>
            <w:r w:rsidRPr="004D4A14">
              <w:rPr>
                <w:rFonts w:ascii="Times New Roman" w:eastAsia="Times New Roman" w:hAnsi="Times New Roman"/>
                <w:color w:val="auto"/>
                <w:szCs w:val="22"/>
                <w:lang w:eastAsia="ja-JP"/>
              </w:rPr>
              <w:t xml:space="preserve"> vidutinės</w:t>
            </w:r>
            <w:r w:rsidR="006915BD" w:rsidRPr="004D4A14">
              <w:rPr>
                <w:rFonts w:ascii="Times New Roman" w:eastAsia="Times New Roman" w:hAnsi="Times New Roman"/>
                <w:color w:val="auto"/>
                <w:szCs w:val="22"/>
                <w:lang w:eastAsia="ja-JP"/>
              </w:rPr>
              <w:t xml:space="preserve"> įmonės</w:t>
            </w:r>
            <w:r w:rsidRPr="004D4A14">
              <w:rPr>
                <w:rFonts w:ascii="Times New Roman" w:eastAsia="Times New Roman" w:hAnsi="Times New Roman"/>
                <w:color w:val="auto"/>
                <w:szCs w:val="22"/>
                <w:lang w:eastAsia="ja-JP"/>
              </w:rPr>
              <w:t xml:space="preserve"> </w:t>
            </w:r>
            <w:r w:rsidR="006915BD" w:rsidRPr="004D4A14">
              <w:rPr>
                <w:rFonts w:ascii="Times New Roman" w:eastAsia="Times New Roman" w:hAnsi="Times New Roman"/>
                <w:color w:val="auto"/>
                <w:szCs w:val="22"/>
                <w:lang w:eastAsia="ja-JP"/>
              </w:rPr>
              <w:t>bei</w:t>
            </w:r>
            <w:r w:rsidRPr="004D4A14">
              <w:rPr>
                <w:rFonts w:ascii="Times New Roman" w:eastAsia="Times New Roman" w:hAnsi="Times New Roman"/>
                <w:color w:val="auto"/>
                <w:szCs w:val="22"/>
                <w:lang w:eastAsia="ja-JP"/>
              </w:rPr>
              <w:t xml:space="preserve"> didelės įmonės, </w:t>
            </w:r>
            <w:r w:rsidR="00526750" w:rsidRPr="004D4A14">
              <w:rPr>
                <w:rFonts w:ascii="Times New Roman" w:eastAsia="Times New Roman" w:hAnsi="Times New Roman"/>
                <w:color w:val="auto"/>
                <w:szCs w:val="22"/>
                <w:lang w:eastAsia="ja-JP"/>
              </w:rPr>
              <w:t>kai bendradarbiauja su MVĮ</w:t>
            </w:r>
            <w:r w:rsidR="006915BD" w:rsidRPr="004D4A14">
              <w:rPr>
                <w:rFonts w:ascii="Times New Roman" w:eastAsia="Times New Roman" w:hAnsi="Times New Roman"/>
                <w:color w:val="auto"/>
                <w:szCs w:val="22"/>
                <w:lang w:eastAsia="ja-JP"/>
              </w:rPr>
              <w:t>;</w:t>
            </w:r>
            <w:r w:rsidR="00526750" w:rsidRPr="004D4A14">
              <w:rPr>
                <w:rFonts w:ascii="Times New Roman" w:eastAsia="Times New Roman" w:hAnsi="Times New Roman"/>
                <w:color w:val="auto"/>
                <w:szCs w:val="22"/>
                <w:lang w:eastAsia="ja-JP"/>
              </w:rPr>
              <w:t xml:space="preserve"> </w:t>
            </w:r>
            <w:r w:rsidR="007E3FEA" w:rsidRPr="004D4A14">
              <w:rPr>
                <w:rFonts w:ascii="Times New Roman" w:eastAsia="Times New Roman" w:hAnsi="Times New Roman"/>
                <w:color w:val="auto"/>
                <w:szCs w:val="22"/>
                <w:lang w:eastAsia="ja-JP"/>
              </w:rPr>
              <w:t>mokslo ir studijų institucijos</w:t>
            </w:r>
            <w:r w:rsidR="00341651" w:rsidRPr="004D4A14">
              <w:rPr>
                <w:rFonts w:ascii="Times New Roman" w:eastAsia="Times New Roman" w:hAnsi="Times New Roman"/>
                <w:color w:val="auto"/>
                <w:szCs w:val="22"/>
                <w:lang w:eastAsia="ja-JP"/>
              </w:rPr>
              <w:t>.</w:t>
            </w:r>
            <w:r w:rsidR="00A72CA4" w:rsidRPr="004D4A14">
              <w:rPr>
                <w:rFonts w:ascii="Times New Roman" w:eastAsia="Times New Roman" w:hAnsi="Times New Roman"/>
                <w:color w:val="auto"/>
                <w:szCs w:val="22"/>
                <w:lang w:eastAsia="ja-JP"/>
              </w:rPr>
              <w:t xml:space="preserve"> </w:t>
            </w:r>
            <w:r w:rsidR="003F358D" w:rsidRPr="004D4A14">
              <w:rPr>
                <w:rFonts w:ascii="Times New Roman" w:eastAsia="Times New Roman" w:hAnsi="Times New Roman"/>
              </w:rPr>
              <w:t xml:space="preserve">AB „Giraitės ginkluotės gamykla“, </w:t>
            </w:r>
            <w:r w:rsidR="00A72CA4" w:rsidRPr="004D4A14">
              <w:rPr>
                <w:rFonts w:ascii="Times New Roman" w:eastAsia="Times New Roman" w:hAnsi="Times New Roman"/>
                <w:color w:val="auto"/>
                <w:szCs w:val="22"/>
                <w:lang w:eastAsia="ja-JP"/>
              </w:rPr>
              <w:t>Lietuvos kariuomenė, krašto apsaugos institucijos, NATO centralizuotus pirkimus vykdančios institucijos.</w:t>
            </w:r>
            <w:r w:rsidR="007E3FEA" w:rsidRPr="004D4A14">
              <w:rPr>
                <w:rFonts w:ascii="Times New Roman" w:eastAsia="Times New Roman" w:hAnsi="Times New Roman"/>
                <w:color w:val="auto"/>
                <w:szCs w:val="22"/>
                <w:lang w:eastAsia="ja-JP"/>
              </w:rPr>
              <w:t xml:space="preserve"> </w:t>
            </w:r>
          </w:p>
        </w:tc>
      </w:tr>
    </w:tbl>
    <w:p w14:paraId="3DA37792" w14:textId="77777777" w:rsidR="00316179" w:rsidRPr="004D4A14" w:rsidRDefault="00316179" w:rsidP="00C34645">
      <w:pPr>
        <w:pStyle w:val="Stilius1"/>
        <w:rPr>
          <w:rFonts w:eastAsia="Times New Roman"/>
          <w:iCs/>
          <w:noProof/>
          <w:lang w:eastAsia="lt-LT" w:bidi="lt-LT"/>
        </w:rPr>
      </w:pPr>
      <w:r w:rsidRPr="004D4A14">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7F6814" w:rsidRPr="004D4A14" w14:paraId="7B67CCBC" w14:textId="77777777" w:rsidTr="007C6281">
        <w:trPr>
          <w:trHeight w:val="1090"/>
        </w:trPr>
        <w:tc>
          <w:tcPr>
            <w:tcW w:w="9854" w:type="dxa"/>
          </w:tcPr>
          <w:p w14:paraId="432EF488" w14:textId="64010FC1" w:rsidR="00D90E77" w:rsidRPr="004D4A14" w:rsidRDefault="00D90E77" w:rsidP="00AA5240">
            <w:pPr>
              <w:pStyle w:val="Antrat4"/>
              <w:spacing w:before="0"/>
              <w:rPr>
                <w:rFonts w:ascii="Times New Roman" w:eastAsia="Times New Roman" w:hAnsi="Times New Roman" w:cs="Times New Roman"/>
                <w:b w:val="0"/>
                <w:bCs w:val="0"/>
                <w:i w:val="0"/>
                <w:iCs w:val="0"/>
                <w:color w:val="auto"/>
                <w:sz w:val="22"/>
                <w:lang w:eastAsia="ja-JP"/>
              </w:rPr>
            </w:pPr>
            <w:r w:rsidRPr="004D4A14">
              <w:rPr>
                <w:rFonts w:ascii="Times New Roman" w:eastAsia="Times New Roman" w:hAnsi="Times New Roman" w:cs="Times New Roman"/>
                <w:b w:val="0"/>
                <w:bCs w:val="0"/>
                <w:i w:val="0"/>
                <w:iCs w:val="0"/>
                <w:color w:val="auto"/>
                <w:sz w:val="22"/>
                <w:lang w:eastAsia="ja-JP"/>
              </w:rPr>
              <w:t>Vykdant numatytas veiklas bus siekiama užtikrinti lygybės, įtraukties ir nediskriminavimo principus. Įgyvendinant nediskriminavimo princip</w:t>
            </w:r>
            <w:r w:rsidR="00285375" w:rsidRPr="004D4A14">
              <w:rPr>
                <w:rFonts w:ascii="Times New Roman" w:eastAsia="Times New Roman" w:hAnsi="Times New Roman" w:cs="Times New Roman"/>
                <w:b w:val="0"/>
                <w:bCs w:val="0"/>
                <w:i w:val="0"/>
                <w:iCs w:val="0"/>
                <w:color w:val="auto"/>
                <w:sz w:val="22"/>
                <w:lang w:eastAsia="ja-JP"/>
              </w:rPr>
              <w:t>ą</w:t>
            </w:r>
            <w:r w:rsidRPr="004D4A14">
              <w:rPr>
                <w:rFonts w:ascii="Times New Roman" w:eastAsia="Times New Roman" w:hAnsi="Times New Roman" w:cs="Times New Roman"/>
                <w:b w:val="0"/>
                <w:bCs w:val="0"/>
                <w:i w:val="0"/>
                <w:iCs w:val="0"/>
                <w:color w:val="auto"/>
                <w:sz w:val="22"/>
                <w:lang w:eastAsia="ja-JP"/>
              </w:rPr>
              <w:t xml:space="preserve">, </w:t>
            </w:r>
            <w:r w:rsidR="00AA5240" w:rsidRPr="004D4A14">
              <w:rPr>
                <w:rFonts w:ascii="Times New Roman" w:eastAsia="Times New Roman" w:hAnsi="Times New Roman" w:cs="Times New Roman"/>
                <w:b w:val="0"/>
                <w:bCs w:val="0"/>
                <w:i w:val="0"/>
                <w:iCs w:val="0"/>
                <w:color w:val="auto"/>
                <w:sz w:val="22"/>
                <w:lang w:eastAsia="ja-JP"/>
              </w:rPr>
              <w:t>įmonėms</w:t>
            </w:r>
            <w:r w:rsidRPr="004D4A14">
              <w:rPr>
                <w:rFonts w:ascii="Times New Roman" w:eastAsia="Times New Roman" w:hAnsi="Times New Roman" w:cs="Times New Roman"/>
                <w:b w:val="0"/>
                <w:bCs w:val="0"/>
                <w:i w:val="0"/>
                <w:iCs w:val="0"/>
                <w:color w:val="auto"/>
                <w:sz w:val="22"/>
                <w:lang w:eastAsia="ja-JP"/>
              </w:rPr>
              <w:t xml:space="preserve"> kuriant </w:t>
            </w:r>
            <w:r w:rsidR="00AA5240" w:rsidRPr="004D4A14">
              <w:rPr>
                <w:rFonts w:ascii="Times New Roman" w:eastAsia="Times New Roman" w:hAnsi="Times New Roman" w:cs="Times New Roman"/>
                <w:b w:val="0"/>
                <w:bCs w:val="0"/>
                <w:i w:val="0"/>
                <w:iCs w:val="0"/>
                <w:color w:val="auto"/>
                <w:sz w:val="22"/>
                <w:lang w:eastAsia="ja-JP"/>
              </w:rPr>
              <w:t xml:space="preserve">ir vystant naujus </w:t>
            </w:r>
            <w:r w:rsidRPr="004D4A14">
              <w:rPr>
                <w:rFonts w:ascii="Times New Roman" w:eastAsia="Times New Roman" w:hAnsi="Times New Roman" w:cs="Times New Roman"/>
                <w:b w:val="0"/>
                <w:bCs w:val="0"/>
                <w:i w:val="0"/>
                <w:iCs w:val="0"/>
                <w:color w:val="auto"/>
                <w:sz w:val="22"/>
                <w:lang w:eastAsia="ja-JP"/>
              </w:rPr>
              <w:t xml:space="preserve">produktus </w:t>
            </w:r>
            <w:r w:rsidR="00AA5240" w:rsidRPr="004D4A14">
              <w:rPr>
                <w:rFonts w:ascii="Times New Roman" w:eastAsia="Times New Roman" w:hAnsi="Times New Roman" w:cs="Times New Roman"/>
                <w:b w:val="0"/>
                <w:bCs w:val="0"/>
                <w:i w:val="0"/>
                <w:iCs w:val="0"/>
                <w:color w:val="auto"/>
                <w:sz w:val="22"/>
                <w:lang w:eastAsia="ja-JP"/>
              </w:rPr>
              <w:t>arba infrastruktūr</w:t>
            </w:r>
            <w:r w:rsidR="007C6281" w:rsidRPr="004D4A14">
              <w:rPr>
                <w:rFonts w:ascii="Times New Roman" w:eastAsia="Times New Roman" w:hAnsi="Times New Roman" w:cs="Times New Roman"/>
                <w:b w:val="0"/>
                <w:bCs w:val="0"/>
                <w:i w:val="0"/>
                <w:iCs w:val="0"/>
                <w:color w:val="auto"/>
                <w:sz w:val="22"/>
                <w:lang w:eastAsia="ja-JP"/>
              </w:rPr>
              <w:t>ą</w:t>
            </w:r>
            <w:r w:rsidR="00AA5240" w:rsidRPr="004D4A14">
              <w:rPr>
                <w:rFonts w:ascii="Times New Roman" w:eastAsia="Times New Roman" w:hAnsi="Times New Roman" w:cs="Times New Roman"/>
                <w:b w:val="0"/>
                <w:bCs w:val="0"/>
                <w:i w:val="0"/>
                <w:iCs w:val="0"/>
                <w:color w:val="auto"/>
                <w:sz w:val="22"/>
                <w:lang w:eastAsia="ja-JP"/>
              </w:rPr>
              <w:t xml:space="preserve"> </w:t>
            </w:r>
            <w:r w:rsidRPr="004D4A14">
              <w:rPr>
                <w:rFonts w:ascii="Times New Roman" w:eastAsia="Times New Roman" w:hAnsi="Times New Roman" w:cs="Times New Roman"/>
                <w:b w:val="0"/>
                <w:bCs w:val="0"/>
                <w:i w:val="0"/>
                <w:iCs w:val="0"/>
                <w:color w:val="auto"/>
                <w:sz w:val="22"/>
                <w:lang w:eastAsia="ja-JP"/>
              </w:rPr>
              <w:t>bus siekiama, kad jie atitiktų universalaus dizaino principus. Negalią turintiems žmonėms, taip pat moterims ir vyrams bus sudaromos vienodos galimybės dalyvauti įgyvendinant veiklas.</w:t>
            </w:r>
          </w:p>
        </w:tc>
      </w:tr>
    </w:tbl>
    <w:p w14:paraId="58264580" w14:textId="77777777" w:rsidR="00316179" w:rsidRPr="004D4A14" w:rsidRDefault="00316179" w:rsidP="00C34645">
      <w:pPr>
        <w:pStyle w:val="Stilius1"/>
      </w:pPr>
      <w:r w:rsidRPr="004D4A14">
        <w:t>Konkrečios tikslinės teritorijos, įskaitant planuojamą teritorinių priemonių panaudojimą</w:t>
      </w:r>
    </w:p>
    <w:tbl>
      <w:tblPr>
        <w:tblStyle w:val="Lentelstinklelis2"/>
        <w:tblW w:w="0" w:type="auto"/>
        <w:tblLook w:val="04A0" w:firstRow="1" w:lastRow="0" w:firstColumn="1" w:lastColumn="0" w:noHBand="0" w:noVBand="1"/>
      </w:tblPr>
      <w:tblGrid>
        <w:gridCol w:w="9628"/>
      </w:tblGrid>
      <w:tr w:rsidR="00316179" w:rsidRPr="004D4A14" w14:paraId="236A87E2" w14:textId="77777777" w:rsidTr="00364C46">
        <w:tc>
          <w:tcPr>
            <w:tcW w:w="9854" w:type="dxa"/>
          </w:tcPr>
          <w:p w14:paraId="2BEC4D9F" w14:textId="41C65262" w:rsidR="00767B7E" w:rsidRPr="004D4A14" w:rsidRDefault="00D733BF" w:rsidP="004C2FDD">
            <w:pPr>
              <w:spacing w:before="120" w:after="120"/>
              <w:jc w:val="both"/>
              <w:rPr>
                <w:rFonts w:ascii="Times New Roman" w:hAnsi="Times New Roman" w:cs="Times New Roman"/>
                <w:iCs/>
                <w:spacing w:val="-4"/>
              </w:rPr>
            </w:pPr>
            <w:r w:rsidRPr="004D4A14">
              <w:rPr>
                <w:rFonts w:ascii="Times New Roman" w:hAnsi="Times New Roman" w:cs="Times New Roman"/>
                <w:iCs/>
                <w:spacing w:val="-4"/>
                <w:lang w:bidi="lt-LT"/>
              </w:rPr>
              <w:t>VVL regionas, Sostinės regionas</w:t>
            </w:r>
          </w:p>
        </w:tc>
      </w:tr>
    </w:tbl>
    <w:p w14:paraId="48EBA8A4" w14:textId="77777777" w:rsidR="00316179" w:rsidRPr="004D4A14" w:rsidRDefault="00316179" w:rsidP="00C34645">
      <w:pPr>
        <w:pStyle w:val="Stilius1"/>
      </w:pPr>
      <w:r w:rsidRPr="004D4A14">
        <w:t>Tarpregioniniai, tarp sienų ir tarpvalstybiniai veiksmai</w:t>
      </w:r>
    </w:p>
    <w:tbl>
      <w:tblPr>
        <w:tblStyle w:val="Lentelstinklelis2"/>
        <w:tblW w:w="0" w:type="auto"/>
        <w:tblLook w:val="04A0" w:firstRow="1" w:lastRow="0" w:firstColumn="1" w:lastColumn="0" w:noHBand="0" w:noVBand="1"/>
      </w:tblPr>
      <w:tblGrid>
        <w:gridCol w:w="9628"/>
      </w:tblGrid>
      <w:tr w:rsidR="00316179" w:rsidRPr="004D4A14" w14:paraId="1A20597A" w14:textId="77777777" w:rsidTr="00364C46">
        <w:tc>
          <w:tcPr>
            <w:tcW w:w="9854" w:type="dxa"/>
          </w:tcPr>
          <w:p w14:paraId="13B1769E" w14:textId="1AC4A806" w:rsidR="00316179" w:rsidRPr="004D4A14" w:rsidRDefault="009B2F6C" w:rsidP="00C34645">
            <w:pPr>
              <w:spacing w:before="120" w:after="120"/>
              <w:jc w:val="both"/>
              <w:rPr>
                <w:rFonts w:ascii="Times New Roman" w:hAnsi="Times New Roman" w:cs="Times New Roman"/>
              </w:rPr>
            </w:pPr>
            <w:r w:rsidRPr="004D4A14">
              <w:rPr>
                <w:rFonts w:ascii="Times New Roman" w:hAnsi="Times New Roman" w:cs="Times New Roman"/>
              </w:rPr>
              <w:t>Netaikoma</w:t>
            </w:r>
          </w:p>
        </w:tc>
      </w:tr>
    </w:tbl>
    <w:p w14:paraId="66155B22" w14:textId="77777777" w:rsidR="00316179" w:rsidRPr="004D4A14" w:rsidRDefault="00316179" w:rsidP="00C34645">
      <w:pPr>
        <w:pStyle w:val="Stilius1"/>
      </w:pPr>
      <w:r w:rsidRPr="004D4A14">
        <w:t>Planuojamas finansinių priemonių naudojimas</w:t>
      </w:r>
    </w:p>
    <w:tbl>
      <w:tblPr>
        <w:tblStyle w:val="Lentelstinklelis2"/>
        <w:tblW w:w="0" w:type="auto"/>
        <w:tblLook w:val="04A0" w:firstRow="1" w:lastRow="0" w:firstColumn="1" w:lastColumn="0" w:noHBand="0" w:noVBand="1"/>
      </w:tblPr>
      <w:tblGrid>
        <w:gridCol w:w="9628"/>
      </w:tblGrid>
      <w:tr w:rsidR="00316179" w:rsidRPr="004D4A14" w14:paraId="6AFE6B90" w14:textId="77777777" w:rsidTr="00364C46">
        <w:tc>
          <w:tcPr>
            <w:tcW w:w="9854" w:type="dxa"/>
          </w:tcPr>
          <w:p w14:paraId="6F60ADF4" w14:textId="1A25BDDD" w:rsidR="00ED3538" w:rsidRPr="004D4A14" w:rsidRDefault="007526A3" w:rsidP="008F6E79">
            <w:pPr>
              <w:spacing w:before="120" w:after="120"/>
              <w:jc w:val="both"/>
              <w:rPr>
                <w:rFonts w:ascii="Times New Roman" w:eastAsia="Calibri" w:hAnsi="Times New Roman" w:cs="Times New Roman"/>
                <w:lang w:eastAsia="lt-LT"/>
              </w:rPr>
            </w:pPr>
            <w:r w:rsidRPr="004D4A14">
              <w:rPr>
                <w:rFonts w:ascii="Times New Roman" w:eastAsia="Calibri" w:hAnsi="Times New Roman" w:cs="Times New Roman"/>
                <w:lang w:eastAsia="lt-LT"/>
              </w:rPr>
              <w:lastRenderedPageBreak/>
              <w:t>-</w:t>
            </w:r>
          </w:p>
        </w:tc>
      </w:tr>
    </w:tbl>
    <w:p w14:paraId="3D717251" w14:textId="77777777" w:rsidR="00316179" w:rsidRPr="004D4A14" w:rsidRDefault="00316179" w:rsidP="000561A5">
      <w:pPr>
        <w:pStyle w:val="Stilius1"/>
        <w:spacing w:after="0"/>
      </w:pPr>
      <w:r w:rsidRPr="004D4A14">
        <w:t>Rodikliai</w:t>
      </w:r>
    </w:p>
    <w:p w14:paraId="443B62C5" w14:textId="77777777" w:rsidR="00316179" w:rsidRPr="004D4A14" w:rsidRDefault="00316179" w:rsidP="008F2A82">
      <w:pPr>
        <w:spacing w:before="240" w:after="0" w:line="240" w:lineRule="auto"/>
        <w:jc w:val="both"/>
        <w:rPr>
          <w:rFonts w:cs="Times New Roman"/>
          <w:b/>
          <w:sz w:val="22"/>
        </w:rPr>
      </w:pPr>
      <w:r w:rsidRPr="004D4A14">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1282"/>
        <w:gridCol w:w="721"/>
        <w:gridCol w:w="990"/>
        <w:gridCol w:w="1011"/>
        <w:gridCol w:w="1789"/>
        <w:gridCol w:w="974"/>
        <w:gridCol w:w="967"/>
        <w:gridCol w:w="922"/>
      </w:tblGrid>
      <w:tr w:rsidR="00767B7E" w:rsidRPr="004D4A14" w14:paraId="785D555B" w14:textId="77777777" w:rsidTr="005F0DA4">
        <w:trPr>
          <w:trHeight w:val="1043"/>
          <w:tblHeader/>
        </w:trPr>
        <w:tc>
          <w:tcPr>
            <w:tcW w:w="495" w:type="pct"/>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3548F523" w14:textId="77777777" w:rsidR="00767B7E" w:rsidRPr="004D4A14" w:rsidRDefault="00767B7E" w:rsidP="00C93D8C">
            <w:pPr>
              <w:spacing w:after="0" w:line="240" w:lineRule="auto"/>
              <w:jc w:val="center"/>
              <w:rPr>
                <w:rFonts w:cs="Times New Roman"/>
                <w:b/>
                <w:noProof/>
                <w:sz w:val="16"/>
                <w:szCs w:val="16"/>
              </w:rPr>
            </w:pPr>
            <w:r w:rsidRPr="004D4A14">
              <w:rPr>
                <w:rFonts w:cs="Times New Roman"/>
                <w:b/>
                <w:noProof/>
                <w:sz w:val="16"/>
                <w:szCs w:val="16"/>
              </w:rPr>
              <w:t>Prioritetas</w:t>
            </w:r>
          </w:p>
        </w:tc>
        <w:tc>
          <w:tcPr>
            <w:tcW w:w="667" w:type="pct"/>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4AF103D3" w14:textId="77777777" w:rsidR="00767B7E" w:rsidRPr="004D4A14" w:rsidRDefault="00767B7E" w:rsidP="00C93D8C">
            <w:pPr>
              <w:spacing w:after="0" w:line="240" w:lineRule="auto"/>
              <w:jc w:val="center"/>
              <w:rPr>
                <w:rFonts w:cs="Times New Roman"/>
                <w:b/>
                <w:noProof/>
                <w:sz w:val="16"/>
                <w:szCs w:val="16"/>
              </w:rPr>
            </w:pPr>
            <w:r w:rsidRPr="004D4A14">
              <w:rPr>
                <w:rFonts w:cs="Times New Roman"/>
                <w:b/>
                <w:noProof/>
                <w:sz w:val="16"/>
                <w:szCs w:val="16"/>
              </w:rPr>
              <w:t>Konkretus uždavinys</w:t>
            </w:r>
          </w:p>
        </w:tc>
        <w:tc>
          <w:tcPr>
            <w:tcW w:w="375" w:type="pct"/>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1B2C93C4" w14:textId="77777777" w:rsidR="00767B7E" w:rsidRPr="004D4A14" w:rsidRDefault="00767B7E" w:rsidP="00C93D8C">
            <w:pPr>
              <w:spacing w:after="0" w:line="240" w:lineRule="auto"/>
              <w:jc w:val="center"/>
              <w:rPr>
                <w:rFonts w:cs="Times New Roman"/>
                <w:b/>
                <w:noProof/>
                <w:sz w:val="16"/>
                <w:szCs w:val="16"/>
              </w:rPr>
            </w:pPr>
            <w:r w:rsidRPr="004D4A14">
              <w:rPr>
                <w:rFonts w:cs="Times New Roman"/>
                <w:b/>
                <w:noProof/>
                <w:sz w:val="16"/>
                <w:szCs w:val="16"/>
              </w:rPr>
              <w:t>Fondas</w:t>
            </w:r>
          </w:p>
        </w:tc>
        <w:tc>
          <w:tcPr>
            <w:tcW w:w="515" w:type="pct"/>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182D7F14" w14:textId="77777777" w:rsidR="00767B7E" w:rsidRPr="004D4A14" w:rsidRDefault="00767B7E" w:rsidP="00C93D8C">
            <w:pPr>
              <w:spacing w:after="0" w:line="240" w:lineRule="auto"/>
              <w:jc w:val="center"/>
              <w:rPr>
                <w:rFonts w:cs="Times New Roman"/>
                <w:b/>
                <w:noProof/>
                <w:sz w:val="16"/>
                <w:szCs w:val="16"/>
              </w:rPr>
            </w:pPr>
            <w:r w:rsidRPr="004D4A14">
              <w:rPr>
                <w:rFonts w:cs="Times New Roman"/>
                <w:b/>
                <w:noProof/>
                <w:sz w:val="16"/>
                <w:szCs w:val="16"/>
              </w:rPr>
              <w:t>Regiono kategorija</w:t>
            </w:r>
          </w:p>
        </w:tc>
        <w:tc>
          <w:tcPr>
            <w:tcW w:w="526" w:type="pct"/>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2470D093" w14:textId="77777777" w:rsidR="00767B7E" w:rsidRPr="004D4A14" w:rsidRDefault="00767B7E" w:rsidP="00C93D8C">
            <w:pPr>
              <w:spacing w:after="0" w:line="240" w:lineRule="auto"/>
              <w:jc w:val="center"/>
              <w:rPr>
                <w:rFonts w:cs="Times New Roman"/>
                <w:b/>
                <w:noProof/>
                <w:sz w:val="16"/>
                <w:szCs w:val="16"/>
              </w:rPr>
            </w:pPr>
            <w:r w:rsidRPr="004D4A14">
              <w:rPr>
                <w:rFonts w:cs="Times New Roman"/>
                <w:b/>
                <w:noProof/>
                <w:sz w:val="16"/>
                <w:szCs w:val="16"/>
              </w:rPr>
              <w:t>Identifikavimo numeris</w:t>
            </w:r>
          </w:p>
        </w:tc>
        <w:tc>
          <w:tcPr>
            <w:tcW w:w="931" w:type="pct"/>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16FE549F" w14:textId="77777777" w:rsidR="00767B7E" w:rsidRPr="004D4A14" w:rsidRDefault="00767B7E" w:rsidP="00C93D8C">
            <w:pPr>
              <w:spacing w:after="0" w:line="240" w:lineRule="auto"/>
              <w:jc w:val="center"/>
              <w:rPr>
                <w:rFonts w:cs="Times New Roman"/>
                <w:b/>
                <w:noProof/>
                <w:sz w:val="16"/>
                <w:szCs w:val="16"/>
              </w:rPr>
            </w:pPr>
            <w:r w:rsidRPr="004D4A14">
              <w:rPr>
                <w:rFonts w:cs="Times New Roman"/>
                <w:b/>
                <w:noProof/>
                <w:sz w:val="16"/>
                <w:szCs w:val="16"/>
              </w:rPr>
              <w:t>Rodiklis</w:t>
            </w:r>
          </w:p>
        </w:tc>
        <w:tc>
          <w:tcPr>
            <w:tcW w:w="507" w:type="pct"/>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36011A99" w14:textId="77777777" w:rsidR="00767B7E" w:rsidRPr="004D4A14" w:rsidRDefault="00767B7E" w:rsidP="00C93D8C">
            <w:pPr>
              <w:spacing w:after="0" w:line="240" w:lineRule="auto"/>
              <w:jc w:val="center"/>
              <w:rPr>
                <w:rFonts w:cs="Times New Roman"/>
                <w:b/>
                <w:noProof/>
                <w:sz w:val="16"/>
                <w:szCs w:val="16"/>
              </w:rPr>
            </w:pPr>
            <w:r w:rsidRPr="004D4A14">
              <w:rPr>
                <w:rFonts w:cs="Times New Roman"/>
                <w:b/>
                <w:noProof/>
                <w:sz w:val="16"/>
                <w:szCs w:val="16"/>
              </w:rPr>
              <w:t>Matavimo vienetas</w:t>
            </w:r>
          </w:p>
        </w:tc>
        <w:tc>
          <w:tcPr>
            <w:tcW w:w="503" w:type="pct"/>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63663A51" w14:textId="4356950A" w:rsidR="00767B7E" w:rsidRPr="004D4A14" w:rsidRDefault="00767B7E" w:rsidP="00C93D8C">
            <w:pPr>
              <w:spacing w:after="0" w:line="240" w:lineRule="auto"/>
              <w:jc w:val="center"/>
              <w:rPr>
                <w:rFonts w:cs="Times New Roman"/>
                <w:b/>
                <w:noProof/>
                <w:sz w:val="16"/>
                <w:szCs w:val="16"/>
              </w:rPr>
            </w:pPr>
            <w:r w:rsidRPr="004D4A14">
              <w:rPr>
                <w:rFonts w:cs="Times New Roman"/>
                <w:b/>
                <w:noProof/>
                <w:sz w:val="16"/>
                <w:szCs w:val="16"/>
              </w:rPr>
              <w:t>Tarpinė reikšmė (202</w:t>
            </w:r>
            <w:r w:rsidR="00D4254C" w:rsidRPr="004D4A14">
              <w:rPr>
                <w:rFonts w:cs="Times New Roman"/>
                <w:b/>
                <w:noProof/>
                <w:sz w:val="16"/>
                <w:szCs w:val="16"/>
              </w:rPr>
              <w:t>5</w:t>
            </w:r>
            <w:r w:rsidRPr="004D4A14">
              <w:rPr>
                <w:rFonts w:cs="Times New Roman"/>
                <w:b/>
                <w:noProof/>
                <w:sz w:val="16"/>
                <w:szCs w:val="16"/>
              </w:rPr>
              <w:t> m.)</w:t>
            </w:r>
          </w:p>
        </w:tc>
        <w:tc>
          <w:tcPr>
            <w:tcW w:w="480" w:type="pct"/>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63D8345A" w14:textId="77777777" w:rsidR="00767B7E" w:rsidRPr="004D4A14" w:rsidRDefault="00767B7E" w:rsidP="00C93D8C">
            <w:pPr>
              <w:spacing w:after="0" w:line="240" w:lineRule="auto"/>
              <w:jc w:val="center"/>
              <w:rPr>
                <w:rFonts w:cs="Times New Roman"/>
                <w:b/>
                <w:noProof/>
                <w:sz w:val="16"/>
                <w:szCs w:val="16"/>
              </w:rPr>
            </w:pPr>
            <w:r w:rsidRPr="004D4A14">
              <w:rPr>
                <w:rFonts w:cs="Times New Roman"/>
                <w:b/>
                <w:noProof/>
                <w:sz w:val="16"/>
                <w:szCs w:val="16"/>
              </w:rPr>
              <w:t>Siek</w:t>
            </w:r>
            <w:r w:rsidR="00AB423B" w:rsidRPr="004D4A14">
              <w:rPr>
                <w:rFonts w:cs="Times New Roman"/>
                <w:b/>
                <w:noProof/>
                <w:sz w:val="16"/>
                <w:szCs w:val="16"/>
              </w:rPr>
              <w:t>tina reikšmė</w:t>
            </w:r>
            <w:r w:rsidRPr="004D4A14">
              <w:rPr>
                <w:rFonts w:cs="Times New Roman"/>
                <w:b/>
                <w:noProof/>
                <w:sz w:val="16"/>
                <w:szCs w:val="16"/>
              </w:rPr>
              <w:t xml:space="preserve"> (2029 m.)</w:t>
            </w:r>
          </w:p>
        </w:tc>
      </w:tr>
      <w:tr w:rsidR="0038184E" w:rsidRPr="004D4A14" w14:paraId="042377FB" w14:textId="77777777" w:rsidTr="00E20003">
        <w:trPr>
          <w:trHeight w:val="566"/>
        </w:trPr>
        <w:tc>
          <w:tcPr>
            <w:tcW w:w="495" w:type="pct"/>
            <w:vMerge w:val="restart"/>
            <w:tcBorders>
              <w:top w:val="single" w:sz="4" w:space="0" w:color="auto"/>
            </w:tcBorders>
            <w:shd w:val="clear" w:color="auto" w:fill="FFFFFF" w:themeFill="background1"/>
          </w:tcPr>
          <w:p w14:paraId="5BCE0997" w14:textId="329B96C6" w:rsidR="0038184E" w:rsidRPr="004D4A14" w:rsidRDefault="0038184E" w:rsidP="0038184E">
            <w:pPr>
              <w:spacing w:after="0" w:line="240" w:lineRule="auto"/>
              <w:jc w:val="both"/>
              <w:rPr>
                <w:rFonts w:cs="Times New Roman"/>
                <w:noProof/>
                <w:sz w:val="16"/>
                <w:szCs w:val="16"/>
              </w:rPr>
            </w:pPr>
            <w:r w:rsidRPr="004D4A14">
              <w:rPr>
                <w:rFonts w:cs="Times New Roman"/>
                <w:noProof/>
                <w:sz w:val="16"/>
                <w:szCs w:val="16"/>
              </w:rPr>
              <w:t>11. Gynybos ir saugumo pramonės stiprinimas</w:t>
            </w:r>
          </w:p>
        </w:tc>
        <w:tc>
          <w:tcPr>
            <w:tcW w:w="667" w:type="pct"/>
            <w:vMerge w:val="restart"/>
            <w:tcBorders>
              <w:top w:val="single" w:sz="4" w:space="0" w:color="auto"/>
            </w:tcBorders>
            <w:shd w:val="clear" w:color="auto" w:fill="FFFFFF" w:themeFill="background1"/>
          </w:tcPr>
          <w:p w14:paraId="0A52D43A" w14:textId="389CFF9A" w:rsidR="0038184E" w:rsidRPr="004D4A14" w:rsidRDefault="0038184E" w:rsidP="0038184E">
            <w:pPr>
              <w:spacing w:after="0" w:line="240" w:lineRule="auto"/>
              <w:jc w:val="both"/>
              <w:rPr>
                <w:rFonts w:cs="Times New Roman"/>
                <w:noProof/>
                <w:sz w:val="16"/>
                <w:szCs w:val="16"/>
                <w:lang w:val="en-US"/>
              </w:rPr>
            </w:pPr>
            <w:r w:rsidRPr="004D4A14">
              <w:rPr>
                <w:rFonts w:cs="Times New Roman"/>
                <w:noProof/>
                <w:sz w:val="16"/>
                <w:szCs w:val="16"/>
                <w:lang w:val="en-US"/>
              </w:rPr>
              <w:t xml:space="preserve">11.1 </w:t>
            </w:r>
            <w:r w:rsidRPr="004D4A14">
              <w:rPr>
                <w:rFonts w:cs="Times New Roman"/>
                <w:noProof/>
                <w:sz w:val="16"/>
                <w:szCs w:val="16"/>
              </w:rPr>
              <w:t>Didinti pramonės pajėgumus, siekiant skatinti gynybos pajėgumų didinimą, pirmenybę teikiant dvejopo naudojimo pajėgumams</w:t>
            </w:r>
          </w:p>
        </w:tc>
        <w:tc>
          <w:tcPr>
            <w:tcW w:w="375" w:type="pct"/>
            <w:vMerge w:val="restart"/>
            <w:tcBorders>
              <w:top w:val="single" w:sz="4" w:space="0" w:color="auto"/>
            </w:tcBorders>
            <w:shd w:val="clear" w:color="auto" w:fill="FFFFFF" w:themeFill="background1"/>
          </w:tcPr>
          <w:p w14:paraId="26A47DE7" w14:textId="119642B8" w:rsidR="0038184E" w:rsidRPr="004D4A14" w:rsidRDefault="0038184E" w:rsidP="0038184E">
            <w:pPr>
              <w:spacing w:after="0" w:line="240" w:lineRule="auto"/>
              <w:jc w:val="both"/>
              <w:rPr>
                <w:rFonts w:cs="Times New Roman"/>
                <w:noProof/>
                <w:sz w:val="16"/>
                <w:szCs w:val="16"/>
              </w:rPr>
            </w:pPr>
            <w:r w:rsidRPr="004D4A14">
              <w:rPr>
                <w:rFonts w:cs="Times New Roman"/>
                <w:noProof/>
                <w:sz w:val="16"/>
                <w:szCs w:val="16"/>
              </w:rPr>
              <w:t>ERPF</w:t>
            </w:r>
          </w:p>
        </w:tc>
        <w:tc>
          <w:tcPr>
            <w:tcW w:w="515" w:type="pct"/>
            <w:tcBorders>
              <w:top w:val="single" w:sz="4" w:space="0" w:color="auto"/>
              <w:bottom w:val="single" w:sz="4" w:space="0" w:color="auto"/>
            </w:tcBorders>
            <w:shd w:val="clear" w:color="auto" w:fill="FFFFFF" w:themeFill="background1"/>
          </w:tcPr>
          <w:p w14:paraId="0F7ECFAD" w14:textId="62D7F7A6" w:rsidR="0038184E" w:rsidRPr="004D4A14" w:rsidRDefault="0038184E" w:rsidP="0038184E">
            <w:pPr>
              <w:rPr>
                <w:rFonts w:eastAsia="Times New Roman" w:cs="Times New Roman"/>
                <w:iCs/>
                <w:noProof/>
                <w:sz w:val="16"/>
                <w:szCs w:val="16"/>
              </w:rPr>
            </w:pPr>
            <w:r w:rsidRPr="004D4A14">
              <w:rPr>
                <w:rFonts w:eastAsia="Times New Roman" w:cs="Times New Roman"/>
                <w:iCs/>
                <w:noProof/>
                <w:sz w:val="16"/>
                <w:szCs w:val="16"/>
              </w:rPr>
              <w:t>VVL regionas</w:t>
            </w:r>
          </w:p>
        </w:tc>
        <w:tc>
          <w:tcPr>
            <w:tcW w:w="526" w:type="pct"/>
            <w:tcBorders>
              <w:top w:val="single" w:sz="4" w:space="0" w:color="auto"/>
              <w:bottom w:val="single" w:sz="4" w:space="0" w:color="auto"/>
            </w:tcBorders>
            <w:shd w:val="clear" w:color="auto" w:fill="FFFFFF" w:themeFill="background1"/>
          </w:tcPr>
          <w:p w14:paraId="0EF1E1A3" w14:textId="6AE92C1D" w:rsidR="0038184E" w:rsidRPr="004D4A14" w:rsidRDefault="0038184E" w:rsidP="0038184E">
            <w:pPr>
              <w:spacing w:after="0" w:line="240" w:lineRule="auto"/>
              <w:jc w:val="both"/>
              <w:rPr>
                <w:rFonts w:cs="Times New Roman"/>
                <w:sz w:val="16"/>
                <w:szCs w:val="16"/>
              </w:rPr>
            </w:pPr>
            <w:r w:rsidRPr="004D4A14">
              <w:rPr>
                <w:rFonts w:cs="Times New Roman"/>
                <w:sz w:val="16"/>
                <w:szCs w:val="16"/>
              </w:rPr>
              <w:t>RCO01</w:t>
            </w:r>
          </w:p>
        </w:tc>
        <w:tc>
          <w:tcPr>
            <w:tcW w:w="931" w:type="pct"/>
            <w:tcBorders>
              <w:top w:val="single" w:sz="4" w:space="0" w:color="auto"/>
              <w:bottom w:val="single" w:sz="4" w:space="0" w:color="auto"/>
            </w:tcBorders>
            <w:shd w:val="clear" w:color="auto" w:fill="FFFFFF" w:themeFill="background1"/>
          </w:tcPr>
          <w:p w14:paraId="7069F01F" w14:textId="76CD6AA2" w:rsidR="0038184E" w:rsidRPr="004D4A14" w:rsidRDefault="0038184E" w:rsidP="0038184E">
            <w:pPr>
              <w:tabs>
                <w:tab w:val="left" w:pos="315"/>
                <w:tab w:val="left" w:pos="457"/>
              </w:tabs>
              <w:spacing w:after="0" w:line="240" w:lineRule="auto"/>
              <w:contextualSpacing/>
              <w:jc w:val="both"/>
              <w:rPr>
                <w:sz w:val="16"/>
                <w:szCs w:val="16"/>
              </w:rPr>
            </w:pPr>
            <w:r w:rsidRPr="004D4A14">
              <w:rPr>
                <w:sz w:val="16"/>
                <w:szCs w:val="16"/>
              </w:rPr>
              <w:t>Paramą gavusios įmonės (iš kurių: labai mažos, mažosios, vidutinės ir didelės)</w:t>
            </w:r>
          </w:p>
        </w:tc>
        <w:tc>
          <w:tcPr>
            <w:tcW w:w="507" w:type="pct"/>
            <w:tcBorders>
              <w:top w:val="single" w:sz="4" w:space="0" w:color="auto"/>
              <w:bottom w:val="single" w:sz="4" w:space="0" w:color="auto"/>
            </w:tcBorders>
            <w:shd w:val="clear" w:color="auto" w:fill="FFFFFF" w:themeFill="background1"/>
          </w:tcPr>
          <w:p w14:paraId="2B2DC129" w14:textId="44FABF61" w:rsidR="0038184E" w:rsidRPr="004D4A14" w:rsidRDefault="0038184E" w:rsidP="0038184E">
            <w:pPr>
              <w:spacing w:after="0" w:line="240" w:lineRule="auto"/>
              <w:jc w:val="both"/>
              <w:rPr>
                <w:rFonts w:eastAsia="Times New Roman" w:cs="Times New Roman"/>
                <w:iCs/>
                <w:sz w:val="16"/>
                <w:szCs w:val="16"/>
                <w:lang w:eastAsia="lt-LT"/>
              </w:rPr>
            </w:pPr>
            <w:r w:rsidRPr="004D4A14">
              <w:rPr>
                <w:rFonts w:eastAsia="Times New Roman" w:cs="Times New Roman"/>
                <w:iCs/>
                <w:sz w:val="16"/>
                <w:szCs w:val="16"/>
                <w:lang w:eastAsia="lt-LT"/>
              </w:rPr>
              <w:t>Įmonės</w:t>
            </w:r>
          </w:p>
        </w:tc>
        <w:tc>
          <w:tcPr>
            <w:tcW w:w="503" w:type="pct"/>
            <w:tcBorders>
              <w:top w:val="single" w:sz="4" w:space="0" w:color="auto"/>
              <w:bottom w:val="single" w:sz="4" w:space="0" w:color="auto"/>
            </w:tcBorders>
            <w:shd w:val="clear" w:color="auto" w:fill="FFFFFF" w:themeFill="background1"/>
          </w:tcPr>
          <w:p w14:paraId="15580AF4" w14:textId="083E1E35" w:rsidR="0038184E" w:rsidRPr="004D4A14" w:rsidRDefault="0038184E" w:rsidP="0038184E">
            <w:pPr>
              <w:spacing w:after="0" w:line="240" w:lineRule="auto"/>
              <w:jc w:val="center"/>
              <w:rPr>
                <w:rFonts w:cs="Times New Roman"/>
                <w:bCs/>
                <w:noProof/>
                <w:sz w:val="16"/>
                <w:szCs w:val="16"/>
              </w:rPr>
            </w:pPr>
            <w:r w:rsidRPr="004D4A14">
              <w:rPr>
                <w:rFonts w:cs="Times New Roman"/>
                <w:bCs/>
                <w:noProof/>
                <w:sz w:val="16"/>
                <w:szCs w:val="16"/>
              </w:rPr>
              <w:t>0</w:t>
            </w:r>
          </w:p>
        </w:tc>
        <w:tc>
          <w:tcPr>
            <w:tcW w:w="480" w:type="pct"/>
            <w:tcBorders>
              <w:top w:val="single" w:sz="4" w:space="0" w:color="auto"/>
              <w:bottom w:val="single" w:sz="4" w:space="0" w:color="auto"/>
            </w:tcBorders>
            <w:shd w:val="clear" w:color="auto" w:fill="FFFFFF" w:themeFill="background1"/>
          </w:tcPr>
          <w:p w14:paraId="6DA8E9EF" w14:textId="672B915C" w:rsidR="0038184E" w:rsidRPr="004D4A14" w:rsidRDefault="0032674A" w:rsidP="0038184E">
            <w:pPr>
              <w:spacing w:after="0" w:line="240" w:lineRule="auto"/>
              <w:jc w:val="center"/>
              <w:rPr>
                <w:rFonts w:cs="Times New Roman"/>
                <w:bCs/>
                <w:noProof/>
                <w:sz w:val="16"/>
                <w:szCs w:val="16"/>
              </w:rPr>
            </w:pPr>
            <w:r w:rsidRPr="004D4A14">
              <w:rPr>
                <w:rFonts w:cs="Times New Roman"/>
                <w:bCs/>
                <w:noProof/>
                <w:sz w:val="16"/>
                <w:szCs w:val="16"/>
              </w:rPr>
              <w:t>4</w:t>
            </w:r>
            <w:r w:rsidR="00857759" w:rsidRPr="004D4A14">
              <w:rPr>
                <w:rFonts w:cs="Times New Roman"/>
                <w:bCs/>
                <w:noProof/>
                <w:sz w:val="16"/>
                <w:szCs w:val="16"/>
              </w:rPr>
              <w:t>0</w:t>
            </w:r>
          </w:p>
        </w:tc>
      </w:tr>
      <w:tr w:rsidR="0038184E" w:rsidRPr="004D4A14" w14:paraId="7D3EB527" w14:textId="77777777" w:rsidTr="00E20003">
        <w:trPr>
          <w:trHeight w:val="566"/>
        </w:trPr>
        <w:tc>
          <w:tcPr>
            <w:tcW w:w="495" w:type="pct"/>
            <w:vMerge/>
            <w:shd w:val="clear" w:color="auto" w:fill="FFFFFF" w:themeFill="background1"/>
          </w:tcPr>
          <w:p w14:paraId="5FBE78ED" w14:textId="2460DA18" w:rsidR="0038184E" w:rsidRPr="004D4A14" w:rsidRDefault="0038184E" w:rsidP="0038184E">
            <w:pPr>
              <w:spacing w:after="0" w:line="240" w:lineRule="auto"/>
              <w:jc w:val="both"/>
              <w:rPr>
                <w:rFonts w:cs="Times New Roman"/>
                <w:noProof/>
                <w:sz w:val="16"/>
                <w:szCs w:val="16"/>
              </w:rPr>
            </w:pPr>
          </w:p>
        </w:tc>
        <w:tc>
          <w:tcPr>
            <w:tcW w:w="667" w:type="pct"/>
            <w:vMerge/>
            <w:shd w:val="clear" w:color="auto" w:fill="FFFFFF" w:themeFill="background1"/>
          </w:tcPr>
          <w:p w14:paraId="29320466" w14:textId="116A5DCB" w:rsidR="0038184E" w:rsidRPr="004D4A14" w:rsidRDefault="0038184E" w:rsidP="0038184E">
            <w:pPr>
              <w:spacing w:after="0" w:line="240" w:lineRule="auto"/>
              <w:jc w:val="both"/>
              <w:rPr>
                <w:rFonts w:cs="Times New Roman"/>
                <w:noProof/>
                <w:sz w:val="16"/>
                <w:szCs w:val="16"/>
                <w:lang w:val="en-US"/>
              </w:rPr>
            </w:pPr>
          </w:p>
        </w:tc>
        <w:tc>
          <w:tcPr>
            <w:tcW w:w="375" w:type="pct"/>
            <w:vMerge/>
            <w:shd w:val="clear" w:color="auto" w:fill="FFFFFF" w:themeFill="background1"/>
          </w:tcPr>
          <w:p w14:paraId="7EDF90E5" w14:textId="18946FEB" w:rsidR="0038184E" w:rsidRPr="004D4A14" w:rsidRDefault="0038184E" w:rsidP="0038184E">
            <w:pPr>
              <w:spacing w:after="0" w:line="240" w:lineRule="auto"/>
              <w:jc w:val="both"/>
              <w:rPr>
                <w:rFonts w:cs="Times New Roman"/>
                <w:noProof/>
                <w:sz w:val="16"/>
                <w:szCs w:val="16"/>
              </w:rPr>
            </w:pPr>
          </w:p>
        </w:tc>
        <w:tc>
          <w:tcPr>
            <w:tcW w:w="515" w:type="pct"/>
            <w:tcBorders>
              <w:top w:val="single" w:sz="4" w:space="0" w:color="auto"/>
              <w:bottom w:val="single" w:sz="4" w:space="0" w:color="auto"/>
            </w:tcBorders>
            <w:shd w:val="clear" w:color="auto" w:fill="FFFFFF" w:themeFill="background1"/>
          </w:tcPr>
          <w:p w14:paraId="61C6AB35" w14:textId="579D0767" w:rsidR="0038184E" w:rsidRPr="004D4A14" w:rsidRDefault="0038184E" w:rsidP="0038184E">
            <w:pPr>
              <w:rPr>
                <w:rFonts w:eastAsia="Times New Roman" w:cs="Times New Roman"/>
                <w:iCs/>
                <w:noProof/>
                <w:sz w:val="16"/>
                <w:szCs w:val="16"/>
              </w:rPr>
            </w:pPr>
            <w:r w:rsidRPr="004D4A14">
              <w:rPr>
                <w:rFonts w:eastAsia="Times New Roman" w:cs="Times New Roman"/>
                <w:iCs/>
                <w:noProof/>
                <w:sz w:val="16"/>
                <w:szCs w:val="16"/>
              </w:rPr>
              <w:t>Sostinės regionas</w:t>
            </w:r>
          </w:p>
        </w:tc>
        <w:tc>
          <w:tcPr>
            <w:tcW w:w="526" w:type="pct"/>
            <w:tcBorders>
              <w:top w:val="single" w:sz="4" w:space="0" w:color="auto"/>
              <w:bottom w:val="single" w:sz="4" w:space="0" w:color="auto"/>
            </w:tcBorders>
            <w:shd w:val="clear" w:color="auto" w:fill="FFFFFF" w:themeFill="background1"/>
          </w:tcPr>
          <w:p w14:paraId="1DA30093" w14:textId="49CF9E20" w:rsidR="0038184E" w:rsidRPr="004D4A14" w:rsidRDefault="0038184E" w:rsidP="0038184E">
            <w:pPr>
              <w:spacing w:after="0" w:line="240" w:lineRule="auto"/>
              <w:jc w:val="both"/>
              <w:rPr>
                <w:rFonts w:cs="Times New Roman"/>
                <w:sz w:val="16"/>
                <w:szCs w:val="16"/>
              </w:rPr>
            </w:pPr>
            <w:r w:rsidRPr="004D4A14">
              <w:rPr>
                <w:rFonts w:cs="Times New Roman"/>
                <w:sz w:val="16"/>
                <w:szCs w:val="16"/>
              </w:rPr>
              <w:t>RCO01</w:t>
            </w:r>
          </w:p>
        </w:tc>
        <w:tc>
          <w:tcPr>
            <w:tcW w:w="931" w:type="pct"/>
            <w:tcBorders>
              <w:top w:val="single" w:sz="4" w:space="0" w:color="auto"/>
              <w:bottom w:val="single" w:sz="4" w:space="0" w:color="auto"/>
            </w:tcBorders>
            <w:shd w:val="clear" w:color="auto" w:fill="FFFFFF" w:themeFill="background1"/>
          </w:tcPr>
          <w:p w14:paraId="1159C599" w14:textId="5D199272" w:rsidR="0038184E" w:rsidRPr="004D4A14" w:rsidRDefault="0038184E" w:rsidP="0038184E">
            <w:pPr>
              <w:tabs>
                <w:tab w:val="left" w:pos="315"/>
                <w:tab w:val="left" w:pos="457"/>
              </w:tabs>
              <w:spacing w:after="0" w:line="240" w:lineRule="auto"/>
              <w:contextualSpacing/>
              <w:jc w:val="both"/>
              <w:rPr>
                <w:sz w:val="16"/>
                <w:szCs w:val="16"/>
              </w:rPr>
            </w:pPr>
            <w:r w:rsidRPr="004D4A14">
              <w:rPr>
                <w:sz w:val="16"/>
                <w:szCs w:val="16"/>
              </w:rPr>
              <w:t>Paramą gavusios įmonės (iš kurių: labai mažos, mažosios, vidutinės ir didelės)</w:t>
            </w:r>
          </w:p>
        </w:tc>
        <w:tc>
          <w:tcPr>
            <w:tcW w:w="507" w:type="pct"/>
            <w:tcBorders>
              <w:top w:val="single" w:sz="4" w:space="0" w:color="auto"/>
              <w:bottom w:val="single" w:sz="4" w:space="0" w:color="auto"/>
            </w:tcBorders>
            <w:shd w:val="clear" w:color="auto" w:fill="FFFFFF" w:themeFill="background1"/>
          </w:tcPr>
          <w:p w14:paraId="3BFE28EB" w14:textId="69704015" w:rsidR="0038184E" w:rsidRPr="004D4A14" w:rsidRDefault="0038184E" w:rsidP="0038184E">
            <w:pPr>
              <w:spacing w:after="0" w:line="240" w:lineRule="auto"/>
              <w:jc w:val="both"/>
              <w:rPr>
                <w:rFonts w:eastAsia="Times New Roman" w:cs="Times New Roman"/>
                <w:iCs/>
                <w:sz w:val="16"/>
                <w:szCs w:val="16"/>
                <w:lang w:eastAsia="lt-LT"/>
              </w:rPr>
            </w:pPr>
            <w:r w:rsidRPr="004D4A14">
              <w:rPr>
                <w:rFonts w:eastAsia="Times New Roman" w:cs="Times New Roman"/>
                <w:iCs/>
                <w:sz w:val="16"/>
                <w:szCs w:val="16"/>
                <w:lang w:eastAsia="lt-LT"/>
              </w:rPr>
              <w:t>Įmonės</w:t>
            </w:r>
          </w:p>
        </w:tc>
        <w:tc>
          <w:tcPr>
            <w:tcW w:w="503" w:type="pct"/>
            <w:tcBorders>
              <w:top w:val="single" w:sz="4" w:space="0" w:color="auto"/>
              <w:bottom w:val="single" w:sz="4" w:space="0" w:color="auto"/>
            </w:tcBorders>
            <w:shd w:val="clear" w:color="auto" w:fill="FFFFFF" w:themeFill="background1"/>
          </w:tcPr>
          <w:p w14:paraId="20748AE7" w14:textId="1E4B69D8" w:rsidR="0038184E" w:rsidRPr="004D4A14" w:rsidRDefault="0038184E" w:rsidP="0038184E">
            <w:pPr>
              <w:spacing w:after="0" w:line="240" w:lineRule="auto"/>
              <w:jc w:val="center"/>
              <w:rPr>
                <w:rFonts w:cs="Times New Roman"/>
                <w:bCs/>
                <w:noProof/>
                <w:sz w:val="16"/>
                <w:szCs w:val="16"/>
              </w:rPr>
            </w:pPr>
            <w:r w:rsidRPr="004D4A14">
              <w:rPr>
                <w:rFonts w:cs="Times New Roman"/>
                <w:bCs/>
                <w:noProof/>
                <w:sz w:val="16"/>
                <w:szCs w:val="16"/>
              </w:rPr>
              <w:t>0</w:t>
            </w:r>
          </w:p>
        </w:tc>
        <w:tc>
          <w:tcPr>
            <w:tcW w:w="480" w:type="pct"/>
            <w:tcBorders>
              <w:top w:val="single" w:sz="4" w:space="0" w:color="auto"/>
              <w:bottom w:val="single" w:sz="4" w:space="0" w:color="auto"/>
            </w:tcBorders>
            <w:shd w:val="clear" w:color="auto" w:fill="FFFFFF" w:themeFill="background1"/>
          </w:tcPr>
          <w:p w14:paraId="320176FE" w14:textId="758C3CBA" w:rsidR="0038184E" w:rsidRPr="004D4A14" w:rsidRDefault="00857759" w:rsidP="0038184E">
            <w:pPr>
              <w:spacing w:after="0" w:line="240" w:lineRule="auto"/>
              <w:jc w:val="center"/>
              <w:rPr>
                <w:rFonts w:cs="Times New Roman"/>
                <w:bCs/>
                <w:noProof/>
                <w:sz w:val="16"/>
                <w:szCs w:val="16"/>
              </w:rPr>
            </w:pPr>
            <w:r w:rsidRPr="004D4A14">
              <w:rPr>
                <w:rFonts w:cs="Times New Roman"/>
                <w:bCs/>
                <w:noProof/>
                <w:sz w:val="16"/>
                <w:szCs w:val="16"/>
              </w:rPr>
              <w:t>59</w:t>
            </w:r>
          </w:p>
        </w:tc>
      </w:tr>
      <w:tr w:rsidR="0038184E" w:rsidRPr="004D4A14" w14:paraId="25CFB879" w14:textId="77777777" w:rsidTr="00E20003">
        <w:trPr>
          <w:trHeight w:val="566"/>
        </w:trPr>
        <w:tc>
          <w:tcPr>
            <w:tcW w:w="495" w:type="pct"/>
            <w:vMerge/>
            <w:shd w:val="clear" w:color="auto" w:fill="FFFFFF" w:themeFill="background1"/>
          </w:tcPr>
          <w:p w14:paraId="48500B48" w14:textId="76A3A697" w:rsidR="0038184E" w:rsidRPr="004D4A14" w:rsidRDefault="0038184E" w:rsidP="0038184E">
            <w:pPr>
              <w:spacing w:after="0" w:line="240" w:lineRule="auto"/>
              <w:jc w:val="both"/>
              <w:rPr>
                <w:rFonts w:cs="Times New Roman"/>
                <w:noProof/>
                <w:sz w:val="16"/>
                <w:szCs w:val="16"/>
              </w:rPr>
            </w:pPr>
          </w:p>
        </w:tc>
        <w:tc>
          <w:tcPr>
            <w:tcW w:w="667" w:type="pct"/>
            <w:vMerge/>
            <w:shd w:val="clear" w:color="auto" w:fill="FFFFFF" w:themeFill="background1"/>
          </w:tcPr>
          <w:p w14:paraId="41CDA146" w14:textId="09BFE2B8" w:rsidR="0038184E" w:rsidRPr="004D4A14" w:rsidRDefault="0038184E" w:rsidP="0038184E">
            <w:pPr>
              <w:spacing w:after="0" w:line="240" w:lineRule="auto"/>
              <w:jc w:val="both"/>
              <w:rPr>
                <w:rFonts w:cs="Times New Roman"/>
                <w:noProof/>
                <w:sz w:val="16"/>
                <w:szCs w:val="16"/>
                <w:lang w:val="en-US"/>
              </w:rPr>
            </w:pPr>
          </w:p>
        </w:tc>
        <w:tc>
          <w:tcPr>
            <w:tcW w:w="375" w:type="pct"/>
            <w:vMerge/>
            <w:shd w:val="clear" w:color="auto" w:fill="FFFFFF" w:themeFill="background1"/>
          </w:tcPr>
          <w:p w14:paraId="08B0C549" w14:textId="5EEC612B" w:rsidR="0038184E" w:rsidRPr="004D4A14" w:rsidRDefault="0038184E" w:rsidP="0038184E">
            <w:pPr>
              <w:spacing w:after="0" w:line="240" w:lineRule="auto"/>
              <w:jc w:val="both"/>
              <w:rPr>
                <w:rFonts w:cs="Times New Roman"/>
                <w:noProof/>
                <w:sz w:val="16"/>
                <w:szCs w:val="16"/>
              </w:rPr>
            </w:pPr>
          </w:p>
        </w:tc>
        <w:tc>
          <w:tcPr>
            <w:tcW w:w="515" w:type="pct"/>
            <w:tcBorders>
              <w:top w:val="single" w:sz="4" w:space="0" w:color="auto"/>
              <w:bottom w:val="single" w:sz="4" w:space="0" w:color="auto"/>
            </w:tcBorders>
            <w:shd w:val="clear" w:color="auto" w:fill="FFFFFF" w:themeFill="background1"/>
          </w:tcPr>
          <w:p w14:paraId="008D469C" w14:textId="1094C6CC" w:rsidR="0038184E" w:rsidRPr="004D4A14" w:rsidRDefault="0038184E" w:rsidP="0038184E">
            <w:pPr>
              <w:rPr>
                <w:rFonts w:eastAsia="Times New Roman" w:cs="Times New Roman"/>
                <w:iCs/>
                <w:noProof/>
                <w:sz w:val="16"/>
                <w:szCs w:val="16"/>
              </w:rPr>
            </w:pPr>
            <w:r w:rsidRPr="004D4A14">
              <w:rPr>
                <w:rFonts w:eastAsia="Times New Roman" w:cs="Times New Roman"/>
                <w:iCs/>
                <w:noProof/>
                <w:sz w:val="16"/>
                <w:szCs w:val="16"/>
              </w:rPr>
              <w:t>VVL regionas</w:t>
            </w:r>
          </w:p>
        </w:tc>
        <w:tc>
          <w:tcPr>
            <w:tcW w:w="526" w:type="pct"/>
            <w:tcBorders>
              <w:top w:val="single" w:sz="4" w:space="0" w:color="auto"/>
              <w:bottom w:val="single" w:sz="4" w:space="0" w:color="auto"/>
            </w:tcBorders>
            <w:shd w:val="clear" w:color="auto" w:fill="FFFFFF" w:themeFill="background1"/>
          </w:tcPr>
          <w:p w14:paraId="46DA6DEB" w14:textId="32095111" w:rsidR="0038184E" w:rsidRPr="004D4A14" w:rsidRDefault="0038184E" w:rsidP="0038184E">
            <w:pPr>
              <w:spacing w:after="0" w:line="240" w:lineRule="auto"/>
              <w:jc w:val="both"/>
              <w:rPr>
                <w:rFonts w:cs="Times New Roman"/>
                <w:sz w:val="16"/>
                <w:szCs w:val="16"/>
              </w:rPr>
            </w:pPr>
            <w:r w:rsidRPr="004D4A14">
              <w:rPr>
                <w:rFonts w:cs="Times New Roman"/>
                <w:sz w:val="16"/>
                <w:szCs w:val="16"/>
              </w:rPr>
              <w:t>RCO02</w:t>
            </w:r>
          </w:p>
        </w:tc>
        <w:tc>
          <w:tcPr>
            <w:tcW w:w="931" w:type="pct"/>
            <w:tcBorders>
              <w:top w:val="single" w:sz="4" w:space="0" w:color="auto"/>
              <w:bottom w:val="single" w:sz="4" w:space="0" w:color="auto"/>
            </w:tcBorders>
            <w:shd w:val="clear" w:color="auto" w:fill="FFFFFF" w:themeFill="background1"/>
          </w:tcPr>
          <w:p w14:paraId="44B7A065" w14:textId="12C3D3AC" w:rsidR="0038184E" w:rsidRPr="004D4A14" w:rsidRDefault="0038184E" w:rsidP="0038184E">
            <w:pPr>
              <w:tabs>
                <w:tab w:val="left" w:pos="315"/>
                <w:tab w:val="left" w:pos="457"/>
              </w:tabs>
              <w:spacing w:after="0" w:line="240" w:lineRule="auto"/>
              <w:contextualSpacing/>
              <w:jc w:val="both"/>
              <w:rPr>
                <w:sz w:val="16"/>
                <w:szCs w:val="16"/>
              </w:rPr>
            </w:pPr>
            <w:r w:rsidRPr="004D4A14">
              <w:rPr>
                <w:sz w:val="16"/>
                <w:szCs w:val="16"/>
              </w:rPr>
              <w:t>Paramą dotacijomis gavusios įmonės</w:t>
            </w:r>
          </w:p>
        </w:tc>
        <w:tc>
          <w:tcPr>
            <w:tcW w:w="507" w:type="pct"/>
            <w:tcBorders>
              <w:top w:val="single" w:sz="4" w:space="0" w:color="auto"/>
              <w:bottom w:val="single" w:sz="4" w:space="0" w:color="auto"/>
            </w:tcBorders>
            <w:shd w:val="clear" w:color="auto" w:fill="FFFFFF" w:themeFill="background1"/>
          </w:tcPr>
          <w:p w14:paraId="539127B2" w14:textId="5F1983C7" w:rsidR="0038184E" w:rsidRPr="004D4A14" w:rsidRDefault="0038184E" w:rsidP="0038184E">
            <w:pPr>
              <w:spacing w:after="0" w:line="240" w:lineRule="auto"/>
              <w:jc w:val="both"/>
              <w:rPr>
                <w:rFonts w:eastAsia="Times New Roman" w:cs="Times New Roman"/>
                <w:iCs/>
                <w:sz w:val="16"/>
                <w:szCs w:val="16"/>
                <w:lang w:eastAsia="lt-LT"/>
              </w:rPr>
            </w:pPr>
            <w:r w:rsidRPr="004D4A14">
              <w:rPr>
                <w:rFonts w:eastAsia="Times New Roman" w:cs="Times New Roman"/>
                <w:iCs/>
                <w:sz w:val="16"/>
                <w:szCs w:val="16"/>
                <w:lang w:eastAsia="lt-LT"/>
              </w:rPr>
              <w:t>Įmonės</w:t>
            </w:r>
          </w:p>
        </w:tc>
        <w:tc>
          <w:tcPr>
            <w:tcW w:w="503" w:type="pct"/>
            <w:tcBorders>
              <w:top w:val="single" w:sz="4" w:space="0" w:color="auto"/>
              <w:bottom w:val="single" w:sz="4" w:space="0" w:color="auto"/>
            </w:tcBorders>
            <w:shd w:val="clear" w:color="auto" w:fill="FFFFFF" w:themeFill="background1"/>
          </w:tcPr>
          <w:p w14:paraId="02ACABD0" w14:textId="27B4313D" w:rsidR="0038184E" w:rsidRPr="004D4A14" w:rsidRDefault="0038184E" w:rsidP="0038184E">
            <w:pPr>
              <w:spacing w:after="0" w:line="240" w:lineRule="auto"/>
              <w:jc w:val="center"/>
              <w:rPr>
                <w:rFonts w:cs="Times New Roman"/>
                <w:bCs/>
                <w:noProof/>
                <w:sz w:val="16"/>
                <w:szCs w:val="16"/>
              </w:rPr>
            </w:pPr>
            <w:r w:rsidRPr="004D4A14">
              <w:rPr>
                <w:rFonts w:cs="Times New Roman"/>
                <w:bCs/>
                <w:noProof/>
                <w:sz w:val="16"/>
                <w:szCs w:val="16"/>
              </w:rPr>
              <w:t>0</w:t>
            </w:r>
          </w:p>
        </w:tc>
        <w:tc>
          <w:tcPr>
            <w:tcW w:w="480" w:type="pct"/>
            <w:tcBorders>
              <w:top w:val="single" w:sz="4" w:space="0" w:color="auto"/>
              <w:bottom w:val="single" w:sz="4" w:space="0" w:color="auto"/>
            </w:tcBorders>
            <w:shd w:val="clear" w:color="auto" w:fill="FFFFFF" w:themeFill="background1"/>
          </w:tcPr>
          <w:p w14:paraId="3547FD5D" w14:textId="7B494154" w:rsidR="0038184E" w:rsidRPr="004D4A14" w:rsidRDefault="00857759" w:rsidP="0038184E">
            <w:pPr>
              <w:spacing w:after="0" w:line="240" w:lineRule="auto"/>
              <w:jc w:val="center"/>
              <w:rPr>
                <w:rFonts w:cs="Times New Roman"/>
                <w:bCs/>
                <w:noProof/>
                <w:sz w:val="16"/>
                <w:szCs w:val="16"/>
              </w:rPr>
            </w:pPr>
            <w:r w:rsidRPr="004D4A14">
              <w:rPr>
                <w:rFonts w:cs="Times New Roman"/>
                <w:bCs/>
                <w:noProof/>
                <w:sz w:val="16"/>
                <w:szCs w:val="16"/>
              </w:rPr>
              <w:t>43</w:t>
            </w:r>
          </w:p>
        </w:tc>
      </w:tr>
      <w:tr w:rsidR="0038184E" w:rsidRPr="004D4A14" w14:paraId="6D3B2309" w14:textId="77777777" w:rsidTr="00E20003">
        <w:trPr>
          <w:trHeight w:val="566"/>
        </w:trPr>
        <w:tc>
          <w:tcPr>
            <w:tcW w:w="495" w:type="pct"/>
            <w:vMerge/>
            <w:shd w:val="clear" w:color="auto" w:fill="FFFFFF" w:themeFill="background1"/>
          </w:tcPr>
          <w:p w14:paraId="2CE4C2B7" w14:textId="68B7894E" w:rsidR="0038184E" w:rsidRPr="004D4A14" w:rsidRDefault="0038184E" w:rsidP="0038184E">
            <w:pPr>
              <w:spacing w:after="0" w:line="240" w:lineRule="auto"/>
              <w:jc w:val="both"/>
              <w:rPr>
                <w:rFonts w:cs="Times New Roman"/>
                <w:noProof/>
                <w:sz w:val="16"/>
                <w:szCs w:val="16"/>
              </w:rPr>
            </w:pPr>
          </w:p>
        </w:tc>
        <w:tc>
          <w:tcPr>
            <w:tcW w:w="667" w:type="pct"/>
            <w:vMerge/>
            <w:shd w:val="clear" w:color="auto" w:fill="FFFFFF" w:themeFill="background1"/>
          </w:tcPr>
          <w:p w14:paraId="5F0EA844" w14:textId="2A2FCD8D" w:rsidR="0038184E" w:rsidRPr="004D4A14" w:rsidRDefault="0038184E" w:rsidP="0038184E">
            <w:pPr>
              <w:spacing w:after="0" w:line="240" w:lineRule="auto"/>
              <w:jc w:val="both"/>
              <w:rPr>
                <w:rFonts w:cs="Times New Roman"/>
                <w:noProof/>
                <w:sz w:val="16"/>
                <w:szCs w:val="16"/>
                <w:lang w:val="en-US"/>
              </w:rPr>
            </w:pPr>
          </w:p>
        </w:tc>
        <w:tc>
          <w:tcPr>
            <w:tcW w:w="375" w:type="pct"/>
            <w:vMerge/>
            <w:shd w:val="clear" w:color="auto" w:fill="FFFFFF" w:themeFill="background1"/>
          </w:tcPr>
          <w:p w14:paraId="505A24F9" w14:textId="6472112F" w:rsidR="0038184E" w:rsidRPr="004D4A14" w:rsidRDefault="0038184E" w:rsidP="0038184E">
            <w:pPr>
              <w:spacing w:after="0" w:line="240" w:lineRule="auto"/>
              <w:jc w:val="both"/>
              <w:rPr>
                <w:rFonts w:cs="Times New Roman"/>
                <w:noProof/>
                <w:sz w:val="16"/>
                <w:szCs w:val="16"/>
              </w:rPr>
            </w:pPr>
          </w:p>
        </w:tc>
        <w:tc>
          <w:tcPr>
            <w:tcW w:w="515" w:type="pct"/>
            <w:tcBorders>
              <w:top w:val="single" w:sz="4" w:space="0" w:color="auto"/>
              <w:bottom w:val="single" w:sz="4" w:space="0" w:color="auto"/>
            </w:tcBorders>
            <w:shd w:val="clear" w:color="auto" w:fill="FFFFFF" w:themeFill="background1"/>
          </w:tcPr>
          <w:p w14:paraId="2D49505B" w14:textId="3BE3CD43" w:rsidR="0038184E" w:rsidRPr="004D4A14" w:rsidRDefault="0038184E" w:rsidP="0038184E">
            <w:pPr>
              <w:rPr>
                <w:rFonts w:eastAsia="Times New Roman" w:cs="Times New Roman"/>
                <w:iCs/>
                <w:noProof/>
                <w:sz w:val="16"/>
                <w:szCs w:val="16"/>
              </w:rPr>
            </w:pPr>
            <w:r w:rsidRPr="004D4A14">
              <w:rPr>
                <w:rFonts w:eastAsia="Times New Roman" w:cs="Times New Roman"/>
                <w:iCs/>
                <w:noProof/>
                <w:sz w:val="16"/>
                <w:szCs w:val="16"/>
              </w:rPr>
              <w:t>Sostinės regionas</w:t>
            </w:r>
          </w:p>
        </w:tc>
        <w:tc>
          <w:tcPr>
            <w:tcW w:w="526" w:type="pct"/>
            <w:tcBorders>
              <w:top w:val="single" w:sz="4" w:space="0" w:color="auto"/>
              <w:bottom w:val="single" w:sz="4" w:space="0" w:color="auto"/>
            </w:tcBorders>
            <w:shd w:val="clear" w:color="auto" w:fill="FFFFFF" w:themeFill="background1"/>
          </w:tcPr>
          <w:p w14:paraId="709C7C1C" w14:textId="43CB1D0D" w:rsidR="0038184E" w:rsidRPr="004D4A14" w:rsidRDefault="0038184E" w:rsidP="0038184E">
            <w:pPr>
              <w:spacing w:after="0" w:line="240" w:lineRule="auto"/>
              <w:jc w:val="both"/>
              <w:rPr>
                <w:rFonts w:cs="Times New Roman"/>
                <w:sz w:val="16"/>
                <w:szCs w:val="16"/>
              </w:rPr>
            </w:pPr>
            <w:r w:rsidRPr="004D4A14">
              <w:rPr>
                <w:rFonts w:cs="Times New Roman"/>
                <w:sz w:val="16"/>
                <w:szCs w:val="16"/>
              </w:rPr>
              <w:t>RCO02</w:t>
            </w:r>
          </w:p>
        </w:tc>
        <w:tc>
          <w:tcPr>
            <w:tcW w:w="931" w:type="pct"/>
            <w:tcBorders>
              <w:top w:val="single" w:sz="4" w:space="0" w:color="auto"/>
              <w:bottom w:val="single" w:sz="4" w:space="0" w:color="auto"/>
            </w:tcBorders>
            <w:shd w:val="clear" w:color="auto" w:fill="FFFFFF" w:themeFill="background1"/>
          </w:tcPr>
          <w:p w14:paraId="3E524232" w14:textId="437FD5E3" w:rsidR="0038184E" w:rsidRPr="004D4A14" w:rsidRDefault="0038184E" w:rsidP="0038184E">
            <w:pPr>
              <w:tabs>
                <w:tab w:val="left" w:pos="315"/>
                <w:tab w:val="left" w:pos="457"/>
              </w:tabs>
              <w:spacing w:after="0" w:line="240" w:lineRule="auto"/>
              <w:contextualSpacing/>
              <w:jc w:val="both"/>
              <w:rPr>
                <w:sz w:val="16"/>
                <w:szCs w:val="16"/>
              </w:rPr>
            </w:pPr>
            <w:r w:rsidRPr="004D4A14">
              <w:rPr>
                <w:sz w:val="16"/>
                <w:szCs w:val="16"/>
              </w:rPr>
              <w:t>Paramą dotacijomis gavusios įmonės</w:t>
            </w:r>
          </w:p>
        </w:tc>
        <w:tc>
          <w:tcPr>
            <w:tcW w:w="507" w:type="pct"/>
            <w:tcBorders>
              <w:top w:val="single" w:sz="4" w:space="0" w:color="auto"/>
              <w:bottom w:val="single" w:sz="4" w:space="0" w:color="auto"/>
            </w:tcBorders>
            <w:shd w:val="clear" w:color="auto" w:fill="FFFFFF" w:themeFill="background1"/>
          </w:tcPr>
          <w:p w14:paraId="74C25419" w14:textId="6BE9167D" w:rsidR="0038184E" w:rsidRPr="004D4A14" w:rsidRDefault="0038184E" w:rsidP="0038184E">
            <w:pPr>
              <w:spacing w:after="0" w:line="240" w:lineRule="auto"/>
              <w:jc w:val="both"/>
              <w:rPr>
                <w:rFonts w:eastAsia="Times New Roman" w:cs="Times New Roman"/>
                <w:iCs/>
                <w:sz w:val="16"/>
                <w:szCs w:val="16"/>
                <w:lang w:eastAsia="lt-LT"/>
              </w:rPr>
            </w:pPr>
            <w:r w:rsidRPr="004D4A14">
              <w:rPr>
                <w:rFonts w:eastAsia="Times New Roman" w:cs="Times New Roman"/>
                <w:iCs/>
                <w:sz w:val="16"/>
                <w:szCs w:val="16"/>
                <w:lang w:eastAsia="lt-LT"/>
              </w:rPr>
              <w:t>Įmonės</w:t>
            </w:r>
          </w:p>
        </w:tc>
        <w:tc>
          <w:tcPr>
            <w:tcW w:w="503" w:type="pct"/>
            <w:tcBorders>
              <w:top w:val="single" w:sz="4" w:space="0" w:color="auto"/>
              <w:bottom w:val="single" w:sz="4" w:space="0" w:color="auto"/>
            </w:tcBorders>
            <w:shd w:val="clear" w:color="auto" w:fill="FFFFFF" w:themeFill="background1"/>
          </w:tcPr>
          <w:p w14:paraId="5E213E6A" w14:textId="5D7F623A" w:rsidR="0038184E" w:rsidRPr="004D4A14" w:rsidRDefault="0038184E" w:rsidP="0038184E">
            <w:pPr>
              <w:spacing w:after="0" w:line="240" w:lineRule="auto"/>
              <w:jc w:val="center"/>
              <w:rPr>
                <w:rFonts w:cs="Times New Roman"/>
                <w:bCs/>
                <w:noProof/>
                <w:sz w:val="16"/>
                <w:szCs w:val="16"/>
              </w:rPr>
            </w:pPr>
            <w:r w:rsidRPr="004D4A14">
              <w:rPr>
                <w:rFonts w:cs="Times New Roman"/>
                <w:bCs/>
                <w:noProof/>
                <w:sz w:val="16"/>
                <w:szCs w:val="16"/>
              </w:rPr>
              <w:t>0</w:t>
            </w:r>
          </w:p>
        </w:tc>
        <w:tc>
          <w:tcPr>
            <w:tcW w:w="480" w:type="pct"/>
            <w:tcBorders>
              <w:top w:val="single" w:sz="4" w:space="0" w:color="auto"/>
              <w:bottom w:val="single" w:sz="4" w:space="0" w:color="auto"/>
            </w:tcBorders>
            <w:shd w:val="clear" w:color="auto" w:fill="FFFFFF" w:themeFill="background1"/>
          </w:tcPr>
          <w:p w14:paraId="3C6441BF" w14:textId="5FF4EBD0" w:rsidR="0038184E" w:rsidRPr="004D4A14" w:rsidRDefault="00857759" w:rsidP="0038184E">
            <w:pPr>
              <w:spacing w:after="0" w:line="240" w:lineRule="auto"/>
              <w:jc w:val="center"/>
              <w:rPr>
                <w:rFonts w:cs="Times New Roman"/>
                <w:bCs/>
                <w:noProof/>
                <w:sz w:val="16"/>
                <w:szCs w:val="16"/>
              </w:rPr>
            </w:pPr>
            <w:r w:rsidRPr="004D4A14">
              <w:rPr>
                <w:rFonts w:cs="Times New Roman"/>
                <w:bCs/>
                <w:noProof/>
                <w:sz w:val="16"/>
                <w:szCs w:val="16"/>
              </w:rPr>
              <w:t>59</w:t>
            </w:r>
          </w:p>
        </w:tc>
      </w:tr>
      <w:tr w:rsidR="003B1FDB" w:rsidRPr="004D4A14" w14:paraId="557B046B" w14:textId="77777777" w:rsidTr="00E20003">
        <w:trPr>
          <w:trHeight w:val="613"/>
        </w:trPr>
        <w:tc>
          <w:tcPr>
            <w:tcW w:w="495" w:type="pct"/>
            <w:vMerge/>
            <w:shd w:val="clear" w:color="auto" w:fill="FFFFFF" w:themeFill="background1"/>
          </w:tcPr>
          <w:p w14:paraId="2D605A44" w14:textId="58F130EC" w:rsidR="003B1FDB" w:rsidRPr="004D4A14" w:rsidRDefault="003B1FDB" w:rsidP="0038184E">
            <w:pPr>
              <w:spacing w:after="0" w:line="240" w:lineRule="auto"/>
              <w:jc w:val="both"/>
              <w:rPr>
                <w:rFonts w:cs="Times New Roman"/>
                <w:noProof/>
                <w:sz w:val="16"/>
                <w:szCs w:val="16"/>
              </w:rPr>
            </w:pPr>
          </w:p>
        </w:tc>
        <w:tc>
          <w:tcPr>
            <w:tcW w:w="667" w:type="pct"/>
            <w:vMerge/>
            <w:shd w:val="clear" w:color="auto" w:fill="FFFFFF" w:themeFill="background1"/>
          </w:tcPr>
          <w:p w14:paraId="6473B665" w14:textId="0D4905BB" w:rsidR="003B1FDB" w:rsidRPr="004D4A14" w:rsidRDefault="003B1FDB" w:rsidP="0038184E">
            <w:pPr>
              <w:spacing w:after="0" w:line="240" w:lineRule="auto"/>
              <w:jc w:val="both"/>
              <w:rPr>
                <w:rFonts w:cs="Times New Roman"/>
                <w:noProof/>
                <w:sz w:val="16"/>
                <w:szCs w:val="16"/>
                <w:lang w:val="en-US"/>
              </w:rPr>
            </w:pPr>
          </w:p>
        </w:tc>
        <w:tc>
          <w:tcPr>
            <w:tcW w:w="375" w:type="pct"/>
            <w:vMerge/>
            <w:shd w:val="clear" w:color="auto" w:fill="FFFFFF" w:themeFill="background1"/>
          </w:tcPr>
          <w:p w14:paraId="46293CC6" w14:textId="76511F8C" w:rsidR="003B1FDB" w:rsidRPr="004D4A14" w:rsidRDefault="003B1FDB" w:rsidP="0038184E">
            <w:pPr>
              <w:spacing w:after="0" w:line="240" w:lineRule="auto"/>
              <w:jc w:val="both"/>
              <w:rPr>
                <w:rFonts w:cs="Times New Roman"/>
                <w:noProof/>
                <w:sz w:val="16"/>
                <w:szCs w:val="16"/>
              </w:rPr>
            </w:pPr>
          </w:p>
        </w:tc>
        <w:tc>
          <w:tcPr>
            <w:tcW w:w="515" w:type="pct"/>
            <w:tcBorders>
              <w:top w:val="single" w:sz="4" w:space="0" w:color="auto"/>
              <w:bottom w:val="single" w:sz="4" w:space="0" w:color="auto"/>
            </w:tcBorders>
            <w:shd w:val="clear" w:color="auto" w:fill="FFFFFF" w:themeFill="background1"/>
          </w:tcPr>
          <w:p w14:paraId="370D49FA" w14:textId="12A27392" w:rsidR="003B1FDB" w:rsidRPr="004D4A14" w:rsidRDefault="003B1FDB" w:rsidP="0038184E">
            <w:pPr>
              <w:rPr>
                <w:rFonts w:eastAsia="Times New Roman" w:cs="Times New Roman"/>
                <w:iCs/>
                <w:noProof/>
                <w:sz w:val="16"/>
                <w:szCs w:val="16"/>
              </w:rPr>
            </w:pPr>
            <w:r w:rsidRPr="004D4A14">
              <w:rPr>
                <w:rFonts w:eastAsia="Times New Roman" w:cs="Times New Roman"/>
                <w:iCs/>
                <w:noProof/>
                <w:sz w:val="16"/>
                <w:szCs w:val="16"/>
              </w:rPr>
              <w:t>VVL regionas</w:t>
            </w:r>
          </w:p>
        </w:tc>
        <w:tc>
          <w:tcPr>
            <w:tcW w:w="526" w:type="pct"/>
            <w:tcBorders>
              <w:top w:val="single" w:sz="4" w:space="0" w:color="auto"/>
            </w:tcBorders>
            <w:shd w:val="clear" w:color="auto" w:fill="FFFFFF" w:themeFill="background1"/>
          </w:tcPr>
          <w:p w14:paraId="13DBD1B1" w14:textId="4253733C" w:rsidR="003B1FDB" w:rsidRPr="004D4A14" w:rsidRDefault="003B1FDB" w:rsidP="0038184E">
            <w:pPr>
              <w:spacing w:after="0" w:line="240" w:lineRule="auto"/>
              <w:jc w:val="both"/>
              <w:rPr>
                <w:rFonts w:cs="Times New Roman"/>
                <w:sz w:val="16"/>
                <w:szCs w:val="16"/>
              </w:rPr>
            </w:pPr>
            <w:r w:rsidRPr="004D4A14">
              <w:rPr>
                <w:rFonts w:cs="Times New Roman"/>
                <w:sz w:val="16"/>
                <w:szCs w:val="16"/>
              </w:rPr>
              <w:t>RCO08</w:t>
            </w:r>
          </w:p>
        </w:tc>
        <w:tc>
          <w:tcPr>
            <w:tcW w:w="931" w:type="pct"/>
            <w:tcBorders>
              <w:top w:val="single" w:sz="4" w:space="0" w:color="auto"/>
            </w:tcBorders>
            <w:shd w:val="clear" w:color="auto" w:fill="FFFFFF" w:themeFill="background1"/>
          </w:tcPr>
          <w:p w14:paraId="73082CEB" w14:textId="2E18A0EA" w:rsidR="003B1FDB" w:rsidRPr="004D4A14" w:rsidRDefault="003B1FDB" w:rsidP="0038184E">
            <w:pPr>
              <w:tabs>
                <w:tab w:val="left" w:pos="315"/>
                <w:tab w:val="left" w:pos="457"/>
              </w:tabs>
              <w:spacing w:after="0" w:line="240" w:lineRule="auto"/>
              <w:contextualSpacing/>
              <w:jc w:val="both"/>
              <w:rPr>
                <w:sz w:val="16"/>
                <w:szCs w:val="16"/>
              </w:rPr>
            </w:pPr>
            <w:r w:rsidRPr="004D4A14">
              <w:rPr>
                <w:sz w:val="16"/>
                <w:szCs w:val="16"/>
              </w:rPr>
              <w:t>Nominalioji mokslinių tyrimų ir inovacijų įrangos vertė</w:t>
            </w:r>
          </w:p>
        </w:tc>
        <w:tc>
          <w:tcPr>
            <w:tcW w:w="507" w:type="pct"/>
            <w:tcBorders>
              <w:top w:val="single" w:sz="4" w:space="0" w:color="auto"/>
            </w:tcBorders>
            <w:shd w:val="clear" w:color="auto" w:fill="FFFFFF" w:themeFill="background1"/>
          </w:tcPr>
          <w:p w14:paraId="1BB0275D" w14:textId="43F32A68" w:rsidR="003B1FDB" w:rsidRPr="004D4A14" w:rsidRDefault="003B1FDB" w:rsidP="0038184E">
            <w:pPr>
              <w:spacing w:after="0" w:line="240" w:lineRule="auto"/>
              <w:jc w:val="both"/>
              <w:rPr>
                <w:rFonts w:eastAsia="Times New Roman" w:cs="Times New Roman"/>
                <w:iCs/>
                <w:sz w:val="16"/>
                <w:szCs w:val="16"/>
                <w:lang w:eastAsia="lt-LT"/>
              </w:rPr>
            </w:pPr>
            <w:r w:rsidRPr="004D4A14">
              <w:rPr>
                <w:rFonts w:eastAsia="Times New Roman" w:cs="Times New Roman"/>
                <w:iCs/>
                <w:sz w:val="16"/>
                <w:szCs w:val="16"/>
                <w:lang w:eastAsia="lt-LT"/>
              </w:rPr>
              <w:t>Eurai</w:t>
            </w:r>
          </w:p>
        </w:tc>
        <w:tc>
          <w:tcPr>
            <w:tcW w:w="503" w:type="pct"/>
            <w:tcBorders>
              <w:top w:val="single" w:sz="4" w:space="0" w:color="auto"/>
            </w:tcBorders>
            <w:shd w:val="clear" w:color="auto" w:fill="FFFFFF" w:themeFill="background1"/>
          </w:tcPr>
          <w:p w14:paraId="4FE2D527" w14:textId="35335729" w:rsidR="003B1FDB" w:rsidRPr="004D4A14" w:rsidRDefault="003B1FDB" w:rsidP="0038184E">
            <w:pPr>
              <w:spacing w:after="0" w:line="240" w:lineRule="auto"/>
              <w:jc w:val="center"/>
              <w:rPr>
                <w:rFonts w:cs="Times New Roman"/>
                <w:bCs/>
                <w:noProof/>
                <w:sz w:val="16"/>
                <w:szCs w:val="16"/>
              </w:rPr>
            </w:pPr>
            <w:r w:rsidRPr="004D4A14">
              <w:rPr>
                <w:rFonts w:cs="Times New Roman"/>
                <w:bCs/>
                <w:noProof/>
                <w:sz w:val="16"/>
                <w:szCs w:val="16"/>
              </w:rPr>
              <w:t>0</w:t>
            </w:r>
          </w:p>
        </w:tc>
        <w:tc>
          <w:tcPr>
            <w:tcW w:w="480" w:type="pct"/>
            <w:tcBorders>
              <w:top w:val="single" w:sz="4" w:space="0" w:color="auto"/>
            </w:tcBorders>
            <w:shd w:val="clear" w:color="auto" w:fill="FFFFFF" w:themeFill="background1"/>
          </w:tcPr>
          <w:p w14:paraId="4C18261D" w14:textId="36507C6F" w:rsidR="003B1FDB" w:rsidRPr="004D4A14" w:rsidRDefault="0032674A" w:rsidP="0038184E">
            <w:pPr>
              <w:spacing w:after="0" w:line="240" w:lineRule="auto"/>
              <w:jc w:val="center"/>
              <w:rPr>
                <w:rFonts w:cs="Times New Roman"/>
                <w:bCs/>
                <w:noProof/>
                <w:sz w:val="16"/>
                <w:szCs w:val="16"/>
              </w:rPr>
            </w:pPr>
            <w:r w:rsidRPr="004D4A14">
              <w:rPr>
                <w:rFonts w:cs="Times New Roman"/>
                <w:bCs/>
                <w:noProof/>
                <w:sz w:val="16"/>
                <w:szCs w:val="16"/>
              </w:rPr>
              <w:t>3 578 947</w:t>
            </w:r>
          </w:p>
        </w:tc>
      </w:tr>
      <w:tr w:rsidR="0038184E" w:rsidRPr="004D4A14" w14:paraId="3B96D03A" w14:textId="77777777" w:rsidTr="00E20003">
        <w:trPr>
          <w:trHeight w:val="332"/>
        </w:trPr>
        <w:tc>
          <w:tcPr>
            <w:tcW w:w="495" w:type="pct"/>
            <w:vMerge/>
            <w:shd w:val="clear" w:color="auto" w:fill="FFFFFF" w:themeFill="background1"/>
          </w:tcPr>
          <w:p w14:paraId="2FA07D25" w14:textId="6FB1CD04" w:rsidR="0038184E" w:rsidRPr="004D4A14" w:rsidRDefault="0038184E" w:rsidP="0038184E">
            <w:pPr>
              <w:spacing w:after="0" w:line="240" w:lineRule="auto"/>
              <w:jc w:val="both"/>
              <w:rPr>
                <w:rFonts w:cs="Times New Roman"/>
                <w:noProof/>
                <w:sz w:val="16"/>
                <w:szCs w:val="16"/>
              </w:rPr>
            </w:pPr>
          </w:p>
        </w:tc>
        <w:tc>
          <w:tcPr>
            <w:tcW w:w="667" w:type="pct"/>
            <w:vMerge/>
            <w:shd w:val="clear" w:color="auto" w:fill="FFFFFF" w:themeFill="background1"/>
          </w:tcPr>
          <w:p w14:paraId="3AEDBC4C" w14:textId="4F36F26A" w:rsidR="0038184E" w:rsidRPr="004D4A14" w:rsidRDefault="0038184E" w:rsidP="0038184E">
            <w:pPr>
              <w:spacing w:after="0" w:line="240" w:lineRule="auto"/>
              <w:jc w:val="both"/>
              <w:rPr>
                <w:rFonts w:cs="Times New Roman"/>
                <w:noProof/>
                <w:sz w:val="16"/>
                <w:szCs w:val="16"/>
                <w:lang w:val="en-US"/>
              </w:rPr>
            </w:pPr>
          </w:p>
        </w:tc>
        <w:tc>
          <w:tcPr>
            <w:tcW w:w="375" w:type="pct"/>
            <w:vMerge/>
            <w:shd w:val="clear" w:color="auto" w:fill="FFFFFF" w:themeFill="background1"/>
          </w:tcPr>
          <w:p w14:paraId="4D5D90DE" w14:textId="5ECACA9A" w:rsidR="0038184E" w:rsidRPr="004D4A14" w:rsidRDefault="0038184E" w:rsidP="0038184E">
            <w:pPr>
              <w:spacing w:after="0" w:line="240" w:lineRule="auto"/>
              <w:jc w:val="both"/>
              <w:rPr>
                <w:rFonts w:cs="Times New Roman"/>
                <w:noProof/>
                <w:sz w:val="16"/>
                <w:szCs w:val="16"/>
              </w:rPr>
            </w:pPr>
          </w:p>
        </w:tc>
        <w:tc>
          <w:tcPr>
            <w:tcW w:w="515" w:type="pct"/>
            <w:tcBorders>
              <w:top w:val="single" w:sz="4" w:space="0" w:color="auto"/>
              <w:bottom w:val="single" w:sz="4" w:space="0" w:color="auto"/>
            </w:tcBorders>
            <w:shd w:val="clear" w:color="auto" w:fill="FFFFFF" w:themeFill="background1"/>
          </w:tcPr>
          <w:p w14:paraId="724FB0B9" w14:textId="77777777" w:rsidR="0038184E" w:rsidRPr="004D4A14" w:rsidRDefault="0038184E" w:rsidP="0038184E">
            <w:pPr>
              <w:rPr>
                <w:rFonts w:eastAsia="Times New Roman" w:cs="Times New Roman"/>
                <w:iCs/>
                <w:noProof/>
                <w:sz w:val="16"/>
                <w:szCs w:val="16"/>
              </w:rPr>
            </w:pPr>
            <w:r w:rsidRPr="004D4A14">
              <w:rPr>
                <w:rFonts w:eastAsia="Times New Roman" w:cs="Times New Roman"/>
                <w:iCs/>
                <w:noProof/>
                <w:sz w:val="16"/>
                <w:szCs w:val="16"/>
              </w:rPr>
              <w:t>VVL regionas</w:t>
            </w:r>
          </w:p>
          <w:p w14:paraId="198B65A6" w14:textId="7A333DE4" w:rsidR="0038184E" w:rsidRPr="004D4A14" w:rsidRDefault="0038184E" w:rsidP="0038184E">
            <w:pPr>
              <w:spacing w:after="0" w:line="240" w:lineRule="auto"/>
              <w:jc w:val="both"/>
              <w:rPr>
                <w:rFonts w:cs="Times New Roman"/>
                <w:noProof/>
                <w:sz w:val="16"/>
                <w:szCs w:val="16"/>
              </w:rPr>
            </w:pPr>
          </w:p>
        </w:tc>
        <w:tc>
          <w:tcPr>
            <w:tcW w:w="526" w:type="pct"/>
            <w:tcBorders>
              <w:top w:val="single" w:sz="4" w:space="0" w:color="auto"/>
              <w:bottom w:val="single" w:sz="4" w:space="0" w:color="auto"/>
            </w:tcBorders>
            <w:shd w:val="clear" w:color="auto" w:fill="FFFFFF" w:themeFill="background1"/>
          </w:tcPr>
          <w:p w14:paraId="13C75258" w14:textId="74C66C9C" w:rsidR="0038184E" w:rsidRPr="004D4A14" w:rsidRDefault="0038184E" w:rsidP="0038184E">
            <w:pPr>
              <w:spacing w:after="0" w:line="240" w:lineRule="auto"/>
              <w:jc w:val="both"/>
              <w:rPr>
                <w:rFonts w:eastAsia="Calibri" w:cs="Times New Roman"/>
                <w:sz w:val="16"/>
                <w:szCs w:val="16"/>
                <w:lang w:eastAsia="en-GB" w:bidi="lt-LT"/>
              </w:rPr>
            </w:pPr>
            <w:r w:rsidRPr="004D4A14">
              <w:rPr>
                <w:rFonts w:eastAsia="Calibri" w:cs="Times New Roman"/>
                <w:sz w:val="16"/>
                <w:szCs w:val="16"/>
                <w:lang w:eastAsia="en-GB" w:bidi="lt-LT"/>
              </w:rPr>
              <w:t>RCO128 </w:t>
            </w:r>
          </w:p>
        </w:tc>
        <w:tc>
          <w:tcPr>
            <w:tcW w:w="931" w:type="pct"/>
            <w:tcBorders>
              <w:top w:val="single" w:sz="4" w:space="0" w:color="auto"/>
              <w:bottom w:val="single" w:sz="4" w:space="0" w:color="auto"/>
            </w:tcBorders>
            <w:shd w:val="clear" w:color="auto" w:fill="FFFFFF" w:themeFill="background1"/>
          </w:tcPr>
          <w:p w14:paraId="60AEC6EB" w14:textId="0D18FF25" w:rsidR="0038184E" w:rsidRPr="004D4A14" w:rsidRDefault="0038184E" w:rsidP="0038184E">
            <w:pPr>
              <w:tabs>
                <w:tab w:val="left" w:pos="315"/>
                <w:tab w:val="left" w:pos="457"/>
              </w:tabs>
              <w:spacing w:after="0" w:line="240" w:lineRule="auto"/>
              <w:contextualSpacing/>
              <w:jc w:val="both"/>
              <w:rPr>
                <w:rFonts w:eastAsia="Calibri" w:cs="Times New Roman"/>
                <w:sz w:val="16"/>
                <w:szCs w:val="16"/>
                <w:lang w:eastAsia="en-GB" w:bidi="lt-LT"/>
              </w:rPr>
            </w:pPr>
            <w:r w:rsidRPr="004D4A14">
              <w:rPr>
                <w:rFonts w:eastAsia="Calibri" w:cs="Times New Roman"/>
                <w:sz w:val="16"/>
                <w:szCs w:val="16"/>
                <w:lang w:eastAsia="en-GB" w:bidi="lt-LT"/>
              </w:rPr>
              <w:t>Paramą gavusios įmonės, visų pirma susijusios su pastangomis skatinti dvejopo naudojimo ir gynybos pajėgumų didinimą („</w:t>
            </w:r>
            <w:proofErr w:type="spellStart"/>
            <w:r w:rsidRPr="004D4A14">
              <w:rPr>
                <w:rFonts w:eastAsia="Calibri" w:cs="Times New Roman"/>
                <w:sz w:val="16"/>
                <w:szCs w:val="16"/>
                <w:lang w:eastAsia="en-GB" w:bidi="lt-LT"/>
              </w:rPr>
              <w:t>RearmEU</w:t>
            </w:r>
            <w:proofErr w:type="spellEnd"/>
            <w:r w:rsidRPr="004D4A14">
              <w:rPr>
                <w:rFonts w:eastAsia="Calibri" w:cs="Times New Roman"/>
                <w:sz w:val="16"/>
                <w:szCs w:val="16"/>
                <w:lang w:eastAsia="en-GB" w:bidi="lt-LT"/>
              </w:rPr>
              <w:t>“) – įmonės</w:t>
            </w:r>
          </w:p>
        </w:tc>
        <w:tc>
          <w:tcPr>
            <w:tcW w:w="507" w:type="pct"/>
            <w:tcBorders>
              <w:top w:val="single" w:sz="4" w:space="0" w:color="auto"/>
              <w:bottom w:val="single" w:sz="4" w:space="0" w:color="auto"/>
            </w:tcBorders>
            <w:shd w:val="clear" w:color="auto" w:fill="FFFFFF" w:themeFill="background1"/>
          </w:tcPr>
          <w:p w14:paraId="2C12141E" w14:textId="212219C0" w:rsidR="0038184E" w:rsidRPr="004D4A14" w:rsidRDefault="0038184E" w:rsidP="0038184E">
            <w:pPr>
              <w:spacing w:after="0" w:line="240" w:lineRule="auto"/>
              <w:jc w:val="both"/>
              <w:rPr>
                <w:rFonts w:eastAsia="Times New Roman" w:cs="Times New Roman"/>
                <w:iCs/>
                <w:sz w:val="16"/>
                <w:szCs w:val="16"/>
                <w:lang w:eastAsia="lt-LT"/>
              </w:rPr>
            </w:pPr>
            <w:r w:rsidRPr="004D4A14">
              <w:rPr>
                <w:rFonts w:eastAsia="Times New Roman" w:cs="Times New Roman"/>
                <w:iCs/>
                <w:sz w:val="16"/>
                <w:szCs w:val="16"/>
                <w:lang w:eastAsia="lt-LT"/>
              </w:rPr>
              <w:t>Įmonės</w:t>
            </w:r>
          </w:p>
        </w:tc>
        <w:tc>
          <w:tcPr>
            <w:tcW w:w="503" w:type="pct"/>
            <w:tcBorders>
              <w:top w:val="single" w:sz="4" w:space="0" w:color="auto"/>
              <w:bottom w:val="single" w:sz="4" w:space="0" w:color="auto"/>
            </w:tcBorders>
            <w:shd w:val="clear" w:color="auto" w:fill="FFFFFF" w:themeFill="background1"/>
          </w:tcPr>
          <w:p w14:paraId="4C9A8835" w14:textId="2EF77861" w:rsidR="0038184E" w:rsidRPr="004D4A14" w:rsidRDefault="0038184E" w:rsidP="0038184E">
            <w:pPr>
              <w:spacing w:after="0" w:line="240" w:lineRule="auto"/>
              <w:jc w:val="center"/>
              <w:rPr>
                <w:rFonts w:cs="Times New Roman"/>
                <w:bCs/>
                <w:noProof/>
                <w:sz w:val="16"/>
                <w:szCs w:val="16"/>
              </w:rPr>
            </w:pPr>
            <w:r w:rsidRPr="004D4A14">
              <w:rPr>
                <w:rFonts w:cs="Times New Roman"/>
                <w:bCs/>
                <w:noProof/>
                <w:sz w:val="16"/>
                <w:szCs w:val="16"/>
              </w:rPr>
              <w:t>0</w:t>
            </w:r>
          </w:p>
        </w:tc>
        <w:tc>
          <w:tcPr>
            <w:tcW w:w="480" w:type="pct"/>
            <w:tcBorders>
              <w:top w:val="single" w:sz="4" w:space="0" w:color="auto"/>
              <w:bottom w:val="single" w:sz="4" w:space="0" w:color="auto"/>
            </w:tcBorders>
            <w:shd w:val="clear" w:color="auto" w:fill="FFFFFF" w:themeFill="background1"/>
          </w:tcPr>
          <w:p w14:paraId="5F6833C4" w14:textId="2E4F01AF" w:rsidR="0038184E" w:rsidRPr="004D4A14" w:rsidRDefault="00857759" w:rsidP="0038184E">
            <w:pPr>
              <w:spacing w:after="0" w:line="240" w:lineRule="auto"/>
              <w:jc w:val="center"/>
              <w:rPr>
                <w:rFonts w:cs="Times New Roman"/>
                <w:bCs/>
                <w:noProof/>
                <w:sz w:val="16"/>
                <w:szCs w:val="16"/>
              </w:rPr>
            </w:pPr>
            <w:r w:rsidRPr="004D4A14">
              <w:rPr>
                <w:rFonts w:cs="Times New Roman"/>
                <w:bCs/>
                <w:noProof/>
                <w:sz w:val="16"/>
                <w:szCs w:val="16"/>
              </w:rPr>
              <w:t>38</w:t>
            </w:r>
          </w:p>
        </w:tc>
      </w:tr>
      <w:tr w:rsidR="0038184E" w:rsidRPr="004D4A14" w14:paraId="30AE5FEB" w14:textId="77777777" w:rsidTr="00E20003">
        <w:trPr>
          <w:trHeight w:val="332"/>
        </w:trPr>
        <w:tc>
          <w:tcPr>
            <w:tcW w:w="495" w:type="pct"/>
            <w:vMerge/>
          </w:tcPr>
          <w:p w14:paraId="70897747" w14:textId="77777777" w:rsidR="0038184E" w:rsidRPr="004D4A14" w:rsidRDefault="0038184E" w:rsidP="0038184E">
            <w:pPr>
              <w:spacing w:after="0" w:line="240" w:lineRule="auto"/>
              <w:jc w:val="both"/>
              <w:rPr>
                <w:rFonts w:cs="Times New Roman"/>
                <w:noProof/>
                <w:sz w:val="16"/>
                <w:szCs w:val="16"/>
              </w:rPr>
            </w:pPr>
          </w:p>
        </w:tc>
        <w:tc>
          <w:tcPr>
            <w:tcW w:w="667" w:type="pct"/>
            <w:vMerge/>
          </w:tcPr>
          <w:p w14:paraId="64B1DB52" w14:textId="77777777" w:rsidR="0038184E" w:rsidRPr="004D4A14" w:rsidRDefault="0038184E" w:rsidP="0038184E">
            <w:pPr>
              <w:spacing w:after="0" w:line="240" w:lineRule="auto"/>
              <w:jc w:val="both"/>
              <w:rPr>
                <w:rFonts w:cs="Times New Roman"/>
                <w:noProof/>
                <w:sz w:val="16"/>
                <w:szCs w:val="16"/>
              </w:rPr>
            </w:pPr>
          </w:p>
        </w:tc>
        <w:tc>
          <w:tcPr>
            <w:tcW w:w="375" w:type="pct"/>
            <w:vMerge/>
          </w:tcPr>
          <w:p w14:paraId="1637D4CC" w14:textId="77777777" w:rsidR="0038184E" w:rsidRPr="004D4A14" w:rsidRDefault="0038184E" w:rsidP="0038184E">
            <w:pPr>
              <w:spacing w:after="0" w:line="240" w:lineRule="auto"/>
              <w:jc w:val="both"/>
              <w:rPr>
                <w:rFonts w:cs="Times New Roman"/>
                <w:noProof/>
                <w:sz w:val="16"/>
                <w:szCs w:val="16"/>
              </w:rPr>
            </w:pPr>
          </w:p>
        </w:tc>
        <w:tc>
          <w:tcPr>
            <w:tcW w:w="515" w:type="pct"/>
            <w:tcBorders>
              <w:top w:val="single" w:sz="4" w:space="0" w:color="auto"/>
              <w:bottom w:val="single" w:sz="4" w:space="0" w:color="auto"/>
            </w:tcBorders>
            <w:shd w:val="clear" w:color="auto" w:fill="FFFFFF" w:themeFill="background1"/>
          </w:tcPr>
          <w:p w14:paraId="76EB612F" w14:textId="763BB000" w:rsidR="0038184E" w:rsidRPr="004D4A14" w:rsidRDefault="0038184E" w:rsidP="0038184E">
            <w:pPr>
              <w:spacing w:after="0" w:line="240" w:lineRule="auto"/>
              <w:jc w:val="both"/>
              <w:rPr>
                <w:rFonts w:cs="Times New Roman"/>
                <w:noProof/>
                <w:sz w:val="16"/>
                <w:szCs w:val="16"/>
              </w:rPr>
            </w:pPr>
            <w:r w:rsidRPr="004D4A14">
              <w:rPr>
                <w:rFonts w:eastAsia="Times New Roman" w:cs="Times New Roman"/>
                <w:iCs/>
                <w:noProof/>
                <w:sz w:val="16"/>
                <w:szCs w:val="16"/>
              </w:rPr>
              <w:t>Sostinės regionas</w:t>
            </w:r>
          </w:p>
        </w:tc>
        <w:tc>
          <w:tcPr>
            <w:tcW w:w="526" w:type="pct"/>
            <w:tcBorders>
              <w:top w:val="single" w:sz="4" w:space="0" w:color="auto"/>
              <w:bottom w:val="single" w:sz="4" w:space="0" w:color="auto"/>
            </w:tcBorders>
            <w:shd w:val="clear" w:color="auto" w:fill="FFFFFF" w:themeFill="background1"/>
          </w:tcPr>
          <w:p w14:paraId="3EFC486D" w14:textId="7B419A19" w:rsidR="0038184E" w:rsidRPr="004D4A14" w:rsidRDefault="0038184E" w:rsidP="0038184E">
            <w:pPr>
              <w:spacing w:after="0" w:line="240" w:lineRule="auto"/>
              <w:jc w:val="both"/>
              <w:rPr>
                <w:rFonts w:eastAsia="Calibri" w:cs="Times New Roman"/>
                <w:sz w:val="16"/>
                <w:szCs w:val="16"/>
                <w:lang w:eastAsia="en-GB" w:bidi="lt-LT"/>
              </w:rPr>
            </w:pPr>
            <w:r w:rsidRPr="004D4A14">
              <w:rPr>
                <w:rFonts w:eastAsia="Calibri" w:cs="Times New Roman"/>
                <w:sz w:val="16"/>
                <w:szCs w:val="16"/>
                <w:lang w:eastAsia="en-GB" w:bidi="lt-LT"/>
              </w:rPr>
              <w:t>RCO128 </w:t>
            </w:r>
          </w:p>
        </w:tc>
        <w:tc>
          <w:tcPr>
            <w:tcW w:w="931" w:type="pct"/>
            <w:tcBorders>
              <w:top w:val="single" w:sz="4" w:space="0" w:color="auto"/>
              <w:bottom w:val="single" w:sz="4" w:space="0" w:color="auto"/>
            </w:tcBorders>
            <w:shd w:val="clear" w:color="auto" w:fill="FFFFFF" w:themeFill="background1"/>
          </w:tcPr>
          <w:p w14:paraId="6F735D47" w14:textId="468D7C13" w:rsidR="0038184E" w:rsidRPr="004D4A14" w:rsidRDefault="0038184E" w:rsidP="0038184E">
            <w:pPr>
              <w:autoSpaceDE w:val="0"/>
              <w:autoSpaceDN w:val="0"/>
              <w:adjustRightInd w:val="0"/>
              <w:spacing w:after="0" w:line="240" w:lineRule="auto"/>
              <w:jc w:val="both"/>
              <w:rPr>
                <w:rFonts w:eastAsia="Calibri" w:cs="Times New Roman"/>
                <w:sz w:val="16"/>
                <w:szCs w:val="16"/>
                <w:lang w:eastAsia="en-GB" w:bidi="lt-LT"/>
              </w:rPr>
            </w:pPr>
            <w:r w:rsidRPr="004D4A14">
              <w:rPr>
                <w:rFonts w:eastAsia="Calibri" w:cs="Times New Roman"/>
                <w:sz w:val="16"/>
                <w:szCs w:val="16"/>
                <w:lang w:eastAsia="en-GB" w:bidi="lt-LT"/>
              </w:rPr>
              <w:t>Paramą gavusios įmonės, visų pirma susijusios su pastangomis skatinti dvejopo naudojimo ir gynybos pajėgumų didinimą („</w:t>
            </w:r>
            <w:proofErr w:type="spellStart"/>
            <w:r w:rsidRPr="004D4A14">
              <w:rPr>
                <w:rFonts w:eastAsia="Calibri" w:cs="Times New Roman"/>
                <w:sz w:val="16"/>
                <w:szCs w:val="16"/>
                <w:lang w:eastAsia="en-GB" w:bidi="lt-LT"/>
              </w:rPr>
              <w:t>RearmEU</w:t>
            </w:r>
            <w:proofErr w:type="spellEnd"/>
            <w:r w:rsidRPr="004D4A14">
              <w:rPr>
                <w:rFonts w:eastAsia="Calibri" w:cs="Times New Roman"/>
                <w:sz w:val="16"/>
                <w:szCs w:val="16"/>
                <w:lang w:eastAsia="en-GB" w:bidi="lt-LT"/>
              </w:rPr>
              <w:t>“) – įmonės</w:t>
            </w:r>
          </w:p>
        </w:tc>
        <w:tc>
          <w:tcPr>
            <w:tcW w:w="507" w:type="pct"/>
            <w:tcBorders>
              <w:top w:val="single" w:sz="4" w:space="0" w:color="auto"/>
              <w:bottom w:val="single" w:sz="4" w:space="0" w:color="auto"/>
            </w:tcBorders>
            <w:shd w:val="clear" w:color="auto" w:fill="FFFFFF" w:themeFill="background1"/>
          </w:tcPr>
          <w:p w14:paraId="37CE6B46" w14:textId="22502FF8" w:rsidR="0038184E" w:rsidRPr="004D4A14" w:rsidRDefault="0038184E" w:rsidP="0038184E">
            <w:pPr>
              <w:spacing w:after="0" w:line="240" w:lineRule="auto"/>
              <w:jc w:val="both"/>
              <w:rPr>
                <w:rFonts w:eastAsia="Times New Roman" w:cs="Times New Roman"/>
                <w:iCs/>
                <w:sz w:val="16"/>
                <w:szCs w:val="16"/>
                <w:lang w:eastAsia="lt-LT"/>
              </w:rPr>
            </w:pPr>
            <w:r w:rsidRPr="004D4A14">
              <w:rPr>
                <w:rFonts w:eastAsia="Times New Roman" w:cs="Times New Roman"/>
                <w:iCs/>
                <w:sz w:val="16"/>
                <w:szCs w:val="16"/>
                <w:lang w:eastAsia="lt-LT"/>
              </w:rPr>
              <w:t>Įmonės</w:t>
            </w:r>
          </w:p>
        </w:tc>
        <w:tc>
          <w:tcPr>
            <w:tcW w:w="503" w:type="pct"/>
            <w:tcBorders>
              <w:top w:val="single" w:sz="4" w:space="0" w:color="auto"/>
              <w:bottom w:val="single" w:sz="4" w:space="0" w:color="auto"/>
            </w:tcBorders>
            <w:shd w:val="clear" w:color="auto" w:fill="FFFFFF" w:themeFill="background1"/>
          </w:tcPr>
          <w:p w14:paraId="04F62749" w14:textId="794CF5F6" w:rsidR="0038184E" w:rsidRPr="004D4A14" w:rsidRDefault="0038184E" w:rsidP="0038184E">
            <w:pPr>
              <w:spacing w:after="0" w:line="240" w:lineRule="auto"/>
              <w:jc w:val="center"/>
              <w:rPr>
                <w:rFonts w:cs="Times New Roman"/>
                <w:bCs/>
                <w:noProof/>
                <w:sz w:val="16"/>
                <w:szCs w:val="16"/>
              </w:rPr>
            </w:pPr>
            <w:r w:rsidRPr="004D4A14">
              <w:rPr>
                <w:rFonts w:cs="Times New Roman"/>
                <w:bCs/>
                <w:noProof/>
                <w:sz w:val="16"/>
                <w:szCs w:val="16"/>
              </w:rPr>
              <w:t>0</w:t>
            </w:r>
          </w:p>
        </w:tc>
        <w:tc>
          <w:tcPr>
            <w:tcW w:w="480" w:type="pct"/>
            <w:tcBorders>
              <w:top w:val="single" w:sz="4" w:space="0" w:color="auto"/>
              <w:bottom w:val="single" w:sz="4" w:space="0" w:color="auto"/>
            </w:tcBorders>
            <w:shd w:val="clear" w:color="auto" w:fill="FFFFFF" w:themeFill="background1"/>
          </w:tcPr>
          <w:p w14:paraId="724DE09A" w14:textId="0DDA19E4" w:rsidR="0038184E" w:rsidRPr="004D4A14" w:rsidRDefault="00857759" w:rsidP="0038184E">
            <w:pPr>
              <w:spacing w:after="0" w:line="240" w:lineRule="auto"/>
              <w:jc w:val="center"/>
              <w:rPr>
                <w:rFonts w:cs="Times New Roman"/>
                <w:bCs/>
                <w:noProof/>
                <w:sz w:val="16"/>
                <w:szCs w:val="16"/>
              </w:rPr>
            </w:pPr>
            <w:r w:rsidRPr="004D4A14">
              <w:rPr>
                <w:rFonts w:cs="Times New Roman"/>
                <w:bCs/>
                <w:noProof/>
                <w:sz w:val="16"/>
                <w:szCs w:val="16"/>
              </w:rPr>
              <w:t>52</w:t>
            </w:r>
          </w:p>
        </w:tc>
      </w:tr>
    </w:tbl>
    <w:p w14:paraId="19F746B8" w14:textId="77777777" w:rsidR="00316179" w:rsidRPr="004D4A14" w:rsidRDefault="00316179" w:rsidP="00316179">
      <w:pPr>
        <w:spacing w:after="0" w:line="240" w:lineRule="auto"/>
        <w:jc w:val="both"/>
        <w:rPr>
          <w:rFonts w:cs="Times New Roman"/>
          <w:b/>
          <w:sz w:val="22"/>
          <w:lang w:val="en-US"/>
        </w:rPr>
        <w:sectPr w:rsidR="00316179" w:rsidRPr="004D4A14" w:rsidSect="00931C78">
          <w:headerReference w:type="default" r:id="rId8"/>
          <w:footerReference w:type="first" r:id="rId9"/>
          <w:pgSz w:w="11906" w:h="16838"/>
          <w:pgMar w:top="1276" w:right="567" w:bottom="1134" w:left="1701" w:header="567" w:footer="567" w:gutter="0"/>
          <w:cols w:space="1296"/>
          <w:docGrid w:linePitch="360"/>
        </w:sectPr>
      </w:pPr>
    </w:p>
    <w:p w14:paraId="3E60CC99" w14:textId="77777777" w:rsidR="00316179" w:rsidRPr="004D4A14" w:rsidRDefault="00316179" w:rsidP="00316179">
      <w:pPr>
        <w:spacing w:after="0" w:line="240" w:lineRule="auto"/>
        <w:jc w:val="both"/>
        <w:rPr>
          <w:rFonts w:cs="Times New Roman"/>
          <w:b/>
          <w:sz w:val="22"/>
        </w:rPr>
      </w:pPr>
      <w:r w:rsidRPr="004D4A14">
        <w:rPr>
          <w:rFonts w:cs="Times New Roman"/>
          <w:b/>
          <w:sz w:val="22"/>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2"/>
        <w:gridCol w:w="1472"/>
        <w:gridCol w:w="722"/>
        <w:gridCol w:w="990"/>
        <w:gridCol w:w="1260"/>
        <w:gridCol w:w="3502"/>
        <w:gridCol w:w="1088"/>
        <w:gridCol w:w="862"/>
        <w:gridCol w:w="1115"/>
        <w:gridCol w:w="1082"/>
        <w:gridCol w:w="901"/>
        <w:gridCol w:w="928"/>
      </w:tblGrid>
      <w:tr w:rsidR="008A35C6" w:rsidRPr="004D4A14" w14:paraId="3102F25F" w14:textId="77777777" w:rsidTr="00A96320">
        <w:trPr>
          <w:trHeight w:val="1141"/>
          <w:tblHeader/>
        </w:trPr>
        <w:tc>
          <w:tcPr>
            <w:tcW w:w="317" w:type="pct"/>
            <w:tcBorders>
              <w:top w:val="single" w:sz="12" w:space="0" w:color="auto"/>
              <w:left w:val="single" w:sz="12" w:space="0" w:color="auto"/>
              <w:bottom w:val="single" w:sz="12" w:space="0" w:color="auto"/>
              <w:right w:val="single" w:sz="12" w:space="0" w:color="auto"/>
            </w:tcBorders>
            <w:shd w:val="clear" w:color="auto" w:fill="DBE5F1"/>
            <w:vAlign w:val="center"/>
          </w:tcPr>
          <w:p w14:paraId="2295D590" w14:textId="77777777" w:rsidR="008A35C6" w:rsidRPr="004D4A14" w:rsidRDefault="008A35C6" w:rsidP="008A35C6">
            <w:pPr>
              <w:spacing w:after="0" w:line="240" w:lineRule="auto"/>
              <w:jc w:val="center"/>
              <w:rPr>
                <w:rFonts w:eastAsia="Calibri" w:cs="Times New Roman"/>
                <w:b/>
                <w:noProof/>
                <w:sz w:val="16"/>
                <w:szCs w:val="16"/>
              </w:rPr>
            </w:pPr>
            <w:r w:rsidRPr="004D4A14">
              <w:rPr>
                <w:rFonts w:eastAsia="Calibri" w:cs="Times New Roman"/>
                <w:b/>
                <w:noProof/>
                <w:sz w:val="16"/>
                <w:szCs w:val="16"/>
              </w:rPr>
              <w:t>Prioritetas</w:t>
            </w:r>
          </w:p>
        </w:tc>
        <w:tc>
          <w:tcPr>
            <w:tcW w:w="495" w:type="pct"/>
            <w:tcBorders>
              <w:top w:val="single" w:sz="12" w:space="0" w:color="auto"/>
              <w:left w:val="single" w:sz="12" w:space="0" w:color="auto"/>
              <w:bottom w:val="single" w:sz="12" w:space="0" w:color="auto"/>
              <w:right w:val="single" w:sz="12" w:space="0" w:color="auto"/>
            </w:tcBorders>
            <w:shd w:val="clear" w:color="auto" w:fill="DBE5F1"/>
            <w:vAlign w:val="center"/>
          </w:tcPr>
          <w:p w14:paraId="692EAFD4" w14:textId="77777777" w:rsidR="008A35C6" w:rsidRPr="004D4A14" w:rsidRDefault="008A35C6" w:rsidP="008A35C6">
            <w:pPr>
              <w:spacing w:after="0" w:line="240" w:lineRule="auto"/>
              <w:jc w:val="center"/>
              <w:rPr>
                <w:rFonts w:eastAsia="Calibri" w:cs="Times New Roman"/>
                <w:b/>
                <w:noProof/>
                <w:sz w:val="16"/>
                <w:szCs w:val="16"/>
              </w:rPr>
            </w:pPr>
            <w:r w:rsidRPr="004D4A14">
              <w:rPr>
                <w:rFonts w:eastAsia="Calibri" w:cs="Times New Roman"/>
                <w:b/>
                <w:noProof/>
                <w:sz w:val="16"/>
                <w:szCs w:val="16"/>
              </w:rPr>
              <w:t>Konkretus uždavinys</w:t>
            </w:r>
          </w:p>
        </w:tc>
        <w:tc>
          <w:tcPr>
            <w:tcW w:w="243" w:type="pct"/>
            <w:tcBorders>
              <w:top w:val="single" w:sz="12" w:space="0" w:color="auto"/>
              <w:left w:val="single" w:sz="12" w:space="0" w:color="auto"/>
              <w:bottom w:val="single" w:sz="12" w:space="0" w:color="auto"/>
              <w:right w:val="single" w:sz="12" w:space="0" w:color="auto"/>
            </w:tcBorders>
            <w:shd w:val="clear" w:color="auto" w:fill="DBE5F1"/>
            <w:vAlign w:val="center"/>
          </w:tcPr>
          <w:p w14:paraId="3F1C52E6" w14:textId="77777777" w:rsidR="008A35C6" w:rsidRPr="004D4A14" w:rsidRDefault="008A35C6" w:rsidP="008A35C6">
            <w:pPr>
              <w:spacing w:after="0" w:line="240" w:lineRule="auto"/>
              <w:jc w:val="center"/>
              <w:rPr>
                <w:rFonts w:eastAsia="Calibri" w:cs="Times New Roman"/>
                <w:b/>
                <w:noProof/>
                <w:sz w:val="16"/>
                <w:szCs w:val="16"/>
              </w:rPr>
            </w:pPr>
            <w:r w:rsidRPr="004D4A14">
              <w:rPr>
                <w:rFonts w:eastAsia="Calibri" w:cs="Times New Roman"/>
                <w:b/>
                <w:noProof/>
                <w:sz w:val="16"/>
                <w:szCs w:val="16"/>
              </w:rPr>
              <w:t>Fondas</w:t>
            </w:r>
          </w:p>
        </w:tc>
        <w:tc>
          <w:tcPr>
            <w:tcW w:w="333" w:type="pct"/>
            <w:tcBorders>
              <w:top w:val="single" w:sz="12" w:space="0" w:color="auto"/>
              <w:left w:val="single" w:sz="12" w:space="0" w:color="auto"/>
              <w:bottom w:val="single" w:sz="12" w:space="0" w:color="auto"/>
              <w:right w:val="single" w:sz="12" w:space="0" w:color="auto"/>
            </w:tcBorders>
            <w:shd w:val="clear" w:color="auto" w:fill="DBE5F1"/>
            <w:vAlign w:val="center"/>
          </w:tcPr>
          <w:p w14:paraId="3CA51733" w14:textId="77777777" w:rsidR="008A35C6" w:rsidRPr="004D4A14" w:rsidRDefault="008A35C6" w:rsidP="008A35C6">
            <w:pPr>
              <w:spacing w:after="0" w:line="240" w:lineRule="auto"/>
              <w:jc w:val="center"/>
              <w:rPr>
                <w:rFonts w:eastAsia="Calibri" w:cs="Times New Roman"/>
                <w:b/>
                <w:noProof/>
                <w:sz w:val="16"/>
                <w:szCs w:val="16"/>
              </w:rPr>
            </w:pPr>
            <w:r w:rsidRPr="004D4A14">
              <w:rPr>
                <w:rFonts w:eastAsia="Calibri" w:cs="Times New Roman"/>
                <w:b/>
                <w:noProof/>
                <w:sz w:val="16"/>
                <w:szCs w:val="16"/>
              </w:rPr>
              <w:t>Regiono kategorija</w:t>
            </w:r>
          </w:p>
        </w:tc>
        <w:tc>
          <w:tcPr>
            <w:tcW w:w="424" w:type="pct"/>
            <w:tcBorders>
              <w:top w:val="single" w:sz="12" w:space="0" w:color="auto"/>
              <w:left w:val="single" w:sz="12" w:space="0" w:color="auto"/>
              <w:bottom w:val="single" w:sz="12" w:space="0" w:color="auto"/>
              <w:right w:val="single" w:sz="12" w:space="0" w:color="auto"/>
            </w:tcBorders>
            <w:shd w:val="clear" w:color="auto" w:fill="DBE5F1"/>
            <w:vAlign w:val="center"/>
          </w:tcPr>
          <w:p w14:paraId="2477CA9C" w14:textId="77777777" w:rsidR="008A35C6" w:rsidRPr="004D4A14" w:rsidRDefault="008A35C6" w:rsidP="008A35C6">
            <w:pPr>
              <w:spacing w:after="0" w:line="240" w:lineRule="auto"/>
              <w:jc w:val="center"/>
              <w:rPr>
                <w:rFonts w:eastAsia="Calibri" w:cs="Times New Roman"/>
                <w:b/>
                <w:noProof/>
                <w:sz w:val="16"/>
                <w:szCs w:val="16"/>
              </w:rPr>
            </w:pPr>
            <w:r w:rsidRPr="004D4A14">
              <w:rPr>
                <w:rFonts w:eastAsia="Calibri" w:cs="Times New Roman"/>
                <w:b/>
                <w:noProof/>
                <w:sz w:val="16"/>
                <w:szCs w:val="16"/>
              </w:rPr>
              <w:t>I</w:t>
            </w:r>
            <w:r w:rsidR="00BA52CF" w:rsidRPr="004D4A14">
              <w:rPr>
                <w:rFonts w:eastAsia="Calibri" w:cs="Times New Roman"/>
                <w:b/>
                <w:noProof/>
                <w:sz w:val="16"/>
                <w:szCs w:val="16"/>
              </w:rPr>
              <w:t>dentifikavimo numeris</w:t>
            </w:r>
          </w:p>
        </w:tc>
        <w:tc>
          <w:tcPr>
            <w:tcW w:w="1178" w:type="pct"/>
            <w:tcBorders>
              <w:top w:val="single" w:sz="12" w:space="0" w:color="auto"/>
              <w:left w:val="single" w:sz="12" w:space="0" w:color="auto"/>
              <w:bottom w:val="single" w:sz="12" w:space="0" w:color="auto"/>
              <w:right w:val="single" w:sz="12" w:space="0" w:color="auto"/>
            </w:tcBorders>
            <w:shd w:val="clear" w:color="auto" w:fill="DBE5F1"/>
            <w:vAlign w:val="center"/>
          </w:tcPr>
          <w:p w14:paraId="22A4764D" w14:textId="77777777" w:rsidR="008A35C6" w:rsidRPr="004D4A14" w:rsidRDefault="00BA52CF" w:rsidP="008A35C6">
            <w:pPr>
              <w:spacing w:after="0" w:line="240" w:lineRule="auto"/>
              <w:jc w:val="center"/>
              <w:rPr>
                <w:rFonts w:eastAsia="Calibri" w:cs="Times New Roman"/>
                <w:b/>
                <w:noProof/>
                <w:sz w:val="16"/>
                <w:szCs w:val="16"/>
              </w:rPr>
            </w:pPr>
            <w:r w:rsidRPr="004D4A14">
              <w:rPr>
                <w:rFonts w:eastAsia="Calibri" w:cs="Times New Roman"/>
                <w:b/>
                <w:noProof/>
                <w:sz w:val="16"/>
                <w:szCs w:val="16"/>
              </w:rPr>
              <w:t>Rodiklis</w:t>
            </w:r>
          </w:p>
        </w:tc>
        <w:tc>
          <w:tcPr>
            <w:tcW w:w="366" w:type="pct"/>
            <w:tcBorders>
              <w:top w:val="single" w:sz="12" w:space="0" w:color="auto"/>
              <w:left w:val="single" w:sz="12" w:space="0" w:color="auto"/>
              <w:bottom w:val="single" w:sz="12" w:space="0" w:color="auto"/>
              <w:right w:val="single" w:sz="12" w:space="0" w:color="auto"/>
            </w:tcBorders>
            <w:shd w:val="clear" w:color="auto" w:fill="DBE5F1"/>
            <w:vAlign w:val="center"/>
          </w:tcPr>
          <w:p w14:paraId="1A5B2138" w14:textId="77777777" w:rsidR="008A35C6" w:rsidRPr="004D4A14" w:rsidRDefault="008A35C6" w:rsidP="008A35C6">
            <w:pPr>
              <w:spacing w:after="0" w:line="240" w:lineRule="auto"/>
              <w:jc w:val="center"/>
              <w:rPr>
                <w:rFonts w:eastAsia="Calibri" w:cs="Times New Roman"/>
                <w:b/>
                <w:noProof/>
                <w:sz w:val="16"/>
                <w:szCs w:val="16"/>
              </w:rPr>
            </w:pPr>
            <w:r w:rsidRPr="004D4A14">
              <w:rPr>
                <w:rFonts w:eastAsia="Calibri" w:cs="Times New Roman"/>
                <w:b/>
                <w:noProof/>
                <w:sz w:val="16"/>
                <w:szCs w:val="16"/>
              </w:rPr>
              <w:t>Matavimo vienetas</w:t>
            </w:r>
          </w:p>
        </w:tc>
        <w:tc>
          <w:tcPr>
            <w:tcW w:w="290" w:type="pct"/>
            <w:tcBorders>
              <w:top w:val="single" w:sz="12" w:space="0" w:color="auto"/>
              <w:left w:val="single" w:sz="12" w:space="0" w:color="auto"/>
              <w:bottom w:val="single" w:sz="12" w:space="0" w:color="auto"/>
              <w:right w:val="single" w:sz="12" w:space="0" w:color="auto"/>
            </w:tcBorders>
            <w:shd w:val="clear" w:color="auto" w:fill="DBE5F1"/>
            <w:vAlign w:val="center"/>
          </w:tcPr>
          <w:p w14:paraId="3516327E" w14:textId="77777777" w:rsidR="008A35C6" w:rsidRPr="004D4A14" w:rsidRDefault="008A35C6" w:rsidP="008A35C6">
            <w:pPr>
              <w:spacing w:after="0" w:line="240" w:lineRule="auto"/>
              <w:jc w:val="center"/>
              <w:rPr>
                <w:rFonts w:eastAsia="Calibri" w:cs="Times New Roman"/>
                <w:b/>
                <w:noProof/>
                <w:sz w:val="16"/>
                <w:szCs w:val="16"/>
              </w:rPr>
            </w:pPr>
            <w:r w:rsidRPr="004D4A14">
              <w:rPr>
                <w:rFonts w:eastAsia="Calibri"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vAlign w:val="center"/>
          </w:tcPr>
          <w:p w14:paraId="2F9BDAC0" w14:textId="77777777" w:rsidR="008A35C6" w:rsidRPr="004D4A14" w:rsidRDefault="008A35C6" w:rsidP="008A35C6">
            <w:pPr>
              <w:spacing w:after="0" w:line="240" w:lineRule="auto"/>
              <w:jc w:val="center"/>
              <w:rPr>
                <w:rFonts w:eastAsia="Calibri" w:cs="Times New Roman"/>
                <w:b/>
                <w:noProof/>
                <w:sz w:val="16"/>
                <w:szCs w:val="16"/>
              </w:rPr>
            </w:pPr>
            <w:r w:rsidRPr="004D4A14">
              <w:rPr>
                <w:rFonts w:eastAsia="Calibri" w:cs="Times New Roman"/>
                <w:b/>
                <w:noProof/>
                <w:sz w:val="16"/>
                <w:szCs w:val="16"/>
              </w:rPr>
              <w:t>Ataskaitiniai metai</w:t>
            </w:r>
          </w:p>
        </w:tc>
        <w:tc>
          <w:tcPr>
            <w:tcW w:w="364" w:type="pct"/>
            <w:tcBorders>
              <w:top w:val="single" w:sz="12" w:space="0" w:color="auto"/>
              <w:left w:val="single" w:sz="12" w:space="0" w:color="auto"/>
              <w:bottom w:val="single" w:sz="12" w:space="0" w:color="auto"/>
              <w:right w:val="single" w:sz="12" w:space="0" w:color="auto"/>
            </w:tcBorders>
            <w:shd w:val="clear" w:color="auto" w:fill="DBE5F1"/>
            <w:vAlign w:val="center"/>
          </w:tcPr>
          <w:p w14:paraId="0923BC77" w14:textId="77777777" w:rsidR="008A35C6" w:rsidRPr="004D4A14" w:rsidRDefault="008A35C6" w:rsidP="008A35C6">
            <w:pPr>
              <w:spacing w:after="0" w:line="240" w:lineRule="auto"/>
              <w:jc w:val="center"/>
              <w:rPr>
                <w:rFonts w:eastAsia="Calibri" w:cs="Times New Roman"/>
                <w:b/>
                <w:noProof/>
                <w:sz w:val="16"/>
                <w:szCs w:val="16"/>
              </w:rPr>
            </w:pPr>
            <w:r w:rsidRPr="004D4A14">
              <w:rPr>
                <w:rFonts w:eastAsia="Calibri" w:cs="Times New Roman"/>
                <w:b/>
                <w:noProof/>
                <w:sz w:val="16"/>
                <w:szCs w:val="16"/>
              </w:rPr>
              <w:t>Siek</w:t>
            </w:r>
            <w:r w:rsidR="004253D0" w:rsidRPr="004D4A14">
              <w:rPr>
                <w:rFonts w:eastAsia="Calibri" w:cs="Times New Roman"/>
                <w:b/>
                <w:noProof/>
                <w:sz w:val="16"/>
                <w:szCs w:val="16"/>
              </w:rPr>
              <w:t>tina reikšmė</w:t>
            </w:r>
            <w:r w:rsidRPr="004D4A14">
              <w:rPr>
                <w:rFonts w:eastAsia="Calibri" w:cs="Times New Roman"/>
                <w:b/>
                <w:noProof/>
                <w:sz w:val="16"/>
                <w:szCs w:val="16"/>
              </w:rPr>
              <w:t xml:space="preserve"> (2029 m.)</w:t>
            </w:r>
          </w:p>
        </w:tc>
        <w:tc>
          <w:tcPr>
            <w:tcW w:w="303" w:type="pct"/>
            <w:tcBorders>
              <w:top w:val="single" w:sz="12" w:space="0" w:color="auto"/>
              <w:left w:val="single" w:sz="12" w:space="0" w:color="auto"/>
              <w:bottom w:val="single" w:sz="12" w:space="0" w:color="auto"/>
              <w:right w:val="single" w:sz="12" w:space="0" w:color="auto"/>
            </w:tcBorders>
            <w:shd w:val="clear" w:color="auto" w:fill="DBE5F1"/>
            <w:vAlign w:val="center"/>
          </w:tcPr>
          <w:p w14:paraId="3B01C3FF" w14:textId="77777777" w:rsidR="008A35C6" w:rsidRPr="004D4A14" w:rsidRDefault="00BA52CF" w:rsidP="008A35C6">
            <w:pPr>
              <w:spacing w:after="0" w:line="240" w:lineRule="auto"/>
              <w:jc w:val="center"/>
              <w:rPr>
                <w:rFonts w:eastAsia="Calibri" w:cs="Times New Roman"/>
                <w:b/>
                <w:noProof/>
                <w:sz w:val="16"/>
                <w:szCs w:val="16"/>
              </w:rPr>
            </w:pPr>
            <w:r w:rsidRPr="004D4A14">
              <w:rPr>
                <w:rFonts w:eastAsia="Calibri" w:cs="Times New Roman"/>
                <w:b/>
                <w:noProof/>
                <w:sz w:val="16"/>
                <w:szCs w:val="16"/>
              </w:rPr>
              <w:t>Duomenų šaltinis</w:t>
            </w:r>
          </w:p>
        </w:tc>
        <w:tc>
          <w:tcPr>
            <w:tcW w:w="312" w:type="pct"/>
            <w:tcBorders>
              <w:top w:val="single" w:sz="12" w:space="0" w:color="auto"/>
              <w:left w:val="single" w:sz="12" w:space="0" w:color="auto"/>
              <w:bottom w:val="single" w:sz="12" w:space="0" w:color="auto"/>
              <w:right w:val="single" w:sz="12" w:space="0" w:color="auto"/>
            </w:tcBorders>
            <w:shd w:val="clear" w:color="auto" w:fill="DBE5F1"/>
            <w:vAlign w:val="center"/>
          </w:tcPr>
          <w:p w14:paraId="4DC8F244" w14:textId="77777777" w:rsidR="008A35C6" w:rsidRPr="004D4A14" w:rsidRDefault="00BA52CF" w:rsidP="008A35C6">
            <w:pPr>
              <w:spacing w:after="0" w:line="240" w:lineRule="auto"/>
              <w:jc w:val="center"/>
              <w:rPr>
                <w:rFonts w:eastAsia="Calibri" w:cs="Times New Roman"/>
                <w:b/>
                <w:noProof/>
                <w:sz w:val="16"/>
                <w:szCs w:val="16"/>
              </w:rPr>
            </w:pPr>
            <w:r w:rsidRPr="004D4A14">
              <w:rPr>
                <w:rFonts w:eastAsia="Calibri" w:cs="Times New Roman"/>
                <w:b/>
                <w:noProof/>
                <w:sz w:val="16"/>
                <w:szCs w:val="16"/>
              </w:rPr>
              <w:t>Pastabos</w:t>
            </w:r>
          </w:p>
        </w:tc>
      </w:tr>
      <w:tr w:rsidR="009E57CF" w:rsidRPr="004D4A14" w14:paraId="7767936A" w14:textId="77777777" w:rsidTr="009D6F1D">
        <w:trPr>
          <w:trHeight w:val="438"/>
        </w:trPr>
        <w:tc>
          <w:tcPr>
            <w:tcW w:w="317" w:type="pct"/>
            <w:vMerge w:val="restart"/>
            <w:tcBorders>
              <w:top w:val="single" w:sz="12" w:space="0" w:color="auto"/>
            </w:tcBorders>
            <w:shd w:val="clear" w:color="auto" w:fill="FFFFFF" w:themeFill="background1"/>
          </w:tcPr>
          <w:p w14:paraId="611A358C" w14:textId="77777777" w:rsidR="009E57CF" w:rsidRPr="004D4A14" w:rsidRDefault="009E57CF" w:rsidP="000F58E5">
            <w:pPr>
              <w:spacing w:after="0" w:line="240" w:lineRule="auto"/>
              <w:jc w:val="both"/>
              <w:rPr>
                <w:rFonts w:eastAsia="Calibri" w:cs="Times New Roman"/>
                <w:noProof/>
                <w:sz w:val="16"/>
                <w:szCs w:val="16"/>
              </w:rPr>
            </w:pPr>
            <w:r w:rsidRPr="004D4A14">
              <w:rPr>
                <w:rFonts w:cs="Times New Roman"/>
                <w:noProof/>
                <w:sz w:val="16"/>
                <w:szCs w:val="16"/>
              </w:rPr>
              <w:t>11. Gynybos ir saugumo pramonės stiprinimas</w:t>
            </w:r>
          </w:p>
          <w:p w14:paraId="5A479D02" w14:textId="77777777" w:rsidR="009E57CF" w:rsidRPr="004D4A14" w:rsidRDefault="009E57CF" w:rsidP="000F58E5">
            <w:pPr>
              <w:spacing w:after="0" w:line="240" w:lineRule="auto"/>
              <w:jc w:val="both"/>
              <w:rPr>
                <w:rFonts w:cs="Times New Roman"/>
                <w:noProof/>
                <w:sz w:val="16"/>
                <w:szCs w:val="16"/>
              </w:rPr>
            </w:pPr>
          </w:p>
        </w:tc>
        <w:tc>
          <w:tcPr>
            <w:tcW w:w="495" w:type="pct"/>
            <w:vMerge w:val="restart"/>
            <w:tcBorders>
              <w:top w:val="single" w:sz="12" w:space="0" w:color="auto"/>
            </w:tcBorders>
            <w:shd w:val="clear" w:color="auto" w:fill="FFFFFF" w:themeFill="background1"/>
          </w:tcPr>
          <w:p w14:paraId="1861A8B4" w14:textId="77777777" w:rsidR="009E57CF" w:rsidRPr="004D4A14" w:rsidRDefault="009E57CF" w:rsidP="000F58E5">
            <w:pPr>
              <w:spacing w:after="0" w:line="240" w:lineRule="auto"/>
              <w:jc w:val="both"/>
              <w:rPr>
                <w:rFonts w:eastAsia="Calibri" w:cs="Times New Roman"/>
                <w:noProof/>
                <w:sz w:val="16"/>
                <w:szCs w:val="16"/>
              </w:rPr>
            </w:pPr>
            <w:r w:rsidRPr="004D4A14">
              <w:rPr>
                <w:rFonts w:cs="Times New Roman"/>
                <w:noProof/>
                <w:sz w:val="16"/>
                <w:szCs w:val="16"/>
                <w:lang w:val="en-US"/>
              </w:rPr>
              <w:t xml:space="preserve">11.1 </w:t>
            </w:r>
            <w:r w:rsidRPr="004D4A14">
              <w:rPr>
                <w:rFonts w:cs="Times New Roman"/>
                <w:noProof/>
                <w:sz w:val="16"/>
                <w:szCs w:val="16"/>
              </w:rPr>
              <w:t>Didinti pramonės pajėgumus, siekiant skatinti gynybos pajėgumų didinimą, pirmenybę teikiant dvejopo naudojimo pajėgumams</w:t>
            </w:r>
          </w:p>
          <w:p w14:paraId="085F3D0E" w14:textId="77777777" w:rsidR="009E57CF" w:rsidRPr="004D4A14" w:rsidRDefault="009E57CF" w:rsidP="000F58E5">
            <w:pPr>
              <w:spacing w:after="0" w:line="240" w:lineRule="auto"/>
              <w:jc w:val="both"/>
              <w:rPr>
                <w:rFonts w:cs="Times New Roman"/>
                <w:noProof/>
                <w:sz w:val="16"/>
                <w:szCs w:val="16"/>
                <w:lang w:val="en-US"/>
              </w:rPr>
            </w:pPr>
          </w:p>
        </w:tc>
        <w:tc>
          <w:tcPr>
            <w:tcW w:w="243" w:type="pct"/>
            <w:vMerge w:val="restart"/>
            <w:tcBorders>
              <w:top w:val="single" w:sz="12" w:space="0" w:color="auto"/>
            </w:tcBorders>
            <w:shd w:val="clear" w:color="auto" w:fill="FFFFFF" w:themeFill="background1"/>
          </w:tcPr>
          <w:p w14:paraId="71C68F61" w14:textId="77777777" w:rsidR="009E57CF" w:rsidRPr="004D4A14" w:rsidRDefault="009E57CF" w:rsidP="000F58E5">
            <w:pPr>
              <w:spacing w:after="0" w:line="240" w:lineRule="auto"/>
              <w:jc w:val="both"/>
              <w:rPr>
                <w:rFonts w:eastAsia="Calibri" w:cs="Times New Roman"/>
                <w:noProof/>
                <w:sz w:val="16"/>
                <w:szCs w:val="16"/>
              </w:rPr>
            </w:pPr>
            <w:r w:rsidRPr="004D4A14">
              <w:rPr>
                <w:rFonts w:cs="Times New Roman"/>
                <w:noProof/>
                <w:sz w:val="16"/>
                <w:szCs w:val="16"/>
              </w:rPr>
              <w:t>ERPF</w:t>
            </w:r>
          </w:p>
          <w:p w14:paraId="48B60812" w14:textId="77777777" w:rsidR="009E57CF" w:rsidRPr="004D4A14" w:rsidRDefault="009E57CF" w:rsidP="000F58E5">
            <w:pPr>
              <w:spacing w:after="0" w:line="240" w:lineRule="auto"/>
              <w:jc w:val="both"/>
              <w:rPr>
                <w:rFonts w:cs="Times New Roman"/>
                <w:noProof/>
                <w:sz w:val="16"/>
                <w:szCs w:val="16"/>
              </w:rPr>
            </w:pPr>
          </w:p>
        </w:tc>
        <w:tc>
          <w:tcPr>
            <w:tcW w:w="333" w:type="pct"/>
            <w:tcBorders>
              <w:top w:val="single" w:sz="4" w:space="0" w:color="auto"/>
              <w:bottom w:val="single" w:sz="4" w:space="0" w:color="auto"/>
            </w:tcBorders>
            <w:shd w:val="clear" w:color="auto" w:fill="FFFFFF" w:themeFill="background1"/>
          </w:tcPr>
          <w:p w14:paraId="0A60670B" w14:textId="49FC5B8A" w:rsidR="009E57CF" w:rsidRPr="004D4A14" w:rsidRDefault="009E57CF" w:rsidP="009E57CF">
            <w:pPr>
              <w:spacing w:line="240" w:lineRule="auto"/>
              <w:rPr>
                <w:rFonts w:eastAsia="Times New Roman" w:cs="Times New Roman"/>
                <w:iCs/>
                <w:noProof/>
                <w:sz w:val="16"/>
                <w:szCs w:val="16"/>
              </w:rPr>
            </w:pPr>
            <w:r w:rsidRPr="004D4A14">
              <w:rPr>
                <w:rFonts w:eastAsia="Times New Roman" w:cs="Times New Roman"/>
                <w:iCs/>
                <w:noProof/>
                <w:sz w:val="16"/>
                <w:szCs w:val="16"/>
              </w:rPr>
              <w:t>VVL regionas</w:t>
            </w:r>
          </w:p>
        </w:tc>
        <w:tc>
          <w:tcPr>
            <w:tcW w:w="424" w:type="pct"/>
            <w:tcBorders>
              <w:top w:val="single" w:sz="12" w:space="0" w:color="auto"/>
              <w:bottom w:val="single" w:sz="4" w:space="0" w:color="auto"/>
            </w:tcBorders>
            <w:shd w:val="clear" w:color="auto" w:fill="FFFFFF" w:themeFill="background1"/>
          </w:tcPr>
          <w:p w14:paraId="2F5DD5EE" w14:textId="5AFE12DD" w:rsidR="009E57CF" w:rsidRPr="004D4A14" w:rsidRDefault="009E57CF" w:rsidP="000F58E5">
            <w:pPr>
              <w:spacing w:after="0" w:line="240" w:lineRule="auto"/>
              <w:jc w:val="both"/>
              <w:rPr>
                <w:rFonts w:eastAsia="Calibri" w:cs="Times New Roman"/>
                <w:sz w:val="16"/>
                <w:szCs w:val="16"/>
                <w:lang w:eastAsia="en-GB" w:bidi="lt-LT"/>
              </w:rPr>
            </w:pPr>
            <w:r w:rsidRPr="004D4A14">
              <w:rPr>
                <w:rFonts w:eastAsia="Calibri" w:cs="Times New Roman"/>
                <w:sz w:val="16"/>
                <w:szCs w:val="16"/>
                <w:lang w:eastAsia="en-GB" w:bidi="lt-LT"/>
              </w:rPr>
              <w:t>RCR01</w:t>
            </w:r>
          </w:p>
        </w:tc>
        <w:tc>
          <w:tcPr>
            <w:tcW w:w="1178" w:type="pct"/>
            <w:tcBorders>
              <w:top w:val="single" w:sz="12" w:space="0" w:color="auto"/>
              <w:bottom w:val="single" w:sz="4" w:space="0" w:color="auto"/>
            </w:tcBorders>
            <w:shd w:val="clear" w:color="auto" w:fill="FFFFFF" w:themeFill="background1"/>
          </w:tcPr>
          <w:p w14:paraId="3DE4E97F" w14:textId="68ADAF54" w:rsidR="009E57CF" w:rsidRPr="004D4A14" w:rsidRDefault="009E57CF" w:rsidP="000F58E5">
            <w:pPr>
              <w:spacing w:after="0" w:line="240" w:lineRule="auto"/>
              <w:jc w:val="both"/>
              <w:rPr>
                <w:rFonts w:eastAsia="Calibri" w:cs="Times New Roman"/>
                <w:sz w:val="16"/>
                <w:szCs w:val="16"/>
                <w:lang w:eastAsia="lt-LT" w:bidi="lt-LT"/>
              </w:rPr>
            </w:pPr>
            <w:r w:rsidRPr="004D4A14">
              <w:rPr>
                <w:rFonts w:eastAsia="Calibri" w:cs="Times New Roman"/>
                <w:sz w:val="16"/>
                <w:szCs w:val="16"/>
                <w:lang w:eastAsia="lt-LT" w:bidi="lt-LT"/>
              </w:rPr>
              <w:t>Paramą gavusiuose subjektuose sukurtos darbo vietos</w:t>
            </w:r>
          </w:p>
        </w:tc>
        <w:tc>
          <w:tcPr>
            <w:tcW w:w="366" w:type="pct"/>
            <w:tcBorders>
              <w:top w:val="single" w:sz="4" w:space="0" w:color="auto"/>
              <w:bottom w:val="single" w:sz="4" w:space="0" w:color="auto"/>
            </w:tcBorders>
            <w:shd w:val="clear" w:color="auto" w:fill="FFFFFF" w:themeFill="background1"/>
          </w:tcPr>
          <w:p w14:paraId="11DE8568" w14:textId="12E58022" w:rsidR="009E57CF" w:rsidRPr="004D4A14" w:rsidRDefault="009E57CF" w:rsidP="000F58E5">
            <w:pPr>
              <w:spacing w:after="0" w:line="240" w:lineRule="auto"/>
              <w:jc w:val="both"/>
              <w:rPr>
                <w:rFonts w:eastAsia="Calibri" w:cs="Times New Roman"/>
                <w:noProof/>
                <w:sz w:val="16"/>
                <w:szCs w:val="16"/>
              </w:rPr>
            </w:pPr>
            <w:r w:rsidRPr="004D4A14">
              <w:rPr>
                <w:rFonts w:eastAsia="Calibri" w:cs="Times New Roman"/>
                <w:noProof/>
                <w:sz w:val="16"/>
                <w:szCs w:val="16"/>
              </w:rPr>
              <w:t>Vienų metų etato ekvivalentai</w:t>
            </w:r>
          </w:p>
        </w:tc>
        <w:tc>
          <w:tcPr>
            <w:tcW w:w="290" w:type="pct"/>
            <w:tcBorders>
              <w:top w:val="single" w:sz="4" w:space="0" w:color="auto"/>
              <w:bottom w:val="single" w:sz="4" w:space="0" w:color="auto"/>
            </w:tcBorders>
            <w:shd w:val="clear" w:color="auto" w:fill="FFFFFF" w:themeFill="background1"/>
          </w:tcPr>
          <w:p w14:paraId="20B09936" w14:textId="60269CA6" w:rsidR="009E57CF" w:rsidRPr="004D4A14" w:rsidRDefault="009E57CF" w:rsidP="000F58E5">
            <w:pPr>
              <w:spacing w:after="0" w:line="240" w:lineRule="auto"/>
              <w:jc w:val="center"/>
              <w:rPr>
                <w:rFonts w:eastAsia="Calibri" w:cs="Times New Roman"/>
                <w:noProof/>
                <w:sz w:val="16"/>
                <w:szCs w:val="16"/>
              </w:rPr>
            </w:pPr>
            <w:r w:rsidRPr="004D4A14">
              <w:rPr>
                <w:rFonts w:eastAsia="Calibri" w:cs="Times New Roman"/>
                <w:noProof/>
                <w:sz w:val="16"/>
                <w:szCs w:val="16"/>
              </w:rPr>
              <w:t>0</w:t>
            </w:r>
          </w:p>
        </w:tc>
        <w:tc>
          <w:tcPr>
            <w:tcW w:w="375" w:type="pct"/>
            <w:tcBorders>
              <w:top w:val="single" w:sz="4" w:space="0" w:color="auto"/>
              <w:bottom w:val="single" w:sz="4" w:space="0" w:color="auto"/>
            </w:tcBorders>
            <w:shd w:val="clear" w:color="auto" w:fill="FFFFFF" w:themeFill="background1"/>
          </w:tcPr>
          <w:p w14:paraId="31F26976" w14:textId="1C893B9A" w:rsidR="009E57CF" w:rsidRPr="004D4A14" w:rsidRDefault="009E57CF" w:rsidP="000F58E5">
            <w:pPr>
              <w:spacing w:after="0" w:line="240" w:lineRule="auto"/>
              <w:jc w:val="center"/>
              <w:rPr>
                <w:rFonts w:eastAsia="Calibri" w:cs="Times New Roman"/>
                <w:noProof/>
                <w:sz w:val="16"/>
                <w:szCs w:val="16"/>
              </w:rPr>
            </w:pPr>
            <w:r w:rsidRPr="004D4A14">
              <w:rPr>
                <w:rFonts w:eastAsia="Calibri" w:cs="Times New Roman"/>
                <w:noProof/>
                <w:sz w:val="16"/>
                <w:szCs w:val="16"/>
              </w:rPr>
              <w:t>2021</w:t>
            </w:r>
          </w:p>
        </w:tc>
        <w:tc>
          <w:tcPr>
            <w:tcW w:w="364" w:type="pct"/>
            <w:tcBorders>
              <w:top w:val="single" w:sz="4" w:space="0" w:color="auto"/>
              <w:bottom w:val="single" w:sz="4" w:space="0" w:color="auto"/>
            </w:tcBorders>
            <w:shd w:val="clear" w:color="auto" w:fill="FFFFFF" w:themeFill="background1"/>
          </w:tcPr>
          <w:p w14:paraId="3BC49A3A" w14:textId="663914DF" w:rsidR="009E57CF" w:rsidRPr="004D4A14" w:rsidRDefault="00513F7E" w:rsidP="000F58E5">
            <w:pPr>
              <w:spacing w:after="0" w:line="240" w:lineRule="auto"/>
              <w:jc w:val="center"/>
              <w:rPr>
                <w:rFonts w:eastAsia="Calibri" w:cs="Times New Roman"/>
                <w:iCs/>
                <w:noProof/>
                <w:sz w:val="16"/>
                <w:szCs w:val="16"/>
              </w:rPr>
            </w:pPr>
            <w:r w:rsidRPr="004D4A14">
              <w:rPr>
                <w:rFonts w:eastAsia="Calibri" w:cs="Times New Roman"/>
                <w:iCs/>
                <w:noProof/>
                <w:sz w:val="16"/>
                <w:szCs w:val="16"/>
              </w:rPr>
              <w:t>30</w:t>
            </w:r>
          </w:p>
        </w:tc>
        <w:tc>
          <w:tcPr>
            <w:tcW w:w="303" w:type="pct"/>
            <w:tcBorders>
              <w:top w:val="single" w:sz="4" w:space="0" w:color="auto"/>
              <w:bottom w:val="single" w:sz="4" w:space="0" w:color="auto"/>
            </w:tcBorders>
            <w:shd w:val="clear" w:color="auto" w:fill="FFFFFF" w:themeFill="background1"/>
          </w:tcPr>
          <w:p w14:paraId="005D6C0E" w14:textId="1FA49A52" w:rsidR="009E57CF" w:rsidRPr="004D4A14" w:rsidRDefault="009E57CF" w:rsidP="000F58E5">
            <w:pPr>
              <w:spacing w:after="0" w:line="240" w:lineRule="auto"/>
              <w:jc w:val="both"/>
              <w:rPr>
                <w:rFonts w:eastAsia="Calibri" w:cs="Times New Roman"/>
                <w:noProof/>
                <w:sz w:val="16"/>
                <w:szCs w:val="16"/>
              </w:rPr>
            </w:pPr>
            <w:r w:rsidRPr="004D4A14">
              <w:rPr>
                <w:rFonts w:eastAsia="Calibri" w:cs="Times New Roman"/>
                <w:noProof/>
                <w:sz w:val="16"/>
                <w:szCs w:val="16"/>
              </w:rPr>
              <w:t>Projektų duomenys</w:t>
            </w:r>
          </w:p>
        </w:tc>
        <w:tc>
          <w:tcPr>
            <w:tcW w:w="312" w:type="pct"/>
            <w:tcBorders>
              <w:top w:val="single" w:sz="12" w:space="0" w:color="auto"/>
              <w:bottom w:val="single" w:sz="4" w:space="0" w:color="auto"/>
            </w:tcBorders>
            <w:shd w:val="clear" w:color="auto" w:fill="FFFFFF" w:themeFill="background1"/>
          </w:tcPr>
          <w:p w14:paraId="1B07056B" w14:textId="77777777" w:rsidR="009E57CF" w:rsidRPr="004D4A14" w:rsidRDefault="009E57CF" w:rsidP="000F58E5">
            <w:pPr>
              <w:spacing w:after="0" w:line="240" w:lineRule="auto"/>
              <w:jc w:val="both"/>
              <w:rPr>
                <w:rFonts w:eastAsia="Calibri" w:cs="Times New Roman"/>
                <w:i/>
                <w:noProof/>
                <w:sz w:val="16"/>
                <w:szCs w:val="16"/>
                <w:lang w:eastAsia="lt-LT" w:bidi="lt-LT"/>
              </w:rPr>
            </w:pPr>
          </w:p>
        </w:tc>
      </w:tr>
      <w:tr w:rsidR="009E57CF" w:rsidRPr="004D4A14" w14:paraId="121651E6" w14:textId="77777777" w:rsidTr="00E20003">
        <w:trPr>
          <w:trHeight w:val="528"/>
        </w:trPr>
        <w:tc>
          <w:tcPr>
            <w:tcW w:w="317" w:type="pct"/>
            <w:vMerge/>
            <w:shd w:val="clear" w:color="auto" w:fill="FFFFFF" w:themeFill="background1"/>
          </w:tcPr>
          <w:p w14:paraId="5918EDEB" w14:textId="643CF6AB" w:rsidR="009E57CF" w:rsidRPr="004D4A14" w:rsidRDefault="009E57CF" w:rsidP="000F58E5">
            <w:pPr>
              <w:spacing w:after="0" w:line="240" w:lineRule="auto"/>
              <w:jc w:val="both"/>
              <w:rPr>
                <w:rFonts w:eastAsia="Calibri" w:cs="Times New Roman"/>
                <w:noProof/>
                <w:sz w:val="16"/>
                <w:szCs w:val="16"/>
              </w:rPr>
            </w:pPr>
          </w:p>
        </w:tc>
        <w:tc>
          <w:tcPr>
            <w:tcW w:w="495" w:type="pct"/>
            <w:vMerge/>
            <w:shd w:val="clear" w:color="auto" w:fill="FFFFFF" w:themeFill="background1"/>
          </w:tcPr>
          <w:p w14:paraId="2C6C2E2F" w14:textId="710F4255" w:rsidR="009E57CF" w:rsidRPr="004D4A14" w:rsidRDefault="009E57CF" w:rsidP="000F58E5">
            <w:pPr>
              <w:spacing w:after="0" w:line="240" w:lineRule="auto"/>
              <w:jc w:val="both"/>
              <w:rPr>
                <w:rFonts w:eastAsia="Calibri" w:cs="Times New Roman"/>
                <w:noProof/>
                <w:sz w:val="16"/>
                <w:szCs w:val="16"/>
              </w:rPr>
            </w:pPr>
          </w:p>
        </w:tc>
        <w:tc>
          <w:tcPr>
            <w:tcW w:w="243" w:type="pct"/>
            <w:vMerge/>
            <w:shd w:val="clear" w:color="auto" w:fill="FFFFFF" w:themeFill="background1"/>
          </w:tcPr>
          <w:p w14:paraId="4D34846F" w14:textId="0C3AD1A8" w:rsidR="009E57CF" w:rsidRPr="004D4A14" w:rsidRDefault="009E57CF" w:rsidP="000F58E5">
            <w:pPr>
              <w:spacing w:after="0" w:line="240" w:lineRule="auto"/>
              <w:jc w:val="both"/>
              <w:rPr>
                <w:rFonts w:eastAsia="Calibri" w:cs="Times New Roman"/>
                <w:noProof/>
                <w:sz w:val="16"/>
                <w:szCs w:val="16"/>
              </w:rPr>
            </w:pPr>
          </w:p>
        </w:tc>
        <w:tc>
          <w:tcPr>
            <w:tcW w:w="333" w:type="pct"/>
            <w:tcBorders>
              <w:top w:val="single" w:sz="4" w:space="0" w:color="auto"/>
              <w:bottom w:val="single" w:sz="4" w:space="0" w:color="auto"/>
            </w:tcBorders>
            <w:shd w:val="clear" w:color="auto" w:fill="FFFFFF" w:themeFill="background1"/>
          </w:tcPr>
          <w:p w14:paraId="72C97B7A" w14:textId="1263D691" w:rsidR="009E57CF" w:rsidRPr="004D4A14" w:rsidRDefault="009E57CF" w:rsidP="007E5C85">
            <w:pPr>
              <w:rPr>
                <w:rFonts w:eastAsia="Times New Roman" w:cs="Times New Roman"/>
                <w:iCs/>
                <w:noProof/>
                <w:sz w:val="16"/>
                <w:szCs w:val="16"/>
              </w:rPr>
            </w:pPr>
            <w:r w:rsidRPr="004D4A14">
              <w:rPr>
                <w:rFonts w:eastAsia="Times New Roman" w:cs="Times New Roman"/>
                <w:iCs/>
                <w:noProof/>
                <w:sz w:val="16"/>
                <w:szCs w:val="16"/>
              </w:rPr>
              <w:t>VVL regionas</w:t>
            </w:r>
          </w:p>
        </w:tc>
        <w:tc>
          <w:tcPr>
            <w:tcW w:w="424" w:type="pct"/>
            <w:tcBorders>
              <w:top w:val="single" w:sz="4" w:space="0" w:color="auto"/>
            </w:tcBorders>
            <w:shd w:val="clear" w:color="auto" w:fill="FFFFFF" w:themeFill="background1"/>
          </w:tcPr>
          <w:p w14:paraId="3692D967" w14:textId="2AA77D91" w:rsidR="009E57CF" w:rsidRPr="004D4A14" w:rsidRDefault="009E57CF" w:rsidP="000F58E5">
            <w:pPr>
              <w:spacing w:after="0" w:line="240" w:lineRule="auto"/>
              <w:jc w:val="both"/>
              <w:rPr>
                <w:rFonts w:eastAsia="Calibri" w:cs="Times New Roman"/>
                <w:sz w:val="16"/>
                <w:szCs w:val="16"/>
                <w:lang w:eastAsia="lt-LT" w:bidi="lt-LT"/>
              </w:rPr>
            </w:pPr>
            <w:r w:rsidRPr="004D4A14">
              <w:rPr>
                <w:rFonts w:eastAsia="Calibri" w:cs="Times New Roman"/>
                <w:sz w:val="16"/>
                <w:szCs w:val="16"/>
                <w:lang w:eastAsia="en-GB" w:bidi="lt-LT"/>
              </w:rPr>
              <w:t>RCR02</w:t>
            </w:r>
          </w:p>
        </w:tc>
        <w:tc>
          <w:tcPr>
            <w:tcW w:w="1178" w:type="pct"/>
            <w:tcBorders>
              <w:top w:val="single" w:sz="4" w:space="0" w:color="auto"/>
            </w:tcBorders>
            <w:shd w:val="clear" w:color="auto" w:fill="FFFFFF" w:themeFill="background1"/>
          </w:tcPr>
          <w:p w14:paraId="0D9E59DE" w14:textId="382FF081" w:rsidR="009E57CF" w:rsidRPr="004D4A14" w:rsidRDefault="009E57CF" w:rsidP="000F58E5">
            <w:pPr>
              <w:spacing w:after="0" w:line="240" w:lineRule="auto"/>
              <w:jc w:val="both"/>
              <w:rPr>
                <w:rFonts w:eastAsia="Calibri" w:cs="Times New Roman"/>
                <w:sz w:val="16"/>
                <w:szCs w:val="16"/>
                <w:lang w:eastAsia="lt-LT" w:bidi="lt-LT"/>
              </w:rPr>
            </w:pPr>
            <w:r w:rsidRPr="004D4A14">
              <w:rPr>
                <w:rFonts w:eastAsia="Calibri" w:cs="Times New Roman"/>
                <w:sz w:val="16"/>
                <w:szCs w:val="16"/>
                <w:lang w:eastAsia="lt-LT" w:bidi="lt-LT"/>
              </w:rPr>
              <w:t>Privačiosios investicijos, papildančios viešąją paramą iš kurių: dotacijos, finansinės priemonės</w:t>
            </w:r>
          </w:p>
          <w:p w14:paraId="3AAB156B" w14:textId="2196A3DE" w:rsidR="009E57CF" w:rsidRPr="004D4A14" w:rsidRDefault="009E57CF" w:rsidP="000F58E5">
            <w:pPr>
              <w:spacing w:after="0" w:line="240" w:lineRule="auto"/>
              <w:jc w:val="both"/>
              <w:rPr>
                <w:rFonts w:eastAsia="Calibri" w:cs="Times New Roman"/>
                <w:sz w:val="16"/>
                <w:szCs w:val="16"/>
                <w:lang w:eastAsia="lt-LT" w:bidi="lt-LT"/>
              </w:rPr>
            </w:pPr>
          </w:p>
        </w:tc>
        <w:tc>
          <w:tcPr>
            <w:tcW w:w="366" w:type="pct"/>
            <w:tcBorders>
              <w:top w:val="single" w:sz="4" w:space="0" w:color="auto"/>
            </w:tcBorders>
            <w:shd w:val="clear" w:color="auto" w:fill="FFFFFF" w:themeFill="background1"/>
          </w:tcPr>
          <w:p w14:paraId="50616AE8" w14:textId="12BC89AF" w:rsidR="009E57CF" w:rsidRPr="004D4A14" w:rsidRDefault="009E57CF" w:rsidP="000F58E5">
            <w:pPr>
              <w:spacing w:after="0" w:line="240" w:lineRule="auto"/>
              <w:jc w:val="both"/>
              <w:rPr>
                <w:rFonts w:eastAsia="Calibri" w:cs="Times New Roman"/>
                <w:noProof/>
                <w:sz w:val="16"/>
                <w:szCs w:val="16"/>
              </w:rPr>
            </w:pPr>
            <w:r w:rsidRPr="004D4A14">
              <w:rPr>
                <w:rFonts w:eastAsia="Calibri" w:cs="Times New Roman"/>
                <w:noProof/>
                <w:sz w:val="16"/>
                <w:szCs w:val="16"/>
              </w:rPr>
              <w:t>Eurai</w:t>
            </w:r>
          </w:p>
        </w:tc>
        <w:tc>
          <w:tcPr>
            <w:tcW w:w="290" w:type="pct"/>
            <w:tcBorders>
              <w:top w:val="single" w:sz="4" w:space="0" w:color="auto"/>
            </w:tcBorders>
            <w:shd w:val="clear" w:color="auto" w:fill="FFFFFF" w:themeFill="background1"/>
          </w:tcPr>
          <w:p w14:paraId="444F3999" w14:textId="65FAA71C" w:rsidR="009E57CF" w:rsidRPr="004D4A14" w:rsidRDefault="009E57CF" w:rsidP="000F58E5">
            <w:pPr>
              <w:spacing w:after="0" w:line="240" w:lineRule="auto"/>
              <w:jc w:val="center"/>
              <w:rPr>
                <w:rFonts w:eastAsia="Calibri" w:cs="Times New Roman"/>
                <w:iCs/>
                <w:noProof/>
                <w:sz w:val="16"/>
                <w:szCs w:val="16"/>
              </w:rPr>
            </w:pPr>
            <w:r w:rsidRPr="004D4A14">
              <w:rPr>
                <w:rFonts w:eastAsia="Calibri" w:cs="Times New Roman"/>
                <w:noProof/>
                <w:sz w:val="16"/>
                <w:szCs w:val="16"/>
              </w:rPr>
              <w:t>0</w:t>
            </w:r>
          </w:p>
        </w:tc>
        <w:tc>
          <w:tcPr>
            <w:tcW w:w="375" w:type="pct"/>
            <w:tcBorders>
              <w:top w:val="single" w:sz="4" w:space="0" w:color="auto"/>
            </w:tcBorders>
            <w:shd w:val="clear" w:color="auto" w:fill="FFFFFF" w:themeFill="background1"/>
          </w:tcPr>
          <w:p w14:paraId="2E616AF7" w14:textId="5BE9C146" w:rsidR="009E57CF" w:rsidRPr="004D4A14" w:rsidRDefault="009E57CF" w:rsidP="000F58E5">
            <w:pPr>
              <w:spacing w:after="0" w:line="240" w:lineRule="auto"/>
              <w:jc w:val="center"/>
              <w:rPr>
                <w:rFonts w:eastAsia="Calibri" w:cs="Times New Roman"/>
                <w:iCs/>
                <w:noProof/>
                <w:sz w:val="16"/>
                <w:szCs w:val="16"/>
              </w:rPr>
            </w:pPr>
            <w:r w:rsidRPr="004D4A14">
              <w:rPr>
                <w:rFonts w:eastAsia="Calibri" w:cs="Times New Roman"/>
                <w:noProof/>
                <w:sz w:val="16"/>
                <w:szCs w:val="16"/>
              </w:rPr>
              <w:t>202</w:t>
            </w:r>
            <w:r w:rsidRPr="004D4A14">
              <w:rPr>
                <w:rFonts w:eastAsia="Calibri" w:cs="Times New Roman"/>
                <w:noProof/>
                <w:sz w:val="16"/>
                <w:szCs w:val="16"/>
                <w:lang w:val="en-US"/>
              </w:rPr>
              <w:t>1</w:t>
            </w:r>
          </w:p>
        </w:tc>
        <w:tc>
          <w:tcPr>
            <w:tcW w:w="364" w:type="pct"/>
            <w:tcBorders>
              <w:top w:val="single" w:sz="4" w:space="0" w:color="auto"/>
            </w:tcBorders>
            <w:shd w:val="clear" w:color="auto" w:fill="FFFFFF" w:themeFill="background1"/>
          </w:tcPr>
          <w:p w14:paraId="6A514B09" w14:textId="2493EDC0" w:rsidR="009E57CF" w:rsidRPr="004D4A14" w:rsidRDefault="00513F7E" w:rsidP="000F58E5">
            <w:pPr>
              <w:spacing w:after="0" w:line="240" w:lineRule="auto"/>
              <w:jc w:val="center"/>
              <w:rPr>
                <w:rFonts w:eastAsia="Calibri" w:cs="Times New Roman"/>
                <w:iCs/>
                <w:noProof/>
                <w:sz w:val="16"/>
                <w:szCs w:val="16"/>
              </w:rPr>
            </w:pPr>
            <w:r w:rsidRPr="004D4A14">
              <w:rPr>
                <w:rFonts w:eastAsia="Calibri" w:cs="Times New Roman"/>
                <w:iCs/>
                <w:noProof/>
                <w:sz w:val="16"/>
                <w:szCs w:val="16"/>
              </w:rPr>
              <w:t>9 331 708</w:t>
            </w:r>
          </w:p>
        </w:tc>
        <w:tc>
          <w:tcPr>
            <w:tcW w:w="303" w:type="pct"/>
            <w:tcBorders>
              <w:top w:val="single" w:sz="4" w:space="0" w:color="auto"/>
            </w:tcBorders>
            <w:shd w:val="clear" w:color="auto" w:fill="FFFFFF" w:themeFill="background1"/>
          </w:tcPr>
          <w:p w14:paraId="4BB89925" w14:textId="2A5E2040" w:rsidR="009E57CF" w:rsidRPr="004D4A14" w:rsidRDefault="009E57CF" w:rsidP="000F58E5">
            <w:pPr>
              <w:spacing w:after="0" w:line="240" w:lineRule="auto"/>
              <w:jc w:val="both"/>
              <w:rPr>
                <w:rFonts w:eastAsia="Calibri" w:cs="Times New Roman"/>
                <w:iCs/>
                <w:noProof/>
                <w:sz w:val="16"/>
                <w:szCs w:val="16"/>
              </w:rPr>
            </w:pPr>
            <w:r w:rsidRPr="004D4A14">
              <w:rPr>
                <w:rFonts w:eastAsia="Calibri" w:cs="Times New Roman"/>
                <w:noProof/>
                <w:sz w:val="16"/>
                <w:szCs w:val="16"/>
              </w:rPr>
              <w:t>Projektų duomenys</w:t>
            </w:r>
          </w:p>
        </w:tc>
        <w:tc>
          <w:tcPr>
            <w:tcW w:w="312" w:type="pct"/>
            <w:tcBorders>
              <w:top w:val="single" w:sz="4" w:space="0" w:color="auto"/>
            </w:tcBorders>
            <w:shd w:val="clear" w:color="auto" w:fill="FFFFFF" w:themeFill="background1"/>
          </w:tcPr>
          <w:p w14:paraId="03D80A78" w14:textId="7C1E1B39" w:rsidR="009E57CF" w:rsidRPr="004D4A14" w:rsidRDefault="009E57CF" w:rsidP="000F58E5">
            <w:pPr>
              <w:spacing w:after="0" w:line="240" w:lineRule="auto"/>
              <w:jc w:val="both"/>
              <w:rPr>
                <w:rFonts w:eastAsia="Calibri" w:cs="Times New Roman"/>
                <w:i/>
                <w:noProof/>
                <w:sz w:val="16"/>
                <w:szCs w:val="16"/>
                <w:lang w:eastAsia="lt-LT" w:bidi="lt-LT"/>
              </w:rPr>
            </w:pPr>
          </w:p>
        </w:tc>
      </w:tr>
      <w:tr w:rsidR="009E57CF" w:rsidRPr="004D4A14" w14:paraId="6C720B58" w14:textId="77777777" w:rsidTr="00E20003">
        <w:trPr>
          <w:trHeight w:val="286"/>
        </w:trPr>
        <w:tc>
          <w:tcPr>
            <w:tcW w:w="317" w:type="pct"/>
            <w:vMerge/>
          </w:tcPr>
          <w:p w14:paraId="5F42B3D5" w14:textId="77777777" w:rsidR="009E57CF" w:rsidRPr="004D4A14" w:rsidRDefault="009E57CF" w:rsidP="007E5C85">
            <w:pPr>
              <w:spacing w:after="0" w:line="240" w:lineRule="auto"/>
              <w:jc w:val="both"/>
              <w:rPr>
                <w:rFonts w:eastAsia="Calibri" w:cs="Times New Roman"/>
                <w:noProof/>
                <w:sz w:val="16"/>
                <w:szCs w:val="16"/>
              </w:rPr>
            </w:pPr>
          </w:p>
        </w:tc>
        <w:tc>
          <w:tcPr>
            <w:tcW w:w="495" w:type="pct"/>
            <w:vMerge/>
          </w:tcPr>
          <w:p w14:paraId="1CF9E6BF" w14:textId="77777777" w:rsidR="009E57CF" w:rsidRPr="004D4A14" w:rsidRDefault="009E57CF" w:rsidP="007E5C85">
            <w:pPr>
              <w:spacing w:after="0" w:line="240" w:lineRule="auto"/>
              <w:jc w:val="both"/>
              <w:rPr>
                <w:rFonts w:eastAsia="Calibri" w:cs="Times New Roman"/>
                <w:noProof/>
                <w:sz w:val="16"/>
                <w:szCs w:val="16"/>
              </w:rPr>
            </w:pPr>
          </w:p>
        </w:tc>
        <w:tc>
          <w:tcPr>
            <w:tcW w:w="243" w:type="pct"/>
            <w:vMerge/>
          </w:tcPr>
          <w:p w14:paraId="3A15E43C" w14:textId="77777777" w:rsidR="009E57CF" w:rsidRPr="004D4A14" w:rsidRDefault="009E57CF" w:rsidP="007E5C85">
            <w:pPr>
              <w:spacing w:after="0" w:line="240" w:lineRule="auto"/>
              <w:jc w:val="both"/>
              <w:rPr>
                <w:rFonts w:eastAsia="Calibri" w:cs="Times New Roman"/>
                <w:noProof/>
                <w:sz w:val="16"/>
                <w:szCs w:val="16"/>
              </w:rPr>
            </w:pPr>
          </w:p>
        </w:tc>
        <w:tc>
          <w:tcPr>
            <w:tcW w:w="333" w:type="pct"/>
            <w:tcBorders>
              <w:top w:val="single" w:sz="4" w:space="0" w:color="auto"/>
            </w:tcBorders>
            <w:shd w:val="clear" w:color="auto" w:fill="FFFFFF" w:themeFill="background1"/>
          </w:tcPr>
          <w:p w14:paraId="74E1AA22" w14:textId="2FF39D5D" w:rsidR="009E57CF" w:rsidRPr="004D4A14" w:rsidRDefault="009E57CF" w:rsidP="007E5C85">
            <w:pPr>
              <w:spacing w:after="0" w:line="240" w:lineRule="auto"/>
              <w:jc w:val="both"/>
              <w:rPr>
                <w:rFonts w:eastAsia="Calibri" w:cs="Times New Roman"/>
                <w:noProof/>
                <w:sz w:val="16"/>
                <w:szCs w:val="16"/>
              </w:rPr>
            </w:pPr>
            <w:r w:rsidRPr="004D4A14">
              <w:rPr>
                <w:rFonts w:eastAsia="Times New Roman" w:cs="Times New Roman"/>
                <w:iCs/>
                <w:noProof/>
                <w:sz w:val="16"/>
                <w:szCs w:val="16"/>
              </w:rPr>
              <w:t>Sostinės regionas</w:t>
            </w:r>
          </w:p>
        </w:tc>
        <w:tc>
          <w:tcPr>
            <w:tcW w:w="424" w:type="pct"/>
            <w:tcBorders>
              <w:top w:val="single" w:sz="4" w:space="0" w:color="auto"/>
              <w:bottom w:val="single" w:sz="4" w:space="0" w:color="auto"/>
            </w:tcBorders>
            <w:shd w:val="clear" w:color="auto" w:fill="FFFFFF" w:themeFill="background1"/>
          </w:tcPr>
          <w:p w14:paraId="1048E07A" w14:textId="58741E54" w:rsidR="009E57CF" w:rsidRPr="004D4A14" w:rsidRDefault="009E57CF" w:rsidP="007E5C85">
            <w:pPr>
              <w:spacing w:after="0" w:line="240" w:lineRule="auto"/>
              <w:jc w:val="both"/>
              <w:rPr>
                <w:rFonts w:cs="Times New Roman"/>
                <w:sz w:val="16"/>
                <w:szCs w:val="16"/>
              </w:rPr>
            </w:pPr>
            <w:r w:rsidRPr="004D4A14">
              <w:rPr>
                <w:rFonts w:eastAsia="Calibri" w:cs="Times New Roman"/>
                <w:sz w:val="16"/>
                <w:szCs w:val="16"/>
                <w:lang w:eastAsia="en-GB" w:bidi="lt-LT"/>
              </w:rPr>
              <w:t>RCR02</w:t>
            </w:r>
          </w:p>
        </w:tc>
        <w:tc>
          <w:tcPr>
            <w:tcW w:w="1178" w:type="pct"/>
            <w:tcBorders>
              <w:top w:val="single" w:sz="4" w:space="0" w:color="auto"/>
            </w:tcBorders>
            <w:shd w:val="clear" w:color="auto" w:fill="FFFFFF" w:themeFill="background1"/>
          </w:tcPr>
          <w:p w14:paraId="79BC51C8" w14:textId="4E38144C" w:rsidR="009E57CF" w:rsidRPr="004D4A14" w:rsidRDefault="009E57CF" w:rsidP="007E5C85">
            <w:pPr>
              <w:spacing w:after="0" w:line="240" w:lineRule="auto"/>
              <w:jc w:val="both"/>
              <w:rPr>
                <w:rFonts w:eastAsia="Calibri" w:cs="Times New Roman"/>
                <w:sz w:val="16"/>
                <w:szCs w:val="16"/>
                <w:lang w:eastAsia="lt-LT" w:bidi="lt-LT"/>
              </w:rPr>
            </w:pPr>
            <w:r w:rsidRPr="004D4A14">
              <w:rPr>
                <w:rFonts w:eastAsia="Calibri" w:cs="Times New Roman"/>
                <w:sz w:val="16"/>
                <w:szCs w:val="16"/>
                <w:lang w:eastAsia="lt-LT" w:bidi="lt-LT"/>
              </w:rPr>
              <w:t>Privačiosios investicijos, papildančios viešąją paramą iš kurių: dotacijos, finansinės priemonės</w:t>
            </w:r>
          </w:p>
          <w:p w14:paraId="56D86131" w14:textId="77777777" w:rsidR="009E57CF" w:rsidRPr="004D4A14" w:rsidRDefault="009E57CF" w:rsidP="007E5C85">
            <w:pPr>
              <w:spacing w:after="0" w:line="240" w:lineRule="auto"/>
              <w:jc w:val="both"/>
              <w:rPr>
                <w:sz w:val="16"/>
                <w:szCs w:val="16"/>
              </w:rPr>
            </w:pPr>
          </w:p>
        </w:tc>
        <w:tc>
          <w:tcPr>
            <w:tcW w:w="366" w:type="pct"/>
            <w:tcBorders>
              <w:top w:val="single" w:sz="4" w:space="0" w:color="auto"/>
            </w:tcBorders>
            <w:shd w:val="clear" w:color="auto" w:fill="FFFFFF" w:themeFill="background1"/>
          </w:tcPr>
          <w:p w14:paraId="46156978" w14:textId="489A5A9E" w:rsidR="009E57CF" w:rsidRPr="004D4A14" w:rsidRDefault="009E57CF" w:rsidP="007E5C85">
            <w:pPr>
              <w:spacing w:after="0" w:line="240" w:lineRule="auto"/>
              <w:jc w:val="both"/>
              <w:rPr>
                <w:rFonts w:cs="Times New Roman"/>
                <w:sz w:val="16"/>
                <w:szCs w:val="16"/>
              </w:rPr>
            </w:pPr>
            <w:r w:rsidRPr="004D4A14">
              <w:rPr>
                <w:rFonts w:eastAsia="Calibri" w:cs="Times New Roman"/>
                <w:noProof/>
                <w:sz w:val="16"/>
                <w:szCs w:val="16"/>
              </w:rPr>
              <w:t>Eurai</w:t>
            </w:r>
          </w:p>
        </w:tc>
        <w:tc>
          <w:tcPr>
            <w:tcW w:w="290" w:type="pct"/>
            <w:tcBorders>
              <w:top w:val="single" w:sz="4" w:space="0" w:color="auto"/>
            </w:tcBorders>
            <w:shd w:val="clear" w:color="auto" w:fill="FFFFFF" w:themeFill="background1"/>
          </w:tcPr>
          <w:p w14:paraId="3E7C042D" w14:textId="64934E11" w:rsidR="009E57CF" w:rsidRPr="004D4A14" w:rsidRDefault="009E57CF" w:rsidP="007E5C85">
            <w:pPr>
              <w:spacing w:after="0" w:line="240" w:lineRule="auto"/>
              <w:jc w:val="center"/>
              <w:rPr>
                <w:rFonts w:eastAsia="Calibri" w:cs="Times New Roman"/>
                <w:iCs/>
                <w:noProof/>
                <w:sz w:val="16"/>
                <w:szCs w:val="16"/>
              </w:rPr>
            </w:pPr>
            <w:r w:rsidRPr="004D4A14">
              <w:rPr>
                <w:rFonts w:eastAsia="Calibri" w:cs="Times New Roman"/>
                <w:noProof/>
                <w:sz w:val="16"/>
                <w:szCs w:val="16"/>
              </w:rPr>
              <w:t>0</w:t>
            </w:r>
          </w:p>
        </w:tc>
        <w:tc>
          <w:tcPr>
            <w:tcW w:w="375" w:type="pct"/>
            <w:tcBorders>
              <w:top w:val="single" w:sz="4" w:space="0" w:color="auto"/>
            </w:tcBorders>
            <w:shd w:val="clear" w:color="auto" w:fill="FFFFFF" w:themeFill="background1"/>
          </w:tcPr>
          <w:p w14:paraId="36B8F52F" w14:textId="0226C6E2" w:rsidR="009E57CF" w:rsidRPr="004D4A14" w:rsidRDefault="009E57CF" w:rsidP="007E5C85">
            <w:pPr>
              <w:spacing w:after="0" w:line="240" w:lineRule="auto"/>
              <w:jc w:val="center"/>
              <w:rPr>
                <w:rFonts w:eastAsia="Calibri" w:cs="Times New Roman"/>
                <w:iCs/>
                <w:noProof/>
                <w:sz w:val="16"/>
                <w:szCs w:val="16"/>
              </w:rPr>
            </w:pPr>
            <w:r w:rsidRPr="004D4A14">
              <w:rPr>
                <w:rFonts w:eastAsia="Calibri" w:cs="Times New Roman"/>
                <w:noProof/>
                <w:sz w:val="16"/>
                <w:szCs w:val="16"/>
              </w:rPr>
              <w:t>202</w:t>
            </w:r>
            <w:r w:rsidRPr="004D4A14">
              <w:rPr>
                <w:rFonts w:eastAsia="Calibri" w:cs="Times New Roman"/>
                <w:noProof/>
                <w:sz w:val="16"/>
                <w:szCs w:val="16"/>
                <w:lang w:val="en-US"/>
              </w:rPr>
              <w:t>1</w:t>
            </w:r>
          </w:p>
        </w:tc>
        <w:tc>
          <w:tcPr>
            <w:tcW w:w="364" w:type="pct"/>
            <w:tcBorders>
              <w:top w:val="single" w:sz="4" w:space="0" w:color="auto"/>
            </w:tcBorders>
            <w:shd w:val="clear" w:color="auto" w:fill="FFFFFF" w:themeFill="background1"/>
          </w:tcPr>
          <w:p w14:paraId="70A2E6CF" w14:textId="0D1E6BEB" w:rsidR="009E57CF" w:rsidRPr="004D4A14" w:rsidRDefault="00513F7E" w:rsidP="007E5C85">
            <w:pPr>
              <w:spacing w:after="0" w:line="240" w:lineRule="auto"/>
              <w:jc w:val="center"/>
              <w:rPr>
                <w:rFonts w:eastAsia="Calibri" w:cs="Times New Roman"/>
                <w:iCs/>
                <w:noProof/>
                <w:sz w:val="16"/>
                <w:szCs w:val="16"/>
              </w:rPr>
            </w:pPr>
            <w:r w:rsidRPr="004D4A14">
              <w:rPr>
                <w:rFonts w:eastAsia="Calibri" w:cs="Times New Roman"/>
                <w:iCs/>
                <w:noProof/>
                <w:sz w:val="16"/>
                <w:szCs w:val="16"/>
              </w:rPr>
              <w:t>13 428 571</w:t>
            </w:r>
          </w:p>
        </w:tc>
        <w:tc>
          <w:tcPr>
            <w:tcW w:w="303" w:type="pct"/>
            <w:tcBorders>
              <w:top w:val="single" w:sz="4" w:space="0" w:color="auto"/>
            </w:tcBorders>
            <w:shd w:val="clear" w:color="auto" w:fill="FFFFFF" w:themeFill="background1"/>
          </w:tcPr>
          <w:p w14:paraId="347D9221" w14:textId="6FEB1A29" w:rsidR="009E57CF" w:rsidRPr="004D4A14" w:rsidRDefault="009E57CF" w:rsidP="007E5C85">
            <w:pPr>
              <w:spacing w:after="0" w:line="240" w:lineRule="auto"/>
              <w:jc w:val="both"/>
              <w:rPr>
                <w:rFonts w:eastAsia="Calibri" w:cs="Times New Roman"/>
                <w:noProof/>
                <w:sz w:val="16"/>
                <w:szCs w:val="16"/>
              </w:rPr>
            </w:pPr>
            <w:r w:rsidRPr="004D4A14">
              <w:rPr>
                <w:rFonts w:eastAsia="Calibri" w:cs="Times New Roman"/>
                <w:noProof/>
                <w:sz w:val="16"/>
                <w:szCs w:val="16"/>
              </w:rPr>
              <w:t>Projektų duomenys</w:t>
            </w:r>
          </w:p>
        </w:tc>
        <w:tc>
          <w:tcPr>
            <w:tcW w:w="312" w:type="pct"/>
            <w:tcBorders>
              <w:top w:val="single" w:sz="4" w:space="0" w:color="auto"/>
            </w:tcBorders>
            <w:shd w:val="clear" w:color="auto" w:fill="FFFFFF" w:themeFill="background1"/>
          </w:tcPr>
          <w:p w14:paraId="505BCA70" w14:textId="2A075484" w:rsidR="009E57CF" w:rsidRPr="004D4A14" w:rsidRDefault="009E57CF" w:rsidP="007E5C85">
            <w:pPr>
              <w:spacing w:after="0" w:line="240" w:lineRule="auto"/>
              <w:jc w:val="both"/>
              <w:rPr>
                <w:rFonts w:eastAsia="Calibri" w:cs="Times New Roman"/>
                <w:i/>
                <w:noProof/>
                <w:sz w:val="16"/>
                <w:szCs w:val="16"/>
                <w:lang w:eastAsia="lt-LT" w:bidi="lt-LT"/>
              </w:rPr>
            </w:pPr>
          </w:p>
        </w:tc>
      </w:tr>
      <w:tr w:rsidR="009E57CF" w:rsidRPr="004D4A14" w14:paraId="06791E5E" w14:textId="77777777" w:rsidTr="00E20003">
        <w:trPr>
          <w:trHeight w:val="286"/>
        </w:trPr>
        <w:tc>
          <w:tcPr>
            <w:tcW w:w="317" w:type="pct"/>
            <w:vMerge/>
            <w:shd w:val="clear" w:color="auto" w:fill="FBD4B4" w:themeFill="accent6" w:themeFillTint="66"/>
          </w:tcPr>
          <w:p w14:paraId="033361B5" w14:textId="77777777" w:rsidR="009E57CF" w:rsidRPr="004D4A14" w:rsidRDefault="009E57CF" w:rsidP="00E7215B">
            <w:pPr>
              <w:spacing w:after="0" w:line="240" w:lineRule="auto"/>
              <w:jc w:val="both"/>
              <w:rPr>
                <w:rFonts w:eastAsia="Calibri" w:cs="Times New Roman"/>
                <w:noProof/>
                <w:sz w:val="16"/>
                <w:szCs w:val="16"/>
              </w:rPr>
            </w:pPr>
          </w:p>
        </w:tc>
        <w:tc>
          <w:tcPr>
            <w:tcW w:w="495" w:type="pct"/>
            <w:vMerge/>
            <w:shd w:val="clear" w:color="auto" w:fill="FBD4B4" w:themeFill="accent6" w:themeFillTint="66"/>
          </w:tcPr>
          <w:p w14:paraId="653803B7" w14:textId="77777777" w:rsidR="009E57CF" w:rsidRPr="004D4A14" w:rsidRDefault="009E57CF" w:rsidP="00E7215B">
            <w:pPr>
              <w:spacing w:after="0" w:line="240" w:lineRule="auto"/>
              <w:jc w:val="both"/>
              <w:rPr>
                <w:rFonts w:eastAsia="Calibri" w:cs="Times New Roman"/>
                <w:noProof/>
                <w:sz w:val="16"/>
                <w:szCs w:val="16"/>
              </w:rPr>
            </w:pPr>
          </w:p>
        </w:tc>
        <w:tc>
          <w:tcPr>
            <w:tcW w:w="243" w:type="pct"/>
            <w:vMerge/>
            <w:shd w:val="clear" w:color="auto" w:fill="FBD4B4" w:themeFill="accent6" w:themeFillTint="66"/>
          </w:tcPr>
          <w:p w14:paraId="30F36EB5" w14:textId="77777777" w:rsidR="009E57CF" w:rsidRPr="004D4A14" w:rsidRDefault="009E57CF" w:rsidP="00E7215B">
            <w:pPr>
              <w:spacing w:after="0" w:line="240" w:lineRule="auto"/>
              <w:jc w:val="both"/>
              <w:rPr>
                <w:rFonts w:eastAsia="Calibri" w:cs="Times New Roman"/>
                <w:noProof/>
                <w:sz w:val="16"/>
                <w:szCs w:val="16"/>
              </w:rPr>
            </w:pPr>
          </w:p>
        </w:tc>
        <w:tc>
          <w:tcPr>
            <w:tcW w:w="333" w:type="pct"/>
            <w:tcBorders>
              <w:top w:val="single" w:sz="4" w:space="0" w:color="auto"/>
              <w:bottom w:val="single" w:sz="4" w:space="0" w:color="auto"/>
            </w:tcBorders>
            <w:shd w:val="clear" w:color="auto" w:fill="FFFFFF" w:themeFill="background1"/>
          </w:tcPr>
          <w:p w14:paraId="05EADD77" w14:textId="498E564C" w:rsidR="009E57CF" w:rsidRPr="004D4A14" w:rsidRDefault="009E57CF" w:rsidP="00E7215B">
            <w:pPr>
              <w:spacing w:after="0" w:line="240" w:lineRule="auto"/>
              <w:jc w:val="both"/>
              <w:rPr>
                <w:rFonts w:eastAsia="Times New Roman" w:cs="Times New Roman"/>
                <w:iCs/>
                <w:noProof/>
                <w:sz w:val="16"/>
                <w:szCs w:val="16"/>
              </w:rPr>
            </w:pPr>
            <w:r w:rsidRPr="004D4A14">
              <w:rPr>
                <w:rFonts w:eastAsia="Times New Roman" w:cs="Times New Roman"/>
                <w:iCs/>
                <w:noProof/>
                <w:sz w:val="16"/>
                <w:szCs w:val="16"/>
              </w:rPr>
              <w:t>VVL regionas</w:t>
            </w:r>
          </w:p>
        </w:tc>
        <w:tc>
          <w:tcPr>
            <w:tcW w:w="424" w:type="pct"/>
            <w:tcBorders>
              <w:top w:val="single" w:sz="4" w:space="0" w:color="auto"/>
              <w:bottom w:val="single" w:sz="4" w:space="0" w:color="auto"/>
            </w:tcBorders>
            <w:shd w:val="clear" w:color="auto" w:fill="FFFFFF" w:themeFill="background1"/>
          </w:tcPr>
          <w:p w14:paraId="1E3ECB31" w14:textId="79782138" w:rsidR="009E57CF" w:rsidRPr="004D4A14" w:rsidRDefault="009E57CF" w:rsidP="00E7215B">
            <w:pPr>
              <w:spacing w:after="0" w:line="240" w:lineRule="auto"/>
              <w:jc w:val="both"/>
              <w:rPr>
                <w:rFonts w:eastAsia="Calibri" w:cs="Times New Roman"/>
                <w:sz w:val="16"/>
                <w:szCs w:val="16"/>
                <w:lang w:eastAsia="en-GB" w:bidi="lt-LT"/>
              </w:rPr>
            </w:pPr>
            <w:r w:rsidRPr="004D4A14">
              <w:rPr>
                <w:rFonts w:eastAsia="Calibri" w:cs="Times New Roman"/>
                <w:sz w:val="16"/>
                <w:szCs w:val="16"/>
                <w:lang w:eastAsia="en-GB" w:bidi="lt-LT"/>
              </w:rPr>
              <w:t>RCR18</w:t>
            </w:r>
          </w:p>
        </w:tc>
        <w:tc>
          <w:tcPr>
            <w:tcW w:w="1178" w:type="pct"/>
            <w:tcBorders>
              <w:bottom w:val="single" w:sz="4" w:space="0" w:color="auto"/>
            </w:tcBorders>
            <w:shd w:val="clear" w:color="auto" w:fill="FFFFFF" w:themeFill="background1"/>
          </w:tcPr>
          <w:p w14:paraId="6A05C9AD" w14:textId="0582E865" w:rsidR="009E57CF" w:rsidRPr="004D4A14" w:rsidRDefault="009E57CF" w:rsidP="00E7215B">
            <w:pPr>
              <w:spacing w:after="0" w:line="240" w:lineRule="auto"/>
              <w:jc w:val="both"/>
              <w:rPr>
                <w:rFonts w:eastAsia="Calibri" w:cs="Times New Roman"/>
                <w:sz w:val="16"/>
                <w:szCs w:val="16"/>
              </w:rPr>
            </w:pPr>
            <w:r w:rsidRPr="004D4A14">
              <w:rPr>
                <w:rFonts w:eastAsia="Calibri" w:cs="Times New Roman"/>
                <w:sz w:val="16"/>
                <w:szCs w:val="16"/>
              </w:rPr>
              <w:t>Inkubatoriaus paslaugomis besinaudojančios MVĮ po inkubatoriaus sukūrimo</w:t>
            </w:r>
          </w:p>
        </w:tc>
        <w:tc>
          <w:tcPr>
            <w:tcW w:w="366" w:type="pct"/>
            <w:tcBorders>
              <w:bottom w:val="single" w:sz="4" w:space="0" w:color="auto"/>
            </w:tcBorders>
            <w:shd w:val="clear" w:color="auto" w:fill="FFFFFF" w:themeFill="background1"/>
          </w:tcPr>
          <w:p w14:paraId="7B16D87F" w14:textId="74AE41DB" w:rsidR="009E57CF" w:rsidRPr="004D4A14" w:rsidRDefault="009E57CF" w:rsidP="00E7215B">
            <w:pPr>
              <w:spacing w:after="0" w:line="240" w:lineRule="auto"/>
              <w:jc w:val="both"/>
              <w:rPr>
                <w:rFonts w:eastAsia="Calibri" w:cs="Times New Roman"/>
                <w:sz w:val="16"/>
                <w:szCs w:val="16"/>
              </w:rPr>
            </w:pPr>
            <w:r w:rsidRPr="004D4A14">
              <w:rPr>
                <w:rFonts w:eastAsia="Calibri" w:cs="Times New Roman"/>
                <w:sz w:val="16"/>
                <w:szCs w:val="16"/>
              </w:rPr>
              <w:t>Įmonių skaičius/per metus</w:t>
            </w:r>
          </w:p>
        </w:tc>
        <w:tc>
          <w:tcPr>
            <w:tcW w:w="290" w:type="pct"/>
            <w:tcBorders>
              <w:bottom w:val="single" w:sz="4" w:space="0" w:color="auto"/>
            </w:tcBorders>
            <w:shd w:val="clear" w:color="auto" w:fill="FFFFFF" w:themeFill="background1"/>
          </w:tcPr>
          <w:p w14:paraId="367C7A7F" w14:textId="0A036D60" w:rsidR="009E57CF" w:rsidRPr="004D4A14" w:rsidRDefault="009E57CF" w:rsidP="00E7215B">
            <w:pPr>
              <w:spacing w:after="0" w:line="240" w:lineRule="auto"/>
              <w:jc w:val="center"/>
              <w:rPr>
                <w:rFonts w:eastAsia="Calibri" w:cs="Times New Roman"/>
                <w:noProof/>
                <w:sz w:val="16"/>
                <w:szCs w:val="16"/>
              </w:rPr>
            </w:pPr>
            <w:r w:rsidRPr="004D4A14">
              <w:rPr>
                <w:rFonts w:eastAsia="Calibri" w:cs="Times New Roman"/>
                <w:noProof/>
                <w:sz w:val="16"/>
                <w:szCs w:val="16"/>
              </w:rPr>
              <w:t>0</w:t>
            </w:r>
          </w:p>
        </w:tc>
        <w:tc>
          <w:tcPr>
            <w:tcW w:w="375" w:type="pct"/>
            <w:tcBorders>
              <w:bottom w:val="single" w:sz="4" w:space="0" w:color="auto"/>
            </w:tcBorders>
            <w:shd w:val="clear" w:color="auto" w:fill="FFFFFF" w:themeFill="background1"/>
          </w:tcPr>
          <w:p w14:paraId="60742570" w14:textId="4087A084" w:rsidR="009E57CF" w:rsidRPr="004D4A14" w:rsidRDefault="009E57CF" w:rsidP="00E7215B">
            <w:pPr>
              <w:spacing w:after="0" w:line="240" w:lineRule="auto"/>
              <w:jc w:val="center"/>
              <w:rPr>
                <w:rFonts w:eastAsia="Calibri" w:cs="Times New Roman"/>
                <w:noProof/>
                <w:sz w:val="16"/>
                <w:szCs w:val="16"/>
              </w:rPr>
            </w:pPr>
            <w:r w:rsidRPr="004D4A14">
              <w:rPr>
                <w:rFonts w:eastAsia="Calibri" w:cs="Times New Roman"/>
                <w:noProof/>
                <w:sz w:val="16"/>
                <w:szCs w:val="16"/>
              </w:rPr>
              <w:t>2021</w:t>
            </w:r>
          </w:p>
        </w:tc>
        <w:tc>
          <w:tcPr>
            <w:tcW w:w="364" w:type="pct"/>
            <w:tcBorders>
              <w:bottom w:val="single" w:sz="4" w:space="0" w:color="auto"/>
            </w:tcBorders>
            <w:shd w:val="clear" w:color="auto" w:fill="FFFFFF" w:themeFill="background1"/>
          </w:tcPr>
          <w:p w14:paraId="62CD2894" w14:textId="2F2F7BA2" w:rsidR="009E57CF" w:rsidRPr="004D4A14" w:rsidRDefault="00513F7E" w:rsidP="00E7215B">
            <w:pPr>
              <w:spacing w:after="0" w:line="240" w:lineRule="auto"/>
              <w:jc w:val="center"/>
              <w:rPr>
                <w:rFonts w:eastAsia="Calibri" w:cs="Times New Roman"/>
                <w:iCs/>
                <w:noProof/>
                <w:sz w:val="16"/>
                <w:szCs w:val="16"/>
              </w:rPr>
            </w:pPr>
            <w:r w:rsidRPr="004D4A14">
              <w:rPr>
                <w:rFonts w:eastAsia="Calibri" w:cs="Times New Roman"/>
                <w:iCs/>
                <w:noProof/>
                <w:sz w:val="16"/>
                <w:szCs w:val="16"/>
              </w:rPr>
              <w:t>21</w:t>
            </w:r>
          </w:p>
        </w:tc>
        <w:tc>
          <w:tcPr>
            <w:tcW w:w="303" w:type="pct"/>
            <w:tcBorders>
              <w:bottom w:val="single" w:sz="4" w:space="0" w:color="auto"/>
            </w:tcBorders>
            <w:shd w:val="clear" w:color="auto" w:fill="FFFFFF" w:themeFill="background1"/>
          </w:tcPr>
          <w:p w14:paraId="739AAF5F" w14:textId="2E25BAFA" w:rsidR="009E57CF" w:rsidRPr="004D4A14" w:rsidRDefault="009E57CF" w:rsidP="00E7215B">
            <w:pPr>
              <w:spacing w:after="0" w:line="240" w:lineRule="auto"/>
              <w:jc w:val="both"/>
              <w:rPr>
                <w:rFonts w:eastAsia="Calibri" w:cs="Times New Roman"/>
                <w:sz w:val="16"/>
                <w:szCs w:val="16"/>
              </w:rPr>
            </w:pPr>
            <w:r w:rsidRPr="004D4A14">
              <w:rPr>
                <w:rFonts w:eastAsia="Calibri" w:cs="Times New Roman"/>
                <w:sz w:val="16"/>
                <w:szCs w:val="16"/>
              </w:rPr>
              <w:t>Projektų duomenys</w:t>
            </w:r>
          </w:p>
        </w:tc>
        <w:tc>
          <w:tcPr>
            <w:tcW w:w="312" w:type="pct"/>
            <w:tcBorders>
              <w:bottom w:val="single" w:sz="4" w:space="0" w:color="auto"/>
            </w:tcBorders>
            <w:shd w:val="clear" w:color="auto" w:fill="FFFFFF" w:themeFill="background1"/>
          </w:tcPr>
          <w:p w14:paraId="1046C826" w14:textId="76421AB3" w:rsidR="009E57CF" w:rsidRPr="004D4A14" w:rsidRDefault="009E57CF" w:rsidP="00E7215B">
            <w:pPr>
              <w:spacing w:after="0" w:line="240" w:lineRule="auto"/>
              <w:jc w:val="both"/>
              <w:rPr>
                <w:rFonts w:eastAsia="Calibri" w:cs="Times New Roman"/>
                <w:i/>
                <w:noProof/>
                <w:sz w:val="16"/>
                <w:szCs w:val="16"/>
                <w:lang w:eastAsia="lt-LT" w:bidi="lt-LT"/>
              </w:rPr>
            </w:pPr>
          </w:p>
        </w:tc>
      </w:tr>
      <w:tr w:rsidR="009E57CF" w:rsidRPr="004D4A14" w14:paraId="4B3A9685" w14:textId="77777777" w:rsidTr="00E20003">
        <w:trPr>
          <w:trHeight w:val="286"/>
        </w:trPr>
        <w:tc>
          <w:tcPr>
            <w:tcW w:w="317" w:type="pct"/>
            <w:vMerge/>
          </w:tcPr>
          <w:p w14:paraId="4A4BA0F3" w14:textId="77777777" w:rsidR="009E57CF" w:rsidRPr="004D4A14" w:rsidRDefault="009E57CF" w:rsidP="00E7215B">
            <w:pPr>
              <w:spacing w:after="0" w:line="240" w:lineRule="auto"/>
              <w:jc w:val="both"/>
              <w:rPr>
                <w:rFonts w:eastAsia="Calibri" w:cs="Times New Roman"/>
                <w:noProof/>
                <w:sz w:val="16"/>
                <w:szCs w:val="16"/>
              </w:rPr>
            </w:pPr>
          </w:p>
        </w:tc>
        <w:tc>
          <w:tcPr>
            <w:tcW w:w="495" w:type="pct"/>
            <w:vMerge/>
          </w:tcPr>
          <w:p w14:paraId="526A7918" w14:textId="77777777" w:rsidR="009E57CF" w:rsidRPr="004D4A14" w:rsidRDefault="009E57CF" w:rsidP="00E7215B">
            <w:pPr>
              <w:spacing w:after="0" w:line="240" w:lineRule="auto"/>
              <w:jc w:val="both"/>
              <w:rPr>
                <w:rFonts w:eastAsia="Calibri" w:cs="Times New Roman"/>
                <w:noProof/>
                <w:sz w:val="16"/>
                <w:szCs w:val="16"/>
              </w:rPr>
            </w:pPr>
          </w:p>
        </w:tc>
        <w:tc>
          <w:tcPr>
            <w:tcW w:w="243" w:type="pct"/>
            <w:vMerge/>
          </w:tcPr>
          <w:p w14:paraId="59B4805C" w14:textId="77777777" w:rsidR="009E57CF" w:rsidRPr="004D4A14" w:rsidRDefault="009E57CF" w:rsidP="00E7215B">
            <w:pPr>
              <w:spacing w:after="0" w:line="240" w:lineRule="auto"/>
              <w:jc w:val="both"/>
              <w:rPr>
                <w:rFonts w:eastAsia="Calibri" w:cs="Times New Roman"/>
                <w:noProof/>
                <w:sz w:val="16"/>
                <w:szCs w:val="16"/>
              </w:rPr>
            </w:pPr>
          </w:p>
        </w:tc>
        <w:tc>
          <w:tcPr>
            <w:tcW w:w="333" w:type="pct"/>
            <w:tcBorders>
              <w:top w:val="single" w:sz="4" w:space="0" w:color="auto"/>
              <w:bottom w:val="single" w:sz="4" w:space="0" w:color="auto"/>
            </w:tcBorders>
            <w:shd w:val="clear" w:color="auto" w:fill="FFFFFF" w:themeFill="background1"/>
          </w:tcPr>
          <w:p w14:paraId="7CAD1FD0" w14:textId="4B181FEA" w:rsidR="009E57CF" w:rsidRPr="004D4A14" w:rsidRDefault="009E57CF" w:rsidP="00E7215B">
            <w:pPr>
              <w:spacing w:after="0" w:line="240" w:lineRule="auto"/>
              <w:jc w:val="both"/>
              <w:rPr>
                <w:rFonts w:eastAsia="Calibri" w:cs="Times New Roman"/>
                <w:noProof/>
                <w:sz w:val="16"/>
                <w:szCs w:val="16"/>
              </w:rPr>
            </w:pPr>
            <w:r w:rsidRPr="004D4A14">
              <w:rPr>
                <w:rFonts w:eastAsia="Times New Roman" w:cs="Times New Roman"/>
                <w:iCs/>
                <w:noProof/>
                <w:sz w:val="16"/>
                <w:szCs w:val="16"/>
              </w:rPr>
              <w:t>VVL regionas</w:t>
            </w:r>
          </w:p>
        </w:tc>
        <w:tc>
          <w:tcPr>
            <w:tcW w:w="424" w:type="pct"/>
            <w:tcBorders>
              <w:top w:val="single" w:sz="4" w:space="0" w:color="auto"/>
              <w:bottom w:val="single" w:sz="4" w:space="0" w:color="auto"/>
            </w:tcBorders>
            <w:shd w:val="clear" w:color="auto" w:fill="FFFFFF" w:themeFill="background1"/>
          </w:tcPr>
          <w:p w14:paraId="18AA58F7" w14:textId="707145B1" w:rsidR="009E57CF" w:rsidRPr="004D4A14" w:rsidRDefault="009E57CF" w:rsidP="00E7215B">
            <w:pPr>
              <w:spacing w:after="0" w:line="240" w:lineRule="auto"/>
              <w:jc w:val="both"/>
              <w:rPr>
                <w:rFonts w:cs="Times New Roman"/>
                <w:sz w:val="16"/>
                <w:szCs w:val="16"/>
              </w:rPr>
            </w:pPr>
            <w:r w:rsidRPr="004D4A14">
              <w:rPr>
                <w:rFonts w:eastAsia="Calibri" w:cs="Times New Roman"/>
                <w:sz w:val="16"/>
                <w:szCs w:val="16"/>
                <w:lang w:eastAsia="en-GB" w:bidi="lt-LT"/>
              </w:rPr>
              <w:t>RCR102</w:t>
            </w:r>
          </w:p>
        </w:tc>
        <w:tc>
          <w:tcPr>
            <w:tcW w:w="1178" w:type="pct"/>
            <w:tcBorders>
              <w:bottom w:val="single" w:sz="4" w:space="0" w:color="auto"/>
            </w:tcBorders>
            <w:shd w:val="clear" w:color="auto" w:fill="FFFFFF" w:themeFill="background1"/>
          </w:tcPr>
          <w:p w14:paraId="5A23AC82" w14:textId="448B7C01" w:rsidR="009E57CF" w:rsidRPr="004D4A14" w:rsidRDefault="009E57CF" w:rsidP="00E7215B">
            <w:pPr>
              <w:spacing w:after="0" w:line="240" w:lineRule="auto"/>
              <w:jc w:val="both"/>
              <w:rPr>
                <w:sz w:val="16"/>
                <w:szCs w:val="16"/>
              </w:rPr>
            </w:pPr>
            <w:r w:rsidRPr="004D4A14">
              <w:rPr>
                <w:rFonts w:eastAsia="Calibri" w:cs="Times New Roman"/>
                <w:sz w:val="16"/>
                <w:szCs w:val="16"/>
              </w:rPr>
              <w:t>Paramą gavusiuose subjektuose sukurtos mokslo tiriamojo darbo vietos</w:t>
            </w:r>
          </w:p>
        </w:tc>
        <w:tc>
          <w:tcPr>
            <w:tcW w:w="366" w:type="pct"/>
            <w:tcBorders>
              <w:bottom w:val="single" w:sz="4" w:space="0" w:color="auto"/>
            </w:tcBorders>
            <w:shd w:val="clear" w:color="auto" w:fill="FFFFFF" w:themeFill="background1"/>
          </w:tcPr>
          <w:p w14:paraId="259DDA95" w14:textId="36211100" w:rsidR="009E57CF" w:rsidRPr="004D4A14" w:rsidRDefault="009E57CF" w:rsidP="00E7215B">
            <w:pPr>
              <w:spacing w:after="0" w:line="240" w:lineRule="auto"/>
              <w:jc w:val="both"/>
              <w:rPr>
                <w:rFonts w:cs="Times New Roman"/>
                <w:sz w:val="16"/>
                <w:szCs w:val="16"/>
              </w:rPr>
            </w:pPr>
            <w:r w:rsidRPr="004D4A14">
              <w:rPr>
                <w:rFonts w:eastAsia="Calibri" w:cs="Times New Roman"/>
                <w:sz w:val="16"/>
                <w:szCs w:val="16"/>
              </w:rPr>
              <w:t>Vienų metų etato ekvivalentai</w:t>
            </w:r>
          </w:p>
        </w:tc>
        <w:tc>
          <w:tcPr>
            <w:tcW w:w="290" w:type="pct"/>
            <w:tcBorders>
              <w:bottom w:val="single" w:sz="4" w:space="0" w:color="auto"/>
            </w:tcBorders>
            <w:shd w:val="clear" w:color="auto" w:fill="FFFFFF" w:themeFill="background1"/>
          </w:tcPr>
          <w:p w14:paraId="33D75A6D" w14:textId="2D95F049" w:rsidR="009E57CF" w:rsidRPr="004D4A14" w:rsidRDefault="009E57CF" w:rsidP="00E7215B">
            <w:pPr>
              <w:spacing w:after="0" w:line="240" w:lineRule="auto"/>
              <w:jc w:val="center"/>
              <w:rPr>
                <w:rFonts w:eastAsia="Calibri" w:cs="Times New Roman"/>
                <w:iCs/>
                <w:noProof/>
                <w:sz w:val="16"/>
                <w:szCs w:val="16"/>
              </w:rPr>
            </w:pPr>
            <w:r w:rsidRPr="004D4A14">
              <w:rPr>
                <w:rFonts w:eastAsia="Calibri" w:cs="Times New Roman"/>
                <w:noProof/>
                <w:sz w:val="16"/>
                <w:szCs w:val="16"/>
              </w:rPr>
              <w:t>0</w:t>
            </w:r>
          </w:p>
        </w:tc>
        <w:tc>
          <w:tcPr>
            <w:tcW w:w="375" w:type="pct"/>
            <w:tcBorders>
              <w:bottom w:val="single" w:sz="4" w:space="0" w:color="auto"/>
            </w:tcBorders>
            <w:shd w:val="clear" w:color="auto" w:fill="FFFFFF" w:themeFill="background1"/>
          </w:tcPr>
          <w:p w14:paraId="67B4C855" w14:textId="6C2FFEB4" w:rsidR="009E57CF" w:rsidRPr="004D4A14" w:rsidRDefault="009E57CF" w:rsidP="00E7215B">
            <w:pPr>
              <w:spacing w:after="0" w:line="240" w:lineRule="auto"/>
              <w:jc w:val="center"/>
              <w:rPr>
                <w:rFonts w:eastAsia="Calibri" w:cs="Times New Roman"/>
                <w:iCs/>
                <w:noProof/>
                <w:sz w:val="16"/>
                <w:szCs w:val="16"/>
              </w:rPr>
            </w:pPr>
            <w:r w:rsidRPr="004D4A14">
              <w:rPr>
                <w:rFonts w:eastAsia="Calibri" w:cs="Times New Roman"/>
                <w:noProof/>
                <w:sz w:val="16"/>
                <w:szCs w:val="16"/>
              </w:rPr>
              <w:t>2021</w:t>
            </w:r>
          </w:p>
        </w:tc>
        <w:tc>
          <w:tcPr>
            <w:tcW w:w="364" w:type="pct"/>
            <w:tcBorders>
              <w:bottom w:val="single" w:sz="4" w:space="0" w:color="auto"/>
            </w:tcBorders>
            <w:shd w:val="clear" w:color="auto" w:fill="FFFFFF" w:themeFill="background1"/>
          </w:tcPr>
          <w:p w14:paraId="1D7662B0" w14:textId="5A0764A2" w:rsidR="009E57CF" w:rsidRPr="004D4A14" w:rsidRDefault="00513F7E" w:rsidP="00E7215B">
            <w:pPr>
              <w:spacing w:after="0" w:line="240" w:lineRule="auto"/>
              <w:jc w:val="center"/>
              <w:rPr>
                <w:rFonts w:eastAsia="Calibri" w:cs="Times New Roman"/>
                <w:iCs/>
                <w:noProof/>
                <w:sz w:val="16"/>
                <w:szCs w:val="16"/>
              </w:rPr>
            </w:pPr>
            <w:r w:rsidRPr="004D4A14">
              <w:rPr>
                <w:rFonts w:eastAsia="Calibri" w:cs="Times New Roman"/>
                <w:iCs/>
                <w:noProof/>
                <w:sz w:val="16"/>
                <w:szCs w:val="16"/>
              </w:rPr>
              <w:t>38</w:t>
            </w:r>
          </w:p>
        </w:tc>
        <w:tc>
          <w:tcPr>
            <w:tcW w:w="303" w:type="pct"/>
            <w:tcBorders>
              <w:bottom w:val="single" w:sz="4" w:space="0" w:color="auto"/>
            </w:tcBorders>
            <w:shd w:val="clear" w:color="auto" w:fill="FFFFFF" w:themeFill="background1"/>
          </w:tcPr>
          <w:p w14:paraId="61B4AC70" w14:textId="084B2599" w:rsidR="009E57CF" w:rsidRPr="004D4A14" w:rsidRDefault="009E57CF" w:rsidP="00E7215B">
            <w:pPr>
              <w:spacing w:after="0" w:line="240" w:lineRule="auto"/>
              <w:jc w:val="both"/>
              <w:rPr>
                <w:rFonts w:eastAsia="Calibri" w:cs="Times New Roman"/>
                <w:noProof/>
                <w:sz w:val="16"/>
                <w:szCs w:val="16"/>
              </w:rPr>
            </w:pPr>
            <w:r w:rsidRPr="004D4A14">
              <w:rPr>
                <w:rFonts w:eastAsia="Calibri" w:cs="Times New Roman"/>
                <w:sz w:val="16"/>
                <w:szCs w:val="16"/>
              </w:rPr>
              <w:t>Projektų duomenys</w:t>
            </w:r>
          </w:p>
        </w:tc>
        <w:tc>
          <w:tcPr>
            <w:tcW w:w="312" w:type="pct"/>
            <w:tcBorders>
              <w:bottom w:val="single" w:sz="4" w:space="0" w:color="auto"/>
            </w:tcBorders>
            <w:shd w:val="clear" w:color="auto" w:fill="FFFFFF" w:themeFill="background1"/>
          </w:tcPr>
          <w:p w14:paraId="6B482EDC" w14:textId="6107418E" w:rsidR="009E57CF" w:rsidRPr="004D4A14" w:rsidRDefault="009E57CF" w:rsidP="00E7215B">
            <w:pPr>
              <w:spacing w:after="0" w:line="240" w:lineRule="auto"/>
              <w:jc w:val="both"/>
              <w:rPr>
                <w:rFonts w:eastAsia="Calibri" w:cs="Times New Roman"/>
                <w:i/>
                <w:noProof/>
                <w:sz w:val="16"/>
                <w:szCs w:val="16"/>
                <w:lang w:eastAsia="lt-LT" w:bidi="lt-LT"/>
              </w:rPr>
            </w:pPr>
          </w:p>
        </w:tc>
      </w:tr>
      <w:tr w:rsidR="009E57CF" w:rsidRPr="004D4A14" w14:paraId="48BDB014" w14:textId="77777777" w:rsidTr="00E20003">
        <w:trPr>
          <w:trHeight w:val="286"/>
        </w:trPr>
        <w:tc>
          <w:tcPr>
            <w:tcW w:w="317" w:type="pct"/>
            <w:vMerge/>
          </w:tcPr>
          <w:p w14:paraId="21AD5C09" w14:textId="77777777" w:rsidR="009E57CF" w:rsidRPr="004D4A14" w:rsidRDefault="009E57CF" w:rsidP="00E7215B">
            <w:pPr>
              <w:spacing w:after="0" w:line="240" w:lineRule="auto"/>
              <w:jc w:val="both"/>
              <w:rPr>
                <w:rFonts w:eastAsia="Calibri" w:cs="Times New Roman"/>
                <w:noProof/>
                <w:sz w:val="16"/>
                <w:szCs w:val="16"/>
              </w:rPr>
            </w:pPr>
          </w:p>
        </w:tc>
        <w:tc>
          <w:tcPr>
            <w:tcW w:w="495" w:type="pct"/>
            <w:vMerge/>
          </w:tcPr>
          <w:p w14:paraId="12B09871" w14:textId="77777777" w:rsidR="009E57CF" w:rsidRPr="004D4A14" w:rsidRDefault="009E57CF" w:rsidP="00E7215B">
            <w:pPr>
              <w:spacing w:after="0" w:line="240" w:lineRule="auto"/>
              <w:jc w:val="both"/>
              <w:rPr>
                <w:rFonts w:eastAsia="Calibri" w:cs="Times New Roman"/>
                <w:noProof/>
                <w:sz w:val="16"/>
                <w:szCs w:val="16"/>
              </w:rPr>
            </w:pPr>
          </w:p>
        </w:tc>
        <w:tc>
          <w:tcPr>
            <w:tcW w:w="243" w:type="pct"/>
            <w:vMerge/>
          </w:tcPr>
          <w:p w14:paraId="1BD4F25B" w14:textId="77777777" w:rsidR="009E57CF" w:rsidRPr="004D4A14" w:rsidRDefault="009E57CF" w:rsidP="00E7215B">
            <w:pPr>
              <w:spacing w:after="0" w:line="240" w:lineRule="auto"/>
              <w:jc w:val="both"/>
              <w:rPr>
                <w:rFonts w:eastAsia="Calibri" w:cs="Times New Roman"/>
                <w:noProof/>
                <w:sz w:val="16"/>
                <w:szCs w:val="16"/>
              </w:rPr>
            </w:pPr>
          </w:p>
        </w:tc>
        <w:tc>
          <w:tcPr>
            <w:tcW w:w="333" w:type="pct"/>
            <w:tcBorders>
              <w:top w:val="single" w:sz="4" w:space="0" w:color="auto"/>
            </w:tcBorders>
            <w:shd w:val="clear" w:color="auto" w:fill="FFFFFF" w:themeFill="background1"/>
          </w:tcPr>
          <w:p w14:paraId="53625597" w14:textId="778D39FB" w:rsidR="009E57CF" w:rsidRPr="004D4A14" w:rsidRDefault="009E57CF" w:rsidP="00E7215B">
            <w:pPr>
              <w:spacing w:after="0" w:line="240" w:lineRule="auto"/>
              <w:jc w:val="both"/>
              <w:rPr>
                <w:rFonts w:eastAsia="Calibri" w:cs="Times New Roman"/>
                <w:noProof/>
                <w:sz w:val="16"/>
                <w:szCs w:val="16"/>
              </w:rPr>
            </w:pPr>
            <w:r w:rsidRPr="004D4A14">
              <w:rPr>
                <w:rFonts w:eastAsia="Times New Roman" w:cs="Times New Roman"/>
                <w:iCs/>
                <w:noProof/>
                <w:sz w:val="16"/>
                <w:szCs w:val="16"/>
              </w:rPr>
              <w:t>Sostinės regionas</w:t>
            </w:r>
          </w:p>
        </w:tc>
        <w:tc>
          <w:tcPr>
            <w:tcW w:w="424" w:type="pct"/>
            <w:tcBorders>
              <w:top w:val="single" w:sz="4" w:space="0" w:color="auto"/>
              <w:bottom w:val="single" w:sz="4" w:space="0" w:color="auto"/>
            </w:tcBorders>
            <w:shd w:val="clear" w:color="auto" w:fill="FFFFFF" w:themeFill="background1"/>
          </w:tcPr>
          <w:p w14:paraId="7E7A5519" w14:textId="682FCDB8" w:rsidR="009E57CF" w:rsidRPr="004D4A14" w:rsidRDefault="009E57CF" w:rsidP="00E7215B">
            <w:pPr>
              <w:spacing w:after="0" w:line="240" w:lineRule="auto"/>
              <w:jc w:val="both"/>
              <w:rPr>
                <w:rFonts w:cs="Times New Roman"/>
                <w:sz w:val="16"/>
                <w:szCs w:val="16"/>
              </w:rPr>
            </w:pPr>
            <w:r w:rsidRPr="004D4A14">
              <w:rPr>
                <w:rFonts w:eastAsia="Calibri" w:cs="Times New Roman"/>
                <w:sz w:val="16"/>
                <w:szCs w:val="16"/>
                <w:lang w:eastAsia="en-GB" w:bidi="lt-LT"/>
              </w:rPr>
              <w:t>RCR102</w:t>
            </w:r>
          </w:p>
        </w:tc>
        <w:tc>
          <w:tcPr>
            <w:tcW w:w="1178" w:type="pct"/>
            <w:shd w:val="clear" w:color="auto" w:fill="FFFFFF" w:themeFill="background1"/>
          </w:tcPr>
          <w:p w14:paraId="361F98B8" w14:textId="0CF3EA7B" w:rsidR="009E57CF" w:rsidRPr="004D4A14" w:rsidRDefault="009E57CF" w:rsidP="00E7215B">
            <w:pPr>
              <w:spacing w:after="0" w:line="240" w:lineRule="auto"/>
              <w:jc w:val="both"/>
              <w:rPr>
                <w:sz w:val="16"/>
                <w:szCs w:val="16"/>
              </w:rPr>
            </w:pPr>
            <w:r w:rsidRPr="004D4A14">
              <w:rPr>
                <w:rFonts w:eastAsia="Calibri" w:cs="Times New Roman"/>
                <w:sz w:val="16"/>
                <w:szCs w:val="16"/>
              </w:rPr>
              <w:t>Paramą gavusiuose subjektuose sukurtos mokslo tiriamojo darbo vietos</w:t>
            </w:r>
          </w:p>
        </w:tc>
        <w:tc>
          <w:tcPr>
            <w:tcW w:w="366" w:type="pct"/>
            <w:shd w:val="clear" w:color="auto" w:fill="FFFFFF" w:themeFill="background1"/>
          </w:tcPr>
          <w:p w14:paraId="75328F66" w14:textId="047733F9" w:rsidR="009E57CF" w:rsidRPr="004D4A14" w:rsidRDefault="009E57CF" w:rsidP="00E7215B">
            <w:pPr>
              <w:spacing w:after="0" w:line="240" w:lineRule="auto"/>
              <w:jc w:val="both"/>
              <w:rPr>
                <w:rFonts w:cs="Times New Roman"/>
                <w:sz w:val="16"/>
                <w:szCs w:val="16"/>
              </w:rPr>
            </w:pPr>
            <w:r w:rsidRPr="004D4A14">
              <w:rPr>
                <w:rFonts w:eastAsia="Calibri" w:cs="Times New Roman"/>
                <w:sz w:val="16"/>
                <w:szCs w:val="16"/>
              </w:rPr>
              <w:t>Vienų metų etato ekvivalentai</w:t>
            </w:r>
          </w:p>
        </w:tc>
        <w:tc>
          <w:tcPr>
            <w:tcW w:w="290" w:type="pct"/>
            <w:shd w:val="clear" w:color="auto" w:fill="FFFFFF" w:themeFill="background1"/>
          </w:tcPr>
          <w:p w14:paraId="2FB443FA" w14:textId="6C118F47" w:rsidR="009E57CF" w:rsidRPr="004D4A14" w:rsidRDefault="009E57CF" w:rsidP="00E7215B">
            <w:pPr>
              <w:spacing w:after="0" w:line="240" w:lineRule="auto"/>
              <w:jc w:val="center"/>
              <w:rPr>
                <w:rFonts w:eastAsia="Calibri" w:cs="Times New Roman"/>
                <w:iCs/>
                <w:noProof/>
                <w:sz w:val="16"/>
                <w:szCs w:val="16"/>
              </w:rPr>
            </w:pPr>
            <w:r w:rsidRPr="004D4A14">
              <w:rPr>
                <w:rFonts w:eastAsia="Calibri" w:cs="Times New Roman"/>
                <w:noProof/>
                <w:sz w:val="16"/>
                <w:szCs w:val="16"/>
              </w:rPr>
              <w:t>0</w:t>
            </w:r>
          </w:p>
        </w:tc>
        <w:tc>
          <w:tcPr>
            <w:tcW w:w="375" w:type="pct"/>
            <w:shd w:val="clear" w:color="auto" w:fill="FFFFFF" w:themeFill="background1"/>
          </w:tcPr>
          <w:p w14:paraId="31A0947B" w14:textId="78B27CFE" w:rsidR="009E57CF" w:rsidRPr="004D4A14" w:rsidRDefault="009E57CF" w:rsidP="00E7215B">
            <w:pPr>
              <w:spacing w:after="0" w:line="240" w:lineRule="auto"/>
              <w:jc w:val="center"/>
              <w:rPr>
                <w:rFonts w:eastAsia="Calibri" w:cs="Times New Roman"/>
                <w:iCs/>
                <w:noProof/>
                <w:sz w:val="16"/>
                <w:szCs w:val="16"/>
              </w:rPr>
            </w:pPr>
            <w:r w:rsidRPr="004D4A14">
              <w:rPr>
                <w:rFonts w:eastAsia="Calibri" w:cs="Times New Roman"/>
                <w:noProof/>
                <w:sz w:val="16"/>
                <w:szCs w:val="16"/>
              </w:rPr>
              <w:t>2021</w:t>
            </w:r>
          </w:p>
        </w:tc>
        <w:tc>
          <w:tcPr>
            <w:tcW w:w="364" w:type="pct"/>
            <w:shd w:val="clear" w:color="auto" w:fill="FFFFFF" w:themeFill="background1"/>
          </w:tcPr>
          <w:p w14:paraId="786CF12C" w14:textId="3F2FEBFE" w:rsidR="009E57CF" w:rsidRPr="004D4A14" w:rsidRDefault="00513F7E" w:rsidP="00E7215B">
            <w:pPr>
              <w:spacing w:after="0" w:line="240" w:lineRule="auto"/>
              <w:jc w:val="center"/>
              <w:rPr>
                <w:rFonts w:eastAsia="Calibri" w:cs="Times New Roman"/>
                <w:iCs/>
                <w:noProof/>
                <w:sz w:val="16"/>
                <w:szCs w:val="16"/>
              </w:rPr>
            </w:pPr>
            <w:r w:rsidRPr="004D4A14">
              <w:rPr>
                <w:rFonts w:eastAsia="Calibri" w:cs="Times New Roman"/>
                <w:iCs/>
                <w:noProof/>
                <w:sz w:val="16"/>
                <w:szCs w:val="16"/>
              </w:rPr>
              <w:t>42</w:t>
            </w:r>
          </w:p>
        </w:tc>
        <w:tc>
          <w:tcPr>
            <w:tcW w:w="303" w:type="pct"/>
            <w:shd w:val="clear" w:color="auto" w:fill="FFFFFF" w:themeFill="background1"/>
          </w:tcPr>
          <w:p w14:paraId="066D118F" w14:textId="7272132F" w:rsidR="009E57CF" w:rsidRPr="004D4A14" w:rsidRDefault="009E57CF" w:rsidP="00E7215B">
            <w:pPr>
              <w:spacing w:after="0" w:line="240" w:lineRule="auto"/>
              <w:jc w:val="both"/>
              <w:rPr>
                <w:rFonts w:eastAsia="Calibri" w:cs="Times New Roman"/>
                <w:noProof/>
                <w:sz w:val="16"/>
                <w:szCs w:val="16"/>
              </w:rPr>
            </w:pPr>
            <w:r w:rsidRPr="004D4A14">
              <w:rPr>
                <w:rFonts w:eastAsia="Calibri" w:cs="Times New Roman"/>
                <w:sz w:val="16"/>
                <w:szCs w:val="16"/>
              </w:rPr>
              <w:t>Projektų duomenys</w:t>
            </w:r>
          </w:p>
        </w:tc>
        <w:tc>
          <w:tcPr>
            <w:tcW w:w="312" w:type="pct"/>
            <w:shd w:val="clear" w:color="auto" w:fill="FFFFFF" w:themeFill="background1"/>
          </w:tcPr>
          <w:p w14:paraId="21475612" w14:textId="6E6AE097" w:rsidR="009E57CF" w:rsidRPr="004D4A14" w:rsidRDefault="009E57CF" w:rsidP="00E7215B">
            <w:pPr>
              <w:spacing w:after="0" w:line="240" w:lineRule="auto"/>
              <w:jc w:val="both"/>
              <w:rPr>
                <w:rFonts w:eastAsia="Calibri" w:cs="Times New Roman"/>
                <w:i/>
                <w:noProof/>
                <w:sz w:val="16"/>
                <w:szCs w:val="16"/>
                <w:lang w:eastAsia="lt-LT" w:bidi="lt-LT"/>
              </w:rPr>
            </w:pPr>
          </w:p>
        </w:tc>
      </w:tr>
      <w:tr w:rsidR="009E57CF" w:rsidRPr="004D4A14" w14:paraId="59967034" w14:textId="77777777" w:rsidTr="00E20003">
        <w:trPr>
          <w:trHeight w:val="286"/>
        </w:trPr>
        <w:tc>
          <w:tcPr>
            <w:tcW w:w="317" w:type="pct"/>
            <w:vMerge/>
            <w:shd w:val="clear" w:color="auto" w:fill="FFFFFF" w:themeFill="background1"/>
          </w:tcPr>
          <w:p w14:paraId="1EF8B468" w14:textId="77777777" w:rsidR="009E57CF" w:rsidRPr="004D4A14" w:rsidRDefault="009E57CF" w:rsidP="006B04D3">
            <w:pPr>
              <w:spacing w:after="0" w:line="240" w:lineRule="auto"/>
              <w:jc w:val="both"/>
              <w:rPr>
                <w:rFonts w:eastAsia="Calibri" w:cs="Times New Roman"/>
                <w:noProof/>
                <w:sz w:val="16"/>
                <w:szCs w:val="16"/>
              </w:rPr>
            </w:pPr>
          </w:p>
        </w:tc>
        <w:tc>
          <w:tcPr>
            <w:tcW w:w="495" w:type="pct"/>
            <w:vMerge/>
            <w:shd w:val="clear" w:color="auto" w:fill="FFFFFF" w:themeFill="background1"/>
          </w:tcPr>
          <w:p w14:paraId="462DC59C" w14:textId="77777777" w:rsidR="009E57CF" w:rsidRPr="004D4A14" w:rsidRDefault="009E57CF" w:rsidP="006B04D3">
            <w:pPr>
              <w:spacing w:after="0" w:line="240" w:lineRule="auto"/>
              <w:jc w:val="both"/>
              <w:rPr>
                <w:rFonts w:eastAsia="Calibri" w:cs="Times New Roman"/>
                <w:noProof/>
                <w:sz w:val="16"/>
                <w:szCs w:val="16"/>
              </w:rPr>
            </w:pPr>
          </w:p>
        </w:tc>
        <w:tc>
          <w:tcPr>
            <w:tcW w:w="243" w:type="pct"/>
            <w:vMerge/>
            <w:shd w:val="clear" w:color="auto" w:fill="FFFFFF" w:themeFill="background1"/>
          </w:tcPr>
          <w:p w14:paraId="6502C49E" w14:textId="77777777" w:rsidR="009E57CF" w:rsidRPr="004D4A14" w:rsidRDefault="009E57CF" w:rsidP="006B04D3">
            <w:pPr>
              <w:spacing w:after="0" w:line="240" w:lineRule="auto"/>
              <w:jc w:val="both"/>
              <w:rPr>
                <w:rFonts w:eastAsia="Calibri" w:cs="Times New Roman"/>
                <w:noProof/>
                <w:sz w:val="16"/>
                <w:szCs w:val="16"/>
              </w:rPr>
            </w:pPr>
          </w:p>
        </w:tc>
        <w:tc>
          <w:tcPr>
            <w:tcW w:w="333" w:type="pct"/>
            <w:tcBorders>
              <w:top w:val="single" w:sz="4" w:space="0" w:color="auto"/>
              <w:bottom w:val="single" w:sz="4" w:space="0" w:color="auto"/>
            </w:tcBorders>
            <w:shd w:val="clear" w:color="auto" w:fill="FFFFFF" w:themeFill="background1"/>
          </w:tcPr>
          <w:p w14:paraId="363DBE29" w14:textId="5C8A5F2A" w:rsidR="009E57CF" w:rsidRPr="004D4A14" w:rsidRDefault="009E57CF" w:rsidP="006B04D3">
            <w:pPr>
              <w:spacing w:after="0" w:line="240" w:lineRule="auto"/>
              <w:jc w:val="both"/>
              <w:rPr>
                <w:rFonts w:eastAsia="Times New Roman" w:cs="Times New Roman"/>
                <w:iCs/>
                <w:noProof/>
                <w:sz w:val="16"/>
                <w:szCs w:val="16"/>
              </w:rPr>
            </w:pPr>
            <w:r w:rsidRPr="004D4A14">
              <w:rPr>
                <w:rFonts w:eastAsia="Times New Roman" w:cs="Times New Roman"/>
                <w:iCs/>
                <w:noProof/>
                <w:sz w:val="16"/>
                <w:szCs w:val="16"/>
              </w:rPr>
              <w:t>VVL regionas</w:t>
            </w:r>
          </w:p>
        </w:tc>
        <w:tc>
          <w:tcPr>
            <w:tcW w:w="424" w:type="pct"/>
            <w:shd w:val="clear" w:color="auto" w:fill="FFFFFF" w:themeFill="background1"/>
          </w:tcPr>
          <w:p w14:paraId="79B4FFC9" w14:textId="7438307E" w:rsidR="009E57CF" w:rsidRPr="004D4A14" w:rsidRDefault="009E57CF" w:rsidP="006B04D3">
            <w:pPr>
              <w:spacing w:after="0" w:line="240" w:lineRule="auto"/>
              <w:jc w:val="both"/>
              <w:rPr>
                <w:rFonts w:cs="Times New Roman"/>
                <w:sz w:val="16"/>
                <w:szCs w:val="16"/>
              </w:rPr>
            </w:pPr>
            <w:r w:rsidRPr="004D4A14">
              <w:rPr>
                <w:rFonts w:cs="Times New Roman"/>
                <w:sz w:val="16"/>
                <w:szCs w:val="16"/>
              </w:rPr>
              <w:t>Specialusis</w:t>
            </w:r>
          </w:p>
        </w:tc>
        <w:tc>
          <w:tcPr>
            <w:tcW w:w="1178" w:type="pct"/>
            <w:shd w:val="clear" w:color="auto" w:fill="FFFFFF" w:themeFill="background1"/>
          </w:tcPr>
          <w:p w14:paraId="2FC5BA81" w14:textId="43DD1B1E" w:rsidR="009E57CF" w:rsidRPr="004D4A14" w:rsidRDefault="009E57CF" w:rsidP="006B04D3">
            <w:pPr>
              <w:spacing w:after="0" w:line="240" w:lineRule="auto"/>
              <w:jc w:val="both"/>
              <w:rPr>
                <w:sz w:val="16"/>
                <w:szCs w:val="16"/>
              </w:rPr>
            </w:pPr>
            <w:r w:rsidRPr="004D4A14">
              <w:rPr>
                <w:sz w:val="16"/>
                <w:szCs w:val="16"/>
              </w:rPr>
              <w:t>Įvykdytas inovatyvus viešasis pirkimas</w:t>
            </w:r>
          </w:p>
        </w:tc>
        <w:tc>
          <w:tcPr>
            <w:tcW w:w="366" w:type="pct"/>
            <w:shd w:val="clear" w:color="auto" w:fill="FFFFFF" w:themeFill="background1"/>
          </w:tcPr>
          <w:p w14:paraId="4F90C3B3" w14:textId="6E402EA1" w:rsidR="009E57CF" w:rsidRPr="004D4A14" w:rsidRDefault="009E57CF" w:rsidP="006B04D3">
            <w:pPr>
              <w:spacing w:after="0" w:line="240" w:lineRule="auto"/>
              <w:jc w:val="both"/>
              <w:rPr>
                <w:rFonts w:cs="Times New Roman"/>
                <w:sz w:val="16"/>
                <w:szCs w:val="16"/>
              </w:rPr>
            </w:pPr>
            <w:r w:rsidRPr="004D4A14">
              <w:rPr>
                <w:rFonts w:cs="Times New Roman"/>
                <w:sz w:val="16"/>
                <w:szCs w:val="16"/>
              </w:rPr>
              <w:t>Skaičius</w:t>
            </w:r>
          </w:p>
        </w:tc>
        <w:tc>
          <w:tcPr>
            <w:tcW w:w="290" w:type="pct"/>
            <w:shd w:val="clear" w:color="auto" w:fill="FFFFFF" w:themeFill="background1"/>
          </w:tcPr>
          <w:p w14:paraId="7FB085E3" w14:textId="6980D139" w:rsidR="009E57CF" w:rsidRPr="004D4A14" w:rsidRDefault="009E57CF" w:rsidP="006B04D3">
            <w:pPr>
              <w:spacing w:after="0" w:line="240" w:lineRule="auto"/>
              <w:jc w:val="center"/>
              <w:rPr>
                <w:rFonts w:eastAsia="Calibri" w:cs="Times New Roman"/>
                <w:noProof/>
                <w:sz w:val="16"/>
                <w:szCs w:val="16"/>
              </w:rPr>
            </w:pPr>
            <w:r w:rsidRPr="004D4A14">
              <w:rPr>
                <w:rFonts w:eastAsia="Calibri" w:cs="Times New Roman"/>
                <w:noProof/>
                <w:sz w:val="16"/>
                <w:szCs w:val="16"/>
              </w:rPr>
              <w:t>0</w:t>
            </w:r>
          </w:p>
        </w:tc>
        <w:tc>
          <w:tcPr>
            <w:tcW w:w="375" w:type="pct"/>
            <w:shd w:val="clear" w:color="auto" w:fill="FFFFFF" w:themeFill="background1"/>
          </w:tcPr>
          <w:p w14:paraId="320D49D4" w14:textId="01FBFF7C" w:rsidR="009E57CF" w:rsidRPr="004D4A14" w:rsidRDefault="009E57CF" w:rsidP="006B04D3">
            <w:pPr>
              <w:spacing w:after="0" w:line="240" w:lineRule="auto"/>
              <w:jc w:val="center"/>
              <w:rPr>
                <w:rFonts w:eastAsia="Calibri" w:cs="Times New Roman"/>
                <w:noProof/>
                <w:sz w:val="16"/>
                <w:szCs w:val="16"/>
              </w:rPr>
            </w:pPr>
            <w:r w:rsidRPr="004D4A14">
              <w:rPr>
                <w:rFonts w:eastAsia="Calibri" w:cs="Times New Roman"/>
                <w:noProof/>
                <w:sz w:val="16"/>
                <w:szCs w:val="16"/>
              </w:rPr>
              <w:t>2021</w:t>
            </w:r>
          </w:p>
        </w:tc>
        <w:tc>
          <w:tcPr>
            <w:tcW w:w="364" w:type="pct"/>
            <w:shd w:val="clear" w:color="auto" w:fill="FFFFFF" w:themeFill="background1"/>
          </w:tcPr>
          <w:p w14:paraId="42D6274D" w14:textId="2C7D4E49" w:rsidR="009E57CF" w:rsidRPr="004D4A14" w:rsidRDefault="00513F7E" w:rsidP="006B04D3">
            <w:pPr>
              <w:spacing w:after="0" w:line="240" w:lineRule="auto"/>
              <w:jc w:val="center"/>
              <w:rPr>
                <w:rFonts w:eastAsia="Calibri" w:cs="Times New Roman"/>
                <w:iCs/>
                <w:noProof/>
                <w:sz w:val="16"/>
                <w:szCs w:val="16"/>
              </w:rPr>
            </w:pPr>
            <w:r w:rsidRPr="004D4A14">
              <w:rPr>
                <w:rFonts w:eastAsia="Calibri" w:cs="Times New Roman"/>
                <w:iCs/>
                <w:noProof/>
                <w:sz w:val="16"/>
                <w:szCs w:val="16"/>
              </w:rPr>
              <w:t>8</w:t>
            </w:r>
          </w:p>
        </w:tc>
        <w:tc>
          <w:tcPr>
            <w:tcW w:w="303" w:type="pct"/>
            <w:shd w:val="clear" w:color="auto" w:fill="FFFFFF" w:themeFill="background1"/>
          </w:tcPr>
          <w:p w14:paraId="2CAE9448" w14:textId="3B84F3C4" w:rsidR="009E57CF" w:rsidRPr="004D4A14" w:rsidRDefault="009E57CF" w:rsidP="006B04D3">
            <w:pPr>
              <w:spacing w:after="0" w:line="240" w:lineRule="auto"/>
              <w:jc w:val="both"/>
              <w:rPr>
                <w:rFonts w:eastAsia="Calibri" w:cs="Times New Roman"/>
                <w:sz w:val="16"/>
                <w:szCs w:val="16"/>
              </w:rPr>
            </w:pPr>
            <w:r w:rsidRPr="004D4A14">
              <w:rPr>
                <w:rFonts w:eastAsia="Calibri" w:cs="Times New Roman"/>
                <w:sz w:val="16"/>
                <w:szCs w:val="16"/>
              </w:rPr>
              <w:t>Projektų duomenys</w:t>
            </w:r>
          </w:p>
        </w:tc>
        <w:tc>
          <w:tcPr>
            <w:tcW w:w="312" w:type="pct"/>
            <w:shd w:val="clear" w:color="auto" w:fill="FFFFFF" w:themeFill="background1"/>
          </w:tcPr>
          <w:p w14:paraId="407B69CB" w14:textId="77777777" w:rsidR="009E57CF" w:rsidRPr="004D4A14" w:rsidRDefault="009E57CF" w:rsidP="006B04D3">
            <w:pPr>
              <w:spacing w:after="0" w:line="240" w:lineRule="auto"/>
              <w:jc w:val="both"/>
              <w:rPr>
                <w:rFonts w:eastAsia="Calibri" w:cs="Times New Roman"/>
                <w:i/>
                <w:noProof/>
                <w:sz w:val="16"/>
                <w:szCs w:val="16"/>
                <w:lang w:eastAsia="lt-LT" w:bidi="lt-LT"/>
              </w:rPr>
            </w:pPr>
          </w:p>
        </w:tc>
      </w:tr>
      <w:tr w:rsidR="009E57CF" w:rsidRPr="004D4A14" w14:paraId="4210F0F5" w14:textId="77777777" w:rsidTr="00E20003">
        <w:trPr>
          <w:trHeight w:val="286"/>
        </w:trPr>
        <w:tc>
          <w:tcPr>
            <w:tcW w:w="317" w:type="pct"/>
            <w:vMerge/>
            <w:shd w:val="clear" w:color="auto" w:fill="FFFFFF" w:themeFill="background1"/>
          </w:tcPr>
          <w:p w14:paraId="76E2FC5A" w14:textId="77777777" w:rsidR="009E57CF" w:rsidRPr="004D4A14" w:rsidRDefault="009E57CF" w:rsidP="006B04D3">
            <w:pPr>
              <w:spacing w:after="0" w:line="240" w:lineRule="auto"/>
              <w:jc w:val="both"/>
              <w:rPr>
                <w:rFonts w:eastAsia="Calibri" w:cs="Times New Roman"/>
                <w:noProof/>
                <w:sz w:val="16"/>
                <w:szCs w:val="16"/>
              </w:rPr>
            </w:pPr>
          </w:p>
        </w:tc>
        <w:tc>
          <w:tcPr>
            <w:tcW w:w="495" w:type="pct"/>
            <w:vMerge/>
            <w:shd w:val="clear" w:color="auto" w:fill="FFFFFF" w:themeFill="background1"/>
          </w:tcPr>
          <w:p w14:paraId="7CF7F45D" w14:textId="77777777" w:rsidR="009E57CF" w:rsidRPr="004D4A14" w:rsidRDefault="009E57CF" w:rsidP="006B04D3">
            <w:pPr>
              <w:spacing w:after="0" w:line="240" w:lineRule="auto"/>
              <w:jc w:val="both"/>
              <w:rPr>
                <w:rFonts w:eastAsia="Calibri" w:cs="Times New Roman"/>
                <w:noProof/>
                <w:sz w:val="16"/>
                <w:szCs w:val="16"/>
              </w:rPr>
            </w:pPr>
          </w:p>
        </w:tc>
        <w:tc>
          <w:tcPr>
            <w:tcW w:w="243" w:type="pct"/>
            <w:vMerge/>
            <w:shd w:val="clear" w:color="auto" w:fill="FFFFFF" w:themeFill="background1"/>
          </w:tcPr>
          <w:p w14:paraId="4F6694BC" w14:textId="77777777" w:rsidR="009E57CF" w:rsidRPr="004D4A14" w:rsidRDefault="009E57CF" w:rsidP="006B04D3">
            <w:pPr>
              <w:spacing w:after="0" w:line="240" w:lineRule="auto"/>
              <w:jc w:val="both"/>
              <w:rPr>
                <w:rFonts w:eastAsia="Calibri" w:cs="Times New Roman"/>
                <w:noProof/>
                <w:sz w:val="16"/>
                <w:szCs w:val="16"/>
              </w:rPr>
            </w:pPr>
          </w:p>
        </w:tc>
        <w:tc>
          <w:tcPr>
            <w:tcW w:w="333" w:type="pct"/>
            <w:tcBorders>
              <w:top w:val="single" w:sz="4" w:space="0" w:color="auto"/>
              <w:bottom w:val="single" w:sz="4" w:space="0" w:color="auto"/>
            </w:tcBorders>
            <w:shd w:val="clear" w:color="auto" w:fill="FFFFFF" w:themeFill="background1"/>
          </w:tcPr>
          <w:p w14:paraId="2D64E15D" w14:textId="4371B416" w:rsidR="009E57CF" w:rsidRPr="004D4A14" w:rsidRDefault="009E57CF" w:rsidP="006B04D3">
            <w:pPr>
              <w:spacing w:after="0" w:line="240" w:lineRule="auto"/>
              <w:jc w:val="both"/>
              <w:rPr>
                <w:rFonts w:eastAsia="Times New Roman" w:cs="Times New Roman"/>
                <w:iCs/>
                <w:noProof/>
                <w:sz w:val="16"/>
                <w:szCs w:val="16"/>
              </w:rPr>
            </w:pPr>
            <w:r w:rsidRPr="004D4A14">
              <w:rPr>
                <w:rFonts w:eastAsia="Times New Roman" w:cs="Times New Roman"/>
                <w:iCs/>
                <w:noProof/>
                <w:sz w:val="16"/>
                <w:szCs w:val="16"/>
              </w:rPr>
              <w:t>Sostinės regionas</w:t>
            </w:r>
          </w:p>
        </w:tc>
        <w:tc>
          <w:tcPr>
            <w:tcW w:w="424" w:type="pct"/>
            <w:shd w:val="clear" w:color="auto" w:fill="FFFFFF" w:themeFill="background1"/>
          </w:tcPr>
          <w:p w14:paraId="12268A4C" w14:textId="2AA94E75" w:rsidR="009E57CF" w:rsidRPr="004D4A14" w:rsidRDefault="009E57CF" w:rsidP="006B04D3">
            <w:pPr>
              <w:spacing w:after="0" w:line="240" w:lineRule="auto"/>
              <w:jc w:val="both"/>
              <w:rPr>
                <w:rFonts w:cs="Times New Roman"/>
                <w:sz w:val="16"/>
                <w:szCs w:val="16"/>
              </w:rPr>
            </w:pPr>
            <w:r w:rsidRPr="004D4A14">
              <w:rPr>
                <w:rFonts w:cs="Times New Roman"/>
                <w:sz w:val="16"/>
                <w:szCs w:val="16"/>
              </w:rPr>
              <w:t>Specialusis</w:t>
            </w:r>
          </w:p>
        </w:tc>
        <w:tc>
          <w:tcPr>
            <w:tcW w:w="1178" w:type="pct"/>
            <w:shd w:val="clear" w:color="auto" w:fill="FFFFFF" w:themeFill="background1"/>
          </w:tcPr>
          <w:p w14:paraId="6B945375" w14:textId="2008391D" w:rsidR="009E57CF" w:rsidRPr="004D4A14" w:rsidRDefault="009E57CF" w:rsidP="006B04D3">
            <w:pPr>
              <w:spacing w:after="0" w:line="240" w:lineRule="auto"/>
              <w:jc w:val="both"/>
              <w:rPr>
                <w:sz w:val="16"/>
                <w:szCs w:val="16"/>
              </w:rPr>
            </w:pPr>
            <w:r w:rsidRPr="004D4A14">
              <w:rPr>
                <w:sz w:val="16"/>
                <w:szCs w:val="16"/>
              </w:rPr>
              <w:t>Įvykdytas inovatyvus viešasis pirkimas</w:t>
            </w:r>
          </w:p>
        </w:tc>
        <w:tc>
          <w:tcPr>
            <w:tcW w:w="366" w:type="pct"/>
            <w:shd w:val="clear" w:color="auto" w:fill="FFFFFF" w:themeFill="background1"/>
          </w:tcPr>
          <w:p w14:paraId="3452A524" w14:textId="2F49D318" w:rsidR="009E57CF" w:rsidRPr="004D4A14" w:rsidRDefault="009E57CF" w:rsidP="006B04D3">
            <w:pPr>
              <w:spacing w:after="0" w:line="240" w:lineRule="auto"/>
              <w:jc w:val="both"/>
              <w:rPr>
                <w:rFonts w:cs="Times New Roman"/>
                <w:sz w:val="16"/>
                <w:szCs w:val="16"/>
              </w:rPr>
            </w:pPr>
            <w:r w:rsidRPr="004D4A14">
              <w:rPr>
                <w:rFonts w:cs="Times New Roman"/>
                <w:sz w:val="16"/>
                <w:szCs w:val="16"/>
              </w:rPr>
              <w:t>Skaičius</w:t>
            </w:r>
          </w:p>
        </w:tc>
        <w:tc>
          <w:tcPr>
            <w:tcW w:w="290" w:type="pct"/>
            <w:shd w:val="clear" w:color="auto" w:fill="FFFFFF" w:themeFill="background1"/>
          </w:tcPr>
          <w:p w14:paraId="619636CF" w14:textId="47B5AD05" w:rsidR="009E57CF" w:rsidRPr="004D4A14" w:rsidRDefault="009E57CF" w:rsidP="006B04D3">
            <w:pPr>
              <w:spacing w:after="0" w:line="240" w:lineRule="auto"/>
              <w:jc w:val="center"/>
              <w:rPr>
                <w:rFonts w:eastAsia="Calibri" w:cs="Times New Roman"/>
                <w:noProof/>
                <w:sz w:val="16"/>
                <w:szCs w:val="16"/>
              </w:rPr>
            </w:pPr>
            <w:r w:rsidRPr="004D4A14">
              <w:rPr>
                <w:rFonts w:eastAsia="Calibri" w:cs="Times New Roman"/>
                <w:noProof/>
                <w:sz w:val="16"/>
                <w:szCs w:val="16"/>
              </w:rPr>
              <w:t>0</w:t>
            </w:r>
          </w:p>
        </w:tc>
        <w:tc>
          <w:tcPr>
            <w:tcW w:w="375" w:type="pct"/>
            <w:shd w:val="clear" w:color="auto" w:fill="FFFFFF" w:themeFill="background1"/>
          </w:tcPr>
          <w:p w14:paraId="5AC19025" w14:textId="76887720" w:rsidR="009E57CF" w:rsidRPr="004D4A14" w:rsidRDefault="009E57CF" w:rsidP="006B04D3">
            <w:pPr>
              <w:spacing w:after="0" w:line="240" w:lineRule="auto"/>
              <w:jc w:val="center"/>
              <w:rPr>
                <w:rFonts w:eastAsia="Calibri" w:cs="Times New Roman"/>
                <w:noProof/>
                <w:sz w:val="16"/>
                <w:szCs w:val="16"/>
              </w:rPr>
            </w:pPr>
            <w:r w:rsidRPr="004D4A14">
              <w:rPr>
                <w:rFonts w:eastAsia="Calibri" w:cs="Times New Roman"/>
                <w:noProof/>
                <w:sz w:val="16"/>
                <w:szCs w:val="16"/>
              </w:rPr>
              <w:t>2021</w:t>
            </w:r>
          </w:p>
        </w:tc>
        <w:tc>
          <w:tcPr>
            <w:tcW w:w="364" w:type="pct"/>
            <w:shd w:val="clear" w:color="auto" w:fill="FFFFFF" w:themeFill="background1"/>
          </w:tcPr>
          <w:p w14:paraId="4EC3B953" w14:textId="7F0033D3" w:rsidR="009E57CF" w:rsidRPr="004D4A14" w:rsidRDefault="00513F7E" w:rsidP="006B04D3">
            <w:pPr>
              <w:spacing w:after="0" w:line="240" w:lineRule="auto"/>
              <w:jc w:val="center"/>
              <w:rPr>
                <w:rFonts w:eastAsia="Calibri" w:cs="Times New Roman"/>
                <w:iCs/>
                <w:noProof/>
                <w:sz w:val="16"/>
                <w:szCs w:val="16"/>
              </w:rPr>
            </w:pPr>
            <w:r w:rsidRPr="004D4A14">
              <w:rPr>
                <w:rFonts w:eastAsia="Calibri" w:cs="Times New Roman"/>
                <w:iCs/>
                <w:noProof/>
                <w:sz w:val="16"/>
                <w:szCs w:val="16"/>
              </w:rPr>
              <w:t>1</w:t>
            </w:r>
            <w:r w:rsidR="00857759" w:rsidRPr="004D4A14">
              <w:rPr>
                <w:rFonts w:eastAsia="Calibri" w:cs="Times New Roman"/>
                <w:iCs/>
                <w:noProof/>
                <w:sz w:val="16"/>
                <w:szCs w:val="16"/>
              </w:rPr>
              <w:t>2</w:t>
            </w:r>
          </w:p>
        </w:tc>
        <w:tc>
          <w:tcPr>
            <w:tcW w:w="303" w:type="pct"/>
            <w:shd w:val="clear" w:color="auto" w:fill="FFFFFF" w:themeFill="background1"/>
          </w:tcPr>
          <w:p w14:paraId="45A995D8" w14:textId="6C4EFE0F" w:rsidR="009E57CF" w:rsidRPr="004D4A14" w:rsidRDefault="009E57CF" w:rsidP="006B04D3">
            <w:pPr>
              <w:spacing w:after="0" w:line="240" w:lineRule="auto"/>
              <w:jc w:val="both"/>
              <w:rPr>
                <w:rFonts w:eastAsia="Calibri" w:cs="Times New Roman"/>
                <w:sz w:val="16"/>
                <w:szCs w:val="16"/>
              </w:rPr>
            </w:pPr>
            <w:r w:rsidRPr="004D4A14">
              <w:rPr>
                <w:rFonts w:eastAsia="Calibri" w:cs="Times New Roman"/>
                <w:sz w:val="16"/>
                <w:szCs w:val="16"/>
              </w:rPr>
              <w:t>Projektų duomenys</w:t>
            </w:r>
          </w:p>
        </w:tc>
        <w:tc>
          <w:tcPr>
            <w:tcW w:w="312" w:type="pct"/>
            <w:shd w:val="clear" w:color="auto" w:fill="FFFFFF" w:themeFill="background1"/>
          </w:tcPr>
          <w:p w14:paraId="15E66081" w14:textId="77777777" w:rsidR="009E57CF" w:rsidRPr="004D4A14" w:rsidRDefault="009E57CF" w:rsidP="006B04D3">
            <w:pPr>
              <w:spacing w:after="0" w:line="240" w:lineRule="auto"/>
              <w:jc w:val="both"/>
              <w:rPr>
                <w:rFonts w:eastAsia="Calibri" w:cs="Times New Roman"/>
                <w:i/>
                <w:noProof/>
                <w:sz w:val="16"/>
                <w:szCs w:val="16"/>
                <w:lang w:eastAsia="lt-LT" w:bidi="lt-LT"/>
              </w:rPr>
            </w:pPr>
          </w:p>
        </w:tc>
      </w:tr>
    </w:tbl>
    <w:p w14:paraId="2E882ED2" w14:textId="77777777" w:rsidR="00316179" w:rsidRPr="004D4A14" w:rsidRDefault="00316179" w:rsidP="00316179">
      <w:pPr>
        <w:spacing w:after="0" w:line="240" w:lineRule="auto"/>
        <w:jc w:val="both"/>
        <w:rPr>
          <w:rFonts w:cs="Times New Roman"/>
          <w:sz w:val="16"/>
          <w:szCs w:val="16"/>
        </w:rPr>
        <w:sectPr w:rsidR="00316179" w:rsidRPr="004D4A14" w:rsidSect="00931C78">
          <w:pgSz w:w="16838" w:h="11906" w:orient="landscape"/>
          <w:pgMar w:top="1701" w:right="1276" w:bottom="567" w:left="1134" w:header="567" w:footer="567" w:gutter="0"/>
          <w:cols w:space="1296"/>
          <w:docGrid w:linePitch="360"/>
        </w:sectPr>
      </w:pPr>
    </w:p>
    <w:bookmarkEnd w:id="2"/>
    <w:p w14:paraId="137C29C7" w14:textId="77777777" w:rsidR="001F55F0" w:rsidRPr="004D4A14" w:rsidRDefault="001F55F0" w:rsidP="001F55F0">
      <w:pPr>
        <w:pStyle w:val="Stilius1"/>
        <w:rPr>
          <w:noProof/>
          <w:lang w:eastAsia="lt-LT" w:bidi="lt-LT"/>
        </w:rPr>
      </w:pPr>
      <w:r w:rsidRPr="004D4A14">
        <w:rPr>
          <w:noProof/>
          <w:lang w:eastAsia="lt-LT" w:bidi="lt-LT"/>
        </w:rPr>
        <w:lastRenderedPageBreak/>
        <w:t>Preliminarus Programos išteklių suskirstymas pagal intervencinių priemonių rūšį</w:t>
      </w:r>
    </w:p>
    <w:tbl>
      <w:tblPr>
        <w:tblStyle w:val="Lentelstinklelis"/>
        <w:tblW w:w="9705" w:type="dxa"/>
        <w:tblLayout w:type="fixed"/>
        <w:tblLook w:val="04A0" w:firstRow="1" w:lastRow="0" w:firstColumn="1" w:lastColumn="0" w:noHBand="0" w:noVBand="1"/>
      </w:tblPr>
      <w:tblGrid>
        <w:gridCol w:w="1065"/>
        <w:gridCol w:w="900"/>
        <w:gridCol w:w="1530"/>
        <w:gridCol w:w="1170"/>
        <w:gridCol w:w="3528"/>
        <w:gridCol w:w="1512"/>
      </w:tblGrid>
      <w:tr w:rsidR="001F55F0" w:rsidRPr="004D4A14" w14:paraId="5A3DD528" w14:textId="77777777" w:rsidTr="00C75C9F">
        <w:trPr>
          <w:trHeight w:val="242"/>
        </w:trPr>
        <w:tc>
          <w:tcPr>
            <w:tcW w:w="9705"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5B7FAD" w14:textId="77777777" w:rsidR="001F55F0" w:rsidRPr="004D4A14" w:rsidRDefault="001F55F0" w:rsidP="008A3BD6">
            <w:pPr>
              <w:rPr>
                <w:b/>
                <w:noProof/>
                <w:sz w:val="20"/>
              </w:rPr>
            </w:pPr>
            <w:r w:rsidRPr="004D4A14">
              <w:rPr>
                <w:b/>
                <w:noProof/>
                <w:sz w:val="20"/>
              </w:rPr>
              <w:t>4 lentelė. 1 matmuo. Intervencinių priemonių sritis</w:t>
            </w:r>
          </w:p>
        </w:tc>
      </w:tr>
      <w:tr w:rsidR="001F55F0" w:rsidRPr="004D4A14" w14:paraId="0D5A93EB" w14:textId="77777777" w:rsidTr="00C75C9F">
        <w:trPr>
          <w:trHeight w:val="472"/>
        </w:trPr>
        <w:tc>
          <w:tcPr>
            <w:tcW w:w="106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273A0C" w14:textId="77777777" w:rsidR="001F55F0" w:rsidRPr="004D4A14" w:rsidRDefault="001F55F0" w:rsidP="008A3BD6">
            <w:pPr>
              <w:jc w:val="center"/>
              <w:rPr>
                <w:rFonts w:eastAsia="Times New Roman"/>
                <w:b/>
                <w:iCs/>
                <w:noProof/>
                <w:sz w:val="20"/>
              </w:rPr>
            </w:pPr>
            <w:r w:rsidRPr="004D4A14">
              <w:rPr>
                <w:b/>
                <w:noProof/>
                <w:sz w:val="20"/>
              </w:rPr>
              <w:t>Prioriteto Nr.</w:t>
            </w:r>
          </w:p>
        </w:tc>
        <w:tc>
          <w:tcPr>
            <w:tcW w:w="90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8EAA205" w14:textId="77777777" w:rsidR="001F55F0" w:rsidRPr="004D4A14" w:rsidRDefault="001F55F0" w:rsidP="008A3BD6">
            <w:pPr>
              <w:jc w:val="center"/>
              <w:rPr>
                <w:rFonts w:eastAsia="Times New Roman"/>
                <w:b/>
                <w:iCs/>
                <w:noProof/>
                <w:sz w:val="20"/>
              </w:rPr>
            </w:pPr>
            <w:r w:rsidRPr="004D4A14">
              <w:rPr>
                <w:b/>
                <w:noProof/>
                <w:sz w:val="20"/>
              </w:rPr>
              <w:t>Fondas</w:t>
            </w:r>
          </w:p>
        </w:tc>
        <w:tc>
          <w:tcPr>
            <w:tcW w:w="153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56747B" w14:textId="77777777" w:rsidR="001F55F0" w:rsidRPr="004D4A14" w:rsidRDefault="001F55F0" w:rsidP="008A3BD6">
            <w:pPr>
              <w:jc w:val="center"/>
              <w:rPr>
                <w:rFonts w:eastAsia="Times New Roman"/>
                <w:b/>
                <w:iCs/>
                <w:noProof/>
                <w:sz w:val="20"/>
              </w:rPr>
            </w:pPr>
            <w:r w:rsidRPr="004D4A14">
              <w:rPr>
                <w:b/>
                <w:noProof/>
                <w:sz w:val="20"/>
              </w:rPr>
              <w:t>Regiono kategorija</w:t>
            </w:r>
          </w:p>
        </w:tc>
        <w:tc>
          <w:tcPr>
            <w:tcW w:w="117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BBF6448" w14:textId="77777777" w:rsidR="001F55F0" w:rsidRPr="004D4A14" w:rsidRDefault="001F55F0" w:rsidP="008A3BD6">
            <w:pPr>
              <w:jc w:val="center"/>
              <w:rPr>
                <w:rFonts w:eastAsia="Times New Roman"/>
                <w:b/>
                <w:iCs/>
                <w:noProof/>
                <w:sz w:val="20"/>
              </w:rPr>
            </w:pPr>
            <w:r w:rsidRPr="004D4A14">
              <w:rPr>
                <w:b/>
                <w:noProof/>
                <w:sz w:val="20"/>
              </w:rPr>
              <w:t>Konkretus uždavinys</w:t>
            </w:r>
          </w:p>
        </w:tc>
        <w:tc>
          <w:tcPr>
            <w:tcW w:w="352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876F093" w14:textId="77777777" w:rsidR="001F55F0" w:rsidRPr="004D4A14" w:rsidRDefault="001F55F0" w:rsidP="008A3BD6">
            <w:pPr>
              <w:jc w:val="center"/>
              <w:rPr>
                <w:rFonts w:eastAsia="Times New Roman"/>
                <w:b/>
                <w:iCs/>
                <w:noProof/>
                <w:sz w:val="20"/>
              </w:rPr>
            </w:pPr>
            <w:r w:rsidRPr="004D4A14">
              <w:rPr>
                <w:b/>
                <w:noProof/>
                <w:sz w:val="20"/>
              </w:rPr>
              <w:t>Kodas</w:t>
            </w:r>
          </w:p>
        </w:tc>
        <w:tc>
          <w:tcPr>
            <w:tcW w:w="151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5F8301D" w14:textId="77777777" w:rsidR="001F55F0" w:rsidRPr="004D4A14" w:rsidRDefault="001F55F0" w:rsidP="008A3BD6">
            <w:pPr>
              <w:jc w:val="center"/>
              <w:rPr>
                <w:rFonts w:eastAsia="Times New Roman"/>
                <w:b/>
                <w:iCs/>
                <w:noProof/>
                <w:sz w:val="20"/>
              </w:rPr>
            </w:pPr>
            <w:r w:rsidRPr="004D4A14">
              <w:rPr>
                <w:b/>
                <w:noProof/>
                <w:sz w:val="20"/>
              </w:rPr>
              <w:t>Suma (EUR)</w:t>
            </w:r>
          </w:p>
        </w:tc>
      </w:tr>
      <w:tr w:rsidR="00325FDB" w:rsidRPr="004D4A14" w14:paraId="63ACA111" w14:textId="77777777" w:rsidTr="00C75C9F">
        <w:trPr>
          <w:trHeight w:val="559"/>
        </w:trPr>
        <w:tc>
          <w:tcPr>
            <w:tcW w:w="1065" w:type="dxa"/>
            <w:vMerge w:val="restart"/>
            <w:tcBorders>
              <w:top w:val="single" w:sz="12" w:space="0" w:color="auto"/>
            </w:tcBorders>
          </w:tcPr>
          <w:p w14:paraId="66E94781" w14:textId="77777777" w:rsidR="00325FDB" w:rsidRPr="004D4A14" w:rsidRDefault="00325FDB" w:rsidP="001F55F0">
            <w:pPr>
              <w:jc w:val="center"/>
              <w:rPr>
                <w:rFonts w:cs="Times New Roman"/>
                <w:noProof/>
                <w:sz w:val="20"/>
                <w:szCs w:val="20"/>
              </w:rPr>
            </w:pPr>
            <w:r w:rsidRPr="004D4A14">
              <w:rPr>
                <w:rFonts w:eastAsia="Times New Roman"/>
                <w:iCs/>
                <w:noProof/>
                <w:sz w:val="20"/>
                <w:szCs w:val="20"/>
              </w:rPr>
              <w:t>11</w:t>
            </w:r>
          </w:p>
        </w:tc>
        <w:tc>
          <w:tcPr>
            <w:tcW w:w="900" w:type="dxa"/>
            <w:vMerge w:val="restart"/>
            <w:tcBorders>
              <w:top w:val="single" w:sz="12" w:space="0" w:color="auto"/>
            </w:tcBorders>
          </w:tcPr>
          <w:p w14:paraId="1E69155A" w14:textId="77777777" w:rsidR="00325FDB" w:rsidRPr="004D4A14" w:rsidRDefault="00325FDB" w:rsidP="001F55F0">
            <w:pPr>
              <w:jc w:val="center"/>
              <w:rPr>
                <w:rFonts w:cs="Times New Roman"/>
                <w:noProof/>
                <w:sz w:val="20"/>
                <w:szCs w:val="20"/>
              </w:rPr>
            </w:pPr>
            <w:r w:rsidRPr="004D4A14">
              <w:rPr>
                <w:rFonts w:eastAsia="Times New Roman"/>
                <w:iCs/>
                <w:noProof/>
                <w:sz w:val="20"/>
                <w:szCs w:val="20"/>
              </w:rPr>
              <w:t>ERPF</w:t>
            </w:r>
          </w:p>
        </w:tc>
        <w:tc>
          <w:tcPr>
            <w:tcW w:w="1530" w:type="dxa"/>
            <w:tcBorders>
              <w:top w:val="single" w:sz="4" w:space="0" w:color="auto"/>
            </w:tcBorders>
          </w:tcPr>
          <w:p w14:paraId="4064F057" w14:textId="215EC43A" w:rsidR="00325FDB" w:rsidRPr="004D4A14" w:rsidRDefault="00325FDB" w:rsidP="001F55F0">
            <w:pPr>
              <w:rPr>
                <w:rFonts w:eastAsia="Times New Roman" w:cs="Times New Roman"/>
                <w:iCs/>
                <w:noProof/>
                <w:sz w:val="20"/>
                <w:szCs w:val="20"/>
              </w:rPr>
            </w:pPr>
            <w:r w:rsidRPr="004D4A14">
              <w:rPr>
                <w:rFonts w:eastAsia="Times New Roman" w:cs="Times New Roman"/>
                <w:iCs/>
                <w:noProof/>
                <w:sz w:val="20"/>
                <w:szCs w:val="20"/>
              </w:rPr>
              <w:t>Sostinės regionas</w:t>
            </w:r>
          </w:p>
        </w:tc>
        <w:tc>
          <w:tcPr>
            <w:tcW w:w="1170" w:type="dxa"/>
            <w:vMerge w:val="restart"/>
          </w:tcPr>
          <w:p w14:paraId="7B6520DA" w14:textId="121AD6F8" w:rsidR="00325FDB" w:rsidRPr="004D4A14" w:rsidRDefault="00325FDB" w:rsidP="001F55F0">
            <w:pPr>
              <w:jc w:val="center"/>
              <w:rPr>
                <w:rFonts w:cs="Times New Roman"/>
                <w:noProof/>
                <w:sz w:val="20"/>
                <w:szCs w:val="20"/>
              </w:rPr>
            </w:pPr>
            <w:r w:rsidRPr="004D4A14">
              <w:rPr>
                <w:rFonts w:eastAsia="Times New Roman"/>
                <w:bCs/>
                <w:iCs/>
                <w:noProof/>
                <w:sz w:val="20"/>
                <w:szCs w:val="20"/>
              </w:rPr>
              <w:t>11.1</w:t>
            </w:r>
          </w:p>
        </w:tc>
        <w:tc>
          <w:tcPr>
            <w:tcW w:w="3528" w:type="dxa"/>
            <w:vMerge w:val="restart"/>
            <w:tcBorders>
              <w:top w:val="single" w:sz="4" w:space="0" w:color="auto"/>
            </w:tcBorders>
            <w:shd w:val="clear" w:color="auto" w:fill="FFFFFF" w:themeFill="background1"/>
          </w:tcPr>
          <w:p w14:paraId="71AA56EF" w14:textId="6A603B74" w:rsidR="00325FDB" w:rsidRPr="004D4A14" w:rsidRDefault="00325FDB" w:rsidP="001F55F0">
            <w:pPr>
              <w:jc w:val="both"/>
              <w:rPr>
                <w:rFonts w:eastAsia="Times New Roman" w:cs="Times New Roman"/>
                <w:iCs/>
                <w:noProof/>
                <w:sz w:val="20"/>
                <w:szCs w:val="20"/>
              </w:rPr>
            </w:pPr>
            <w:r w:rsidRPr="004D4A14">
              <w:rPr>
                <w:rFonts w:eastAsia="Times New Roman" w:cs="Times New Roman"/>
                <w:iCs/>
                <w:noProof/>
                <w:sz w:val="20"/>
                <w:szCs w:val="20"/>
              </w:rPr>
              <w:t>194 Produktyvios investicijos į dideles įmones, susijusias su gynybos ir dvejopo naudojimo technologijomis</w:t>
            </w:r>
            <w:r w:rsidRPr="004D4A14" w:rsidDel="001F55F0">
              <w:rPr>
                <w:rFonts w:eastAsia="Times New Roman" w:cs="Times New Roman"/>
                <w:iCs/>
                <w:noProof/>
                <w:sz w:val="20"/>
                <w:szCs w:val="20"/>
              </w:rPr>
              <w:t xml:space="preserve"> </w:t>
            </w:r>
          </w:p>
        </w:tc>
        <w:tc>
          <w:tcPr>
            <w:tcW w:w="1512" w:type="dxa"/>
            <w:tcBorders>
              <w:top w:val="single" w:sz="4" w:space="0" w:color="auto"/>
            </w:tcBorders>
          </w:tcPr>
          <w:p w14:paraId="2ED605E3" w14:textId="2AF658CE" w:rsidR="00325FDB" w:rsidRPr="004D4A14" w:rsidDel="00A949B6" w:rsidRDefault="00961B85" w:rsidP="001F55F0">
            <w:pPr>
              <w:jc w:val="right"/>
              <w:rPr>
                <w:rFonts w:eastAsia="Times New Roman" w:cs="Times New Roman"/>
                <w:iCs/>
                <w:noProof/>
                <w:sz w:val="20"/>
                <w:szCs w:val="20"/>
              </w:rPr>
            </w:pPr>
            <w:r w:rsidRPr="004D4A14">
              <w:rPr>
                <w:rFonts w:eastAsia="Times New Roman" w:cs="Times New Roman"/>
                <w:iCs/>
                <w:noProof/>
                <w:sz w:val="20"/>
                <w:szCs w:val="20"/>
              </w:rPr>
              <w:t>1 900 000,00</w:t>
            </w:r>
          </w:p>
        </w:tc>
      </w:tr>
      <w:tr w:rsidR="00325FDB" w:rsidRPr="004D4A14" w14:paraId="1936FC30" w14:textId="77777777" w:rsidTr="00C75C9F">
        <w:trPr>
          <w:trHeight w:val="70"/>
        </w:trPr>
        <w:tc>
          <w:tcPr>
            <w:tcW w:w="1065" w:type="dxa"/>
            <w:vMerge/>
          </w:tcPr>
          <w:p w14:paraId="03FA9A4C" w14:textId="77777777" w:rsidR="00325FDB" w:rsidRPr="004D4A14" w:rsidRDefault="00325FDB" w:rsidP="001F55F0">
            <w:pPr>
              <w:jc w:val="center"/>
              <w:rPr>
                <w:rFonts w:cs="Times New Roman"/>
                <w:noProof/>
                <w:sz w:val="20"/>
                <w:szCs w:val="20"/>
              </w:rPr>
            </w:pPr>
          </w:p>
        </w:tc>
        <w:tc>
          <w:tcPr>
            <w:tcW w:w="900" w:type="dxa"/>
            <w:vMerge/>
          </w:tcPr>
          <w:p w14:paraId="3FFDF5FB" w14:textId="77777777" w:rsidR="00325FDB" w:rsidRPr="004D4A14" w:rsidRDefault="00325FDB" w:rsidP="001F55F0">
            <w:pPr>
              <w:jc w:val="center"/>
              <w:rPr>
                <w:rFonts w:cs="Times New Roman"/>
                <w:noProof/>
                <w:sz w:val="20"/>
                <w:szCs w:val="20"/>
              </w:rPr>
            </w:pPr>
          </w:p>
        </w:tc>
        <w:tc>
          <w:tcPr>
            <w:tcW w:w="1530" w:type="dxa"/>
            <w:tcBorders>
              <w:top w:val="single" w:sz="4" w:space="0" w:color="auto"/>
              <w:bottom w:val="single" w:sz="4" w:space="0" w:color="auto"/>
            </w:tcBorders>
          </w:tcPr>
          <w:p w14:paraId="0CD263A5" w14:textId="77777777" w:rsidR="00325FDB" w:rsidRPr="004D4A14" w:rsidRDefault="00325FDB" w:rsidP="001F55F0">
            <w:pPr>
              <w:rPr>
                <w:rFonts w:eastAsia="Times New Roman" w:cs="Times New Roman"/>
                <w:iCs/>
                <w:noProof/>
                <w:sz w:val="20"/>
                <w:szCs w:val="20"/>
              </w:rPr>
            </w:pPr>
            <w:r w:rsidRPr="004D4A14">
              <w:rPr>
                <w:rFonts w:eastAsia="Times New Roman" w:cs="Times New Roman"/>
                <w:iCs/>
                <w:noProof/>
                <w:sz w:val="20"/>
                <w:szCs w:val="20"/>
              </w:rPr>
              <w:t>VVL regionas</w:t>
            </w:r>
          </w:p>
          <w:p w14:paraId="7E457306" w14:textId="77777777" w:rsidR="00325FDB" w:rsidRPr="004D4A14" w:rsidRDefault="00325FDB" w:rsidP="001F55F0">
            <w:pPr>
              <w:rPr>
                <w:rFonts w:eastAsia="Times New Roman" w:cs="Times New Roman"/>
                <w:iCs/>
                <w:noProof/>
                <w:sz w:val="20"/>
                <w:szCs w:val="20"/>
              </w:rPr>
            </w:pPr>
          </w:p>
        </w:tc>
        <w:tc>
          <w:tcPr>
            <w:tcW w:w="1170" w:type="dxa"/>
            <w:vMerge/>
          </w:tcPr>
          <w:p w14:paraId="495AB553" w14:textId="77777777" w:rsidR="00325FDB" w:rsidRPr="004D4A14" w:rsidRDefault="00325FDB" w:rsidP="001F55F0">
            <w:pPr>
              <w:jc w:val="center"/>
              <w:rPr>
                <w:rFonts w:cs="Times New Roman"/>
                <w:noProof/>
                <w:sz w:val="20"/>
                <w:szCs w:val="20"/>
              </w:rPr>
            </w:pPr>
          </w:p>
        </w:tc>
        <w:tc>
          <w:tcPr>
            <w:tcW w:w="3528" w:type="dxa"/>
            <w:vMerge/>
            <w:tcBorders>
              <w:bottom w:val="single" w:sz="4" w:space="0" w:color="auto"/>
            </w:tcBorders>
            <w:shd w:val="clear" w:color="auto" w:fill="FFFFFF" w:themeFill="background1"/>
          </w:tcPr>
          <w:p w14:paraId="37EB0CA4" w14:textId="77777777" w:rsidR="00325FDB" w:rsidRPr="004D4A14" w:rsidDel="00AA781F" w:rsidRDefault="00325FDB" w:rsidP="001F55F0">
            <w:pPr>
              <w:jc w:val="both"/>
              <w:rPr>
                <w:rFonts w:eastAsia="Times New Roman" w:cs="Times New Roman"/>
                <w:iCs/>
                <w:noProof/>
                <w:sz w:val="20"/>
                <w:szCs w:val="20"/>
                <w:lang w:val="en-US"/>
              </w:rPr>
            </w:pPr>
          </w:p>
        </w:tc>
        <w:tc>
          <w:tcPr>
            <w:tcW w:w="1512" w:type="dxa"/>
            <w:tcBorders>
              <w:top w:val="single" w:sz="4" w:space="0" w:color="auto"/>
              <w:bottom w:val="single" w:sz="4" w:space="0" w:color="auto"/>
            </w:tcBorders>
          </w:tcPr>
          <w:p w14:paraId="4E43C705" w14:textId="66E8245B" w:rsidR="00325FDB" w:rsidRPr="004D4A14" w:rsidDel="00A949B6" w:rsidRDefault="00961B85" w:rsidP="001F55F0">
            <w:pPr>
              <w:jc w:val="right"/>
              <w:rPr>
                <w:rFonts w:eastAsia="Times New Roman" w:cs="Times New Roman"/>
                <w:iCs/>
                <w:noProof/>
                <w:sz w:val="20"/>
                <w:szCs w:val="20"/>
              </w:rPr>
            </w:pPr>
            <w:r w:rsidRPr="004D4A14">
              <w:rPr>
                <w:rFonts w:eastAsia="Times New Roman" w:cs="Times New Roman"/>
                <w:iCs/>
                <w:noProof/>
                <w:sz w:val="20"/>
                <w:szCs w:val="20"/>
              </w:rPr>
              <w:t>36 860 756,88</w:t>
            </w:r>
          </w:p>
        </w:tc>
      </w:tr>
      <w:tr w:rsidR="00325FDB" w:rsidRPr="004D4A14" w14:paraId="0AFD6499" w14:textId="77777777" w:rsidTr="00C75C9F">
        <w:trPr>
          <w:trHeight w:val="354"/>
        </w:trPr>
        <w:tc>
          <w:tcPr>
            <w:tcW w:w="1065" w:type="dxa"/>
            <w:vMerge/>
          </w:tcPr>
          <w:p w14:paraId="6D756A18" w14:textId="77777777" w:rsidR="00325FDB" w:rsidRPr="004D4A14" w:rsidRDefault="00325FDB" w:rsidP="001F55F0">
            <w:pPr>
              <w:jc w:val="center"/>
              <w:rPr>
                <w:rFonts w:cs="Times New Roman"/>
                <w:noProof/>
                <w:sz w:val="20"/>
                <w:szCs w:val="20"/>
              </w:rPr>
            </w:pPr>
          </w:p>
        </w:tc>
        <w:tc>
          <w:tcPr>
            <w:tcW w:w="900" w:type="dxa"/>
            <w:vMerge/>
          </w:tcPr>
          <w:p w14:paraId="4C73FE73" w14:textId="77777777" w:rsidR="00325FDB" w:rsidRPr="004D4A14" w:rsidRDefault="00325FDB" w:rsidP="001F55F0">
            <w:pPr>
              <w:jc w:val="center"/>
              <w:rPr>
                <w:rFonts w:cs="Times New Roman"/>
                <w:noProof/>
                <w:sz w:val="20"/>
                <w:szCs w:val="20"/>
              </w:rPr>
            </w:pPr>
          </w:p>
        </w:tc>
        <w:tc>
          <w:tcPr>
            <w:tcW w:w="1530" w:type="dxa"/>
            <w:tcBorders>
              <w:top w:val="single" w:sz="4" w:space="0" w:color="auto"/>
              <w:bottom w:val="single" w:sz="4" w:space="0" w:color="auto"/>
            </w:tcBorders>
          </w:tcPr>
          <w:p w14:paraId="18F552A1" w14:textId="77777777" w:rsidR="00325FDB" w:rsidRPr="004D4A14" w:rsidRDefault="00325FDB" w:rsidP="001F55F0">
            <w:pPr>
              <w:rPr>
                <w:rFonts w:eastAsia="Times New Roman" w:cs="Times New Roman"/>
                <w:iCs/>
                <w:noProof/>
                <w:sz w:val="20"/>
                <w:szCs w:val="20"/>
              </w:rPr>
            </w:pPr>
            <w:r w:rsidRPr="004D4A14">
              <w:rPr>
                <w:rFonts w:eastAsia="Times New Roman" w:cs="Times New Roman"/>
                <w:iCs/>
                <w:noProof/>
                <w:sz w:val="20"/>
                <w:szCs w:val="20"/>
              </w:rPr>
              <w:t>Sostinės regionas</w:t>
            </w:r>
          </w:p>
        </w:tc>
        <w:tc>
          <w:tcPr>
            <w:tcW w:w="1170" w:type="dxa"/>
            <w:vMerge/>
          </w:tcPr>
          <w:p w14:paraId="166F9D98" w14:textId="77777777" w:rsidR="00325FDB" w:rsidRPr="004D4A14" w:rsidRDefault="00325FDB" w:rsidP="001F55F0">
            <w:pPr>
              <w:jc w:val="center"/>
              <w:rPr>
                <w:rFonts w:cs="Times New Roman"/>
                <w:noProof/>
                <w:sz w:val="20"/>
                <w:szCs w:val="20"/>
              </w:rPr>
            </w:pPr>
          </w:p>
        </w:tc>
        <w:tc>
          <w:tcPr>
            <w:tcW w:w="3528" w:type="dxa"/>
            <w:vMerge w:val="restart"/>
            <w:tcBorders>
              <w:top w:val="single" w:sz="4" w:space="0" w:color="auto"/>
            </w:tcBorders>
            <w:shd w:val="clear" w:color="auto" w:fill="FFFFFF" w:themeFill="background1"/>
          </w:tcPr>
          <w:p w14:paraId="2FDBB869" w14:textId="27D55D63" w:rsidR="00325FDB" w:rsidRPr="004D4A14" w:rsidDel="00AA781F" w:rsidRDefault="00325FDB" w:rsidP="001F55F0">
            <w:pPr>
              <w:jc w:val="both"/>
              <w:rPr>
                <w:rFonts w:eastAsia="Times New Roman" w:cs="Times New Roman"/>
                <w:iCs/>
                <w:noProof/>
                <w:sz w:val="20"/>
                <w:szCs w:val="20"/>
              </w:rPr>
            </w:pPr>
            <w:r w:rsidRPr="004D4A14">
              <w:rPr>
                <w:rFonts w:eastAsia="Times New Roman" w:cs="Times New Roman"/>
                <w:iCs/>
                <w:noProof/>
                <w:sz w:val="20"/>
                <w:szCs w:val="20"/>
              </w:rPr>
              <w:t>195 Produktyvios investicijos į MVĮ, susijusias su gynybos ir dvejopo naudojimo technologijomis</w:t>
            </w:r>
            <w:r w:rsidRPr="004D4A14" w:rsidDel="001F55F0">
              <w:rPr>
                <w:rFonts w:eastAsia="Times New Roman" w:cs="Times New Roman"/>
                <w:iCs/>
                <w:noProof/>
                <w:sz w:val="20"/>
                <w:szCs w:val="20"/>
              </w:rPr>
              <w:t xml:space="preserve"> </w:t>
            </w:r>
          </w:p>
        </w:tc>
        <w:tc>
          <w:tcPr>
            <w:tcW w:w="1512" w:type="dxa"/>
            <w:tcBorders>
              <w:top w:val="single" w:sz="4" w:space="0" w:color="auto"/>
              <w:bottom w:val="single" w:sz="4" w:space="0" w:color="auto"/>
            </w:tcBorders>
          </w:tcPr>
          <w:p w14:paraId="45954824" w14:textId="76DC3E83" w:rsidR="00325FDB" w:rsidRPr="004D4A14" w:rsidDel="00A949B6" w:rsidRDefault="00C75C9F" w:rsidP="001F55F0">
            <w:pPr>
              <w:jc w:val="right"/>
              <w:rPr>
                <w:rFonts w:eastAsia="Times New Roman" w:cs="Times New Roman"/>
                <w:iCs/>
                <w:noProof/>
                <w:sz w:val="20"/>
                <w:szCs w:val="20"/>
              </w:rPr>
            </w:pPr>
            <w:r w:rsidRPr="004D4A14">
              <w:rPr>
                <w:rFonts w:eastAsia="Times New Roman" w:cs="Times New Roman"/>
                <w:iCs/>
                <w:noProof/>
                <w:sz w:val="20"/>
                <w:szCs w:val="20"/>
              </w:rPr>
              <w:t>21 100 000,00</w:t>
            </w:r>
          </w:p>
        </w:tc>
      </w:tr>
      <w:tr w:rsidR="00325FDB" w:rsidRPr="004D4A14" w14:paraId="75400E68" w14:textId="77777777" w:rsidTr="00C75C9F">
        <w:trPr>
          <w:trHeight w:val="264"/>
        </w:trPr>
        <w:tc>
          <w:tcPr>
            <w:tcW w:w="1065" w:type="dxa"/>
            <w:vMerge/>
          </w:tcPr>
          <w:p w14:paraId="3608FB0E" w14:textId="77777777" w:rsidR="00325FDB" w:rsidRPr="004D4A14" w:rsidRDefault="00325FDB" w:rsidP="001F55F0">
            <w:pPr>
              <w:jc w:val="center"/>
              <w:rPr>
                <w:rFonts w:cs="Times New Roman"/>
                <w:noProof/>
                <w:sz w:val="20"/>
                <w:szCs w:val="20"/>
              </w:rPr>
            </w:pPr>
          </w:p>
        </w:tc>
        <w:tc>
          <w:tcPr>
            <w:tcW w:w="900" w:type="dxa"/>
            <w:vMerge/>
          </w:tcPr>
          <w:p w14:paraId="119407C7" w14:textId="77777777" w:rsidR="00325FDB" w:rsidRPr="004D4A14" w:rsidRDefault="00325FDB" w:rsidP="001F55F0">
            <w:pPr>
              <w:jc w:val="center"/>
              <w:rPr>
                <w:rFonts w:cs="Times New Roman"/>
                <w:noProof/>
                <w:sz w:val="20"/>
                <w:szCs w:val="20"/>
              </w:rPr>
            </w:pPr>
          </w:p>
        </w:tc>
        <w:tc>
          <w:tcPr>
            <w:tcW w:w="1530" w:type="dxa"/>
            <w:tcBorders>
              <w:top w:val="single" w:sz="4" w:space="0" w:color="auto"/>
              <w:bottom w:val="single" w:sz="4" w:space="0" w:color="auto"/>
            </w:tcBorders>
          </w:tcPr>
          <w:p w14:paraId="76FB1FE7" w14:textId="77777777" w:rsidR="00325FDB" w:rsidRPr="004D4A14" w:rsidRDefault="00325FDB" w:rsidP="001F55F0">
            <w:pPr>
              <w:rPr>
                <w:rFonts w:eastAsia="Times New Roman" w:cs="Times New Roman"/>
                <w:iCs/>
                <w:noProof/>
                <w:sz w:val="20"/>
                <w:szCs w:val="20"/>
              </w:rPr>
            </w:pPr>
            <w:r w:rsidRPr="004D4A14">
              <w:rPr>
                <w:rFonts w:eastAsia="Times New Roman" w:cs="Times New Roman"/>
                <w:iCs/>
                <w:noProof/>
                <w:sz w:val="20"/>
                <w:szCs w:val="20"/>
              </w:rPr>
              <w:t>VVL regionas</w:t>
            </w:r>
          </w:p>
          <w:p w14:paraId="1B03CD1E" w14:textId="77777777" w:rsidR="00325FDB" w:rsidRPr="004D4A14" w:rsidRDefault="00325FDB" w:rsidP="001F55F0">
            <w:pPr>
              <w:rPr>
                <w:rFonts w:eastAsia="Times New Roman" w:cs="Times New Roman"/>
                <w:iCs/>
                <w:noProof/>
                <w:sz w:val="20"/>
                <w:szCs w:val="20"/>
              </w:rPr>
            </w:pPr>
          </w:p>
        </w:tc>
        <w:tc>
          <w:tcPr>
            <w:tcW w:w="1170" w:type="dxa"/>
            <w:vMerge/>
          </w:tcPr>
          <w:p w14:paraId="7BE0B676" w14:textId="77777777" w:rsidR="00325FDB" w:rsidRPr="004D4A14" w:rsidRDefault="00325FDB" w:rsidP="001F55F0">
            <w:pPr>
              <w:jc w:val="center"/>
              <w:rPr>
                <w:rFonts w:cs="Times New Roman"/>
                <w:noProof/>
                <w:sz w:val="20"/>
                <w:szCs w:val="20"/>
              </w:rPr>
            </w:pPr>
          </w:p>
        </w:tc>
        <w:tc>
          <w:tcPr>
            <w:tcW w:w="3528" w:type="dxa"/>
            <w:vMerge/>
            <w:shd w:val="clear" w:color="auto" w:fill="FFFFFF" w:themeFill="background1"/>
          </w:tcPr>
          <w:p w14:paraId="76C4C067" w14:textId="77777777" w:rsidR="00325FDB" w:rsidRPr="004D4A14" w:rsidDel="00AA781F" w:rsidRDefault="00325FDB" w:rsidP="001F55F0">
            <w:pPr>
              <w:jc w:val="both"/>
              <w:rPr>
                <w:rFonts w:eastAsia="Times New Roman" w:cs="Times New Roman"/>
                <w:iCs/>
                <w:noProof/>
                <w:sz w:val="20"/>
                <w:szCs w:val="20"/>
                <w:lang w:val="en-US"/>
              </w:rPr>
            </w:pPr>
          </w:p>
        </w:tc>
        <w:tc>
          <w:tcPr>
            <w:tcW w:w="1512" w:type="dxa"/>
            <w:tcBorders>
              <w:top w:val="single" w:sz="4" w:space="0" w:color="auto"/>
              <w:bottom w:val="single" w:sz="4" w:space="0" w:color="auto"/>
            </w:tcBorders>
          </w:tcPr>
          <w:p w14:paraId="6FB7B24C" w14:textId="00E531D8" w:rsidR="00325FDB" w:rsidRPr="004D4A14" w:rsidDel="00A949B6" w:rsidRDefault="00C75C9F" w:rsidP="001F55F0">
            <w:pPr>
              <w:jc w:val="right"/>
              <w:rPr>
                <w:rFonts w:eastAsia="Times New Roman" w:cs="Times New Roman"/>
                <w:iCs/>
                <w:noProof/>
                <w:sz w:val="20"/>
                <w:szCs w:val="20"/>
              </w:rPr>
            </w:pPr>
            <w:r w:rsidRPr="004D4A14">
              <w:rPr>
                <w:rFonts w:eastAsia="Times New Roman" w:cs="Times New Roman"/>
                <w:iCs/>
                <w:noProof/>
                <w:sz w:val="20"/>
                <w:szCs w:val="20"/>
              </w:rPr>
              <w:t>19 177 087,12</w:t>
            </w:r>
          </w:p>
        </w:tc>
      </w:tr>
      <w:tr w:rsidR="00325FDB" w:rsidRPr="004D4A14" w14:paraId="3BE67977" w14:textId="77777777" w:rsidTr="00C75C9F">
        <w:trPr>
          <w:trHeight w:val="264"/>
        </w:trPr>
        <w:tc>
          <w:tcPr>
            <w:tcW w:w="1065" w:type="dxa"/>
            <w:vMerge/>
            <w:tcBorders>
              <w:bottom w:val="single" w:sz="4" w:space="0" w:color="auto"/>
            </w:tcBorders>
          </w:tcPr>
          <w:p w14:paraId="3575B547" w14:textId="77777777" w:rsidR="00325FDB" w:rsidRPr="004D4A14" w:rsidRDefault="00325FDB" w:rsidP="001F55F0">
            <w:pPr>
              <w:jc w:val="center"/>
              <w:rPr>
                <w:rFonts w:cs="Times New Roman"/>
                <w:noProof/>
                <w:sz w:val="20"/>
                <w:szCs w:val="20"/>
              </w:rPr>
            </w:pPr>
          </w:p>
        </w:tc>
        <w:tc>
          <w:tcPr>
            <w:tcW w:w="900" w:type="dxa"/>
            <w:vMerge/>
            <w:tcBorders>
              <w:bottom w:val="single" w:sz="4" w:space="0" w:color="auto"/>
            </w:tcBorders>
          </w:tcPr>
          <w:p w14:paraId="7FB82441" w14:textId="77777777" w:rsidR="00325FDB" w:rsidRPr="004D4A14" w:rsidRDefault="00325FDB" w:rsidP="001F55F0">
            <w:pPr>
              <w:jc w:val="center"/>
              <w:rPr>
                <w:rFonts w:cs="Times New Roman"/>
                <w:noProof/>
                <w:sz w:val="20"/>
                <w:szCs w:val="20"/>
              </w:rPr>
            </w:pPr>
          </w:p>
        </w:tc>
        <w:tc>
          <w:tcPr>
            <w:tcW w:w="1530" w:type="dxa"/>
            <w:tcBorders>
              <w:top w:val="single" w:sz="4" w:space="0" w:color="auto"/>
              <w:bottom w:val="single" w:sz="4" w:space="0" w:color="auto"/>
            </w:tcBorders>
          </w:tcPr>
          <w:p w14:paraId="5653CC0C" w14:textId="77777777" w:rsidR="00325FDB" w:rsidRPr="004D4A14" w:rsidRDefault="00325FDB" w:rsidP="001F55F0">
            <w:pPr>
              <w:rPr>
                <w:rFonts w:eastAsia="Times New Roman" w:cs="Times New Roman"/>
                <w:iCs/>
                <w:noProof/>
                <w:sz w:val="20"/>
                <w:szCs w:val="20"/>
              </w:rPr>
            </w:pPr>
            <w:r w:rsidRPr="004D4A14">
              <w:rPr>
                <w:rFonts w:eastAsia="Times New Roman" w:cs="Times New Roman"/>
                <w:iCs/>
                <w:noProof/>
                <w:sz w:val="20"/>
                <w:szCs w:val="20"/>
              </w:rPr>
              <w:t>VVL regionas</w:t>
            </w:r>
          </w:p>
        </w:tc>
        <w:tc>
          <w:tcPr>
            <w:tcW w:w="1170" w:type="dxa"/>
            <w:vMerge/>
            <w:tcBorders>
              <w:bottom w:val="single" w:sz="4" w:space="0" w:color="auto"/>
            </w:tcBorders>
          </w:tcPr>
          <w:p w14:paraId="67C7BAB4" w14:textId="77777777" w:rsidR="00325FDB" w:rsidRPr="004D4A14" w:rsidRDefault="00325FDB" w:rsidP="001F55F0">
            <w:pPr>
              <w:jc w:val="center"/>
              <w:rPr>
                <w:rFonts w:cs="Times New Roman"/>
                <w:noProof/>
                <w:sz w:val="20"/>
                <w:szCs w:val="20"/>
              </w:rPr>
            </w:pPr>
          </w:p>
        </w:tc>
        <w:tc>
          <w:tcPr>
            <w:tcW w:w="3528" w:type="dxa"/>
            <w:tcBorders>
              <w:bottom w:val="single" w:sz="4" w:space="0" w:color="auto"/>
            </w:tcBorders>
            <w:shd w:val="clear" w:color="auto" w:fill="FFFFFF" w:themeFill="background1"/>
          </w:tcPr>
          <w:p w14:paraId="74527D21" w14:textId="77777777" w:rsidR="00325FDB" w:rsidRPr="004D4A14" w:rsidDel="00AA781F" w:rsidRDefault="00325FDB" w:rsidP="001F55F0">
            <w:pPr>
              <w:jc w:val="both"/>
              <w:rPr>
                <w:rFonts w:eastAsia="Times New Roman" w:cs="Times New Roman"/>
                <w:iCs/>
                <w:noProof/>
                <w:sz w:val="20"/>
                <w:szCs w:val="20"/>
                <w:lang w:val="en-US"/>
              </w:rPr>
            </w:pPr>
            <w:r w:rsidRPr="004D4A14">
              <w:rPr>
                <w:rFonts w:eastAsia="Times New Roman" w:cs="Times New Roman"/>
                <w:iCs/>
                <w:noProof/>
                <w:sz w:val="20"/>
                <w:szCs w:val="20"/>
                <w:lang w:val="en-US"/>
              </w:rPr>
              <w:t>026 Parama inovacijų klasteriams, be kita ko, tarp įmonių, mokslinių tyrimų organizacijų ir valdžios institucijų bei verslo tinklų, kas visų pirma naudinga MVĮ</w:t>
            </w:r>
          </w:p>
        </w:tc>
        <w:tc>
          <w:tcPr>
            <w:tcW w:w="1512" w:type="dxa"/>
            <w:tcBorders>
              <w:top w:val="single" w:sz="4" w:space="0" w:color="auto"/>
              <w:bottom w:val="single" w:sz="4" w:space="0" w:color="auto"/>
            </w:tcBorders>
          </w:tcPr>
          <w:p w14:paraId="1B9750DA" w14:textId="3480291D" w:rsidR="00325FDB" w:rsidRPr="004D4A14" w:rsidRDefault="002715D7" w:rsidP="001F55F0">
            <w:pPr>
              <w:jc w:val="right"/>
              <w:rPr>
                <w:rFonts w:eastAsia="Calibri" w:cs="Times New Roman"/>
                <w:sz w:val="20"/>
                <w:szCs w:val="20"/>
              </w:rPr>
            </w:pPr>
            <w:r w:rsidRPr="004D4A14">
              <w:rPr>
                <w:rFonts w:eastAsia="Calibri" w:cs="Times New Roman"/>
                <w:sz w:val="20"/>
                <w:szCs w:val="20"/>
              </w:rPr>
              <w:t>1</w:t>
            </w:r>
            <w:r w:rsidR="00325FDB" w:rsidRPr="004D4A14">
              <w:rPr>
                <w:rFonts w:eastAsia="Calibri" w:cs="Times New Roman"/>
                <w:sz w:val="20"/>
                <w:szCs w:val="20"/>
              </w:rPr>
              <w:t>0 000 000,00</w:t>
            </w:r>
          </w:p>
          <w:p w14:paraId="17058A66" w14:textId="77777777" w:rsidR="00325FDB" w:rsidRPr="004D4A14" w:rsidRDefault="00325FDB" w:rsidP="001F55F0">
            <w:pPr>
              <w:jc w:val="right"/>
              <w:rPr>
                <w:rFonts w:eastAsia="Times New Roman" w:cs="Times New Roman"/>
                <w:iCs/>
                <w:noProof/>
                <w:sz w:val="20"/>
                <w:szCs w:val="20"/>
              </w:rPr>
            </w:pPr>
          </w:p>
          <w:p w14:paraId="4A9B1E4E" w14:textId="77777777" w:rsidR="00325FDB" w:rsidRPr="004D4A14" w:rsidDel="00A949B6" w:rsidRDefault="00325FDB" w:rsidP="001F55F0">
            <w:pPr>
              <w:jc w:val="right"/>
              <w:rPr>
                <w:rFonts w:eastAsia="Times New Roman" w:cs="Times New Roman"/>
                <w:iCs/>
                <w:noProof/>
                <w:sz w:val="20"/>
                <w:szCs w:val="20"/>
              </w:rPr>
            </w:pPr>
          </w:p>
        </w:tc>
      </w:tr>
    </w:tbl>
    <w:p w14:paraId="13CEAFFC" w14:textId="77777777" w:rsidR="001F55F0" w:rsidRPr="004D4A14" w:rsidRDefault="001F55F0" w:rsidP="001F55F0">
      <w:pPr>
        <w:spacing w:after="0" w:line="240" w:lineRule="auto"/>
        <w:rPr>
          <w:rFonts w:eastAsia="Times New Roman"/>
          <w:iCs/>
          <w:noProof/>
          <w:sz w:val="20"/>
          <w:szCs w:val="20"/>
        </w:rPr>
      </w:pPr>
    </w:p>
    <w:tbl>
      <w:tblPr>
        <w:tblStyle w:val="Lentelstinklelis"/>
        <w:tblW w:w="9747" w:type="dxa"/>
        <w:tblLayout w:type="fixed"/>
        <w:tblLook w:val="04A0" w:firstRow="1" w:lastRow="0" w:firstColumn="1" w:lastColumn="0" w:noHBand="0" w:noVBand="1"/>
      </w:tblPr>
      <w:tblGrid>
        <w:gridCol w:w="1101"/>
        <w:gridCol w:w="850"/>
        <w:gridCol w:w="1134"/>
        <w:gridCol w:w="1134"/>
        <w:gridCol w:w="3903"/>
        <w:gridCol w:w="1625"/>
      </w:tblGrid>
      <w:tr w:rsidR="001F55F0" w:rsidRPr="004D4A14" w14:paraId="335E6DA0" w14:textId="77777777" w:rsidTr="008A3BD6">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B4223A5" w14:textId="77777777" w:rsidR="001F55F0" w:rsidRPr="004D4A14" w:rsidRDefault="001F55F0" w:rsidP="008A3BD6">
            <w:pPr>
              <w:rPr>
                <w:rFonts w:eastAsia="Times New Roman"/>
                <w:b/>
                <w:iCs/>
                <w:noProof/>
                <w:sz w:val="20"/>
              </w:rPr>
            </w:pPr>
            <w:r w:rsidRPr="004D4A14">
              <w:rPr>
                <w:b/>
                <w:noProof/>
                <w:sz w:val="20"/>
              </w:rPr>
              <w:t>5 lentelė. 2 matmuo. Finansavimo forma</w:t>
            </w:r>
          </w:p>
        </w:tc>
      </w:tr>
      <w:tr w:rsidR="001F55F0" w:rsidRPr="004D4A14" w14:paraId="70AB3D56" w14:textId="77777777" w:rsidTr="008A3BD6">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8A05031" w14:textId="77777777" w:rsidR="001F55F0" w:rsidRPr="004D4A14" w:rsidRDefault="001F55F0" w:rsidP="008A3BD6">
            <w:pPr>
              <w:jc w:val="center"/>
              <w:rPr>
                <w:rFonts w:eastAsia="Times New Roman"/>
                <w:b/>
                <w:iCs/>
                <w:noProof/>
                <w:sz w:val="20"/>
              </w:rPr>
            </w:pPr>
            <w:r w:rsidRPr="004D4A14">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9314310" w14:textId="77777777" w:rsidR="001F55F0" w:rsidRPr="004D4A14" w:rsidRDefault="001F55F0" w:rsidP="008A3BD6">
            <w:pPr>
              <w:jc w:val="center"/>
              <w:rPr>
                <w:rFonts w:eastAsia="Times New Roman"/>
                <w:b/>
                <w:iCs/>
                <w:noProof/>
                <w:sz w:val="20"/>
              </w:rPr>
            </w:pPr>
            <w:r w:rsidRPr="004D4A14">
              <w:rPr>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1E69FCC" w14:textId="77777777" w:rsidR="001F55F0" w:rsidRPr="004D4A14" w:rsidRDefault="001F55F0" w:rsidP="008A3BD6">
            <w:pPr>
              <w:jc w:val="center"/>
              <w:rPr>
                <w:rFonts w:eastAsia="Times New Roman"/>
                <w:b/>
                <w:iCs/>
                <w:noProof/>
                <w:sz w:val="20"/>
              </w:rPr>
            </w:pPr>
            <w:r w:rsidRPr="004D4A14">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78D0691" w14:textId="77777777" w:rsidR="001F55F0" w:rsidRPr="004D4A14" w:rsidRDefault="001F55F0" w:rsidP="008A3BD6">
            <w:pPr>
              <w:jc w:val="center"/>
              <w:rPr>
                <w:rFonts w:eastAsia="Times New Roman"/>
                <w:b/>
                <w:iCs/>
                <w:noProof/>
                <w:sz w:val="20"/>
              </w:rPr>
            </w:pPr>
            <w:r w:rsidRPr="004D4A14">
              <w:rPr>
                <w:b/>
                <w:noProof/>
                <w:sz w:val="20"/>
              </w:rPr>
              <w:t>Konkretus uždavinys</w:t>
            </w:r>
          </w:p>
        </w:tc>
        <w:tc>
          <w:tcPr>
            <w:tcW w:w="390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84197A8" w14:textId="77777777" w:rsidR="001F55F0" w:rsidRPr="004D4A14" w:rsidRDefault="001F55F0" w:rsidP="008A3BD6">
            <w:pPr>
              <w:jc w:val="center"/>
              <w:rPr>
                <w:rFonts w:eastAsia="Times New Roman"/>
                <w:b/>
                <w:iCs/>
                <w:noProof/>
                <w:sz w:val="20"/>
              </w:rPr>
            </w:pPr>
            <w:r w:rsidRPr="004D4A14">
              <w:rPr>
                <w:b/>
                <w:noProof/>
                <w:sz w:val="20"/>
              </w:rPr>
              <w:t>Kodas</w:t>
            </w:r>
          </w:p>
        </w:tc>
        <w:tc>
          <w:tcPr>
            <w:tcW w:w="162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763F499" w14:textId="77777777" w:rsidR="001F55F0" w:rsidRPr="004D4A14" w:rsidRDefault="001F55F0" w:rsidP="008A3BD6">
            <w:pPr>
              <w:jc w:val="center"/>
              <w:rPr>
                <w:rFonts w:eastAsia="Times New Roman"/>
                <w:b/>
                <w:iCs/>
                <w:noProof/>
                <w:sz w:val="20"/>
              </w:rPr>
            </w:pPr>
            <w:r w:rsidRPr="004D4A14">
              <w:rPr>
                <w:b/>
                <w:noProof/>
                <w:sz w:val="20"/>
              </w:rPr>
              <w:t>Suma (EUR)</w:t>
            </w:r>
          </w:p>
        </w:tc>
      </w:tr>
      <w:tr w:rsidR="001F55F0" w:rsidRPr="004D4A14" w14:paraId="7C84FFD5" w14:textId="77777777" w:rsidTr="008A3BD6">
        <w:tc>
          <w:tcPr>
            <w:tcW w:w="1101" w:type="dxa"/>
            <w:vMerge w:val="restart"/>
            <w:tcBorders>
              <w:top w:val="single" w:sz="12" w:space="0" w:color="auto"/>
            </w:tcBorders>
          </w:tcPr>
          <w:p w14:paraId="745D0F70" w14:textId="77777777" w:rsidR="001F55F0" w:rsidRPr="004D4A14" w:rsidRDefault="001F55F0" w:rsidP="008A3BD6">
            <w:pPr>
              <w:jc w:val="center"/>
              <w:rPr>
                <w:rFonts w:eastAsia="Times New Roman"/>
                <w:iCs/>
                <w:noProof/>
                <w:sz w:val="20"/>
                <w:szCs w:val="20"/>
              </w:rPr>
            </w:pPr>
            <w:r w:rsidRPr="004D4A14">
              <w:rPr>
                <w:rFonts w:eastAsia="Times New Roman"/>
                <w:iCs/>
                <w:noProof/>
                <w:sz w:val="20"/>
                <w:szCs w:val="20"/>
              </w:rPr>
              <w:t>11</w:t>
            </w:r>
          </w:p>
        </w:tc>
        <w:tc>
          <w:tcPr>
            <w:tcW w:w="850" w:type="dxa"/>
            <w:vMerge w:val="restart"/>
            <w:tcBorders>
              <w:top w:val="single" w:sz="12" w:space="0" w:color="auto"/>
            </w:tcBorders>
          </w:tcPr>
          <w:p w14:paraId="31263DFD" w14:textId="77777777" w:rsidR="001F55F0" w:rsidRPr="004D4A14" w:rsidRDefault="001F55F0" w:rsidP="008A3BD6">
            <w:pPr>
              <w:jc w:val="center"/>
              <w:rPr>
                <w:rFonts w:eastAsia="Times New Roman"/>
                <w:iCs/>
                <w:noProof/>
                <w:sz w:val="20"/>
                <w:szCs w:val="20"/>
              </w:rPr>
            </w:pPr>
            <w:r w:rsidRPr="004D4A14">
              <w:rPr>
                <w:rFonts w:eastAsia="Times New Roman"/>
                <w:iCs/>
                <w:noProof/>
                <w:sz w:val="20"/>
                <w:szCs w:val="20"/>
              </w:rPr>
              <w:t>ERPF</w:t>
            </w:r>
          </w:p>
        </w:tc>
        <w:tc>
          <w:tcPr>
            <w:tcW w:w="1134" w:type="dxa"/>
            <w:tcBorders>
              <w:top w:val="single" w:sz="4" w:space="0" w:color="auto"/>
              <w:bottom w:val="single" w:sz="4" w:space="0" w:color="auto"/>
            </w:tcBorders>
          </w:tcPr>
          <w:p w14:paraId="2324E7F5" w14:textId="77777777" w:rsidR="001F55F0" w:rsidRPr="004D4A14" w:rsidRDefault="001F55F0" w:rsidP="008A3BD6">
            <w:pPr>
              <w:rPr>
                <w:rFonts w:eastAsia="Times New Roman"/>
                <w:iCs/>
                <w:noProof/>
                <w:sz w:val="20"/>
                <w:szCs w:val="20"/>
              </w:rPr>
            </w:pPr>
            <w:r w:rsidRPr="004D4A14">
              <w:rPr>
                <w:rFonts w:eastAsia="Times New Roman" w:cs="Times New Roman"/>
                <w:iCs/>
                <w:noProof/>
                <w:sz w:val="20"/>
                <w:szCs w:val="20"/>
              </w:rPr>
              <w:t>Sostinės regionas</w:t>
            </w:r>
          </w:p>
        </w:tc>
        <w:tc>
          <w:tcPr>
            <w:tcW w:w="1134" w:type="dxa"/>
            <w:vMerge w:val="restart"/>
            <w:tcBorders>
              <w:top w:val="single" w:sz="12" w:space="0" w:color="auto"/>
            </w:tcBorders>
          </w:tcPr>
          <w:p w14:paraId="59E35BB3" w14:textId="77777777" w:rsidR="001F55F0" w:rsidRPr="004D4A14" w:rsidRDefault="001F55F0" w:rsidP="008A3BD6">
            <w:pPr>
              <w:jc w:val="center"/>
              <w:rPr>
                <w:rFonts w:eastAsia="Times New Roman"/>
                <w:bCs/>
                <w:iCs/>
                <w:noProof/>
                <w:sz w:val="20"/>
                <w:szCs w:val="20"/>
              </w:rPr>
            </w:pPr>
            <w:r w:rsidRPr="004D4A14">
              <w:rPr>
                <w:rFonts w:eastAsia="Times New Roman"/>
                <w:bCs/>
                <w:iCs/>
                <w:noProof/>
                <w:sz w:val="20"/>
                <w:szCs w:val="20"/>
              </w:rPr>
              <w:t>11.1</w:t>
            </w:r>
          </w:p>
        </w:tc>
        <w:tc>
          <w:tcPr>
            <w:tcW w:w="3903" w:type="dxa"/>
            <w:vMerge w:val="restart"/>
            <w:tcBorders>
              <w:top w:val="single" w:sz="12" w:space="0" w:color="auto"/>
            </w:tcBorders>
          </w:tcPr>
          <w:p w14:paraId="0241B6A0" w14:textId="77777777" w:rsidR="001F55F0" w:rsidRPr="004D4A14" w:rsidRDefault="001F55F0" w:rsidP="008A3BD6">
            <w:pPr>
              <w:rPr>
                <w:rFonts w:eastAsia="Times New Roman" w:cs="Times New Roman"/>
                <w:bCs/>
                <w:iCs/>
                <w:noProof/>
                <w:sz w:val="20"/>
                <w:szCs w:val="20"/>
              </w:rPr>
            </w:pPr>
            <w:r w:rsidRPr="004D4A14">
              <w:rPr>
                <w:rFonts w:eastAsia="Times New Roman" w:cs="Times New Roman"/>
                <w:bCs/>
                <w:iCs/>
                <w:noProof/>
                <w:sz w:val="20"/>
                <w:szCs w:val="20"/>
              </w:rPr>
              <w:t>01 – Dotacija</w:t>
            </w:r>
          </w:p>
        </w:tc>
        <w:tc>
          <w:tcPr>
            <w:tcW w:w="1625" w:type="dxa"/>
            <w:tcBorders>
              <w:top w:val="single" w:sz="12" w:space="0" w:color="auto"/>
              <w:bottom w:val="single" w:sz="4" w:space="0" w:color="auto"/>
            </w:tcBorders>
          </w:tcPr>
          <w:p w14:paraId="2E07CE60" w14:textId="0115108D" w:rsidR="001F55F0" w:rsidRPr="004D4A14" w:rsidRDefault="002715D7" w:rsidP="008A3BD6">
            <w:pPr>
              <w:spacing w:line="276" w:lineRule="auto"/>
              <w:jc w:val="right"/>
              <w:rPr>
                <w:rFonts w:cs="Times New Roman"/>
                <w:sz w:val="20"/>
                <w:szCs w:val="20"/>
                <w:lang w:val="en-US"/>
              </w:rPr>
            </w:pPr>
            <w:r w:rsidRPr="004D4A14">
              <w:rPr>
                <w:rFonts w:cs="Times New Roman"/>
                <w:sz w:val="20"/>
                <w:szCs w:val="20"/>
                <w:lang w:val="en-US"/>
              </w:rPr>
              <w:t>23 000 000,00</w:t>
            </w:r>
          </w:p>
        </w:tc>
      </w:tr>
      <w:tr w:rsidR="001F55F0" w:rsidRPr="004D4A14" w14:paraId="4AFBA91F" w14:textId="77777777" w:rsidTr="008A3BD6">
        <w:tc>
          <w:tcPr>
            <w:tcW w:w="1101" w:type="dxa"/>
            <w:vMerge/>
            <w:tcBorders>
              <w:bottom w:val="single" w:sz="4" w:space="0" w:color="auto"/>
            </w:tcBorders>
          </w:tcPr>
          <w:p w14:paraId="15577FC0" w14:textId="77777777" w:rsidR="001F55F0" w:rsidRPr="004D4A14" w:rsidRDefault="001F55F0" w:rsidP="008A3BD6">
            <w:pPr>
              <w:jc w:val="center"/>
              <w:rPr>
                <w:rFonts w:eastAsia="Times New Roman"/>
                <w:iCs/>
                <w:noProof/>
                <w:sz w:val="20"/>
                <w:szCs w:val="20"/>
              </w:rPr>
            </w:pPr>
          </w:p>
        </w:tc>
        <w:tc>
          <w:tcPr>
            <w:tcW w:w="850" w:type="dxa"/>
            <w:vMerge/>
            <w:tcBorders>
              <w:bottom w:val="single" w:sz="4" w:space="0" w:color="auto"/>
            </w:tcBorders>
          </w:tcPr>
          <w:p w14:paraId="58CC957B" w14:textId="77777777" w:rsidR="001F55F0" w:rsidRPr="004D4A14" w:rsidRDefault="001F55F0" w:rsidP="008A3BD6">
            <w:pPr>
              <w:jc w:val="center"/>
              <w:rPr>
                <w:rFonts w:eastAsia="Times New Roman"/>
                <w:iCs/>
                <w:noProof/>
                <w:sz w:val="20"/>
                <w:szCs w:val="20"/>
              </w:rPr>
            </w:pPr>
          </w:p>
        </w:tc>
        <w:tc>
          <w:tcPr>
            <w:tcW w:w="1134" w:type="dxa"/>
            <w:tcBorders>
              <w:top w:val="single" w:sz="4" w:space="0" w:color="auto"/>
              <w:bottom w:val="single" w:sz="4" w:space="0" w:color="auto"/>
            </w:tcBorders>
          </w:tcPr>
          <w:p w14:paraId="3B8F7A62" w14:textId="77777777" w:rsidR="001F55F0" w:rsidRPr="004D4A14" w:rsidRDefault="001F55F0" w:rsidP="008A3BD6">
            <w:pPr>
              <w:rPr>
                <w:rFonts w:eastAsia="Times New Roman"/>
                <w:iCs/>
                <w:noProof/>
                <w:sz w:val="20"/>
                <w:szCs w:val="20"/>
              </w:rPr>
            </w:pPr>
            <w:r w:rsidRPr="004D4A14">
              <w:rPr>
                <w:rFonts w:eastAsia="Times New Roman" w:cs="Times New Roman"/>
                <w:iCs/>
                <w:noProof/>
                <w:sz w:val="20"/>
                <w:szCs w:val="20"/>
              </w:rPr>
              <w:t>VVL regionas</w:t>
            </w:r>
          </w:p>
        </w:tc>
        <w:tc>
          <w:tcPr>
            <w:tcW w:w="1134" w:type="dxa"/>
            <w:vMerge/>
            <w:tcBorders>
              <w:bottom w:val="single" w:sz="4" w:space="0" w:color="auto"/>
            </w:tcBorders>
          </w:tcPr>
          <w:p w14:paraId="0A56CE42" w14:textId="77777777" w:rsidR="001F55F0" w:rsidRPr="004D4A14" w:rsidRDefault="001F55F0" w:rsidP="008A3BD6">
            <w:pPr>
              <w:jc w:val="center"/>
              <w:rPr>
                <w:rFonts w:eastAsia="Times New Roman"/>
                <w:b/>
                <w:iCs/>
                <w:noProof/>
                <w:sz w:val="20"/>
                <w:szCs w:val="20"/>
              </w:rPr>
            </w:pPr>
          </w:p>
        </w:tc>
        <w:tc>
          <w:tcPr>
            <w:tcW w:w="3903" w:type="dxa"/>
            <w:vMerge/>
            <w:tcBorders>
              <w:bottom w:val="single" w:sz="4" w:space="0" w:color="auto"/>
            </w:tcBorders>
          </w:tcPr>
          <w:p w14:paraId="3F33667C" w14:textId="77777777" w:rsidR="001F55F0" w:rsidRPr="004D4A14" w:rsidRDefault="001F55F0" w:rsidP="008A3BD6">
            <w:pPr>
              <w:rPr>
                <w:rFonts w:eastAsia="Times New Roman" w:cs="Times New Roman"/>
                <w:bCs/>
                <w:iCs/>
                <w:noProof/>
                <w:sz w:val="16"/>
                <w:szCs w:val="16"/>
              </w:rPr>
            </w:pPr>
          </w:p>
        </w:tc>
        <w:tc>
          <w:tcPr>
            <w:tcW w:w="1625" w:type="dxa"/>
            <w:tcBorders>
              <w:top w:val="single" w:sz="4" w:space="0" w:color="auto"/>
              <w:bottom w:val="single" w:sz="4" w:space="0" w:color="auto"/>
            </w:tcBorders>
          </w:tcPr>
          <w:p w14:paraId="31EF78D7" w14:textId="25BBCA4D" w:rsidR="001F55F0" w:rsidRPr="004D4A14" w:rsidRDefault="002715D7" w:rsidP="008A3BD6">
            <w:pPr>
              <w:spacing w:line="276" w:lineRule="auto"/>
              <w:jc w:val="right"/>
              <w:rPr>
                <w:rFonts w:cs="Times New Roman"/>
                <w:sz w:val="20"/>
                <w:szCs w:val="20"/>
              </w:rPr>
            </w:pPr>
            <w:r w:rsidRPr="004D4A14">
              <w:rPr>
                <w:rFonts w:cs="Times New Roman"/>
                <w:sz w:val="20"/>
                <w:szCs w:val="20"/>
              </w:rPr>
              <w:t>66 037 844,00</w:t>
            </w:r>
          </w:p>
        </w:tc>
      </w:tr>
    </w:tbl>
    <w:p w14:paraId="3393DC02" w14:textId="77777777" w:rsidR="001F55F0" w:rsidRPr="004D4A14" w:rsidRDefault="001F55F0" w:rsidP="001F55F0">
      <w:pPr>
        <w:spacing w:after="0" w:line="240" w:lineRule="auto"/>
        <w:rPr>
          <w:rFonts w:eastAsia="Times New Roman"/>
          <w:iCs/>
          <w:noProof/>
          <w:sz w:val="20"/>
          <w:szCs w:val="20"/>
        </w:rPr>
      </w:pPr>
    </w:p>
    <w:tbl>
      <w:tblPr>
        <w:tblStyle w:val="Lentelstinklelis"/>
        <w:tblW w:w="9766" w:type="dxa"/>
        <w:tblLook w:val="04A0" w:firstRow="1" w:lastRow="0" w:firstColumn="1" w:lastColumn="0" w:noHBand="0" w:noVBand="1"/>
      </w:tblPr>
      <w:tblGrid>
        <w:gridCol w:w="1093"/>
        <w:gridCol w:w="849"/>
        <w:gridCol w:w="1103"/>
        <w:gridCol w:w="1170"/>
        <w:gridCol w:w="3960"/>
        <w:gridCol w:w="1591"/>
      </w:tblGrid>
      <w:tr w:rsidR="001F55F0" w:rsidRPr="004D4A14" w14:paraId="300B2B19" w14:textId="77777777" w:rsidTr="008A3BD6">
        <w:tc>
          <w:tcPr>
            <w:tcW w:w="9766"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A6C1916" w14:textId="77777777" w:rsidR="001F55F0" w:rsidRPr="004D4A14" w:rsidRDefault="001F55F0" w:rsidP="008A3BD6">
            <w:pPr>
              <w:rPr>
                <w:rFonts w:eastAsia="Times New Roman"/>
                <w:b/>
                <w:iCs/>
                <w:noProof/>
                <w:sz w:val="20"/>
              </w:rPr>
            </w:pPr>
            <w:r w:rsidRPr="004D4A14">
              <w:rPr>
                <w:b/>
                <w:noProof/>
                <w:sz w:val="20"/>
              </w:rPr>
              <w:t>6 lentelė. 3 matmuo. Teritorinis įgyvendinimo mechanizmas ir pagrindinė teritorinė sritis</w:t>
            </w:r>
          </w:p>
        </w:tc>
      </w:tr>
      <w:tr w:rsidR="001F55F0" w:rsidRPr="004D4A14" w14:paraId="3D40826F" w14:textId="77777777" w:rsidTr="002715D7">
        <w:tc>
          <w:tcPr>
            <w:tcW w:w="109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7812A36" w14:textId="77777777" w:rsidR="001F55F0" w:rsidRPr="004D4A14" w:rsidRDefault="001F55F0" w:rsidP="008A3BD6">
            <w:pPr>
              <w:jc w:val="center"/>
              <w:rPr>
                <w:rFonts w:eastAsia="Times New Roman"/>
                <w:b/>
                <w:iCs/>
                <w:noProof/>
                <w:sz w:val="20"/>
              </w:rPr>
            </w:pPr>
            <w:r w:rsidRPr="004D4A14">
              <w:rPr>
                <w:b/>
                <w:noProof/>
                <w:sz w:val="20"/>
              </w:rPr>
              <w:t>Prioriteto Nr.</w:t>
            </w:r>
          </w:p>
        </w:tc>
        <w:tc>
          <w:tcPr>
            <w:tcW w:w="8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3D2212" w14:textId="77777777" w:rsidR="001F55F0" w:rsidRPr="004D4A14" w:rsidRDefault="001F55F0" w:rsidP="008A3BD6">
            <w:pPr>
              <w:jc w:val="center"/>
              <w:rPr>
                <w:rFonts w:eastAsia="Times New Roman"/>
                <w:b/>
                <w:iCs/>
                <w:noProof/>
                <w:sz w:val="20"/>
              </w:rPr>
            </w:pPr>
            <w:r w:rsidRPr="004D4A14">
              <w:rPr>
                <w:b/>
                <w:noProof/>
                <w:sz w:val="20"/>
              </w:rPr>
              <w:t>Fondas</w:t>
            </w:r>
          </w:p>
        </w:tc>
        <w:tc>
          <w:tcPr>
            <w:tcW w:w="110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150FF2E" w14:textId="77777777" w:rsidR="001F55F0" w:rsidRPr="004D4A14" w:rsidRDefault="001F55F0" w:rsidP="008A3BD6">
            <w:pPr>
              <w:jc w:val="center"/>
              <w:rPr>
                <w:rFonts w:eastAsia="Times New Roman"/>
                <w:b/>
                <w:iCs/>
                <w:noProof/>
                <w:sz w:val="20"/>
              </w:rPr>
            </w:pPr>
            <w:r w:rsidRPr="004D4A14">
              <w:rPr>
                <w:b/>
                <w:noProof/>
                <w:sz w:val="20"/>
              </w:rPr>
              <w:t>Regiono kategorija</w:t>
            </w:r>
          </w:p>
        </w:tc>
        <w:tc>
          <w:tcPr>
            <w:tcW w:w="117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B5A5E41" w14:textId="77777777" w:rsidR="001F55F0" w:rsidRPr="004D4A14" w:rsidRDefault="001F55F0" w:rsidP="008A3BD6">
            <w:pPr>
              <w:jc w:val="center"/>
              <w:rPr>
                <w:rFonts w:eastAsia="Times New Roman"/>
                <w:b/>
                <w:iCs/>
                <w:noProof/>
                <w:sz w:val="20"/>
              </w:rPr>
            </w:pPr>
            <w:r w:rsidRPr="004D4A14">
              <w:rPr>
                <w:b/>
                <w:noProof/>
                <w:sz w:val="20"/>
              </w:rPr>
              <w:t>Konkretus uždavinys</w:t>
            </w:r>
          </w:p>
        </w:tc>
        <w:tc>
          <w:tcPr>
            <w:tcW w:w="396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4DEB596" w14:textId="77777777" w:rsidR="001F55F0" w:rsidRPr="004D4A14" w:rsidRDefault="001F55F0" w:rsidP="008A3BD6">
            <w:pPr>
              <w:jc w:val="center"/>
              <w:rPr>
                <w:rFonts w:eastAsia="Times New Roman"/>
                <w:b/>
                <w:iCs/>
                <w:noProof/>
                <w:sz w:val="20"/>
              </w:rPr>
            </w:pPr>
            <w:r w:rsidRPr="004D4A14">
              <w:rPr>
                <w:b/>
                <w:noProof/>
                <w:sz w:val="20"/>
              </w:rPr>
              <w:t>Kodas</w:t>
            </w:r>
          </w:p>
        </w:tc>
        <w:tc>
          <w:tcPr>
            <w:tcW w:w="159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EE90A65" w14:textId="77777777" w:rsidR="001F55F0" w:rsidRPr="004D4A14" w:rsidRDefault="001F55F0" w:rsidP="008A3BD6">
            <w:pPr>
              <w:jc w:val="center"/>
              <w:rPr>
                <w:rFonts w:eastAsia="Times New Roman"/>
                <w:b/>
                <w:iCs/>
                <w:noProof/>
                <w:sz w:val="20"/>
              </w:rPr>
            </w:pPr>
            <w:r w:rsidRPr="004D4A14">
              <w:rPr>
                <w:b/>
                <w:noProof/>
                <w:sz w:val="20"/>
              </w:rPr>
              <w:t>Suma (EUR)</w:t>
            </w:r>
          </w:p>
        </w:tc>
      </w:tr>
      <w:tr w:rsidR="002715D7" w:rsidRPr="004D4A14" w14:paraId="76748722" w14:textId="77777777" w:rsidTr="002715D7">
        <w:trPr>
          <w:trHeight w:val="303"/>
        </w:trPr>
        <w:tc>
          <w:tcPr>
            <w:tcW w:w="1093" w:type="dxa"/>
            <w:vMerge w:val="restart"/>
          </w:tcPr>
          <w:p w14:paraId="6ED8A993" w14:textId="77777777" w:rsidR="002715D7" w:rsidRPr="004D4A14" w:rsidRDefault="002715D7" w:rsidP="008A3BD6">
            <w:pPr>
              <w:jc w:val="center"/>
              <w:rPr>
                <w:rFonts w:eastAsia="Times New Roman"/>
                <w:iCs/>
                <w:noProof/>
                <w:sz w:val="20"/>
                <w:szCs w:val="20"/>
              </w:rPr>
            </w:pPr>
            <w:r w:rsidRPr="004D4A14">
              <w:rPr>
                <w:rFonts w:eastAsia="Times New Roman"/>
                <w:iCs/>
                <w:noProof/>
                <w:sz w:val="20"/>
                <w:szCs w:val="20"/>
              </w:rPr>
              <w:t>11</w:t>
            </w:r>
          </w:p>
        </w:tc>
        <w:tc>
          <w:tcPr>
            <w:tcW w:w="849" w:type="dxa"/>
            <w:vMerge w:val="restart"/>
          </w:tcPr>
          <w:p w14:paraId="08EE50A9" w14:textId="77777777" w:rsidR="002715D7" w:rsidRPr="004D4A14" w:rsidRDefault="002715D7" w:rsidP="008A3BD6">
            <w:pPr>
              <w:jc w:val="center"/>
              <w:rPr>
                <w:rFonts w:eastAsia="Times New Roman"/>
                <w:iCs/>
                <w:noProof/>
                <w:sz w:val="20"/>
                <w:szCs w:val="20"/>
              </w:rPr>
            </w:pPr>
            <w:r w:rsidRPr="004D4A14">
              <w:rPr>
                <w:rFonts w:eastAsia="Times New Roman"/>
                <w:iCs/>
                <w:noProof/>
                <w:sz w:val="20"/>
                <w:szCs w:val="20"/>
              </w:rPr>
              <w:t>ERPF</w:t>
            </w:r>
          </w:p>
        </w:tc>
        <w:tc>
          <w:tcPr>
            <w:tcW w:w="1103" w:type="dxa"/>
            <w:tcBorders>
              <w:top w:val="single" w:sz="4" w:space="0" w:color="auto"/>
              <w:bottom w:val="single" w:sz="4" w:space="0" w:color="auto"/>
            </w:tcBorders>
          </w:tcPr>
          <w:p w14:paraId="3999185F" w14:textId="77777777" w:rsidR="002715D7" w:rsidRPr="004D4A14" w:rsidRDefault="002715D7" w:rsidP="008A3BD6">
            <w:pPr>
              <w:rPr>
                <w:rFonts w:eastAsia="Times New Roman"/>
                <w:iCs/>
                <w:noProof/>
                <w:sz w:val="20"/>
                <w:szCs w:val="20"/>
              </w:rPr>
            </w:pPr>
            <w:r w:rsidRPr="004D4A14">
              <w:rPr>
                <w:rFonts w:eastAsia="Times New Roman" w:cs="Times New Roman"/>
                <w:iCs/>
                <w:noProof/>
                <w:sz w:val="20"/>
                <w:szCs w:val="20"/>
              </w:rPr>
              <w:t>Sostinės regionas</w:t>
            </w:r>
          </w:p>
        </w:tc>
        <w:tc>
          <w:tcPr>
            <w:tcW w:w="1170" w:type="dxa"/>
            <w:vMerge w:val="restart"/>
          </w:tcPr>
          <w:p w14:paraId="4148B819" w14:textId="77777777" w:rsidR="002715D7" w:rsidRPr="004D4A14" w:rsidRDefault="002715D7" w:rsidP="008A3BD6">
            <w:pPr>
              <w:jc w:val="center"/>
              <w:rPr>
                <w:rFonts w:eastAsia="Times New Roman"/>
                <w:iCs/>
                <w:noProof/>
                <w:sz w:val="20"/>
                <w:szCs w:val="20"/>
              </w:rPr>
            </w:pPr>
            <w:r w:rsidRPr="004D4A14">
              <w:rPr>
                <w:rFonts w:eastAsia="Times New Roman"/>
                <w:iCs/>
                <w:noProof/>
                <w:sz w:val="20"/>
                <w:szCs w:val="20"/>
              </w:rPr>
              <w:t>11.1</w:t>
            </w:r>
          </w:p>
        </w:tc>
        <w:tc>
          <w:tcPr>
            <w:tcW w:w="3960" w:type="dxa"/>
            <w:vMerge w:val="restart"/>
          </w:tcPr>
          <w:p w14:paraId="1DCB6AC8" w14:textId="77777777" w:rsidR="002715D7" w:rsidRPr="004D4A14" w:rsidRDefault="002715D7" w:rsidP="008A3BD6">
            <w:pPr>
              <w:rPr>
                <w:rFonts w:eastAsia="Times New Roman" w:cs="Times New Roman"/>
                <w:bCs/>
                <w:iCs/>
                <w:noProof/>
                <w:sz w:val="16"/>
                <w:szCs w:val="16"/>
              </w:rPr>
            </w:pPr>
            <w:r w:rsidRPr="004D4A14">
              <w:rPr>
                <w:rFonts w:eastAsia="Times New Roman" w:cs="Times New Roman"/>
                <w:bCs/>
                <w:iCs/>
                <w:noProof/>
                <w:sz w:val="20"/>
                <w:szCs w:val="20"/>
              </w:rPr>
              <w:t>33 – Nesiorientuojant į teritoriškumą</w:t>
            </w:r>
          </w:p>
        </w:tc>
        <w:tc>
          <w:tcPr>
            <w:tcW w:w="1591" w:type="dxa"/>
            <w:tcBorders>
              <w:top w:val="single" w:sz="12" w:space="0" w:color="auto"/>
              <w:bottom w:val="single" w:sz="4" w:space="0" w:color="auto"/>
            </w:tcBorders>
          </w:tcPr>
          <w:p w14:paraId="1FCC2A03" w14:textId="638B428A" w:rsidR="002715D7" w:rsidRPr="004D4A14" w:rsidRDefault="002715D7" w:rsidP="008A3BD6">
            <w:pPr>
              <w:jc w:val="right"/>
              <w:rPr>
                <w:rFonts w:cs="Times New Roman"/>
                <w:sz w:val="20"/>
                <w:szCs w:val="20"/>
              </w:rPr>
            </w:pPr>
            <w:r w:rsidRPr="004D4A14">
              <w:rPr>
                <w:rFonts w:cs="Times New Roman"/>
                <w:sz w:val="20"/>
                <w:szCs w:val="20"/>
                <w:lang w:val="en-US"/>
              </w:rPr>
              <w:t>23 000 000,00</w:t>
            </w:r>
          </w:p>
        </w:tc>
      </w:tr>
      <w:tr w:rsidR="002715D7" w:rsidRPr="004D4A14" w14:paraId="37AA761C" w14:textId="77777777" w:rsidTr="002715D7">
        <w:trPr>
          <w:trHeight w:val="303"/>
        </w:trPr>
        <w:tc>
          <w:tcPr>
            <w:tcW w:w="1093" w:type="dxa"/>
            <w:vMerge/>
          </w:tcPr>
          <w:p w14:paraId="6F711F95" w14:textId="77777777" w:rsidR="002715D7" w:rsidRPr="004D4A14" w:rsidRDefault="002715D7" w:rsidP="008A3BD6">
            <w:pPr>
              <w:jc w:val="center"/>
              <w:rPr>
                <w:rFonts w:eastAsia="Times New Roman"/>
                <w:iCs/>
                <w:noProof/>
                <w:sz w:val="20"/>
                <w:szCs w:val="20"/>
              </w:rPr>
            </w:pPr>
          </w:p>
        </w:tc>
        <w:tc>
          <w:tcPr>
            <w:tcW w:w="849" w:type="dxa"/>
            <w:vMerge/>
          </w:tcPr>
          <w:p w14:paraId="61D57743" w14:textId="77777777" w:rsidR="002715D7" w:rsidRPr="004D4A14" w:rsidRDefault="002715D7" w:rsidP="008A3BD6">
            <w:pPr>
              <w:jc w:val="center"/>
              <w:rPr>
                <w:rFonts w:eastAsia="Times New Roman"/>
                <w:iCs/>
                <w:noProof/>
                <w:sz w:val="20"/>
                <w:szCs w:val="20"/>
              </w:rPr>
            </w:pPr>
          </w:p>
        </w:tc>
        <w:tc>
          <w:tcPr>
            <w:tcW w:w="1103" w:type="dxa"/>
            <w:tcBorders>
              <w:top w:val="single" w:sz="4" w:space="0" w:color="auto"/>
              <w:bottom w:val="single" w:sz="4" w:space="0" w:color="auto"/>
            </w:tcBorders>
          </w:tcPr>
          <w:p w14:paraId="554D20FA" w14:textId="77777777" w:rsidR="002715D7" w:rsidRPr="004D4A14" w:rsidRDefault="002715D7" w:rsidP="008A3BD6">
            <w:pPr>
              <w:rPr>
                <w:rFonts w:eastAsia="Times New Roman"/>
                <w:iCs/>
                <w:noProof/>
                <w:sz w:val="20"/>
                <w:szCs w:val="20"/>
              </w:rPr>
            </w:pPr>
            <w:r w:rsidRPr="004D4A14">
              <w:rPr>
                <w:rFonts w:eastAsia="Times New Roman" w:cs="Times New Roman"/>
                <w:iCs/>
                <w:noProof/>
                <w:sz w:val="20"/>
                <w:szCs w:val="20"/>
              </w:rPr>
              <w:t>VVL regionas</w:t>
            </w:r>
          </w:p>
        </w:tc>
        <w:tc>
          <w:tcPr>
            <w:tcW w:w="1170" w:type="dxa"/>
            <w:vMerge/>
          </w:tcPr>
          <w:p w14:paraId="0AF6F648" w14:textId="77777777" w:rsidR="002715D7" w:rsidRPr="004D4A14" w:rsidRDefault="002715D7" w:rsidP="008A3BD6">
            <w:pPr>
              <w:jc w:val="center"/>
              <w:rPr>
                <w:rFonts w:eastAsia="Times New Roman"/>
                <w:b/>
                <w:iCs/>
                <w:noProof/>
                <w:sz w:val="20"/>
                <w:szCs w:val="20"/>
              </w:rPr>
            </w:pPr>
          </w:p>
        </w:tc>
        <w:tc>
          <w:tcPr>
            <w:tcW w:w="3960" w:type="dxa"/>
            <w:vMerge/>
          </w:tcPr>
          <w:p w14:paraId="3F52EB5E" w14:textId="77777777" w:rsidR="002715D7" w:rsidRPr="004D4A14" w:rsidRDefault="002715D7" w:rsidP="008A3BD6">
            <w:pPr>
              <w:rPr>
                <w:rFonts w:eastAsia="Times New Roman" w:cs="Times New Roman"/>
                <w:bCs/>
                <w:iCs/>
                <w:noProof/>
                <w:sz w:val="16"/>
                <w:szCs w:val="16"/>
              </w:rPr>
            </w:pPr>
          </w:p>
        </w:tc>
        <w:tc>
          <w:tcPr>
            <w:tcW w:w="1591" w:type="dxa"/>
            <w:tcBorders>
              <w:top w:val="single" w:sz="4" w:space="0" w:color="auto"/>
              <w:bottom w:val="single" w:sz="4" w:space="0" w:color="auto"/>
            </w:tcBorders>
          </w:tcPr>
          <w:p w14:paraId="6B1C4C5D" w14:textId="1D04023C" w:rsidR="002715D7" w:rsidRPr="004D4A14" w:rsidRDefault="002715D7" w:rsidP="008A3BD6">
            <w:pPr>
              <w:jc w:val="right"/>
              <w:rPr>
                <w:rFonts w:cs="Times New Roman"/>
                <w:sz w:val="20"/>
                <w:szCs w:val="20"/>
              </w:rPr>
            </w:pPr>
            <w:r w:rsidRPr="004D4A14">
              <w:rPr>
                <w:rFonts w:cs="Times New Roman"/>
                <w:sz w:val="20"/>
                <w:szCs w:val="20"/>
              </w:rPr>
              <w:t>66 037 844,00</w:t>
            </w:r>
          </w:p>
        </w:tc>
      </w:tr>
    </w:tbl>
    <w:tbl>
      <w:tblPr>
        <w:tblStyle w:val="Lentelstinklelis30"/>
        <w:tblpPr w:leftFromText="180" w:rightFromText="180" w:vertAnchor="page" w:horzAnchor="margin" w:tblpY="9961"/>
        <w:tblW w:w="9747" w:type="dxa"/>
        <w:tblLook w:val="04A0" w:firstRow="1" w:lastRow="0" w:firstColumn="1" w:lastColumn="0" w:noHBand="0" w:noVBand="1"/>
      </w:tblPr>
      <w:tblGrid>
        <w:gridCol w:w="1101"/>
        <w:gridCol w:w="850"/>
        <w:gridCol w:w="1134"/>
        <w:gridCol w:w="1134"/>
        <w:gridCol w:w="4021"/>
        <w:gridCol w:w="1507"/>
      </w:tblGrid>
      <w:tr w:rsidR="00943B8D" w:rsidRPr="004D4A14" w14:paraId="6DC23AA1" w14:textId="77777777" w:rsidTr="00943B8D">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AC54A5A" w14:textId="77777777" w:rsidR="00943B8D" w:rsidRPr="004D4A14" w:rsidRDefault="00943B8D" w:rsidP="00943B8D">
            <w:pPr>
              <w:rPr>
                <w:b/>
                <w:iCs/>
                <w:noProof/>
                <w:sz w:val="20"/>
                <w:szCs w:val="20"/>
              </w:rPr>
            </w:pPr>
            <w:r w:rsidRPr="004D4A14">
              <w:rPr>
                <w:b/>
                <w:noProof/>
                <w:sz w:val="20"/>
                <w:szCs w:val="20"/>
              </w:rPr>
              <w:t xml:space="preserve">7 lentelė. 7 matmuo. </w:t>
            </w:r>
            <w:r w:rsidRPr="004D4A14">
              <w:rPr>
                <w:b/>
                <w:sz w:val="20"/>
                <w:szCs w:val="20"/>
              </w:rPr>
              <w:t xml:space="preserve">ESF+, ERPF, </w:t>
            </w:r>
            <w:proofErr w:type="spellStart"/>
            <w:r w:rsidRPr="004D4A14">
              <w:rPr>
                <w:b/>
                <w:sz w:val="20"/>
                <w:szCs w:val="20"/>
              </w:rPr>
              <w:t>SaF</w:t>
            </w:r>
            <w:proofErr w:type="spellEnd"/>
            <w:r w:rsidRPr="004D4A14">
              <w:rPr>
                <w:b/>
                <w:sz w:val="20"/>
                <w:szCs w:val="20"/>
              </w:rPr>
              <w:t xml:space="preserve"> ir TPF lyčių lygybės matmuo</w:t>
            </w:r>
          </w:p>
        </w:tc>
      </w:tr>
      <w:tr w:rsidR="00943B8D" w:rsidRPr="004D4A14" w14:paraId="4654874E" w14:textId="77777777" w:rsidTr="00943B8D">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502DD2" w14:textId="77777777" w:rsidR="00943B8D" w:rsidRPr="004D4A14" w:rsidRDefault="00943B8D" w:rsidP="00943B8D">
            <w:pPr>
              <w:jc w:val="center"/>
              <w:rPr>
                <w:b/>
                <w:iCs/>
                <w:noProof/>
                <w:sz w:val="20"/>
              </w:rPr>
            </w:pPr>
            <w:r w:rsidRPr="004D4A14">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1FAAA87" w14:textId="77777777" w:rsidR="00943B8D" w:rsidRPr="004D4A14" w:rsidRDefault="00943B8D" w:rsidP="00943B8D">
            <w:pPr>
              <w:jc w:val="center"/>
              <w:rPr>
                <w:b/>
                <w:iCs/>
                <w:noProof/>
                <w:sz w:val="20"/>
              </w:rPr>
            </w:pPr>
            <w:r w:rsidRPr="004D4A14">
              <w:rPr>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6CE3B3" w14:textId="77777777" w:rsidR="00943B8D" w:rsidRPr="004D4A14" w:rsidRDefault="00943B8D" w:rsidP="00943B8D">
            <w:pPr>
              <w:jc w:val="center"/>
              <w:rPr>
                <w:b/>
                <w:iCs/>
                <w:noProof/>
                <w:sz w:val="20"/>
              </w:rPr>
            </w:pPr>
            <w:r w:rsidRPr="004D4A14">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467F7A9" w14:textId="77777777" w:rsidR="00943B8D" w:rsidRPr="004D4A14" w:rsidRDefault="00943B8D" w:rsidP="00943B8D">
            <w:pPr>
              <w:jc w:val="center"/>
              <w:rPr>
                <w:b/>
                <w:iCs/>
                <w:noProof/>
                <w:sz w:val="20"/>
              </w:rPr>
            </w:pPr>
            <w:r w:rsidRPr="004D4A14">
              <w:rPr>
                <w:b/>
                <w:noProof/>
                <w:sz w:val="20"/>
              </w:rPr>
              <w:t>Konkretus uždavinys</w:t>
            </w:r>
          </w:p>
        </w:tc>
        <w:tc>
          <w:tcPr>
            <w:tcW w:w="402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394D99F" w14:textId="77777777" w:rsidR="00943B8D" w:rsidRPr="004D4A14" w:rsidRDefault="00943B8D" w:rsidP="00943B8D">
            <w:pPr>
              <w:jc w:val="center"/>
              <w:rPr>
                <w:b/>
                <w:iCs/>
                <w:noProof/>
                <w:sz w:val="20"/>
              </w:rPr>
            </w:pPr>
            <w:r w:rsidRPr="004D4A14">
              <w:rPr>
                <w:b/>
                <w:noProof/>
                <w:sz w:val="20"/>
              </w:rPr>
              <w:t>Kodas</w:t>
            </w:r>
          </w:p>
        </w:tc>
        <w:tc>
          <w:tcPr>
            <w:tcW w:w="150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06D90B0" w14:textId="77777777" w:rsidR="00943B8D" w:rsidRPr="004D4A14" w:rsidRDefault="00943B8D" w:rsidP="00943B8D">
            <w:pPr>
              <w:jc w:val="center"/>
              <w:rPr>
                <w:b/>
                <w:iCs/>
                <w:noProof/>
                <w:sz w:val="20"/>
              </w:rPr>
            </w:pPr>
            <w:r w:rsidRPr="004D4A14">
              <w:rPr>
                <w:b/>
                <w:noProof/>
                <w:sz w:val="20"/>
              </w:rPr>
              <w:t>Suma (EUR)</w:t>
            </w:r>
          </w:p>
        </w:tc>
      </w:tr>
      <w:tr w:rsidR="00943B8D" w:rsidRPr="004D4A14" w14:paraId="4E30A936" w14:textId="77777777" w:rsidTr="00943B8D">
        <w:tc>
          <w:tcPr>
            <w:tcW w:w="1101" w:type="dxa"/>
            <w:vMerge w:val="restart"/>
          </w:tcPr>
          <w:p w14:paraId="33D78D3C" w14:textId="77777777" w:rsidR="00943B8D" w:rsidRPr="004D4A14" w:rsidRDefault="00943B8D" w:rsidP="00943B8D">
            <w:pPr>
              <w:jc w:val="center"/>
              <w:rPr>
                <w:iCs/>
                <w:noProof/>
                <w:sz w:val="16"/>
                <w:szCs w:val="16"/>
              </w:rPr>
            </w:pPr>
            <w:r w:rsidRPr="004D4A14">
              <w:rPr>
                <w:iCs/>
                <w:noProof/>
                <w:sz w:val="20"/>
                <w:szCs w:val="20"/>
              </w:rPr>
              <w:t>11</w:t>
            </w:r>
          </w:p>
        </w:tc>
        <w:tc>
          <w:tcPr>
            <w:tcW w:w="850" w:type="dxa"/>
            <w:vMerge w:val="restart"/>
          </w:tcPr>
          <w:p w14:paraId="6F51FEBA" w14:textId="77777777" w:rsidR="00943B8D" w:rsidRPr="004D4A14" w:rsidRDefault="00943B8D" w:rsidP="00943B8D">
            <w:pPr>
              <w:jc w:val="center"/>
              <w:rPr>
                <w:iCs/>
                <w:noProof/>
                <w:sz w:val="16"/>
                <w:szCs w:val="16"/>
              </w:rPr>
            </w:pPr>
            <w:r w:rsidRPr="004D4A14">
              <w:rPr>
                <w:iCs/>
                <w:noProof/>
                <w:sz w:val="20"/>
                <w:szCs w:val="20"/>
              </w:rPr>
              <w:t>ERPF</w:t>
            </w:r>
          </w:p>
        </w:tc>
        <w:tc>
          <w:tcPr>
            <w:tcW w:w="1134" w:type="dxa"/>
            <w:tcBorders>
              <w:top w:val="single" w:sz="4" w:space="0" w:color="auto"/>
              <w:bottom w:val="single" w:sz="4" w:space="0" w:color="auto"/>
            </w:tcBorders>
          </w:tcPr>
          <w:p w14:paraId="37A60DCC" w14:textId="77777777" w:rsidR="00943B8D" w:rsidRPr="004D4A14" w:rsidRDefault="00943B8D" w:rsidP="00943B8D">
            <w:pPr>
              <w:rPr>
                <w:iCs/>
                <w:noProof/>
                <w:sz w:val="16"/>
                <w:szCs w:val="16"/>
              </w:rPr>
            </w:pPr>
            <w:r w:rsidRPr="004D4A14">
              <w:rPr>
                <w:iCs/>
                <w:noProof/>
                <w:sz w:val="20"/>
                <w:szCs w:val="20"/>
              </w:rPr>
              <w:t>Sostinės regionas</w:t>
            </w:r>
          </w:p>
        </w:tc>
        <w:tc>
          <w:tcPr>
            <w:tcW w:w="1134" w:type="dxa"/>
            <w:vMerge w:val="restart"/>
            <w:tcBorders>
              <w:top w:val="single" w:sz="12" w:space="0" w:color="auto"/>
            </w:tcBorders>
          </w:tcPr>
          <w:p w14:paraId="786C180F" w14:textId="77777777" w:rsidR="00943B8D" w:rsidRPr="004D4A14" w:rsidRDefault="00943B8D" w:rsidP="00943B8D">
            <w:pPr>
              <w:jc w:val="center"/>
              <w:rPr>
                <w:iCs/>
                <w:noProof/>
                <w:sz w:val="20"/>
                <w:szCs w:val="20"/>
              </w:rPr>
            </w:pPr>
            <w:r w:rsidRPr="004D4A14">
              <w:rPr>
                <w:iCs/>
                <w:noProof/>
                <w:sz w:val="20"/>
                <w:szCs w:val="20"/>
              </w:rPr>
              <w:t>11.1</w:t>
            </w:r>
          </w:p>
        </w:tc>
        <w:tc>
          <w:tcPr>
            <w:tcW w:w="4021" w:type="dxa"/>
            <w:vMerge w:val="restart"/>
            <w:tcBorders>
              <w:top w:val="single" w:sz="12" w:space="0" w:color="auto"/>
            </w:tcBorders>
          </w:tcPr>
          <w:p w14:paraId="65E3E631" w14:textId="77777777" w:rsidR="00943B8D" w:rsidRPr="004D4A14" w:rsidRDefault="00943B8D" w:rsidP="00943B8D">
            <w:pPr>
              <w:rPr>
                <w:iCs/>
                <w:noProof/>
                <w:sz w:val="16"/>
                <w:szCs w:val="16"/>
              </w:rPr>
            </w:pPr>
            <w:r w:rsidRPr="004D4A14">
              <w:rPr>
                <w:bCs/>
                <w:iCs/>
                <w:noProof/>
                <w:sz w:val="20"/>
                <w:szCs w:val="20"/>
              </w:rPr>
              <w:t>03 – Neutralumas lyties požiūriu</w:t>
            </w:r>
          </w:p>
        </w:tc>
        <w:tc>
          <w:tcPr>
            <w:tcW w:w="1507" w:type="dxa"/>
            <w:tcBorders>
              <w:top w:val="single" w:sz="12" w:space="0" w:color="auto"/>
              <w:bottom w:val="single" w:sz="4" w:space="0" w:color="auto"/>
            </w:tcBorders>
          </w:tcPr>
          <w:p w14:paraId="7302D19F" w14:textId="708496CD" w:rsidR="00943B8D" w:rsidRPr="004D4A14" w:rsidRDefault="002715D7" w:rsidP="00943B8D">
            <w:pPr>
              <w:jc w:val="right"/>
              <w:rPr>
                <w:iCs/>
                <w:noProof/>
                <w:sz w:val="20"/>
                <w:szCs w:val="20"/>
              </w:rPr>
            </w:pPr>
            <w:r w:rsidRPr="004D4A14">
              <w:rPr>
                <w:sz w:val="20"/>
                <w:szCs w:val="20"/>
                <w:lang w:val="en-US"/>
              </w:rPr>
              <w:t>23 000 000,00</w:t>
            </w:r>
          </w:p>
        </w:tc>
      </w:tr>
      <w:tr w:rsidR="00943B8D" w:rsidRPr="004D4A14" w14:paraId="6108EA8E" w14:textId="77777777" w:rsidTr="00943B8D">
        <w:tc>
          <w:tcPr>
            <w:tcW w:w="1101" w:type="dxa"/>
            <w:vMerge/>
          </w:tcPr>
          <w:p w14:paraId="3BD85E8D" w14:textId="77777777" w:rsidR="00943B8D" w:rsidRPr="004D4A14" w:rsidRDefault="00943B8D" w:rsidP="00943B8D">
            <w:pPr>
              <w:jc w:val="center"/>
              <w:rPr>
                <w:iCs/>
                <w:noProof/>
                <w:sz w:val="16"/>
                <w:szCs w:val="16"/>
              </w:rPr>
            </w:pPr>
          </w:p>
        </w:tc>
        <w:tc>
          <w:tcPr>
            <w:tcW w:w="850" w:type="dxa"/>
            <w:vMerge/>
          </w:tcPr>
          <w:p w14:paraId="76B00A35" w14:textId="77777777" w:rsidR="00943B8D" w:rsidRPr="004D4A14" w:rsidRDefault="00943B8D" w:rsidP="00943B8D">
            <w:pPr>
              <w:jc w:val="center"/>
              <w:rPr>
                <w:iCs/>
                <w:noProof/>
                <w:sz w:val="16"/>
                <w:szCs w:val="16"/>
              </w:rPr>
            </w:pPr>
          </w:p>
        </w:tc>
        <w:tc>
          <w:tcPr>
            <w:tcW w:w="1134" w:type="dxa"/>
            <w:tcBorders>
              <w:top w:val="single" w:sz="4" w:space="0" w:color="auto"/>
              <w:bottom w:val="single" w:sz="4" w:space="0" w:color="auto"/>
            </w:tcBorders>
          </w:tcPr>
          <w:p w14:paraId="5A847BED" w14:textId="77777777" w:rsidR="00943B8D" w:rsidRPr="004D4A14" w:rsidRDefault="00943B8D" w:rsidP="00943B8D">
            <w:pPr>
              <w:rPr>
                <w:iCs/>
                <w:noProof/>
                <w:sz w:val="16"/>
                <w:szCs w:val="16"/>
              </w:rPr>
            </w:pPr>
            <w:r w:rsidRPr="004D4A14">
              <w:rPr>
                <w:iCs/>
                <w:noProof/>
                <w:sz w:val="20"/>
                <w:szCs w:val="20"/>
              </w:rPr>
              <w:t>VVL regionas</w:t>
            </w:r>
          </w:p>
        </w:tc>
        <w:tc>
          <w:tcPr>
            <w:tcW w:w="1134" w:type="dxa"/>
            <w:vMerge/>
            <w:tcBorders>
              <w:bottom w:val="single" w:sz="4" w:space="0" w:color="auto"/>
            </w:tcBorders>
          </w:tcPr>
          <w:p w14:paraId="279329DC" w14:textId="77777777" w:rsidR="00943B8D" w:rsidRPr="004D4A14" w:rsidRDefault="00943B8D" w:rsidP="00943B8D">
            <w:pPr>
              <w:jc w:val="center"/>
              <w:rPr>
                <w:iCs/>
                <w:noProof/>
                <w:sz w:val="16"/>
                <w:szCs w:val="16"/>
              </w:rPr>
            </w:pPr>
          </w:p>
        </w:tc>
        <w:tc>
          <w:tcPr>
            <w:tcW w:w="4021" w:type="dxa"/>
            <w:vMerge/>
            <w:tcBorders>
              <w:bottom w:val="single" w:sz="4" w:space="0" w:color="auto"/>
            </w:tcBorders>
          </w:tcPr>
          <w:p w14:paraId="53B9B2F0" w14:textId="77777777" w:rsidR="00943B8D" w:rsidRPr="004D4A14" w:rsidRDefault="00943B8D" w:rsidP="00943B8D">
            <w:pPr>
              <w:rPr>
                <w:iCs/>
                <w:noProof/>
                <w:sz w:val="16"/>
                <w:szCs w:val="16"/>
              </w:rPr>
            </w:pPr>
          </w:p>
        </w:tc>
        <w:tc>
          <w:tcPr>
            <w:tcW w:w="1507" w:type="dxa"/>
            <w:tcBorders>
              <w:top w:val="single" w:sz="4" w:space="0" w:color="auto"/>
              <w:bottom w:val="single" w:sz="4" w:space="0" w:color="auto"/>
            </w:tcBorders>
          </w:tcPr>
          <w:p w14:paraId="16128F1C" w14:textId="3DD68520" w:rsidR="00943B8D" w:rsidRPr="004D4A14" w:rsidRDefault="002715D7" w:rsidP="00943B8D">
            <w:pPr>
              <w:jc w:val="right"/>
              <w:rPr>
                <w:iCs/>
                <w:noProof/>
                <w:sz w:val="20"/>
                <w:szCs w:val="20"/>
              </w:rPr>
            </w:pPr>
            <w:r w:rsidRPr="004D4A14">
              <w:rPr>
                <w:sz w:val="20"/>
                <w:szCs w:val="20"/>
              </w:rPr>
              <w:t>66 037 844,00</w:t>
            </w:r>
          </w:p>
        </w:tc>
      </w:tr>
    </w:tbl>
    <w:p w14:paraId="777744F0" w14:textId="77777777" w:rsidR="00192446" w:rsidRPr="004D4A14" w:rsidRDefault="00192446" w:rsidP="00943B8D">
      <w:pPr>
        <w:pStyle w:val="Stilius1"/>
        <w:rPr>
          <w:rFonts w:cs="Times New Roman"/>
          <w:b w:val="0"/>
          <w:iCs/>
          <w:sz w:val="22"/>
          <w:lang w:bidi="lt-LT"/>
        </w:rPr>
      </w:pPr>
    </w:p>
    <w:p w14:paraId="51ECD8D7" w14:textId="77777777" w:rsidR="009C14FB" w:rsidRPr="004D4A14" w:rsidRDefault="009C14FB">
      <w:pPr>
        <w:rPr>
          <w:rFonts w:eastAsiaTheme="majorEastAsia" w:cs="Times New Roman"/>
          <w:b/>
          <w:bCs/>
          <w:caps/>
          <w:color w:val="365F91" w:themeColor="accent1" w:themeShade="BF"/>
          <w:sz w:val="28"/>
          <w:szCs w:val="28"/>
        </w:rPr>
      </w:pPr>
      <w:r w:rsidRPr="004D4A14">
        <w:rPr>
          <w:rFonts w:eastAsiaTheme="majorEastAsia" w:cs="Times New Roman"/>
          <w:b/>
          <w:bCs/>
          <w:caps/>
          <w:color w:val="365F91" w:themeColor="accent1" w:themeShade="BF"/>
          <w:sz w:val="28"/>
          <w:szCs w:val="28"/>
        </w:rPr>
        <w:br w:type="page"/>
      </w:r>
    </w:p>
    <w:p w14:paraId="6C2D3C00" w14:textId="1791DD8B" w:rsidR="00D163E2" w:rsidRPr="004D4A14" w:rsidRDefault="00D163E2" w:rsidP="00D163E2">
      <w:pPr>
        <w:keepNext/>
        <w:keepLines/>
        <w:spacing w:after="240"/>
        <w:jc w:val="both"/>
        <w:outlineLvl w:val="0"/>
        <w:rPr>
          <w:rFonts w:eastAsiaTheme="majorEastAsia" w:cs="Times New Roman"/>
          <w:b/>
          <w:bCs/>
          <w:caps/>
          <w:color w:val="365F91" w:themeColor="accent1" w:themeShade="BF"/>
          <w:sz w:val="28"/>
          <w:szCs w:val="28"/>
        </w:rPr>
      </w:pPr>
      <w:r w:rsidRPr="004D4A14">
        <w:rPr>
          <w:rFonts w:eastAsiaTheme="majorEastAsia" w:cs="Times New Roman"/>
          <w:b/>
          <w:bCs/>
          <w:caps/>
          <w:color w:val="365F91" w:themeColor="accent1" w:themeShade="BF"/>
          <w:sz w:val="28"/>
          <w:szCs w:val="28"/>
        </w:rPr>
        <w:lastRenderedPageBreak/>
        <w:t>12. specialus prioritetas.  Geriamojo vandens tiekimo infrastruktūros apsaugos, viešųjų vandens tiekėjų ir nuotekų tvarkytojų valdymo centrų atsparumo didinimas</w:t>
      </w:r>
    </w:p>
    <w:p w14:paraId="72703D29" w14:textId="69396481" w:rsidR="00D163E2" w:rsidRPr="004D4A14" w:rsidRDefault="00D163E2" w:rsidP="00D163E2">
      <w:pPr>
        <w:keepNext/>
        <w:keepLines/>
        <w:spacing w:after="0"/>
        <w:jc w:val="both"/>
        <w:outlineLvl w:val="1"/>
        <w:rPr>
          <w:rFonts w:asciiTheme="majorHAnsi" w:eastAsiaTheme="majorEastAsia" w:hAnsiTheme="majorHAnsi" w:cs="Times New Roman"/>
          <w:b/>
          <w:bCs/>
          <w:color w:val="4F81BD" w:themeColor="accent1"/>
          <w:sz w:val="26"/>
          <w:szCs w:val="26"/>
        </w:rPr>
      </w:pPr>
      <w:r w:rsidRPr="004D4A14">
        <w:rPr>
          <w:rFonts w:eastAsiaTheme="majorEastAsia" w:cs="Times New Roman"/>
          <w:b/>
          <w:bCs/>
          <w:color w:val="4F81BD" w:themeColor="accent1"/>
          <w:sz w:val="26"/>
          <w:szCs w:val="26"/>
        </w:rPr>
        <w:t xml:space="preserve">Konkretus uždavinys – 12.1 </w:t>
      </w:r>
      <w:r w:rsidRPr="004D4A14">
        <w:rPr>
          <w:rFonts w:asciiTheme="majorHAnsi" w:eastAsiaTheme="majorEastAsia" w:hAnsiTheme="majorHAnsi" w:cs="Times New Roman"/>
          <w:b/>
          <w:bCs/>
          <w:color w:val="4F81BD" w:themeColor="accent1"/>
          <w:sz w:val="26"/>
          <w:szCs w:val="26"/>
        </w:rPr>
        <w:t>„</w:t>
      </w:r>
      <w:r w:rsidR="009445B3" w:rsidRPr="004D4A14">
        <w:rPr>
          <w:rFonts w:asciiTheme="majorHAnsi" w:eastAsiaTheme="majorEastAsia" w:hAnsiTheme="majorHAnsi" w:cs="Times New Roman"/>
          <w:b/>
          <w:bCs/>
          <w:color w:val="4F81BD" w:themeColor="accent1"/>
          <w:sz w:val="26"/>
          <w:szCs w:val="26"/>
        </w:rPr>
        <w:t>Skatinti saugią prieigą prie vandens, tvarios vandentvarkos, įskaitant integruotą vandentvarką, ir vandens išteklių atsparumą</w:t>
      </w:r>
      <w:r w:rsidRPr="004D4A14">
        <w:rPr>
          <w:rFonts w:asciiTheme="majorHAnsi" w:eastAsiaTheme="majorEastAsia" w:hAnsiTheme="majorHAnsi" w:cs="Times New Roman"/>
          <w:b/>
          <w:bCs/>
          <w:color w:val="4F81BD" w:themeColor="accent1"/>
          <w:sz w:val="26"/>
          <w:szCs w:val="26"/>
        </w:rPr>
        <w:t>“</w:t>
      </w:r>
    </w:p>
    <w:p w14:paraId="56E736A5" w14:textId="77777777" w:rsidR="00D163E2" w:rsidRPr="004D4A14" w:rsidRDefault="00D163E2" w:rsidP="00D163E2">
      <w:pPr>
        <w:tabs>
          <w:tab w:val="center" w:pos="4819"/>
          <w:tab w:val="right" w:pos="9638"/>
        </w:tabs>
        <w:spacing w:before="120" w:after="120" w:line="240" w:lineRule="auto"/>
        <w:rPr>
          <w:rFonts w:cs="Times New Roman"/>
          <w:b/>
          <w:i/>
          <w:color w:val="1F497D" w:themeColor="text2"/>
        </w:rPr>
      </w:pPr>
      <w:r w:rsidRPr="004D4A14">
        <w:rPr>
          <w:rFonts w:cs="Times New Roman"/>
          <w:b/>
          <w:i/>
          <w:color w:val="1F497D" w:themeColor="text2"/>
        </w:rPr>
        <w:t>Įgyvendinamos veiklos</w:t>
      </w:r>
    </w:p>
    <w:tbl>
      <w:tblPr>
        <w:tblStyle w:val="Lentelstinklelis2"/>
        <w:tblW w:w="9634" w:type="dxa"/>
        <w:tblLook w:val="04A0" w:firstRow="1" w:lastRow="0" w:firstColumn="1" w:lastColumn="0" w:noHBand="0" w:noVBand="1"/>
      </w:tblPr>
      <w:tblGrid>
        <w:gridCol w:w="9634"/>
      </w:tblGrid>
      <w:tr w:rsidR="00D163E2" w:rsidRPr="004D4A14" w14:paraId="4A6FEE96" w14:textId="77777777" w:rsidTr="005F7B38">
        <w:trPr>
          <w:trHeight w:val="283"/>
        </w:trPr>
        <w:tc>
          <w:tcPr>
            <w:tcW w:w="9634" w:type="dxa"/>
          </w:tcPr>
          <w:p w14:paraId="7F282F61" w14:textId="77777777" w:rsidR="00D163E2" w:rsidRPr="004D4A14" w:rsidRDefault="00D163E2" w:rsidP="00D163E2">
            <w:pPr>
              <w:spacing w:line="276" w:lineRule="auto"/>
              <w:jc w:val="both"/>
              <w:rPr>
                <w:rFonts w:ascii="Times New Roman" w:hAnsi="Times New Roman" w:cs="Times New Roman"/>
                <w:lang w:val="lt"/>
              </w:rPr>
            </w:pPr>
            <w:r w:rsidRPr="004D4A14">
              <w:rPr>
                <w:rFonts w:ascii="Times New Roman" w:hAnsi="Times New Roman" w:cs="Times New Roman"/>
              </w:rPr>
              <w:t xml:space="preserve">Europoje daugėjant incidentų, susijusių su geriamojo vandens tiekimo saugos pažeidimais, ir atsižvelgiant į Lietuvos, kaip ES rytinio pasienio valstybės, besiribojančios su Rusija ir Baltarusija bei patiriančios išskirtinius saugumo iššūkius, geopolitinę reikšmę, tampa vis svarbiau užtikrinti nepertraukiamą geriamojo vandens tiekimą, stiprinant tiek infrastruktūros fizinę apsaugą, tiek ir veiklos atsparumą galimoms grėsmėms. </w:t>
            </w:r>
            <w:r w:rsidRPr="004D4A14">
              <w:rPr>
                <w:rFonts w:ascii="Times New Roman" w:hAnsi="Times New Roman" w:cs="Times New Roman"/>
                <w:lang w:val="lt"/>
              </w:rPr>
              <w:t>Saugus ir patikimas geriamojo vandens tiekimas yra būtinas kasdieniam gyventojų gyvenimui, sveikatos apsaugos sistemai, ekonomikos funkcionavimui ir visuomenės stabilumui. Bet kokie tiekimo sutrikimai gali turėti grandininį poveikį – nuo sanitarinės rizikos iki socialinės įtampos.</w:t>
            </w:r>
          </w:p>
          <w:p w14:paraId="43AE9B77" w14:textId="77777777" w:rsidR="00D163E2" w:rsidRPr="004D4A14" w:rsidRDefault="00D163E2" w:rsidP="00D163E2">
            <w:pPr>
              <w:spacing w:line="276" w:lineRule="auto"/>
              <w:jc w:val="both"/>
              <w:rPr>
                <w:rFonts w:ascii="Times New Roman" w:eastAsia="Times New Roman" w:hAnsi="Times New Roman" w:cs="Times New Roman"/>
                <w:color w:val="000000" w:themeColor="text1"/>
                <w:lang w:val="lt"/>
              </w:rPr>
            </w:pPr>
            <w:r w:rsidRPr="004D4A14">
              <w:rPr>
                <w:rFonts w:ascii="Times New Roman" w:eastAsia="Times New Roman" w:hAnsi="Times New Roman" w:cs="Times New Roman"/>
                <w:color w:val="000000" w:themeColor="text1"/>
                <w:lang w:val="lt"/>
              </w:rPr>
              <w:t xml:space="preserve">Lietuvoje ilgą laiką į geriamojo vandens tiekimo infrastruktūros apsaugą buvo investuojama nepakankamai – naujos priemonės nebuvo diegiamos, o esamų priemonių techninė būklė nepalaikoma. Taip pat, geriamojo vandens išgavimo, paruošimo, tiekimo bei sistemos valdymo objektuose trūksta modernių stebėsenos ir kontrolės sprendimų. </w:t>
            </w:r>
          </w:p>
          <w:p w14:paraId="1C8F0E8E" w14:textId="77777777" w:rsidR="00D163E2" w:rsidRPr="004D4A14" w:rsidRDefault="00D163E2" w:rsidP="00D163E2">
            <w:pPr>
              <w:spacing w:line="276" w:lineRule="auto"/>
              <w:jc w:val="both"/>
              <w:rPr>
                <w:rFonts w:ascii="Times New Roman" w:eastAsia="Times New Roman" w:hAnsi="Times New Roman" w:cs="Times New Roman"/>
                <w:color w:val="000000" w:themeColor="text1"/>
                <w:lang w:val="lt"/>
              </w:rPr>
            </w:pPr>
            <w:r w:rsidRPr="004D4A14">
              <w:rPr>
                <w:rFonts w:ascii="Times New Roman" w:hAnsi="Times New Roman" w:cs="Times New Roman"/>
                <w:lang w:val="lt"/>
              </w:rPr>
              <w:t>Itin reikšmingą viešųjų vandens tiekėjų vaidmenį šalies nacionaliniam saugumui iliustruoja ir viešųjų vandens tiekėjų nurodymas aukšto lygmens Europos (CER</w:t>
            </w:r>
            <w:r w:rsidRPr="004D4A14">
              <w:rPr>
                <w:rFonts w:ascii="Times New Roman" w:hAnsi="Times New Roman" w:cs="Times New Roman"/>
                <w:vertAlign w:val="superscript"/>
                <w:lang w:val="lt"/>
              </w:rPr>
              <w:footnoteReference w:id="1"/>
            </w:r>
            <w:r w:rsidRPr="004D4A14">
              <w:rPr>
                <w:rFonts w:ascii="Times New Roman" w:hAnsi="Times New Roman" w:cs="Times New Roman"/>
                <w:lang w:val="lt"/>
              </w:rPr>
              <w:t xml:space="preserve"> ir TIS2</w:t>
            </w:r>
            <w:r w:rsidRPr="004D4A14">
              <w:rPr>
                <w:rFonts w:ascii="Times New Roman" w:hAnsi="Times New Roman" w:cs="Times New Roman"/>
                <w:vertAlign w:val="superscript"/>
                <w:lang w:val="lt"/>
              </w:rPr>
              <w:footnoteReference w:id="2"/>
            </w:r>
            <w:r w:rsidRPr="004D4A14">
              <w:rPr>
                <w:rFonts w:ascii="Times New Roman" w:hAnsi="Times New Roman" w:cs="Times New Roman"/>
                <w:lang w:val="lt"/>
              </w:rPr>
              <w:t xml:space="preserve"> direktyvos) bei nacionaliniuose teisės aktuose. LR Nacionaliniam saugumui užtikrinti svarbių objektų apsaugos įstatyme nustatyta, jog viešieji vandens tiekėjai </w:t>
            </w:r>
            <w:r w:rsidRPr="004D4A14">
              <w:rPr>
                <w:rFonts w:ascii="Times New Roman" w:hAnsi="Times New Roman" w:cs="Times New Roman"/>
              </w:rPr>
              <w:t>priskiriami prie pirmos kategorijos įmonių, kurios svarbios nacionaliniam saugumui</w:t>
            </w:r>
            <w:r w:rsidRPr="004D4A14">
              <w:rPr>
                <w:rFonts w:ascii="Times New Roman" w:hAnsi="Times New Roman" w:cs="Times New Roman"/>
                <w:lang w:val="lt"/>
              </w:rPr>
              <w:t xml:space="preserve">, o taip pat </w:t>
            </w:r>
            <w:r w:rsidRPr="004D4A14">
              <w:rPr>
                <w:rFonts w:ascii="Times New Roman" w:eastAsia="Times New Roman" w:hAnsi="Times New Roman" w:cs="Times New Roman"/>
                <w:color w:val="000000" w:themeColor="text1"/>
                <w:lang w:val="lt"/>
              </w:rPr>
              <w:t>2018 m. birželio 6 d.</w:t>
            </w:r>
            <w:r w:rsidRPr="004D4A14">
              <w:rPr>
                <w:rFonts w:ascii="Times New Roman" w:hAnsi="Times New Roman" w:cs="Times New Roman"/>
                <w:lang w:val="lt"/>
              </w:rPr>
              <w:t xml:space="preserve"> LRV nutarimu </w:t>
            </w:r>
            <w:r w:rsidRPr="004D4A14">
              <w:rPr>
                <w:rFonts w:ascii="Times New Roman" w:eastAsia="Times New Roman" w:hAnsi="Times New Roman" w:cs="Times New Roman"/>
                <w:color w:val="000000" w:themeColor="text1"/>
                <w:lang w:val="lt"/>
              </w:rPr>
              <w:t>Nr. 558</w:t>
            </w:r>
            <w:r w:rsidRPr="004D4A14">
              <w:rPr>
                <w:rFonts w:ascii="Times New Roman" w:eastAsia="Times New Roman" w:hAnsi="Times New Roman" w:cs="Times New Roman"/>
                <w:color w:val="000000" w:themeColor="text1"/>
                <w:vertAlign w:val="superscript"/>
                <w:lang w:val="lt"/>
              </w:rPr>
              <w:footnoteReference w:id="3"/>
            </w:r>
            <w:r w:rsidRPr="004D4A14">
              <w:rPr>
                <w:rFonts w:ascii="Times New Roman" w:hAnsi="Times New Roman" w:cs="Times New Roman"/>
                <w:vertAlign w:val="superscript"/>
                <w:lang w:val="lt"/>
              </w:rPr>
              <w:t xml:space="preserve"> </w:t>
            </w:r>
            <w:r w:rsidRPr="004D4A14">
              <w:rPr>
                <w:rFonts w:ascii="Times New Roman" w:hAnsi="Times New Roman" w:cs="Times New Roman"/>
                <w:lang w:val="lt"/>
              </w:rPr>
              <w:t xml:space="preserve">patvirtintame Konkrečių nacionaliniam saugumui užtikrinti svarbių įrenginių ir turto sąraše nurodyta viešųjų vandens tiekėjų valdoma vandens išgavimo, ruošimo, tiekimo bei nuotekų surinkimo ir tvarkymo įranga. Įmonių fizinės apsaugos tikslai – apsaugoti įmones, jų turtą, darbuotojus ir gyventojus nuo neteisėto fizinio poveikio, kad būtų užtikrintas nepertraukiamas </w:t>
            </w:r>
            <w:r w:rsidRPr="004D4A14">
              <w:rPr>
                <w:rFonts w:ascii="Times New Roman" w:hAnsi="Times New Roman" w:cs="Times New Roman"/>
                <w:color w:val="000000" w:themeColor="text1"/>
                <w:lang w:val="lt"/>
              </w:rPr>
              <w:t xml:space="preserve">saugaus vartojimui </w:t>
            </w:r>
            <w:r w:rsidRPr="004D4A14">
              <w:rPr>
                <w:rFonts w:ascii="Times New Roman" w:hAnsi="Times New Roman" w:cs="Times New Roman"/>
                <w:lang w:val="lt"/>
              </w:rPr>
              <w:t>geriamojo vandens tiekimas. Vykdant įmonių fizinę apsaugą, būtina vadovautis sisteminiu požiūriu į visą įmonės apsaugos sistemą.</w:t>
            </w:r>
          </w:p>
          <w:p w14:paraId="372E2DC3" w14:textId="77777777" w:rsidR="00D163E2" w:rsidRPr="004D4A14" w:rsidRDefault="00D163E2" w:rsidP="00D163E2">
            <w:pPr>
              <w:spacing w:before="240" w:line="276" w:lineRule="auto"/>
              <w:jc w:val="both"/>
              <w:rPr>
                <w:rFonts w:ascii="Times New Roman" w:eastAsia="Times New Roman" w:hAnsi="Times New Roman" w:cs="Times New Roman"/>
                <w:color w:val="000000" w:themeColor="text1"/>
                <w:lang w:val="lt"/>
              </w:rPr>
            </w:pPr>
            <w:r w:rsidRPr="004D4A14">
              <w:rPr>
                <w:rFonts w:ascii="Times New Roman" w:eastAsia="Times New Roman" w:hAnsi="Times New Roman" w:cs="Times New Roman"/>
                <w:color w:val="000000" w:themeColor="text1"/>
                <w:lang w:val="lt"/>
              </w:rPr>
              <w:t>Veiksmas, siekiant didinti geriamojo vandens tiekimo infrastruktūros atsparumą:</w:t>
            </w:r>
          </w:p>
          <w:p w14:paraId="019E52F5" w14:textId="77777777" w:rsidR="00D163E2" w:rsidRPr="004D4A14" w:rsidRDefault="00D163E2" w:rsidP="00D163E2">
            <w:pPr>
              <w:spacing w:line="276" w:lineRule="auto"/>
              <w:jc w:val="both"/>
              <w:rPr>
                <w:rFonts w:ascii="Times New Roman" w:hAnsi="Times New Roman" w:cs="Times New Roman"/>
                <w:lang w:val="lt"/>
              </w:rPr>
            </w:pPr>
            <w:r w:rsidRPr="004D4A14">
              <w:rPr>
                <w:rFonts w:ascii="Times New Roman" w:hAnsi="Times New Roman" w:cs="Times New Roman"/>
                <w:b/>
                <w:bCs/>
                <w:lang w:val="lt"/>
              </w:rPr>
              <w:t xml:space="preserve">Geriamojo vandens tiekimo infrastruktūros saugumo stiprinimas, viešųjų vandens tiekėjų ir nuotekų tvarkytojų valdymo centrų atsparumo didinimas: </w:t>
            </w:r>
            <w:r w:rsidRPr="004D4A14">
              <w:rPr>
                <w:rFonts w:ascii="Times New Roman" w:hAnsi="Times New Roman" w:cs="Times New Roman"/>
                <w:lang w:val="lt"/>
              </w:rPr>
              <w:t>siekiant mažinti</w:t>
            </w:r>
            <w:r w:rsidRPr="004D4A14">
              <w:rPr>
                <w:rFonts w:ascii="Times New Roman" w:hAnsi="Times New Roman" w:cs="Times New Roman"/>
                <w:b/>
                <w:bCs/>
                <w:lang w:val="lt"/>
              </w:rPr>
              <w:t xml:space="preserve"> </w:t>
            </w:r>
            <w:r w:rsidRPr="004D4A14">
              <w:rPr>
                <w:rFonts w:ascii="Times New Roman" w:hAnsi="Times New Roman" w:cs="Times New Roman"/>
                <w:lang w:val="lt"/>
              </w:rPr>
              <w:t xml:space="preserve">incidentų rizikas ir didinti infrastruktūros atsparumą bus </w:t>
            </w:r>
            <w:r w:rsidRPr="004D4A14">
              <w:rPr>
                <w:rFonts w:ascii="Times New Roman" w:eastAsia="Times New Roman" w:hAnsi="Times New Roman" w:cs="Times New Roman"/>
                <w:lang w:val="lt"/>
              </w:rPr>
              <w:t>skatinamos</w:t>
            </w:r>
            <w:r w:rsidRPr="004D4A14">
              <w:rPr>
                <w:rFonts w:ascii="Times New Roman" w:hAnsi="Times New Roman" w:cs="Times New Roman"/>
                <w:lang w:val="lt"/>
              </w:rPr>
              <w:t xml:space="preserve"> apsaugos priemonės, kurios numatytos nacionaliniam saugumui užtikrinti svarbių įmonių saugumo planuose</w:t>
            </w:r>
            <w:r w:rsidRPr="004D4A14">
              <w:rPr>
                <w:rFonts w:ascii="Times New Roman" w:hAnsi="Times New Roman" w:cs="Times New Roman"/>
                <w:vertAlign w:val="superscript"/>
                <w:lang w:val="lt"/>
              </w:rPr>
              <w:footnoteReference w:id="4"/>
            </w:r>
            <w:r w:rsidRPr="004D4A14">
              <w:rPr>
                <w:rFonts w:ascii="Times New Roman" w:hAnsi="Times New Roman" w:cs="Times New Roman"/>
                <w:lang w:val="lt"/>
              </w:rPr>
              <w:t xml:space="preserve"> (pvz.: perimetro saugos, pastatų apsaugos, objektų apsauginės signalizacijos, vaizdo stebėjimo, apšvietimo, pavojaus signalizavimo ir įeigos kontrolės sistemos, </w:t>
            </w:r>
            <w:r w:rsidRPr="004D4A14">
              <w:rPr>
                <w:rFonts w:ascii="Times New Roman" w:hAnsi="Times New Roman" w:cs="Times New Roman"/>
                <w:color w:val="000000" w:themeColor="text1"/>
                <w:szCs w:val="24"/>
                <w:lang w:val="lt"/>
              </w:rPr>
              <w:t xml:space="preserve">vandens </w:t>
            </w:r>
            <w:r w:rsidRPr="004D4A14">
              <w:rPr>
                <w:rFonts w:ascii="Times New Roman" w:hAnsi="Times New Roman" w:cs="Times New Roman"/>
                <w:color w:val="000000" w:themeColor="text1"/>
                <w:szCs w:val="24"/>
                <w:lang w:val="lt"/>
              </w:rPr>
              <w:lastRenderedPageBreak/>
              <w:t>toksinio užteršimo fiksavimo priemonių įrengimas</w:t>
            </w:r>
            <w:r w:rsidRPr="004D4A14">
              <w:rPr>
                <w:rFonts w:ascii="Times New Roman" w:hAnsi="Times New Roman" w:cs="Times New Roman"/>
                <w:lang w:val="lt"/>
              </w:rPr>
              <w:t>)</w:t>
            </w:r>
            <w:r w:rsidRPr="004D4A14">
              <w:rPr>
                <w:rFonts w:ascii="Times New Roman" w:hAnsi="Times New Roman" w:cs="Times New Roman"/>
                <w:vertAlign w:val="superscript"/>
                <w:lang w:val="lt"/>
              </w:rPr>
              <w:footnoteReference w:id="5"/>
            </w:r>
            <w:r w:rsidRPr="004D4A14">
              <w:rPr>
                <w:rFonts w:ascii="Times New Roman" w:hAnsi="Times New Roman" w:cs="Times New Roman"/>
                <w:lang w:val="lt"/>
              </w:rPr>
              <w:t>.</w:t>
            </w:r>
            <w:r w:rsidRPr="004D4A14">
              <w:rPr>
                <w:rFonts w:ascii="Times New Roman" w:eastAsia="Times New Roman" w:hAnsi="Times New Roman" w:cs="Times New Roman"/>
                <w:color w:val="000000" w:themeColor="text1"/>
                <w:lang w:val="lt"/>
              </w:rPr>
              <w:t xml:space="preserve"> Pritaikytos modernios stebėsenos priemonės ir kontrolės sprendimai leistų tiksliau nustatyti incidentų laiką ir aplinkybes, palengvintų tyrimų vykdymą ir prevencinių priemonių planavimą. </w:t>
            </w:r>
          </w:p>
          <w:p w14:paraId="31E12E90" w14:textId="77777777" w:rsidR="00D163E2" w:rsidRPr="004D4A14" w:rsidRDefault="00D163E2" w:rsidP="00D163E2">
            <w:pPr>
              <w:spacing w:line="257" w:lineRule="auto"/>
              <w:jc w:val="both"/>
              <w:rPr>
                <w:rFonts w:ascii="Times New Roman" w:hAnsi="Times New Roman" w:cs="Times New Roman"/>
              </w:rPr>
            </w:pPr>
            <w:r w:rsidRPr="004D4A14">
              <w:rPr>
                <w:rFonts w:ascii="Times New Roman" w:hAnsi="Times New Roman" w:cs="Times New Roman"/>
              </w:rPr>
              <w:t xml:space="preserve">Ši veikla aktuali atsižvelgiant į Lietuvos, kaip ES pasienio valstybės, esančios greta šalių agresorių, situaciją ir iš to kylančias grėsmes, nes ji užtikrins didesnį vandens tiekimo infrastruktūros atsparumą hibridinių </w:t>
            </w:r>
            <w:r w:rsidRPr="004D4A14">
              <w:rPr>
                <w:rFonts w:ascii="Times New Roman" w:hAnsi="Times New Roman" w:cs="Times New Roman"/>
                <w:color w:val="000000" w:themeColor="text1"/>
              </w:rPr>
              <w:t>atakų ar karinių veiksmų metu.</w:t>
            </w:r>
            <w:r w:rsidRPr="004D4A14">
              <w:rPr>
                <w:rFonts w:ascii="Times New Roman" w:hAnsi="Times New Roman" w:cs="Times New Roman"/>
              </w:rPr>
              <w:t xml:space="preserve"> </w:t>
            </w:r>
          </w:p>
          <w:p w14:paraId="26C40E93" w14:textId="77777777" w:rsidR="00D163E2" w:rsidRPr="004D4A14" w:rsidRDefault="00D163E2" w:rsidP="00D163E2">
            <w:pPr>
              <w:spacing w:line="257" w:lineRule="auto"/>
              <w:jc w:val="both"/>
              <w:rPr>
                <w:rFonts w:cs="Times New Roman"/>
                <w:szCs w:val="24"/>
                <w:lang w:val="lt"/>
              </w:rPr>
            </w:pPr>
            <w:r w:rsidRPr="004D4A14">
              <w:rPr>
                <w:rFonts w:ascii="Times New Roman" w:hAnsi="Times New Roman" w:cs="Times New Roman"/>
                <w:color w:val="000000" w:themeColor="text1"/>
              </w:rPr>
              <w:t>Uždavinio veiklos (veiksmų rūšys) įvertintos vadovaujantis EGADP NRŽ gairėmis, todėl laikoma, kad atitinka NRŽ principą.</w:t>
            </w:r>
          </w:p>
        </w:tc>
      </w:tr>
    </w:tbl>
    <w:p w14:paraId="4320D622" w14:textId="77777777" w:rsidR="00D163E2" w:rsidRPr="004D4A14" w:rsidRDefault="00D163E2" w:rsidP="00D163E2">
      <w:pPr>
        <w:tabs>
          <w:tab w:val="center" w:pos="4819"/>
          <w:tab w:val="right" w:pos="9638"/>
        </w:tabs>
        <w:spacing w:before="120" w:after="120" w:line="240" w:lineRule="auto"/>
        <w:rPr>
          <w:rFonts w:cs="Times New Roman"/>
          <w:b/>
          <w:i/>
          <w:color w:val="1F497D" w:themeColor="text2"/>
        </w:rPr>
      </w:pPr>
      <w:r w:rsidRPr="004D4A14">
        <w:rPr>
          <w:rFonts w:cs="Times New Roman"/>
          <w:b/>
          <w:i/>
          <w:color w:val="1F497D" w:themeColor="text2"/>
        </w:rPr>
        <w:lastRenderedPageBreak/>
        <w:t>Pagrindinės tikslinės grupės</w:t>
      </w:r>
    </w:p>
    <w:tbl>
      <w:tblPr>
        <w:tblStyle w:val="Lentelstinklelis2"/>
        <w:tblW w:w="0" w:type="auto"/>
        <w:tblLook w:val="04A0" w:firstRow="1" w:lastRow="0" w:firstColumn="1" w:lastColumn="0" w:noHBand="0" w:noVBand="1"/>
      </w:tblPr>
      <w:tblGrid>
        <w:gridCol w:w="9628"/>
      </w:tblGrid>
      <w:tr w:rsidR="00D163E2" w:rsidRPr="004D4A14" w14:paraId="36B2C054" w14:textId="77777777" w:rsidTr="007A4608">
        <w:tc>
          <w:tcPr>
            <w:tcW w:w="9854" w:type="dxa"/>
          </w:tcPr>
          <w:p w14:paraId="5DC3AC38" w14:textId="77777777" w:rsidR="00D163E2" w:rsidRPr="004D4A14" w:rsidRDefault="00D163E2" w:rsidP="00D163E2">
            <w:pPr>
              <w:spacing w:before="60" w:after="60" w:line="276" w:lineRule="auto"/>
              <w:jc w:val="both"/>
              <w:rPr>
                <w:rFonts w:ascii="Times New Roman" w:hAnsi="Times New Roman" w:cs="Times New Roman"/>
                <w:sz w:val="24"/>
                <w:szCs w:val="24"/>
              </w:rPr>
            </w:pPr>
            <w:r w:rsidRPr="004D4A14">
              <w:rPr>
                <w:rFonts w:ascii="Times New Roman" w:eastAsia="Times New Roman" w:hAnsi="Times New Roman" w:cs="Times New Roman"/>
                <w:color w:val="000000" w:themeColor="text1"/>
                <w:sz w:val="24"/>
                <w:szCs w:val="24"/>
              </w:rPr>
              <w:t>Gyventojai, savivaldybės, viešieji geriamojo vandens tiekėjai ir nuotekų tvarkytojai.</w:t>
            </w:r>
          </w:p>
        </w:tc>
      </w:tr>
    </w:tbl>
    <w:p w14:paraId="02892425" w14:textId="77777777" w:rsidR="00D163E2" w:rsidRPr="004D4A14" w:rsidRDefault="00D163E2" w:rsidP="00D163E2">
      <w:pPr>
        <w:tabs>
          <w:tab w:val="center" w:pos="4819"/>
          <w:tab w:val="right" w:pos="9638"/>
        </w:tabs>
        <w:spacing w:before="120" w:after="120" w:line="240" w:lineRule="auto"/>
        <w:rPr>
          <w:rFonts w:eastAsia="Times New Roman" w:cs="Times New Roman"/>
          <w:b/>
          <w:i/>
          <w:iCs/>
          <w:noProof/>
          <w:color w:val="1F497D" w:themeColor="text2"/>
          <w:szCs w:val="24"/>
          <w:lang w:eastAsia="lt-LT" w:bidi="lt-LT"/>
        </w:rPr>
      </w:pPr>
      <w:r w:rsidRPr="004D4A14">
        <w:rPr>
          <w:rFonts w:cs="Times New Roman"/>
          <w:b/>
          <w:i/>
          <w:noProof/>
          <w:color w:val="1F497D" w:themeColor="text2"/>
          <w:szCs w:val="24"/>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D163E2" w:rsidRPr="004D4A14" w14:paraId="404E4726" w14:textId="77777777" w:rsidTr="007A4608">
        <w:trPr>
          <w:trHeight w:val="82"/>
        </w:trPr>
        <w:tc>
          <w:tcPr>
            <w:tcW w:w="9854" w:type="dxa"/>
          </w:tcPr>
          <w:p w14:paraId="623C59CF" w14:textId="77777777" w:rsidR="00D163E2" w:rsidRPr="004D4A14" w:rsidRDefault="00D163E2" w:rsidP="00D163E2">
            <w:pPr>
              <w:spacing w:before="60" w:after="60" w:line="276" w:lineRule="auto"/>
              <w:jc w:val="both"/>
              <w:rPr>
                <w:rFonts w:eastAsia="Times New Roman" w:cs="Times New Roman"/>
                <w:i/>
                <w:iCs/>
              </w:rPr>
            </w:pPr>
            <w:r w:rsidRPr="004D4A14">
              <w:rPr>
                <w:rFonts w:eastAsia="Times New Roman" w:cs="Times New Roman"/>
                <w:color w:val="000000" w:themeColor="text1"/>
              </w:rPr>
              <w:t>Vykdant numatytas veiklas bus siekiama užtikrinti lygybės, įtraukties ir nediskriminavimo principus.</w:t>
            </w:r>
          </w:p>
        </w:tc>
      </w:tr>
    </w:tbl>
    <w:p w14:paraId="160C4B55" w14:textId="77777777" w:rsidR="00D163E2" w:rsidRPr="004D4A14" w:rsidRDefault="00D163E2" w:rsidP="00D163E2">
      <w:pPr>
        <w:tabs>
          <w:tab w:val="center" w:pos="4819"/>
          <w:tab w:val="right" w:pos="9638"/>
        </w:tabs>
        <w:spacing w:before="120" w:after="120" w:line="240" w:lineRule="auto"/>
        <w:rPr>
          <w:rFonts w:cs="Times New Roman"/>
          <w:b/>
          <w:i/>
          <w:color w:val="1F497D" w:themeColor="text2"/>
          <w:szCs w:val="24"/>
        </w:rPr>
      </w:pPr>
      <w:r w:rsidRPr="004D4A14">
        <w:rPr>
          <w:rFonts w:cs="Times New Roman"/>
          <w:b/>
          <w:i/>
          <w:color w:val="1F497D" w:themeColor="text2"/>
          <w:szCs w:val="24"/>
        </w:rPr>
        <w:t>Konkrečios tikslinės teritorijos, įskaitant planuojamą teritorinių priemonių panaudojimą</w:t>
      </w:r>
    </w:p>
    <w:tbl>
      <w:tblPr>
        <w:tblStyle w:val="Lentelstinklelis2"/>
        <w:tblW w:w="0" w:type="auto"/>
        <w:tblLook w:val="04A0" w:firstRow="1" w:lastRow="0" w:firstColumn="1" w:lastColumn="0" w:noHBand="0" w:noVBand="1"/>
      </w:tblPr>
      <w:tblGrid>
        <w:gridCol w:w="9628"/>
      </w:tblGrid>
      <w:tr w:rsidR="00D163E2" w:rsidRPr="004D4A14" w14:paraId="140EEFF0" w14:textId="77777777" w:rsidTr="007A4608">
        <w:tc>
          <w:tcPr>
            <w:tcW w:w="9854" w:type="dxa"/>
          </w:tcPr>
          <w:p w14:paraId="70B2BD24" w14:textId="77777777" w:rsidR="00D163E2" w:rsidRPr="004D4A14" w:rsidRDefault="00D163E2" w:rsidP="00D163E2">
            <w:pPr>
              <w:spacing w:before="60" w:after="60" w:line="276" w:lineRule="auto"/>
              <w:jc w:val="both"/>
              <w:rPr>
                <w:rFonts w:ascii="Times New Roman" w:eastAsia="Times New Roman" w:hAnsi="Times New Roman" w:cs="Times New Roman"/>
                <w:i/>
                <w:iCs/>
                <w:color w:val="000000" w:themeColor="text1"/>
                <w:sz w:val="24"/>
                <w:szCs w:val="24"/>
              </w:rPr>
            </w:pPr>
            <w:r w:rsidRPr="004D4A14">
              <w:rPr>
                <w:rFonts w:ascii="Times New Roman" w:eastAsia="Times New Roman" w:hAnsi="Times New Roman" w:cs="Times New Roman"/>
                <w:color w:val="000000" w:themeColor="text1"/>
                <w:sz w:val="24"/>
                <w:szCs w:val="24"/>
              </w:rPr>
              <w:t>Visa Lietuva.</w:t>
            </w:r>
          </w:p>
        </w:tc>
      </w:tr>
    </w:tbl>
    <w:p w14:paraId="1C17865C" w14:textId="77777777" w:rsidR="00D163E2" w:rsidRPr="004D4A14" w:rsidRDefault="00D163E2" w:rsidP="00D163E2">
      <w:pPr>
        <w:tabs>
          <w:tab w:val="center" w:pos="4819"/>
          <w:tab w:val="right" w:pos="9638"/>
        </w:tabs>
        <w:spacing w:before="120" w:after="120" w:line="240" w:lineRule="auto"/>
        <w:rPr>
          <w:rFonts w:cs="Times New Roman"/>
          <w:b/>
          <w:i/>
          <w:color w:val="1F497D" w:themeColor="text2"/>
          <w:szCs w:val="24"/>
        </w:rPr>
      </w:pPr>
      <w:r w:rsidRPr="004D4A14">
        <w:rPr>
          <w:rFonts w:cs="Times New Roman"/>
          <w:b/>
          <w:i/>
          <w:color w:val="1F497D" w:themeColor="text2"/>
          <w:szCs w:val="24"/>
        </w:rPr>
        <w:t>Tarpregioniniai, tarp sienų ir tarpvalstybiniai veiksmai</w:t>
      </w:r>
    </w:p>
    <w:tbl>
      <w:tblPr>
        <w:tblStyle w:val="Lentelstinklelis2"/>
        <w:tblW w:w="0" w:type="auto"/>
        <w:tblLook w:val="04A0" w:firstRow="1" w:lastRow="0" w:firstColumn="1" w:lastColumn="0" w:noHBand="0" w:noVBand="1"/>
      </w:tblPr>
      <w:tblGrid>
        <w:gridCol w:w="9628"/>
      </w:tblGrid>
      <w:tr w:rsidR="00D163E2" w:rsidRPr="004D4A14" w14:paraId="47CAB4AB" w14:textId="77777777" w:rsidTr="007A4608">
        <w:tc>
          <w:tcPr>
            <w:tcW w:w="9854" w:type="dxa"/>
          </w:tcPr>
          <w:p w14:paraId="4D8A256D" w14:textId="77777777" w:rsidR="00D163E2" w:rsidRPr="004D4A14" w:rsidRDefault="00D163E2" w:rsidP="00D163E2">
            <w:pPr>
              <w:spacing w:before="120" w:after="120"/>
              <w:jc w:val="both"/>
              <w:rPr>
                <w:rFonts w:ascii="Times New Roman" w:hAnsi="Times New Roman" w:cs="Times New Roman"/>
                <w:sz w:val="24"/>
                <w:szCs w:val="24"/>
              </w:rPr>
            </w:pPr>
            <w:r w:rsidRPr="004D4A14">
              <w:rPr>
                <w:rFonts w:ascii="Times New Roman" w:hAnsi="Times New Roman" w:cs="Times New Roman"/>
              </w:rPr>
              <w:t xml:space="preserve">Atspari geriamojo vandens tiekimo infrastruktūra ir </w:t>
            </w:r>
            <w:r w:rsidRPr="004D4A14">
              <w:rPr>
                <w:rFonts w:ascii="Times New Roman" w:eastAsia="Times New Roman" w:hAnsi="Times New Roman" w:cs="Times New Roman"/>
              </w:rPr>
              <w:t>viešųjų vandens tiekėjų ir nuotekų tvarkytojų valdymo centrų</w:t>
            </w:r>
            <w:r w:rsidRPr="004D4A14">
              <w:rPr>
                <w:rFonts w:ascii="Times New Roman" w:hAnsi="Times New Roman" w:cs="Times New Roman"/>
              </w:rPr>
              <w:t xml:space="preserve"> apsauga užtikrina neigiamų padarinių prevenciją Baltijos jūrai.</w:t>
            </w:r>
          </w:p>
        </w:tc>
      </w:tr>
    </w:tbl>
    <w:p w14:paraId="4681D771" w14:textId="77777777" w:rsidR="00D163E2" w:rsidRPr="004D4A14" w:rsidRDefault="00D163E2" w:rsidP="00D163E2">
      <w:pPr>
        <w:tabs>
          <w:tab w:val="center" w:pos="4819"/>
          <w:tab w:val="right" w:pos="9638"/>
        </w:tabs>
        <w:spacing w:before="120" w:after="120" w:line="240" w:lineRule="auto"/>
        <w:rPr>
          <w:rFonts w:cs="Times New Roman"/>
          <w:b/>
          <w:i/>
          <w:color w:val="1F497D" w:themeColor="text2"/>
        </w:rPr>
      </w:pPr>
      <w:r w:rsidRPr="004D4A14">
        <w:rPr>
          <w:rFonts w:cs="Times New Roman"/>
          <w:b/>
          <w:i/>
          <w:color w:val="1F497D" w:themeColor="text2"/>
        </w:rPr>
        <w:t>Planuojamas finansinių priemonių naudojimas</w:t>
      </w:r>
    </w:p>
    <w:tbl>
      <w:tblPr>
        <w:tblStyle w:val="Lentelstinklelis2"/>
        <w:tblW w:w="0" w:type="auto"/>
        <w:tblLook w:val="04A0" w:firstRow="1" w:lastRow="0" w:firstColumn="1" w:lastColumn="0" w:noHBand="0" w:noVBand="1"/>
      </w:tblPr>
      <w:tblGrid>
        <w:gridCol w:w="9628"/>
      </w:tblGrid>
      <w:tr w:rsidR="00D163E2" w:rsidRPr="004D4A14" w14:paraId="0146748A" w14:textId="77777777" w:rsidTr="007A4608">
        <w:tc>
          <w:tcPr>
            <w:tcW w:w="9854" w:type="dxa"/>
          </w:tcPr>
          <w:p w14:paraId="7E32E349" w14:textId="77777777" w:rsidR="00D163E2" w:rsidRPr="004D4A14" w:rsidRDefault="00D163E2" w:rsidP="00D163E2">
            <w:pPr>
              <w:spacing w:before="120" w:after="120" w:line="276" w:lineRule="auto"/>
              <w:jc w:val="both"/>
              <w:rPr>
                <w:rFonts w:ascii="Times New Roman" w:eastAsia="Times New Roman" w:hAnsi="Times New Roman" w:cs="Times New Roman"/>
                <w:sz w:val="24"/>
                <w:szCs w:val="24"/>
              </w:rPr>
            </w:pPr>
            <w:r w:rsidRPr="004D4A14">
              <w:rPr>
                <w:rFonts w:ascii="Times New Roman" w:eastAsia="Times New Roman" w:hAnsi="Times New Roman" w:cs="Times New Roman"/>
                <w:color w:val="000000" w:themeColor="text1"/>
                <w:sz w:val="24"/>
                <w:szCs w:val="24"/>
              </w:rPr>
              <w:t>–</w:t>
            </w:r>
          </w:p>
        </w:tc>
      </w:tr>
    </w:tbl>
    <w:p w14:paraId="06F17FEB" w14:textId="77777777" w:rsidR="00D163E2" w:rsidRPr="004D4A14" w:rsidRDefault="00D163E2" w:rsidP="00D163E2">
      <w:pPr>
        <w:tabs>
          <w:tab w:val="center" w:pos="4819"/>
          <w:tab w:val="right" w:pos="9638"/>
        </w:tabs>
        <w:spacing w:before="120" w:after="120" w:line="240" w:lineRule="auto"/>
        <w:rPr>
          <w:rFonts w:cs="Times New Roman"/>
          <w:b/>
          <w:i/>
          <w:color w:val="1F497D" w:themeColor="text2"/>
        </w:rPr>
      </w:pPr>
      <w:r w:rsidRPr="004D4A14">
        <w:rPr>
          <w:rFonts w:cs="Times New Roman"/>
          <w:b/>
          <w:i/>
          <w:color w:val="1F497D" w:themeColor="text2"/>
        </w:rPr>
        <w:t>Rodikliai</w:t>
      </w:r>
    </w:p>
    <w:p w14:paraId="79C50D2C" w14:textId="77777777" w:rsidR="00D163E2" w:rsidRPr="004D4A14" w:rsidRDefault="00D163E2" w:rsidP="00D163E2">
      <w:pPr>
        <w:spacing w:before="240" w:after="0" w:line="240" w:lineRule="auto"/>
        <w:jc w:val="both"/>
        <w:rPr>
          <w:rFonts w:cs="Times New Roman"/>
          <w:b/>
          <w:sz w:val="22"/>
        </w:rPr>
      </w:pPr>
      <w:r w:rsidRPr="004D4A14">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5"/>
        <w:gridCol w:w="967"/>
        <w:gridCol w:w="830"/>
        <w:gridCol w:w="965"/>
        <w:gridCol w:w="1239"/>
        <w:gridCol w:w="1789"/>
        <w:gridCol w:w="974"/>
        <w:gridCol w:w="967"/>
        <w:gridCol w:w="922"/>
      </w:tblGrid>
      <w:tr w:rsidR="00D163E2" w:rsidRPr="004D4A14" w14:paraId="43BCF532" w14:textId="77777777" w:rsidTr="007A4608">
        <w:trPr>
          <w:trHeight w:val="1043"/>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7973C2C" w14:textId="77777777" w:rsidR="00D163E2" w:rsidRPr="004D4A14" w:rsidRDefault="00D163E2" w:rsidP="00D163E2">
            <w:pPr>
              <w:spacing w:after="0" w:line="240" w:lineRule="auto"/>
              <w:jc w:val="center"/>
              <w:rPr>
                <w:rFonts w:cs="Times New Roman"/>
                <w:b/>
                <w:noProof/>
                <w:sz w:val="16"/>
                <w:szCs w:val="16"/>
              </w:rPr>
            </w:pPr>
            <w:r w:rsidRPr="004D4A14">
              <w:rPr>
                <w:rFonts w:cs="Times New Roman"/>
                <w:b/>
                <w:noProof/>
                <w:sz w:val="16"/>
                <w:szCs w:val="16"/>
              </w:rPr>
              <w:t>Prioritetas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FEC2480" w14:textId="77777777" w:rsidR="00D163E2" w:rsidRPr="004D4A14" w:rsidRDefault="00D163E2" w:rsidP="00D163E2">
            <w:pPr>
              <w:spacing w:after="0" w:line="240" w:lineRule="auto"/>
              <w:jc w:val="center"/>
              <w:rPr>
                <w:rFonts w:cs="Times New Roman"/>
                <w:b/>
                <w:noProof/>
                <w:sz w:val="16"/>
                <w:szCs w:val="16"/>
              </w:rPr>
            </w:pPr>
            <w:r w:rsidRPr="004D4A14">
              <w:rPr>
                <w:rFonts w:cs="Times New Roman"/>
                <w:b/>
                <w:noProof/>
                <w:sz w:val="16"/>
                <w:szCs w:val="16"/>
              </w:rPr>
              <w:t>Konkretus uždavinys</w:t>
            </w:r>
          </w:p>
        </w:tc>
        <w:tc>
          <w:tcPr>
            <w:tcW w:w="4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1410509" w14:textId="77777777" w:rsidR="00D163E2" w:rsidRPr="004D4A14" w:rsidRDefault="00D163E2" w:rsidP="00D163E2">
            <w:pPr>
              <w:spacing w:after="0" w:line="240" w:lineRule="auto"/>
              <w:jc w:val="center"/>
              <w:rPr>
                <w:rFonts w:cs="Times New Roman"/>
                <w:b/>
                <w:noProof/>
                <w:sz w:val="16"/>
                <w:szCs w:val="16"/>
              </w:rPr>
            </w:pPr>
            <w:r w:rsidRPr="004D4A14">
              <w:rPr>
                <w:rFonts w:cs="Times New Roman"/>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66B0F7F" w14:textId="77777777" w:rsidR="00D163E2" w:rsidRPr="004D4A14" w:rsidRDefault="00D163E2" w:rsidP="00D163E2">
            <w:pPr>
              <w:spacing w:after="0" w:line="240" w:lineRule="auto"/>
              <w:jc w:val="center"/>
              <w:rPr>
                <w:rFonts w:cs="Times New Roman"/>
                <w:b/>
                <w:noProof/>
                <w:sz w:val="16"/>
                <w:szCs w:val="16"/>
              </w:rPr>
            </w:pPr>
            <w:r w:rsidRPr="004D4A14">
              <w:rPr>
                <w:rFonts w:cs="Times New Roman"/>
                <w:b/>
                <w:noProof/>
                <w:sz w:val="16"/>
                <w:szCs w:val="16"/>
              </w:rPr>
              <w:t>Regiono kategorija</w:t>
            </w:r>
          </w:p>
        </w:tc>
        <w:tc>
          <w:tcPr>
            <w:tcW w:w="64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43E6431" w14:textId="77777777" w:rsidR="00D163E2" w:rsidRPr="004D4A14" w:rsidRDefault="00D163E2" w:rsidP="00D163E2">
            <w:pPr>
              <w:spacing w:after="0" w:line="240" w:lineRule="auto"/>
              <w:jc w:val="center"/>
              <w:rPr>
                <w:rFonts w:cs="Times New Roman"/>
                <w:b/>
                <w:noProof/>
                <w:sz w:val="16"/>
                <w:szCs w:val="16"/>
              </w:rPr>
            </w:pPr>
            <w:r w:rsidRPr="004D4A14">
              <w:rPr>
                <w:rFonts w:cs="Times New Roman"/>
                <w:b/>
                <w:noProof/>
                <w:sz w:val="16"/>
                <w:szCs w:val="16"/>
              </w:rPr>
              <w:t>Identifikavimo numeris</w:t>
            </w:r>
          </w:p>
        </w:tc>
        <w:tc>
          <w:tcPr>
            <w:tcW w:w="93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8965263" w14:textId="77777777" w:rsidR="00D163E2" w:rsidRPr="004D4A14" w:rsidRDefault="00D163E2" w:rsidP="00D163E2">
            <w:pPr>
              <w:spacing w:after="0" w:line="240" w:lineRule="auto"/>
              <w:jc w:val="center"/>
              <w:rPr>
                <w:rFonts w:cs="Times New Roman"/>
                <w:b/>
                <w:noProof/>
                <w:sz w:val="16"/>
                <w:szCs w:val="16"/>
              </w:rPr>
            </w:pPr>
            <w:r w:rsidRPr="004D4A14">
              <w:rPr>
                <w:rFonts w:cs="Times New Roman"/>
                <w:b/>
                <w:noProof/>
                <w:sz w:val="16"/>
                <w:szCs w:val="16"/>
              </w:rPr>
              <w:t>Rodiklis</w:t>
            </w:r>
          </w:p>
        </w:tc>
        <w:tc>
          <w:tcPr>
            <w:tcW w:w="50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9E38EB5" w14:textId="77777777" w:rsidR="00D163E2" w:rsidRPr="004D4A14" w:rsidRDefault="00D163E2" w:rsidP="00D163E2">
            <w:pPr>
              <w:spacing w:after="0" w:line="240" w:lineRule="auto"/>
              <w:jc w:val="center"/>
              <w:rPr>
                <w:rFonts w:cs="Times New Roman"/>
                <w:b/>
                <w:noProof/>
                <w:sz w:val="16"/>
                <w:szCs w:val="16"/>
              </w:rPr>
            </w:pPr>
            <w:r w:rsidRPr="004D4A14">
              <w:rPr>
                <w:rFonts w:cs="Times New Roman"/>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E6A16D" w14:textId="77777777" w:rsidR="00D163E2" w:rsidRPr="004D4A14" w:rsidRDefault="00D163E2" w:rsidP="00D163E2">
            <w:pPr>
              <w:spacing w:after="0" w:line="240" w:lineRule="auto"/>
              <w:jc w:val="center"/>
              <w:rPr>
                <w:rFonts w:cs="Times New Roman"/>
                <w:b/>
                <w:noProof/>
                <w:sz w:val="16"/>
                <w:szCs w:val="16"/>
              </w:rPr>
            </w:pPr>
            <w:r w:rsidRPr="004D4A14">
              <w:rPr>
                <w:rFonts w:cs="Times New Roman"/>
                <w:b/>
                <w:noProof/>
                <w:sz w:val="16"/>
                <w:szCs w:val="16"/>
              </w:rPr>
              <w:t>Tarpinė reikšmė (2024 m.)</w:t>
            </w:r>
          </w:p>
        </w:tc>
        <w:tc>
          <w:tcPr>
            <w:tcW w:w="48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FCBAD1C" w14:textId="77777777" w:rsidR="00D163E2" w:rsidRPr="004D4A14" w:rsidRDefault="00D163E2" w:rsidP="00D163E2">
            <w:pPr>
              <w:spacing w:after="0" w:line="240" w:lineRule="auto"/>
              <w:jc w:val="center"/>
              <w:rPr>
                <w:rFonts w:cs="Times New Roman"/>
                <w:b/>
                <w:noProof/>
                <w:sz w:val="16"/>
                <w:szCs w:val="16"/>
              </w:rPr>
            </w:pPr>
            <w:r w:rsidRPr="004D4A14">
              <w:rPr>
                <w:rFonts w:cs="Times New Roman"/>
                <w:b/>
                <w:noProof/>
                <w:sz w:val="16"/>
                <w:szCs w:val="16"/>
              </w:rPr>
              <w:t>Siektina reikšmė (2029 m.)</w:t>
            </w:r>
          </w:p>
        </w:tc>
      </w:tr>
      <w:tr w:rsidR="00D163E2" w:rsidRPr="004D4A14" w14:paraId="71C86588" w14:textId="77777777" w:rsidTr="007A4608">
        <w:trPr>
          <w:trHeight w:val="300"/>
        </w:trPr>
        <w:tc>
          <w:tcPr>
            <w:tcW w:w="497" w:type="pct"/>
            <w:tcBorders>
              <w:top w:val="single" w:sz="12" w:space="0" w:color="auto"/>
            </w:tcBorders>
          </w:tcPr>
          <w:p w14:paraId="431759E7" w14:textId="77777777" w:rsidR="00D163E2" w:rsidRPr="004D4A14" w:rsidRDefault="00D163E2" w:rsidP="00D163E2">
            <w:pPr>
              <w:spacing w:after="0" w:line="240" w:lineRule="auto"/>
              <w:jc w:val="both"/>
              <w:rPr>
                <w:rFonts w:cs="Times New Roman"/>
                <w:noProof/>
                <w:sz w:val="16"/>
                <w:szCs w:val="16"/>
              </w:rPr>
            </w:pPr>
            <w:r w:rsidRPr="004D4A14">
              <w:rPr>
                <w:rFonts w:cs="Times New Roman"/>
                <w:noProof/>
                <w:sz w:val="16"/>
                <w:szCs w:val="16"/>
              </w:rPr>
              <w:t>12</w:t>
            </w:r>
          </w:p>
        </w:tc>
        <w:tc>
          <w:tcPr>
            <w:tcW w:w="503" w:type="pct"/>
            <w:tcBorders>
              <w:top w:val="single" w:sz="12" w:space="0" w:color="auto"/>
            </w:tcBorders>
          </w:tcPr>
          <w:p w14:paraId="71E0CB7B" w14:textId="77777777" w:rsidR="00D163E2" w:rsidRPr="004D4A14" w:rsidRDefault="00D163E2" w:rsidP="00D163E2">
            <w:pPr>
              <w:spacing w:after="0" w:line="240" w:lineRule="auto"/>
              <w:jc w:val="both"/>
              <w:rPr>
                <w:rFonts w:cs="Times New Roman"/>
                <w:noProof/>
                <w:sz w:val="16"/>
                <w:szCs w:val="16"/>
              </w:rPr>
            </w:pPr>
            <w:r w:rsidRPr="004D4A14">
              <w:rPr>
                <w:rFonts w:cs="Times New Roman"/>
                <w:noProof/>
                <w:sz w:val="16"/>
                <w:szCs w:val="16"/>
              </w:rPr>
              <w:t>12.1</w:t>
            </w:r>
          </w:p>
        </w:tc>
        <w:tc>
          <w:tcPr>
            <w:tcW w:w="432" w:type="pct"/>
            <w:tcBorders>
              <w:top w:val="single" w:sz="12" w:space="0" w:color="auto"/>
            </w:tcBorders>
          </w:tcPr>
          <w:p w14:paraId="57EB2259" w14:textId="77777777" w:rsidR="00D163E2" w:rsidRPr="004D4A14" w:rsidRDefault="00D163E2" w:rsidP="00D163E2">
            <w:pPr>
              <w:spacing w:after="0" w:line="240" w:lineRule="auto"/>
              <w:jc w:val="both"/>
              <w:rPr>
                <w:rFonts w:cs="Times New Roman"/>
                <w:noProof/>
                <w:sz w:val="16"/>
                <w:szCs w:val="16"/>
              </w:rPr>
            </w:pPr>
            <w:r w:rsidRPr="004D4A14">
              <w:rPr>
                <w:rFonts w:cs="Times New Roman"/>
                <w:noProof/>
                <w:sz w:val="16"/>
                <w:szCs w:val="16"/>
              </w:rPr>
              <w:t>SaF</w:t>
            </w:r>
          </w:p>
        </w:tc>
        <w:tc>
          <w:tcPr>
            <w:tcW w:w="502" w:type="pct"/>
            <w:tcBorders>
              <w:top w:val="single" w:sz="12" w:space="0" w:color="auto"/>
            </w:tcBorders>
          </w:tcPr>
          <w:p w14:paraId="72918320" w14:textId="77777777" w:rsidR="00D163E2" w:rsidRPr="004D4A14" w:rsidRDefault="00D163E2" w:rsidP="00D163E2">
            <w:pPr>
              <w:spacing w:after="0" w:line="240" w:lineRule="auto"/>
              <w:jc w:val="both"/>
              <w:rPr>
                <w:rFonts w:eastAsia="Times New Roman" w:cs="Times New Roman"/>
                <w:noProof/>
                <w:sz w:val="16"/>
                <w:szCs w:val="16"/>
              </w:rPr>
            </w:pPr>
            <w:r w:rsidRPr="004D4A14">
              <w:rPr>
                <w:rFonts w:eastAsia="Times New Roman" w:cs="Times New Roman"/>
                <w:noProof/>
                <w:color w:val="000000" w:themeColor="text1"/>
                <w:sz w:val="16"/>
                <w:szCs w:val="16"/>
              </w:rPr>
              <w:t>Visa Lietuva</w:t>
            </w:r>
          </w:p>
          <w:p w14:paraId="536057D0" w14:textId="77777777" w:rsidR="00D163E2" w:rsidRPr="004D4A14" w:rsidRDefault="00D163E2" w:rsidP="00D163E2">
            <w:pPr>
              <w:spacing w:after="0" w:line="240" w:lineRule="auto"/>
              <w:jc w:val="both"/>
              <w:rPr>
                <w:rFonts w:cs="Times New Roman"/>
                <w:noProof/>
                <w:sz w:val="16"/>
                <w:szCs w:val="16"/>
              </w:rPr>
            </w:pPr>
          </w:p>
        </w:tc>
        <w:tc>
          <w:tcPr>
            <w:tcW w:w="645" w:type="pct"/>
            <w:tcBorders>
              <w:top w:val="single" w:sz="12" w:space="0" w:color="auto"/>
              <w:bottom w:val="single" w:sz="4" w:space="0" w:color="auto"/>
            </w:tcBorders>
          </w:tcPr>
          <w:p w14:paraId="3215A3B3" w14:textId="77777777" w:rsidR="00D163E2" w:rsidRPr="004D4A14" w:rsidRDefault="00D163E2" w:rsidP="00D163E2">
            <w:pPr>
              <w:spacing w:line="240" w:lineRule="auto"/>
              <w:jc w:val="both"/>
              <w:rPr>
                <w:rFonts w:eastAsia="Calibri" w:cs="Times New Roman"/>
                <w:sz w:val="16"/>
                <w:szCs w:val="16"/>
                <w:lang w:eastAsia="en-GB" w:bidi="lt-LT"/>
              </w:rPr>
            </w:pPr>
            <w:r w:rsidRPr="004D4A14">
              <w:rPr>
                <w:sz w:val="16"/>
                <w:szCs w:val="16"/>
              </w:rPr>
              <w:t>Specialusis</w:t>
            </w:r>
          </w:p>
        </w:tc>
        <w:tc>
          <w:tcPr>
            <w:tcW w:w="931" w:type="pct"/>
            <w:tcBorders>
              <w:top w:val="single" w:sz="12" w:space="0" w:color="auto"/>
              <w:bottom w:val="single" w:sz="4" w:space="0" w:color="auto"/>
            </w:tcBorders>
          </w:tcPr>
          <w:p w14:paraId="0335DB67" w14:textId="77777777" w:rsidR="00D163E2" w:rsidRPr="004D4A14" w:rsidRDefault="00D163E2" w:rsidP="00D163E2">
            <w:pPr>
              <w:autoSpaceDE w:val="0"/>
              <w:autoSpaceDN w:val="0"/>
              <w:adjustRightInd w:val="0"/>
              <w:spacing w:after="0" w:line="240" w:lineRule="auto"/>
              <w:rPr>
                <w:rFonts w:eastAsia="Times New Roman" w:cs="Times New Roman"/>
                <w:color w:val="000000" w:themeColor="text1"/>
                <w:sz w:val="16"/>
                <w:szCs w:val="16"/>
              </w:rPr>
            </w:pPr>
            <w:r w:rsidRPr="004D4A14">
              <w:rPr>
                <w:rFonts w:eastAsia="Times New Roman" w:cs="Times New Roman"/>
                <w:color w:val="000000" w:themeColor="text1"/>
                <w:sz w:val="16"/>
                <w:szCs w:val="16"/>
              </w:rPr>
              <w:t>Įdiegtos vandenviečių, viešųjų vandens tiekėjų, nuotekų tvarkytojų valdymo centrų apsaugos priemonės</w:t>
            </w:r>
          </w:p>
        </w:tc>
        <w:tc>
          <w:tcPr>
            <w:tcW w:w="507" w:type="pct"/>
            <w:tcBorders>
              <w:top w:val="single" w:sz="12" w:space="0" w:color="auto"/>
              <w:bottom w:val="single" w:sz="4" w:space="0" w:color="auto"/>
            </w:tcBorders>
          </w:tcPr>
          <w:p w14:paraId="442EBBEF" w14:textId="77777777" w:rsidR="00D163E2" w:rsidRPr="004D4A14" w:rsidRDefault="00D163E2" w:rsidP="00D163E2">
            <w:pPr>
              <w:spacing w:line="240" w:lineRule="auto"/>
              <w:jc w:val="both"/>
              <w:rPr>
                <w:rFonts w:eastAsia="Times New Roman" w:cs="Times New Roman"/>
                <w:sz w:val="16"/>
                <w:szCs w:val="16"/>
                <w:lang w:eastAsia="lt-LT"/>
              </w:rPr>
            </w:pPr>
            <w:r w:rsidRPr="004D4A14">
              <w:rPr>
                <w:rFonts w:eastAsia="Times New Roman" w:cs="Times New Roman"/>
                <w:sz w:val="16"/>
                <w:szCs w:val="16"/>
                <w:lang w:eastAsia="lt-LT"/>
              </w:rPr>
              <w:t>Skaičius</w:t>
            </w:r>
          </w:p>
          <w:p w14:paraId="4FEC9E89" w14:textId="77777777" w:rsidR="00D163E2" w:rsidRPr="004D4A14" w:rsidRDefault="00D163E2" w:rsidP="00D163E2">
            <w:pPr>
              <w:spacing w:line="240" w:lineRule="auto"/>
              <w:jc w:val="both"/>
              <w:rPr>
                <w:rFonts w:eastAsia="Times New Roman" w:cs="Times New Roman"/>
                <w:sz w:val="16"/>
                <w:szCs w:val="16"/>
                <w:lang w:eastAsia="lt-LT"/>
              </w:rPr>
            </w:pPr>
          </w:p>
        </w:tc>
        <w:tc>
          <w:tcPr>
            <w:tcW w:w="503" w:type="pct"/>
            <w:tcBorders>
              <w:top w:val="single" w:sz="12" w:space="0" w:color="auto"/>
              <w:bottom w:val="single" w:sz="4" w:space="0" w:color="auto"/>
            </w:tcBorders>
          </w:tcPr>
          <w:p w14:paraId="438ACF07" w14:textId="77777777" w:rsidR="00D163E2" w:rsidRPr="004D4A14" w:rsidRDefault="00D163E2" w:rsidP="00D163E2">
            <w:pPr>
              <w:spacing w:line="240" w:lineRule="auto"/>
              <w:jc w:val="center"/>
              <w:rPr>
                <w:rFonts w:cs="Times New Roman"/>
                <w:noProof/>
                <w:sz w:val="16"/>
                <w:szCs w:val="16"/>
              </w:rPr>
            </w:pPr>
            <w:r w:rsidRPr="004D4A14">
              <w:rPr>
                <w:rFonts w:cs="Times New Roman"/>
                <w:noProof/>
                <w:sz w:val="16"/>
                <w:szCs w:val="16"/>
              </w:rPr>
              <w:t>0</w:t>
            </w:r>
          </w:p>
        </w:tc>
        <w:tc>
          <w:tcPr>
            <w:tcW w:w="480" w:type="pct"/>
            <w:tcBorders>
              <w:top w:val="single" w:sz="12" w:space="0" w:color="auto"/>
              <w:bottom w:val="single" w:sz="4" w:space="0" w:color="auto"/>
            </w:tcBorders>
          </w:tcPr>
          <w:p w14:paraId="3F35108A" w14:textId="77777777" w:rsidR="00D163E2" w:rsidRPr="004D4A14" w:rsidRDefault="00D163E2" w:rsidP="00D163E2">
            <w:pPr>
              <w:spacing w:line="240" w:lineRule="auto"/>
              <w:jc w:val="center"/>
              <w:rPr>
                <w:rFonts w:cs="Times New Roman"/>
                <w:noProof/>
                <w:sz w:val="16"/>
                <w:szCs w:val="16"/>
              </w:rPr>
            </w:pPr>
            <w:r w:rsidRPr="004D4A14">
              <w:rPr>
                <w:rFonts w:cs="Times New Roman"/>
                <w:noProof/>
                <w:sz w:val="16"/>
                <w:szCs w:val="16"/>
              </w:rPr>
              <w:t>90</w:t>
            </w:r>
          </w:p>
        </w:tc>
      </w:tr>
    </w:tbl>
    <w:p w14:paraId="2FEC05B9" w14:textId="77777777" w:rsidR="00D163E2" w:rsidRPr="004D4A14" w:rsidRDefault="00D163E2" w:rsidP="00D163E2">
      <w:pPr>
        <w:spacing w:after="0" w:line="240" w:lineRule="auto"/>
        <w:jc w:val="both"/>
        <w:rPr>
          <w:rFonts w:cs="Times New Roman"/>
          <w:b/>
          <w:sz w:val="22"/>
        </w:rPr>
        <w:sectPr w:rsidR="00D163E2" w:rsidRPr="004D4A14" w:rsidSect="00D163E2">
          <w:headerReference w:type="default" r:id="rId10"/>
          <w:footerReference w:type="first" r:id="rId11"/>
          <w:pgSz w:w="11906" w:h="16838"/>
          <w:pgMar w:top="1276" w:right="567" w:bottom="1134" w:left="1701" w:header="567" w:footer="567" w:gutter="0"/>
          <w:cols w:space="1296"/>
          <w:docGrid w:linePitch="360"/>
        </w:sectPr>
      </w:pPr>
    </w:p>
    <w:p w14:paraId="0CA452AB" w14:textId="77777777" w:rsidR="00D163E2" w:rsidRPr="004D4A14" w:rsidRDefault="00D163E2" w:rsidP="00D163E2">
      <w:pPr>
        <w:spacing w:after="0" w:line="240" w:lineRule="auto"/>
        <w:jc w:val="both"/>
        <w:rPr>
          <w:rFonts w:cs="Times New Roman"/>
          <w:b/>
          <w:sz w:val="22"/>
        </w:rPr>
      </w:pPr>
      <w:r w:rsidRPr="004D4A14">
        <w:rPr>
          <w:rFonts w:cs="Times New Roman"/>
          <w:b/>
          <w:sz w:val="22"/>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976"/>
        <w:gridCol w:w="836"/>
        <w:gridCol w:w="975"/>
        <w:gridCol w:w="1255"/>
        <w:gridCol w:w="3903"/>
        <w:gridCol w:w="975"/>
        <w:gridCol w:w="975"/>
        <w:gridCol w:w="1115"/>
        <w:gridCol w:w="975"/>
        <w:gridCol w:w="907"/>
        <w:gridCol w:w="1029"/>
      </w:tblGrid>
      <w:tr w:rsidR="00D163E2" w:rsidRPr="004D4A14" w14:paraId="5DFAE7B1" w14:textId="77777777" w:rsidTr="007A4608">
        <w:trPr>
          <w:trHeight w:val="1141"/>
          <w:tblHeader/>
        </w:trPr>
        <w:tc>
          <w:tcPr>
            <w:tcW w:w="31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704100A" w14:textId="77777777" w:rsidR="00D163E2" w:rsidRPr="004D4A14" w:rsidRDefault="00D163E2" w:rsidP="00D163E2">
            <w:pPr>
              <w:spacing w:after="0" w:line="240" w:lineRule="auto"/>
              <w:jc w:val="center"/>
              <w:rPr>
                <w:rFonts w:eastAsia="Calibri" w:cs="Times New Roman"/>
                <w:b/>
                <w:noProof/>
                <w:sz w:val="16"/>
                <w:szCs w:val="16"/>
              </w:rPr>
            </w:pPr>
            <w:r w:rsidRPr="004D4A14">
              <w:rPr>
                <w:rFonts w:eastAsia="Calibri"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E7FFAA" w14:textId="77777777" w:rsidR="00D163E2" w:rsidRPr="004D4A14" w:rsidRDefault="00D163E2" w:rsidP="00D163E2">
            <w:pPr>
              <w:spacing w:after="0" w:line="240" w:lineRule="auto"/>
              <w:jc w:val="center"/>
              <w:rPr>
                <w:rFonts w:eastAsia="Calibri" w:cs="Times New Roman"/>
                <w:b/>
                <w:noProof/>
                <w:sz w:val="16"/>
                <w:szCs w:val="16"/>
              </w:rPr>
            </w:pPr>
            <w:r w:rsidRPr="004D4A14">
              <w:rPr>
                <w:rFonts w:eastAsia="Calibri"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C47E0CC" w14:textId="77777777" w:rsidR="00D163E2" w:rsidRPr="004D4A14" w:rsidRDefault="00D163E2" w:rsidP="00D163E2">
            <w:pPr>
              <w:spacing w:after="0" w:line="240" w:lineRule="auto"/>
              <w:jc w:val="center"/>
              <w:rPr>
                <w:rFonts w:eastAsia="Calibri" w:cs="Times New Roman"/>
                <w:b/>
                <w:noProof/>
                <w:sz w:val="16"/>
                <w:szCs w:val="16"/>
              </w:rPr>
            </w:pPr>
            <w:r w:rsidRPr="004D4A14">
              <w:rPr>
                <w:rFonts w:eastAsia="Calibri"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87A2E3" w14:textId="77777777" w:rsidR="00D163E2" w:rsidRPr="004D4A14" w:rsidRDefault="00D163E2" w:rsidP="00D163E2">
            <w:pPr>
              <w:spacing w:after="0" w:line="240" w:lineRule="auto"/>
              <w:jc w:val="center"/>
              <w:rPr>
                <w:rFonts w:eastAsia="Calibri" w:cs="Times New Roman"/>
                <w:b/>
                <w:noProof/>
                <w:sz w:val="16"/>
                <w:szCs w:val="16"/>
              </w:rPr>
            </w:pPr>
            <w:r w:rsidRPr="004D4A14">
              <w:rPr>
                <w:rFonts w:eastAsia="Calibri"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A80C1D2" w14:textId="77777777" w:rsidR="00D163E2" w:rsidRPr="004D4A14" w:rsidRDefault="00D163E2" w:rsidP="00D163E2">
            <w:pPr>
              <w:spacing w:after="0" w:line="240" w:lineRule="auto"/>
              <w:jc w:val="center"/>
              <w:rPr>
                <w:rFonts w:eastAsia="Calibri" w:cs="Times New Roman"/>
                <w:b/>
                <w:noProof/>
                <w:sz w:val="16"/>
                <w:szCs w:val="16"/>
              </w:rPr>
            </w:pPr>
            <w:r w:rsidRPr="004D4A14">
              <w:rPr>
                <w:rFonts w:eastAsia="Calibri" w:cs="Times New Roman"/>
                <w:b/>
                <w:noProof/>
                <w:sz w:val="16"/>
                <w:szCs w:val="16"/>
              </w:rPr>
              <w:t>Identifikavimo numeris</w:t>
            </w:r>
          </w:p>
        </w:tc>
        <w:tc>
          <w:tcPr>
            <w:tcW w:w="131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8986995" w14:textId="77777777" w:rsidR="00D163E2" w:rsidRPr="004D4A14" w:rsidRDefault="00D163E2" w:rsidP="00D163E2">
            <w:pPr>
              <w:spacing w:after="0" w:line="240" w:lineRule="auto"/>
              <w:jc w:val="center"/>
              <w:rPr>
                <w:rFonts w:eastAsia="Calibri" w:cs="Times New Roman"/>
                <w:b/>
                <w:noProof/>
                <w:sz w:val="16"/>
                <w:szCs w:val="16"/>
              </w:rPr>
            </w:pPr>
            <w:r w:rsidRPr="004D4A14">
              <w:rPr>
                <w:rFonts w:eastAsia="Calibri"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A17603C" w14:textId="77777777" w:rsidR="00D163E2" w:rsidRPr="004D4A14" w:rsidRDefault="00D163E2" w:rsidP="00D163E2">
            <w:pPr>
              <w:spacing w:after="0" w:line="240" w:lineRule="auto"/>
              <w:jc w:val="center"/>
              <w:rPr>
                <w:rFonts w:eastAsia="Calibri" w:cs="Times New Roman"/>
                <w:b/>
                <w:noProof/>
                <w:sz w:val="16"/>
                <w:szCs w:val="16"/>
              </w:rPr>
            </w:pPr>
            <w:r w:rsidRPr="004D4A14">
              <w:rPr>
                <w:rFonts w:eastAsia="Calibri" w:cs="Times New Roman"/>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DD38EE0" w14:textId="77777777" w:rsidR="00D163E2" w:rsidRPr="004D4A14" w:rsidRDefault="00D163E2" w:rsidP="00D163E2">
            <w:pPr>
              <w:spacing w:after="0" w:line="240" w:lineRule="auto"/>
              <w:jc w:val="center"/>
              <w:rPr>
                <w:rFonts w:eastAsia="Calibri" w:cs="Times New Roman"/>
                <w:b/>
                <w:noProof/>
                <w:sz w:val="16"/>
                <w:szCs w:val="16"/>
              </w:rPr>
            </w:pPr>
            <w:r w:rsidRPr="004D4A14">
              <w:rPr>
                <w:rFonts w:eastAsia="Calibri"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81D003D" w14:textId="77777777" w:rsidR="00D163E2" w:rsidRPr="004D4A14" w:rsidRDefault="00D163E2" w:rsidP="00D163E2">
            <w:pPr>
              <w:spacing w:after="0" w:line="240" w:lineRule="auto"/>
              <w:jc w:val="center"/>
              <w:rPr>
                <w:rFonts w:eastAsia="Calibri" w:cs="Times New Roman"/>
                <w:b/>
                <w:noProof/>
                <w:sz w:val="16"/>
                <w:szCs w:val="16"/>
              </w:rPr>
            </w:pPr>
            <w:r w:rsidRPr="004D4A14">
              <w:rPr>
                <w:rFonts w:eastAsia="Calibri"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9F0E56" w14:textId="77777777" w:rsidR="00D163E2" w:rsidRPr="004D4A14" w:rsidRDefault="00D163E2" w:rsidP="00D163E2">
            <w:pPr>
              <w:spacing w:after="0" w:line="240" w:lineRule="auto"/>
              <w:jc w:val="center"/>
              <w:rPr>
                <w:rFonts w:eastAsia="Calibri" w:cs="Times New Roman"/>
                <w:b/>
                <w:bCs/>
                <w:noProof/>
                <w:sz w:val="16"/>
                <w:szCs w:val="16"/>
              </w:rPr>
            </w:pPr>
            <w:r w:rsidRPr="004D4A14">
              <w:rPr>
                <w:rFonts w:eastAsia="Calibri" w:cs="Times New Roman"/>
                <w:b/>
                <w:bCs/>
                <w:noProof/>
                <w:sz w:val="16"/>
                <w:szCs w:val="16"/>
              </w:rPr>
              <w:t>Siektina reikšmė (2029 m.)</w:t>
            </w:r>
          </w:p>
        </w:tc>
        <w:tc>
          <w:tcPr>
            <w:tcW w:w="30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FF5BB8D" w14:textId="77777777" w:rsidR="00D163E2" w:rsidRPr="004D4A14" w:rsidRDefault="00D163E2" w:rsidP="00D163E2">
            <w:pPr>
              <w:spacing w:after="0" w:line="240" w:lineRule="auto"/>
              <w:jc w:val="center"/>
              <w:rPr>
                <w:rFonts w:eastAsia="Calibri" w:cs="Times New Roman"/>
                <w:b/>
                <w:noProof/>
                <w:sz w:val="16"/>
                <w:szCs w:val="16"/>
              </w:rPr>
            </w:pPr>
            <w:r w:rsidRPr="004D4A14">
              <w:rPr>
                <w:rFonts w:eastAsia="Calibri" w:cs="Times New Roman"/>
                <w:b/>
                <w:noProof/>
                <w:sz w:val="16"/>
                <w:szCs w:val="16"/>
              </w:rPr>
              <w:t>Duomenų šaltinis</w:t>
            </w:r>
          </w:p>
        </w:tc>
        <w:tc>
          <w:tcPr>
            <w:tcW w:w="34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12906E9" w14:textId="77777777" w:rsidR="00D163E2" w:rsidRPr="004D4A14" w:rsidRDefault="00D163E2" w:rsidP="00D163E2">
            <w:pPr>
              <w:spacing w:after="0" w:line="240" w:lineRule="auto"/>
              <w:jc w:val="center"/>
              <w:rPr>
                <w:rFonts w:eastAsia="Calibri" w:cs="Times New Roman"/>
                <w:b/>
                <w:noProof/>
                <w:sz w:val="16"/>
                <w:szCs w:val="16"/>
              </w:rPr>
            </w:pPr>
            <w:r w:rsidRPr="004D4A14">
              <w:rPr>
                <w:rFonts w:eastAsia="Calibri" w:cs="Times New Roman"/>
                <w:b/>
                <w:noProof/>
                <w:sz w:val="16"/>
                <w:szCs w:val="16"/>
              </w:rPr>
              <w:t>Pastabos</w:t>
            </w:r>
          </w:p>
        </w:tc>
      </w:tr>
      <w:tr w:rsidR="00D163E2" w:rsidRPr="004D4A14" w14:paraId="4395C142" w14:textId="77777777" w:rsidTr="007A4608">
        <w:trPr>
          <w:trHeight w:val="286"/>
        </w:trPr>
        <w:tc>
          <w:tcPr>
            <w:tcW w:w="317" w:type="pct"/>
            <w:tcBorders>
              <w:top w:val="single" w:sz="12" w:space="0" w:color="auto"/>
            </w:tcBorders>
          </w:tcPr>
          <w:p w14:paraId="7D976357" w14:textId="77777777" w:rsidR="00D163E2" w:rsidRPr="004D4A14" w:rsidRDefault="00D163E2" w:rsidP="00D163E2">
            <w:pPr>
              <w:spacing w:after="0" w:line="240" w:lineRule="auto"/>
              <w:jc w:val="both"/>
              <w:rPr>
                <w:rFonts w:eastAsia="Calibri" w:cs="Times New Roman"/>
                <w:noProof/>
                <w:sz w:val="16"/>
                <w:szCs w:val="16"/>
              </w:rPr>
            </w:pPr>
            <w:r w:rsidRPr="004D4A14">
              <w:rPr>
                <w:rFonts w:eastAsia="Calibri" w:cs="Times New Roman"/>
                <w:noProof/>
                <w:sz w:val="16"/>
                <w:szCs w:val="16"/>
              </w:rPr>
              <w:t>12</w:t>
            </w:r>
          </w:p>
        </w:tc>
        <w:tc>
          <w:tcPr>
            <w:tcW w:w="328" w:type="pct"/>
            <w:tcBorders>
              <w:top w:val="single" w:sz="12" w:space="0" w:color="auto"/>
            </w:tcBorders>
          </w:tcPr>
          <w:p w14:paraId="33CAEBFB" w14:textId="77777777" w:rsidR="00D163E2" w:rsidRPr="004D4A14" w:rsidRDefault="00D163E2" w:rsidP="00D163E2">
            <w:pPr>
              <w:spacing w:after="0" w:line="240" w:lineRule="auto"/>
              <w:jc w:val="both"/>
              <w:rPr>
                <w:rFonts w:eastAsia="Calibri" w:cs="Times New Roman"/>
                <w:noProof/>
                <w:sz w:val="16"/>
                <w:szCs w:val="16"/>
              </w:rPr>
            </w:pPr>
            <w:r w:rsidRPr="004D4A14">
              <w:rPr>
                <w:rFonts w:eastAsia="Calibri" w:cs="Times New Roman"/>
                <w:noProof/>
                <w:sz w:val="16"/>
                <w:szCs w:val="16"/>
              </w:rPr>
              <w:t>12.1</w:t>
            </w:r>
          </w:p>
        </w:tc>
        <w:tc>
          <w:tcPr>
            <w:tcW w:w="281" w:type="pct"/>
            <w:tcBorders>
              <w:top w:val="single" w:sz="12" w:space="0" w:color="auto"/>
            </w:tcBorders>
          </w:tcPr>
          <w:p w14:paraId="0ACBBAE7" w14:textId="77777777" w:rsidR="00D163E2" w:rsidRPr="004D4A14" w:rsidRDefault="00D163E2" w:rsidP="00D163E2">
            <w:pPr>
              <w:spacing w:after="0" w:line="240" w:lineRule="auto"/>
              <w:jc w:val="both"/>
              <w:rPr>
                <w:rFonts w:eastAsia="Calibri" w:cs="Times New Roman"/>
                <w:noProof/>
                <w:sz w:val="16"/>
                <w:szCs w:val="16"/>
              </w:rPr>
            </w:pPr>
            <w:r w:rsidRPr="004D4A14">
              <w:rPr>
                <w:rFonts w:eastAsia="Calibri" w:cs="Times New Roman"/>
                <w:noProof/>
                <w:sz w:val="16"/>
                <w:szCs w:val="16"/>
              </w:rPr>
              <w:t>SaF</w:t>
            </w:r>
          </w:p>
        </w:tc>
        <w:tc>
          <w:tcPr>
            <w:tcW w:w="328" w:type="pct"/>
            <w:tcBorders>
              <w:top w:val="single" w:sz="12" w:space="0" w:color="auto"/>
            </w:tcBorders>
          </w:tcPr>
          <w:p w14:paraId="44CDE4AB" w14:textId="77777777" w:rsidR="00D163E2" w:rsidRPr="004D4A14" w:rsidRDefault="00D163E2" w:rsidP="00D163E2">
            <w:pPr>
              <w:spacing w:after="0" w:line="240" w:lineRule="auto"/>
              <w:jc w:val="both"/>
              <w:rPr>
                <w:rFonts w:eastAsia="Times New Roman" w:cs="Times New Roman"/>
                <w:noProof/>
                <w:sz w:val="16"/>
                <w:szCs w:val="16"/>
              </w:rPr>
            </w:pPr>
            <w:r w:rsidRPr="004D4A14">
              <w:rPr>
                <w:rFonts w:eastAsia="Times New Roman" w:cs="Times New Roman"/>
                <w:noProof/>
                <w:color w:val="000000" w:themeColor="text1"/>
                <w:sz w:val="16"/>
                <w:szCs w:val="16"/>
              </w:rPr>
              <w:t>Visa Lietuva</w:t>
            </w:r>
          </w:p>
          <w:p w14:paraId="29CA492B" w14:textId="77777777" w:rsidR="00D163E2" w:rsidRPr="004D4A14" w:rsidRDefault="00D163E2" w:rsidP="00D163E2">
            <w:pPr>
              <w:spacing w:after="0" w:line="240" w:lineRule="auto"/>
              <w:jc w:val="both"/>
              <w:rPr>
                <w:rFonts w:eastAsia="Calibri" w:cs="Times New Roman"/>
                <w:noProof/>
                <w:sz w:val="16"/>
                <w:szCs w:val="16"/>
              </w:rPr>
            </w:pPr>
          </w:p>
        </w:tc>
        <w:tc>
          <w:tcPr>
            <w:tcW w:w="422" w:type="pct"/>
            <w:tcBorders>
              <w:top w:val="single" w:sz="12" w:space="0" w:color="auto"/>
            </w:tcBorders>
          </w:tcPr>
          <w:p w14:paraId="5065B051" w14:textId="77777777" w:rsidR="00D163E2" w:rsidRPr="004D4A14" w:rsidRDefault="00D163E2" w:rsidP="00D163E2">
            <w:pPr>
              <w:spacing w:after="0" w:line="240" w:lineRule="auto"/>
              <w:jc w:val="both"/>
              <w:rPr>
                <w:rFonts w:eastAsia="Calibri" w:cs="Times New Roman"/>
                <w:sz w:val="16"/>
                <w:szCs w:val="16"/>
                <w:lang w:eastAsia="lt-LT" w:bidi="lt-LT"/>
              </w:rPr>
            </w:pPr>
            <w:r w:rsidRPr="004D4A14">
              <w:rPr>
                <w:sz w:val="16"/>
                <w:szCs w:val="16"/>
              </w:rPr>
              <w:t>Specialusis</w:t>
            </w:r>
          </w:p>
        </w:tc>
        <w:tc>
          <w:tcPr>
            <w:tcW w:w="1313" w:type="pct"/>
            <w:tcBorders>
              <w:top w:val="single" w:sz="12" w:space="0" w:color="auto"/>
            </w:tcBorders>
          </w:tcPr>
          <w:p w14:paraId="6829E805" w14:textId="77777777" w:rsidR="00D163E2" w:rsidRPr="004D4A14" w:rsidRDefault="00D163E2" w:rsidP="00D163E2">
            <w:pPr>
              <w:spacing w:after="0" w:line="240" w:lineRule="auto"/>
              <w:rPr>
                <w:rFonts w:eastAsia="Times New Roman" w:cs="Times New Roman"/>
                <w:color w:val="000000" w:themeColor="text1"/>
                <w:sz w:val="16"/>
                <w:szCs w:val="16"/>
              </w:rPr>
            </w:pPr>
            <w:r w:rsidRPr="004D4A14">
              <w:rPr>
                <w:rFonts w:eastAsiaTheme="minorEastAsia" w:cs="Times New Roman"/>
                <w:color w:val="000000" w:themeColor="text1"/>
                <w:sz w:val="16"/>
                <w:szCs w:val="16"/>
              </w:rPr>
              <w:t>Viešieji vandens tiekėjai ir nuotekų tvarkytojai, kurie investuoja į saugaus vandens tiekimo užtikrinimo priemones ir užtikrina didesnį atsparumą</w:t>
            </w:r>
          </w:p>
        </w:tc>
        <w:tc>
          <w:tcPr>
            <w:tcW w:w="328" w:type="pct"/>
            <w:tcBorders>
              <w:top w:val="single" w:sz="12" w:space="0" w:color="auto"/>
            </w:tcBorders>
          </w:tcPr>
          <w:p w14:paraId="2AB6E46E" w14:textId="77777777" w:rsidR="00D163E2" w:rsidRPr="004D4A14" w:rsidRDefault="00D163E2" w:rsidP="00D163E2">
            <w:pPr>
              <w:spacing w:after="0" w:line="240" w:lineRule="auto"/>
              <w:jc w:val="both"/>
              <w:rPr>
                <w:rFonts w:eastAsia="Calibri" w:cs="Times New Roman"/>
                <w:noProof/>
                <w:sz w:val="16"/>
                <w:szCs w:val="16"/>
              </w:rPr>
            </w:pPr>
            <w:r w:rsidRPr="004D4A14">
              <w:rPr>
                <w:rFonts w:eastAsia="Calibri" w:cs="Times New Roman"/>
                <w:noProof/>
                <w:sz w:val="16"/>
                <w:szCs w:val="16"/>
              </w:rPr>
              <w:t>Skaičius</w:t>
            </w:r>
          </w:p>
        </w:tc>
        <w:tc>
          <w:tcPr>
            <w:tcW w:w="328" w:type="pct"/>
            <w:tcBorders>
              <w:top w:val="single" w:sz="12" w:space="0" w:color="auto"/>
            </w:tcBorders>
          </w:tcPr>
          <w:p w14:paraId="456616EB" w14:textId="77777777" w:rsidR="00D163E2" w:rsidRPr="004D4A14" w:rsidRDefault="00D163E2" w:rsidP="00D163E2">
            <w:pPr>
              <w:spacing w:after="0" w:line="240" w:lineRule="auto"/>
              <w:jc w:val="center"/>
              <w:rPr>
                <w:rFonts w:eastAsia="Calibri" w:cs="Times New Roman"/>
                <w:noProof/>
                <w:sz w:val="16"/>
                <w:szCs w:val="16"/>
              </w:rPr>
            </w:pPr>
            <w:r w:rsidRPr="004D4A14">
              <w:rPr>
                <w:rFonts w:eastAsia="Calibri" w:cs="Times New Roman"/>
                <w:noProof/>
                <w:sz w:val="16"/>
                <w:szCs w:val="16"/>
              </w:rPr>
              <w:t>0</w:t>
            </w:r>
          </w:p>
        </w:tc>
        <w:tc>
          <w:tcPr>
            <w:tcW w:w="375" w:type="pct"/>
            <w:tcBorders>
              <w:top w:val="single" w:sz="12" w:space="0" w:color="auto"/>
            </w:tcBorders>
          </w:tcPr>
          <w:p w14:paraId="788A0FBB" w14:textId="77777777" w:rsidR="00D163E2" w:rsidRPr="004D4A14" w:rsidRDefault="00D163E2" w:rsidP="00D163E2">
            <w:pPr>
              <w:spacing w:after="0" w:line="240" w:lineRule="auto"/>
              <w:jc w:val="center"/>
              <w:rPr>
                <w:rFonts w:eastAsia="Calibri" w:cs="Times New Roman"/>
                <w:noProof/>
                <w:sz w:val="16"/>
                <w:szCs w:val="16"/>
              </w:rPr>
            </w:pPr>
            <w:r w:rsidRPr="004D4A14">
              <w:rPr>
                <w:rFonts w:eastAsia="Calibri" w:cs="Times New Roman"/>
                <w:noProof/>
                <w:sz w:val="16"/>
                <w:szCs w:val="16"/>
              </w:rPr>
              <w:t>2025</w:t>
            </w:r>
          </w:p>
        </w:tc>
        <w:tc>
          <w:tcPr>
            <w:tcW w:w="328" w:type="pct"/>
            <w:tcBorders>
              <w:top w:val="single" w:sz="12" w:space="0" w:color="auto"/>
            </w:tcBorders>
          </w:tcPr>
          <w:p w14:paraId="638A7B62" w14:textId="77777777" w:rsidR="00D163E2" w:rsidRPr="004D4A14" w:rsidRDefault="00D163E2" w:rsidP="00D163E2">
            <w:pPr>
              <w:spacing w:after="0" w:line="240" w:lineRule="auto"/>
              <w:jc w:val="center"/>
              <w:rPr>
                <w:rFonts w:eastAsia="Calibri" w:cs="Times New Roman"/>
                <w:noProof/>
                <w:sz w:val="16"/>
                <w:szCs w:val="16"/>
              </w:rPr>
            </w:pPr>
            <w:r w:rsidRPr="004D4A14">
              <w:rPr>
                <w:rFonts w:eastAsia="Calibri" w:cs="Times New Roman"/>
                <w:noProof/>
                <w:sz w:val="16"/>
                <w:szCs w:val="16"/>
              </w:rPr>
              <w:t>30</w:t>
            </w:r>
          </w:p>
        </w:tc>
        <w:tc>
          <w:tcPr>
            <w:tcW w:w="305" w:type="pct"/>
            <w:tcBorders>
              <w:top w:val="single" w:sz="12" w:space="0" w:color="auto"/>
            </w:tcBorders>
          </w:tcPr>
          <w:p w14:paraId="52AC4195" w14:textId="77777777" w:rsidR="00D163E2" w:rsidRPr="004D4A14" w:rsidRDefault="00D163E2" w:rsidP="00D163E2">
            <w:pPr>
              <w:spacing w:after="0" w:line="240" w:lineRule="auto"/>
              <w:jc w:val="both"/>
              <w:rPr>
                <w:rFonts w:eastAsia="Calibri" w:cs="Times New Roman"/>
                <w:noProof/>
                <w:sz w:val="16"/>
                <w:szCs w:val="16"/>
              </w:rPr>
            </w:pPr>
            <w:r w:rsidRPr="004D4A14">
              <w:rPr>
                <w:rFonts w:eastAsia="Calibri" w:cs="Times New Roman"/>
                <w:noProof/>
                <w:sz w:val="16"/>
                <w:szCs w:val="16"/>
              </w:rPr>
              <w:t>Projektų duomenys</w:t>
            </w:r>
          </w:p>
        </w:tc>
        <w:tc>
          <w:tcPr>
            <w:tcW w:w="346" w:type="pct"/>
            <w:tcBorders>
              <w:top w:val="single" w:sz="12" w:space="0" w:color="auto"/>
            </w:tcBorders>
          </w:tcPr>
          <w:p w14:paraId="355CC8F2" w14:textId="77777777" w:rsidR="00D163E2" w:rsidRPr="004D4A14" w:rsidRDefault="00D163E2" w:rsidP="00D163E2">
            <w:pPr>
              <w:spacing w:after="0" w:line="240" w:lineRule="auto"/>
              <w:jc w:val="both"/>
              <w:rPr>
                <w:rFonts w:eastAsia="Calibri" w:cs="Times New Roman"/>
                <w:i/>
                <w:noProof/>
                <w:sz w:val="16"/>
                <w:szCs w:val="16"/>
                <w:lang w:eastAsia="lt-LT" w:bidi="lt-LT"/>
              </w:rPr>
            </w:pPr>
          </w:p>
        </w:tc>
      </w:tr>
    </w:tbl>
    <w:p w14:paraId="6323D68B" w14:textId="77777777" w:rsidR="00D163E2" w:rsidRPr="004D4A14" w:rsidRDefault="00D163E2" w:rsidP="00D163E2">
      <w:pPr>
        <w:spacing w:after="0" w:line="240" w:lineRule="auto"/>
        <w:jc w:val="both"/>
        <w:rPr>
          <w:rFonts w:cs="Times New Roman"/>
          <w:b/>
          <w:sz w:val="22"/>
        </w:rPr>
      </w:pPr>
    </w:p>
    <w:p w14:paraId="70EA7CF7" w14:textId="77777777" w:rsidR="00D163E2" w:rsidRPr="004D4A14" w:rsidRDefault="00D163E2" w:rsidP="00D163E2">
      <w:pPr>
        <w:spacing w:after="0" w:line="240" w:lineRule="auto"/>
        <w:jc w:val="both"/>
        <w:rPr>
          <w:rFonts w:cs="Times New Roman"/>
          <w:sz w:val="16"/>
          <w:szCs w:val="16"/>
        </w:rPr>
        <w:sectPr w:rsidR="00D163E2" w:rsidRPr="004D4A14" w:rsidSect="00D163E2">
          <w:pgSz w:w="16838" w:h="11906" w:orient="landscape"/>
          <w:pgMar w:top="1701" w:right="1276" w:bottom="567" w:left="1134" w:header="567" w:footer="567" w:gutter="0"/>
          <w:cols w:space="1296"/>
          <w:docGrid w:linePitch="360"/>
        </w:sectPr>
      </w:pPr>
    </w:p>
    <w:p w14:paraId="6EC91433" w14:textId="77777777" w:rsidR="00D163E2" w:rsidRPr="004D4A14" w:rsidRDefault="00D163E2" w:rsidP="00D163E2">
      <w:pPr>
        <w:tabs>
          <w:tab w:val="center" w:pos="4819"/>
          <w:tab w:val="right" w:pos="9638"/>
        </w:tabs>
        <w:spacing w:before="120" w:after="120" w:line="240" w:lineRule="auto"/>
        <w:rPr>
          <w:rFonts w:cs="Times New Roman"/>
          <w:b/>
          <w:i/>
          <w:noProof/>
          <w:color w:val="1F497D" w:themeColor="text2"/>
          <w:lang w:eastAsia="lt-LT" w:bidi="lt-LT"/>
        </w:rPr>
      </w:pPr>
      <w:r w:rsidRPr="004D4A14">
        <w:rPr>
          <w:rFonts w:cs="Times New Roman"/>
          <w:b/>
          <w:i/>
          <w:noProof/>
          <w:color w:val="1F497D" w:themeColor="text2"/>
          <w:lang w:eastAsia="lt-LT" w:bidi="lt-LT"/>
        </w:rPr>
        <w:lastRenderedPageBreak/>
        <w:t>Preliminarus Programos išteklių suskirstymas pagal intervencinių priemonių rūšį</w:t>
      </w:r>
    </w:p>
    <w:tbl>
      <w:tblPr>
        <w:tblStyle w:val="Lentelstinklelis"/>
        <w:tblW w:w="9766" w:type="dxa"/>
        <w:tblLayout w:type="fixed"/>
        <w:tblLook w:val="04A0" w:firstRow="1" w:lastRow="0" w:firstColumn="1" w:lastColumn="0" w:noHBand="0" w:noVBand="1"/>
      </w:tblPr>
      <w:tblGrid>
        <w:gridCol w:w="1069"/>
        <w:gridCol w:w="843"/>
        <w:gridCol w:w="1192"/>
        <w:gridCol w:w="1134"/>
        <w:gridCol w:w="3969"/>
        <w:gridCol w:w="1559"/>
      </w:tblGrid>
      <w:tr w:rsidR="00D163E2" w:rsidRPr="004D4A14" w14:paraId="5E74165E" w14:textId="77777777" w:rsidTr="007A4608">
        <w:tc>
          <w:tcPr>
            <w:tcW w:w="9766"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18EE20" w14:textId="77777777" w:rsidR="00D163E2" w:rsidRPr="004D4A14" w:rsidRDefault="00D163E2" w:rsidP="00D163E2">
            <w:pPr>
              <w:rPr>
                <w:rFonts w:cs="Times New Roman"/>
                <w:b/>
                <w:noProof/>
                <w:sz w:val="20"/>
              </w:rPr>
            </w:pPr>
            <w:r w:rsidRPr="004D4A14">
              <w:rPr>
                <w:rFonts w:cs="Times New Roman"/>
                <w:b/>
                <w:noProof/>
                <w:sz w:val="20"/>
              </w:rPr>
              <w:t>4 lentelė. 1 matmuo. Intervencinių priemonių sritis</w:t>
            </w:r>
          </w:p>
        </w:tc>
      </w:tr>
      <w:tr w:rsidR="00D163E2" w:rsidRPr="004D4A14" w14:paraId="48463865" w14:textId="77777777" w:rsidTr="007A4608">
        <w:trPr>
          <w:trHeight w:val="990"/>
        </w:trPr>
        <w:tc>
          <w:tcPr>
            <w:tcW w:w="10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68AFEB3" w14:textId="77777777" w:rsidR="00D163E2" w:rsidRPr="004D4A14" w:rsidRDefault="00D163E2" w:rsidP="00D163E2">
            <w:pPr>
              <w:jc w:val="center"/>
              <w:rPr>
                <w:rFonts w:eastAsia="Times New Roman" w:cs="Times New Roman"/>
                <w:b/>
                <w:iCs/>
                <w:noProof/>
                <w:sz w:val="20"/>
              </w:rPr>
            </w:pPr>
            <w:r w:rsidRPr="004D4A14">
              <w:rPr>
                <w:rFonts w:cs="Times New Roman"/>
                <w:b/>
                <w:noProof/>
                <w:sz w:val="20"/>
              </w:rPr>
              <w:t>Prioriteto Nr.</w:t>
            </w:r>
          </w:p>
        </w:tc>
        <w:tc>
          <w:tcPr>
            <w:tcW w:w="84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D59D7BE" w14:textId="77777777" w:rsidR="00D163E2" w:rsidRPr="004D4A14" w:rsidRDefault="00D163E2" w:rsidP="00D163E2">
            <w:pPr>
              <w:jc w:val="center"/>
              <w:rPr>
                <w:rFonts w:eastAsia="Times New Roman" w:cs="Times New Roman"/>
                <w:b/>
                <w:iCs/>
                <w:noProof/>
                <w:sz w:val="20"/>
              </w:rPr>
            </w:pPr>
            <w:r w:rsidRPr="004D4A14">
              <w:rPr>
                <w:rFonts w:cs="Times New Roman"/>
                <w:b/>
                <w:noProof/>
                <w:sz w:val="20"/>
              </w:rPr>
              <w:t>Fondas</w:t>
            </w:r>
          </w:p>
        </w:tc>
        <w:tc>
          <w:tcPr>
            <w:tcW w:w="11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AB66F23" w14:textId="77777777" w:rsidR="00D163E2" w:rsidRPr="004D4A14" w:rsidRDefault="00D163E2" w:rsidP="00D163E2">
            <w:pPr>
              <w:jc w:val="center"/>
              <w:rPr>
                <w:rFonts w:eastAsia="Times New Roman" w:cs="Times New Roman"/>
                <w:b/>
                <w:iCs/>
                <w:noProof/>
                <w:sz w:val="20"/>
              </w:rPr>
            </w:pPr>
            <w:r w:rsidRPr="004D4A14">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3D266C3" w14:textId="77777777" w:rsidR="00D163E2" w:rsidRPr="004D4A14" w:rsidRDefault="00D163E2" w:rsidP="00D163E2">
            <w:pPr>
              <w:jc w:val="center"/>
              <w:rPr>
                <w:rFonts w:eastAsia="Times New Roman" w:cs="Times New Roman"/>
                <w:b/>
                <w:iCs/>
                <w:noProof/>
                <w:sz w:val="20"/>
              </w:rPr>
            </w:pPr>
            <w:r w:rsidRPr="004D4A14">
              <w:rPr>
                <w:rFonts w:cs="Times New Roman"/>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9BD0089" w14:textId="77777777" w:rsidR="00D163E2" w:rsidRPr="004D4A14" w:rsidRDefault="00D163E2" w:rsidP="00D163E2">
            <w:pPr>
              <w:jc w:val="center"/>
              <w:rPr>
                <w:rFonts w:eastAsia="Times New Roman" w:cs="Times New Roman"/>
                <w:b/>
                <w:iCs/>
                <w:noProof/>
                <w:sz w:val="20"/>
              </w:rPr>
            </w:pPr>
            <w:r w:rsidRPr="004D4A14">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2CA5C5E" w14:textId="77777777" w:rsidR="00D163E2" w:rsidRPr="004D4A14" w:rsidRDefault="00D163E2" w:rsidP="00D163E2">
            <w:pPr>
              <w:jc w:val="center"/>
              <w:rPr>
                <w:rFonts w:eastAsia="Times New Roman" w:cs="Times New Roman"/>
                <w:b/>
                <w:iCs/>
                <w:noProof/>
                <w:sz w:val="20"/>
              </w:rPr>
            </w:pPr>
            <w:r w:rsidRPr="004D4A14">
              <w:rPr>
                <w:rFonts w:cs="Times New Roman"/>
                <w:b/>
                <w:noProof/>
                <w:sz w:val="20"/>
              </w:rPr>
              <w:t>Suma (EUR)</w:t>
            </w:r>
          </w:p>
        </w:tc>
      </w:tr>
      <w:tr w:rsidR="00D163E2" w:rsidRPr="004D4A14" w14:paraId="4548544C" w14:textId="77777777" w:rsidTr="007A4608">
        <w:tc>
          <w:tcPr>
            <w:tcW w:w="1069" w:type="dxa"/>
            <w:tcBorders>
              <w:top w:val="single" w:sz="12" w:space="0" w:color="auto"/>
            </w:tcBorders>
          </w:tcPr>
          <w:p w14:paraId="48EE6803" w14:textId="77777777" w:rsidR="00D163E2" w:rsidRPr="004D4A14" w:rsidRDefault="00D163E2" w:rsidP="00D163E2">
            <w:pPr>
              <w:jc w:val="center"/>
              <w:rPr>
                <w:rFonts w:eastAsia="Times New Roman" w:cs="Times New Roman"/>
                <w:noProof/>
                <w:sz w:val="16"/>
                <w:szCs w:val="16"/>
              </w:rPr>
            </w:pPr>
            <w:r w:rsidRPr="004D4A14">
              <w:rPr>
                <w:rFonts w:eastAsia="Times New Roman" w:cs="Times New Roman"/>
                <w:noProof/>
                <w:sz w:val="16"/>
                <w:szCs w:val="16"/>
              </w:rPr>
              <w:t>12</w:t>
            </w:r>
          </w:p>
        </w:tc>
        <w:tc>
          <w:tcPr>
            <w:tcW w:w="843" w:type="dxa"/>
            <w:tcBorders>
              <w:top w:val="single" w:sz="12" w:space="0" w:color="auto"/>
            </w:tcBorders>
          </w:tcPr>
          <w:p w14:paraId="7D191573" w14:textId="77777777" w:rsidR="00D163E2" w:rsidRPr="004D4A14" w:rsidRDefault="00D163E2" w:rsidP="00D163E2">
            <w:pPr>
              <w:jc w:val="center"/>
              <w:rPr>
                <w:rFonts w:eastAsia="Times New Roman" w:cs="Times New Roman"/>
                <w:noProof/>
                <w:sz w:val="16"/>
                <w:szCs w:val="16"/>
              </w:rPr>
            </w:pPr>
            <w:r w:rsidRPr="004D4A14">
              <w:rPr>
                <w:rFonts w:eastAsia="Times New Roman" w:cs="Times New Roman"/>
                <w:noProof/>
                <w:sz w:val="16"/>
                <w:szCs w:val="16"/>
              </w:rPr>
              <w:t>SaF</w:t>
            </w:r>
          </w:p>
        </w:tc>
        <w:tc>
          <w:tcPr>
            <w:tcW w:w="1192" w:type="dxa"/>
            <w:tcBorders>
              <w:top w:val="single" w:sz="12" w:space="0" w:color="auto"/>
            </w:tcBorders>
          </w:tcPr>
          <w:p w14:paraId="4658DF3A" w14:textId="77777777" w:rsidR="00D163E2" w:rsidRPr="004D4A14" w:rsidRDefault="00D163E2" w:rsidP="00D163E2">
            <w:pPr>
              <w:jc w:val="both"/>
              <w:rPr>
                <w:rFonts w:eastAsia="Times New Roman" w:cs="Times New Roman"/>
                <w:noProof/>
                <w:sz w:val="16"/>
                <w:szCs w:val="16"/>
              </w:rPr>
            </w:pPr>
            <w:r w:rsidRPr="004D4A14">
              <w:rPr>
                <w:rFonts w:eastAsia="Times New Roman" w:cs="Times New Roman"/>
                <w:noProof/>
                <w:color w:val="000000" w:themeColor="text1"/>
                <w:sz w:val="16"/>
                <w:szCs w:val="16"/>
              </w:rPr>
              <w:t>Visa Lietuva</w:t>
            </w:r>
          </w:p>
          <w:p w14:paraId="5A78970D" w14:textId="77777777" w:rsidR="00D163E2" w:rsidRPr="004D4A14" w:rsidRDefault="00D163E2" w:rsidP="00D163E2">
            <w:pPr>
              <w:rPr>
                <w:rFonts w:eastAsia="Times New Roman" w:cs="Times New Roman"/>
                <w:noProof/>
                <w:sz w:val="16"/>
                <w:szCs w:val="16"/>
              </w:rPr>
            </w:pPr>
          </w:p>
        </w:tc>
        <w:tc>
          <w:tcPr>
            <w:tcW w:w="1134" w:type="dxa"/>
            <w:tcBorders>
              <w:top w:val="single" w:sz="12" w:space="0" w:color="auto"/>
            </w:tcBorders>
          </w:tcPr>
          <w:p w14:paraId="5F47A589" w14:textId="77777777" w:rsidR="00D163E2" w:rsidRPr="004D4A14" w:rsidRDefault="00D163E2" w:rsidP="00D163E2">
            <w:pPr>
              <w:jc w:val="center"/>
              <w:rPr>
                <w:rFonts w:eastAsia="Times New Roman" w:cs="Times New Roman"/>
                <w:noProof/>
                <w:sz w:val="16"/>
                <w:szCs w:val="16"/>
              </w:rPr>
            </w:pPr>
            <w:r w:rsidRPr="004D4A14">
              <w:rPr>
                <w:rFonts w:eastAsia="Times New Roman" w:cs="Times New Roman"/>
                <w:noProof/>
                <w:sz w:val="16"/>
                <w:szCs w:val="16"/>
              </w:rPr>
              <w:t>12.1</w:t>
            </w:r>
          </w:p>
        </w:tc>
        <w:tc>
          <w:tcPr>
            <w:tcW w:w="3969" w:type="dxa"/>
            <w:tcBorders>
              <w:top w:val="single" w:sz="12" w:space="0" w:color="auto"/>
              <w:bottom w:val="single" w:sz="4" w:space="0" w:color="auto"/>
            </w:tcBorders>
          </w:tcPr>
          <w:p w14:paraId="3ECF41E4" w14:textId="26361EFC" w:rsidR="00D163E2" w:rsidRPr="004D4A14" w:rsidRDefault="00D163E2" w:rsidP="00275A08">
            <w:pPr>
              <w:rPr>
                <w:rFonts w:eastAsia="Times New Roman" w:cs="Times New Roman"/>
                <w:noProof/>
                <w:color w:val="000000" w:themeColor="text1"/>
                <w:sz w:val="16"/>
                <w:szCs w:val="16"/>
              </w:rPr>
            </w:pPr>
            <w:r w:rsidRPr="004D4A14">
              <w:rPr>
                <w:rFonts w:eastAsia="Times New Roman" w:cs="Times New Roman"/>
                <w:noProof/>
                <w:color w:val="000000" w:themeColor="text1"/>
                <w:sz w:val="16"/>
                <w:szCs w:val="16"/>
              </w:rPr>
              <w:t xml:space="preserve"> 197 – ypatingos svarbos infrastruktūros apsauga</w:t>
            </w:r>
          </w:p>
        </w:tc>
        <w:tc>
          <w:tcPr>
            <w:tcW w:w="1559" w:type="dxa"/>
            <w:tcBorders>
              <w:top w:val="single" w:sz="12" w:space="0" w:color="auto"/>
              <w:bottom w:val="single" w:sz="4" w:space="0" w:color="auto"/>
            </w:tcBorders>
          </w:tcPr>
          <w:p w14:paraId="301F8BF0" w14:textId="77777777" w:rsidR="00D163E2" w:rsidRPr="004D4A14" w:rsidRDefault="00D163E2" w:rsidP="00D163E2">
            <w:pPr>
              <w:jc w:val="right"/>
              <w:rPr>
                <w:rFonts w:eastAsia="Times New Roman" w:cs="Times New Roman"/>
                <w:noProof/>
                <w:sz w:val="16"/>
                <w:szCs w:val="16"/>
              </w:rPr>
            </w:pPr>
            <w:r w:rsidRPr="004D4A14">
              <w:rPr>
                <w:rFonts w:eastAsia="Times New Roman" w:cs="Times New Roman"/>
                <w:noProof/>
                <w:sz w:val="16"/>
                <w:szCs w:val="16"/>
              </w:rPr>
              <w:t>47 000 000,00</w:t>
            </w:r>
          </w:p>
        </w:tc>
      </w:tr>
    </w:tbl>
    <w:p w14:paraId="02D6C6D9" w14:textId="77777777" w:rsidR="00D163E2" w:rsidRPr="004D4A14" w:rsidRDefault="00D163E2" w:rsidP="00D163E2">
      <w:pPr>
        <w:spacing w:after="0" w:line="240" w:lineRule="auto"/>
        <w:rPr>
          <w:rFonts w:eastAsia="Times New Roman" w:cs="Times New Roman"/>
          <w:iCs/>
          <w:noProof/>
          <w:sz w:val="20"/>
          <w:szCs w:val="20"/>
        </w:rPr>
      </w:pPr>
    </w:p>
    <w:tbl>
      <w:tblPr>
        <w:tblStyle w:val="Lentelstinklelis"/>
        <w:tblW w:w="9747" w:type="dxa"/>
        <w:tblLayout w:type="fixed"/>
        <w:tblLook w:val="04A0" w:firstRow="1" w:lastRow="0" w:firstColumn="1" w:lastColumn="0" w:noHBand="0" w:noVBand="1"/>
      </w:tblPr>
      <w:tblGrid>
        <w:gridCol w:w="1101"/>
        <w:gridCol w:w="850"/>
        <w:gridCol w:w="1134"/>
        <w:gridCol w:w="1134"/>
        <w:gridCol w:w="3988"/>
        <w:gridCol w:w="1540"/>
      </w:tblGrid>
      <w:tr w:rsidR="00D163E2" w:rsidRPr="004D4A14" w14:paraId="34DF1F4C" w14:textId="77777777" w:rsidTr="007A4608">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4972124" w14:textId="77777777" w:rsidR="00D163E2" w:rsidRPr="004D4A14" w:rsidRDefault="00D163E2" w:rsidP="00D163E2">
            <w:pPr>
              <w:rPr>
                <w:rFonts w:eastAsia="Times New Roman" w:cs="Times New Roman"/>
                <w:b/>
                <w:iCs/>
                <w:noProof/>
                <w:sz w:val="20"/>
              </w:rPr>
            </w:pPr>
            <w:r w:rsidRPr="004D4A14">
              <w:rPr>
                <w:rFonts w:cs="Times New Roman"/>
                <w:b/>
                <w:noProof/>
                <w:sz w:val="20"/>
              </w:rPr>
              <w:t>5 lentelė. 2 matmuo. Finansavimo forma</w:t>
            </w:r>
          </w:p>
        </w:tc>
      </w:tr>
      <w:tr w:rsidR="00D163E2" w:rsidRPr="004D4A14" w14:paraId="285776E0" w14:textId="77777777" w:rsidTr="007A4608">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EC08070" w14:textId="77777777" w:rsidR="00D163E2" w:rsidRPr="004D4A14" w:rsidRDefault="00D163E2" w:rsidP="00D163E2">
            <w:pPr>
              <w:jc w:val="center"/>
              <w:rPr>
                <w:rFonts w:eastAsia="Times New Roman" w:cs="Times New Roman"/>
                <w:b/>
                <w:iCs/>
                <w:noProof/>
                <w:sz w:val="20"/>
              </w:rPr>
            </w:pPr>
            <w:r w:rsidRPr="004D4A14">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A0C3179" w14:textId="77777777" w:rsidR="00D163E2" w:rsidRPr="004D4A14" w:rsidRDefault="00D163E2" w:rsidP="00D163E2">
            <w:pPr>
              <w:jc w:val="center"/>
              <w:rPr>
                <w:rFonts w:eastAsia="Times New Roman" w:cs="Times New Roman"/>
                <w:b/>
                <w:iCs/>
                <w:noProof/>
                <w:sz w:val="20"/>
              </w:rPr>
            </w:pPr>
            <w:r w:rsidRPr="004D4A14">
              <w:rPr>
                <w:rFonts w:cs="Times New Roman"/>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0D2DD06" w14:textId="77777777" w:rsidR="00D163E2" w:rsidRPr="004D4A14" w:rsidRDefault="00D163E2" w:rsidP="00D163E2">
            <w:pPr>
              <w:jc w:val="center"/>
              <w:rPr>
                <w:rFonts w:eastAsia="Times New Roman" w:cs="Times New Roman"/>
                <w:b/>
                <w:iCs/>
                <w:noProof/>
                <w:sz w:val="20"/>
              </w:rPr>
            </w:pPr>
            <w:r w:rsidRPr="004D4A14">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47628DD" w14:textId="77777777" w:rsidR="00D163E2" w:rsidRPr="004D4A14" w:rsidRDefault="00D163E2" w:rsidP="00D163E2">
            <w:pPr>
              <w:jc w:val="center"/>
              <w:rPr>
                <w:rFonts w:eastAsia="Times New Roman" w:cs="Times New Roman"/>
                <w:b/>
                <w:iCs/>
                <w:noProof/>
                <w:sz w:val="20"/>
              </w:rPr>
            </w:pPr>
            <w:r w:rsidRPr="004D4A14">
              <w:rPr>
                <w:rFonts w:cs="Times New Roman"/>
                <w:b/>
                <w:noProof/>
                <w:sz w:val="20"/>
              </w:rPr>
              <w:t>Konkretus uždavinys</w:t>
            </w:r>
          </w:p>
        </w:tc>
        <w:tc>
          <w:tcPr>
            <w:tcW w:w="398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40A7F87" w14:textId="77777777" w:rsidR="00D163E2" w:rsidRPr="004D4A14" w:rsidRDefault="00D163E2" w:rsidP="00D163E2">
            <w:pPr>
              <w:jc w:val="center"/>
              <w:rPr>
                <w:rFonts w:eastAsia="Times New Roman" w:cs="Times New Roman"/>
                <w:b/>
                <w:iCs/>
                <w:noProof/>
                <w:sz w:val="20"/>
              </w:rPr>
            </w:pPr>
            <w:r w:rsidRPr="004D4A14">
              <w:rPr>
                <w:rFonts w:cs="Times New Roman"/>
                <w:b/>
                <w:noProof/>
                <w:sz w:val="20"/>
              </w:rPr>
              <w:t>Kodas</w:t>
            </w:r>
          </w:p>
        </w:tc>
        <w:tc>
          <w:tcPr>
            <w:tcW w:w="154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1CB1E55" w14:textId="77777777" w:rsidR="00D163E2" w:rsidRPr="004D4A14" w:rsidRDefault="00D163E2" w:rsidP="00D163E2">
            <w:pPr>
              <w:jc w:val="center"/>
              <w:rPr>
                <w:rFonts w:eastAsia="Times New Roman" w:cs="Times New Roman"/>
                <w:b/>
                <w:iCs/>
                <w:noProof/>
                <w:sz w:val="20"/>
              </w:rPr>
            </w:pPr>
            <w:r w:rsidRPr="004D4A14">
              <w:rPr>
                <w:rFonts w:cs="Times New Roman"/>
                <w:b/>
                <w:noProof/>
                <w:sz w:val="20"/>
              </w:rPr>
              <w:t>Suma (EUR)</w:t>
            </w:r>
          </w:p>
        </w:tc>
      </w:tr>
      <w:tr w:rsidR="00D163E2" w:rsidRPr="004D4A14" w14:paraId="1782FBD4" w14:textId="77777777" w:rsidTr="007A4608">
        <w:tc>
          <w:tcPr>
            <w:tcW w:w="1101" w:type="dxa"/>
            <w:tcBorders>
              <w:top w:val="single" w:sz="12" w:space="0" w:color="auto"/>
              <w:bottom w:val="single" w:sz="4" w:space="0" w:color="auto"/>
            </w:tcBorders>
          </w:tcPr>
          <w:p w14:paraId="3E783A9A" w14:textId="77777777" w:rsidR="00D163E2" w:rsidRPr="004D4A14" w:rsidRDefault="00D163E2" w:rsidP="00D163E2">
            <w:pPr>
              <w:jc w:val="center"/>
              <w:rPr>
                <w:rFonts w:eastAsia="Times New Roman" w:cs="Times New Roman"/>
                <w:noProof/>
                <w:sz w:val="16"/>
                <w:szCs w:val="16"/>
              </w:rPr>
            </w:pPr>
            <w:r w:rsidRPr="004D4A14">
              <w:rPr>
                <w:rFonts w:eastAsia="Times New Roman" w:cs="Times New Roman"/>
                <w:noProof/>
                <w:sz w:val="16"/>
                <w:szCs w:val="16"/>
              </w:rPr>
              <w:t>12</w:t>
            </w:r>
          </w:p>
        </w:tc>
        <w:tc>
          <w:tcPr>
            <w:tcW w:w="850" w:type="dxa"/>
            <w:tcBorders>
              <w:top w:val="single" w:sz="12" w:space="0" w:color="auto"/>
              <w:bottom w:val="single" w:sz="4" w:space="0" w:color="auto"/>
            </w:tcBorders>
          </w:tcPr>
          <w:p w14:paraId="256D0DDF" w14:textId="77777777" w:rsidR="00D163E2" w:rsidRPr="004D4A14" w:rsidRDefault="00D163E2" w:rsidP="00D163E2">
            <w:pPr>
              <w:jc w:val="center"/>
              <w:rPr>
                <w:rFonts w:eastAsia="Times New Roman" w:cs="Times New Roman"/>
                <w:noProof/>
                <w:sz w:val="16"/>
                <w:szCs w:val="16"/>
              </w:rPr>
            </w:pPr>
            <w:r w:rsidRPr="004D4A14">
              <w:rPr>
                <w:rFonts w:eastAsia="Times New Roman" w:cs="Times New Roman"/>
                <w:noProof/>
                <w:sz w:val="16"/>
                <w:szCs w:val="16"/>
              </w:rPr>
              <w:t>SaF</w:t>
            </w:r>
          </w:p>
        </w:tc>
        <w:tc>
          <w:tcPr>
            <w:tcW w:w="1134" w:type="dxa"/>
            <w:tcBorders>
              <w:top w:val="single" w:sz="12" w:space="0" w:color="auto"/>
              <w:bottom w:val="single" w:sz="4" w:space="0" w:color="auto"/>
            </w:tcBorders>
          </w:tcPr>
          <w:p w14:paraId="63B9FB60" w14:textId="77777777" w:rsidR="00D163E2" w:rsidRPr="004D4A14" w:rsidRDefault="00D163E2" w:rsidP="00D163E2">
            <w:pPr>
              <w:jc w:val="both"/>
              <w:rPr>
                <w:rFonts w:eastAsia="Times New Roman" w:cs="Times New Roman"/>
                <w:noProof/>
                <w:sz w:val="16"/>
                <w:szCs w:val="16"/>
              </w:rPr>
            </w:pPr>
            <w:r w:rsidRPr="004D4A14">
              <w:rPr>
                <w:rFonts w:eastAsia="Times New Roman" w:cs="Times New Roman"/>
                <w:noProof/>
                <w:color w:val="000000" w:themeColor="text1"/>
                <w:sz w:val="16"/>
                <w:szCs w:val="16"/>
              </w:rPr>
              <w:t>Visa Lietuva</w:t>
            </w:r>
          </w:p>
          <w:p w14:paraId="70ED8A22" w14:textId="77777777" w:rsidR="00D163E2" w:rsidRPr="004D4A14" w:rsidRDefault="00D163E2" w:rsidP="00D163E2">
            <w:pPr>
              <w:rPr>
                <w:rFonts w:eastAsia="Times New Roman" w:cs="Times New Roman"/>
                <w:noProof/>
                <w:sz w:val="16"/>
                <w:szCs w:val="16"/>
              </w:rPr>
            </w:pPr>
          </w:p>
        </w:tc>
        <w:tc>
          <w:tcPr>
            <w:tcW w:w="1134" w:type="dxa"/>
            <w:tcBorders>
              <w:top w:val="single" w:sz="12" w:space="0" w:color="auto"/>
              <w:bottom w:val="single" w:sz="4" w:space="0" w:color="auto"/>
            </w:tcBorders>
          </w:tcPr>
          <w:p w14:paraId="63D928A5" w14:textId="77777777" w:rsidR="00D163E2" w:rsidRPr="004D4A14" w:rsidRDefault="00D163E2" w:rsidP="00D163E2">
            <w:pPr>
              <w:jc w:val="center"/>
              <w:rPr>
                <w:rFonts w:eastAsia="Times New Roman" w:cs="Times New Roman"/>
                <w:noProof/>
                <w:sz w:val="16"/>
                <w:szCs w:val="16"/>
              </w:rPr>
            </w:pPr>
            <w:r w:rsidRPr="004D4A14">
              <w:rPr>
                <w:rFonts w:eastAsia="Times New Roman" w:cs="Times New Roman"/>
                <w:noProof/>
                <w:sz w:val="16"/>
                <w:szCs w:val="16"/>
              </w:rPr>
              <w:t>12.1</w:t>
            </w:r>
          </w:p>
          <w:p w14:paraId="1CF92A2B" w14:textId="77777777" w:rsidR="00D163E2" w:rsidRPr="004D4A14" w:rsidRDefault="00D163E2" w:rsidP="00D163E2">
            <w:pPr>
              <w:jc w:val="center"/>
              <w:rPr>
                <w:rFonts w:eastAsia="Times New Roman" w:cs="Times New Roman"/>
                <w:noProof/>
                <w:sz w:val="16"/>
                <w:szCs w:val="16"/>
              </w:rPr>
            </w:pPr>
          </w:p>
        </w:tc>
        <w:tc>
          <w:tcPr>
            <w:tcW w:w="3988" w:type="dxa"/>
            <w:tcBorders>
              <w:top w:val="single" w:sz="12" w:space="0" w:color="auto"/>
              <w:bottom w:val="single" w:sz="4" w:space="0" w:color="auto"/>
            </w:tcBorders>
          </w:tcPr>
          <w:p w14:paraId="1DD38080" w14:textId="77777777" w:rsidR="00D163E2" w:rsidRPr="004D4A14" w:rsidRDefault="00D163E2" w:rsidP="00D163E2">
            <w:pPr>
              <w:rPr>
                <w:rFonts w:eastAsia="Times New Roman" w:cs="Times New Roman"/>
                <w:noProof/>
                <w:sz w:val="16"/>
                <w:szCs w:val="16"/>
              </w:rPr>
            </w:pPr>
            <w:r w:rsidRPr="004D4A14">
              <w:rPr>
                <w:rFonts w:eastAsia="Times New Roman" w:cs="Times New Roman"/>
                <w:noProof/>
                <w:color w:val="000000" w:themeColor="text1"/>
                <w:sz w:val="16"/>
                <w:szCs w:val="16"/>
              </w:rPr>
              <w:t>01 – Dotacija</w:t>
            </w:r>
          </w:p>
          <w:p w14:paraId="55F56FE9" w14:textId="77777777" w:rsidR="00D163E2" w:rsidRPr="004D4A14" w:rsidRDefault="00D163E2" w:rsidP="00D163E2">
            <w:pPr>
              <w:rPr>
                <w:rFonts w:eastAsia="Times New Roman" w:cs="Times New Roman"/>
                <w:noProof/>
                <w:sz w:val="16"/>
                <w:szCs w:val="16"/>
              </w:rPr>
            </w:pPr>
          </w:p>
        </w:tc>
        <w:tc>
          <w:tcPr>
            <w:tcW w:w="1540" w:type="dxa"/>
            <w:tcBorders>
              <w:top w:val="single" w:sz="12" w:space="0" w:color="auto"/>
              <w:bottom w:val="single" w:sz="4" w:space="0" w:color="auto"/>
            </w:tcBorders>
          </w:tcPr>
          <w:p w14:paraId="43D32D70" w14:textId="77777777" w:rsidR="00D163E2" w:rsidRPr="004D4A14" w:rsidRDefault="00D163E2" w:rsidP="00D163E2">
            <w:pPr>
              <w:jc w:val="right"/>
              <w:rPr>
                <w:rFonts w:cs="Times New Roman"/>
                <w:sz w:val="16"/>
                <w:szCs w:val="16"/>
              </w:rPr>
            </w:pPr>
            <w:r w:rsidRPr="004D4A14">
              <w:rPr>
                <w:rFonts w:cs="Times New Roman"/>
                <w:sz w:val="16"/>
                <w:szCs w:val="16"/>
              </w:rPr>
              <w:t>47 000 000,00</w:t>
            </w:r>
          </w:p>
        </w:tc>
      </w:tr>
    </w:tbl>
    <w:p w14:paraId="1703BB33" w14:textId="77777777" w:rsidR="00D163E2" w:rsidRPr="004D4A14" w:rsidRDefault="00D163E2" w:rsidP="00D163E2">
      <w:pPr>
        <w:spacing w:after="0" w:line="240" w:lineRule="auto"/>
        <w:rPr>
          <w:rFonts w:eastAsia="Times New Roman" w:cs="Times New Roman"/>
          <w:iCs/>
          <w:noProof/>
          <w:sz w:val="20"/>
          <w:szCs w:val="20"/>
        </w:rPr>
      </w:pPr>
    </w:p>
    <w:tbl>
      <w:tblPr>
        <w:tblStyle w:val="Lentelstinklelis"/>
        <w:tblW w:w="9766" w:type="dxa"/>
        <w:tblLook w:val="04A0" w:firstRow="1" w:lastRow="0" w:firstColumn="1" w:lastColumn="0" w:noHBand="0" w:noVBand="1"/>
      </w:tblPr>
      <w:tblGrid>
        <w:gridCol w:w="1093"/>
        <w:gridCol w:w="849"/>
        <w:gridCol w:w="1162"/>
        <w:gridCol w:w="1134"/>
        <w:gridCol w:w="3969"/>
        <w:gridCol w:w="1559"/>
      </w:tblGrid>
      <w:tr w:rsidR="00D163E2" w:rsidRPr="004D4A14" w14:paraId="51B3DE0C" w14:textId="77777777" w:rsidTr="007A4608">
        <w:tc>
          <w:tcPr>
            <w:tcW w:w="9766"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5315C70" w14:textId="77777777" w:rsidR="00D163E2" w:rsidRPr="004D4A14" w:rsidRDefault="00D163E2" w:rsidP="00D163E2">
            <w:pPr>
              <w:rPr>
                <w:rFonts w:eastAsia="Times New Roman" w:cs="Times New Roman"/>
                <w:b/>
                <w:iCs/>
                <w:noProof/>
                <w:sz w:val="20"/>
              </w:rPr>
            </w:pPr>
            <w:r w:rsidRPr="004D4A14">
              <w:rPr>
                <w:rFonts w:cs="Times New Roman"/>
                <w:b/>
                <w:noProof/>
                <w:sz w:val="20"/>
              </w:rPr>
              <w:t>6 lentelė. 3 matmuo. Teritorinis įgyvendinimo mechanizmas ir pagrindinė teritorinė sritis</w:t>
            </w:r>
          </w:p>
        </w:tc>
      </w:tr>
      <w:tr w:rsidR="00D163E2" w:rsidRPr="004D4A14" w14:paraId="5954ACF8" w14:textId="77777777" w:rsidTr="007A4608">
        <w:tc>
          <w:tcPr>
            <w:tcW w:w="109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C5A5663" w14:textId="77777777" w:rsidR="00D163E2" w:rsidRPr="004D4A14" w:rsidRDefault="00D163E2" w:rsidP="00D163E2">
            <w:pPr>
              <w:jc w:val="center"/>
              <w:rPr>
                <w:rFonts w:eastAsia="Times New Roman" w:cs="Times New Roman"/>
                <w:b/>
                <w:iCs/>
                <w:noProof/>
                <w:sz w:val="20"/>
              </w:rPr>
            </w:pPr>
            <w:r w:rsidRPr="004D4A14">
              <w:rPr>
                <w:rFonts w:cs="Times New Roman"/>
                <w:b/>
                <w:noProof/>
                <w:sz w:val="20"/>
              </w:rPr>
              <w:t>Prioriteto Nr.</w:t>
            </w:r>
          </w:p>
        </w:tc>
        <w:tc>
          <w:tcPr>
            <w:tcW w:w="8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0B1009D" w14:textId="77777777" w:rsidR="00D163E2" w:rsidRPr="004D4A14" w:rsidRDefault="00D163E2" w:rsidP="00D163E2">
            <w:pPr>
              <w:jc w:val="center"/>
              <w:rPr>
                <w:rFonts w:eastAsia="Times New Roman" w:cs="Times New Roman"/>
                <w:b/>
                <w:iCs/>
                <w:noProof/>
                <w:sz w:val="20"/>
              </w:rPr>
            </w:pPr>
            <w:r w:rsidRPr="004D4A14">
              <w:rPr>
                <w:rFonts w:cs="Times New Roman"/>
                <w:b/>
                <w:noProof/>
                <w:sz w:val="20"/>
              </w:rPr>
              <w:t>Fondas</w:t>
            </w:r>
          </w:p>
        </w:tc>
        <w:tc>
          <w:tcPr>
            <w:tcW w:w="116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714933" w14:textId="77777777" w:rsidR="00D163E2" w:rsidRPr="004D4A14" w:rsidRDefault="00D163E2" w:rsidP="00D163E2">
            <w:pPr>
              <w:jc w:val="center"/>
              <w:rPr>
                <w:rFonts w:eastAsia="Times New Roman" w:cs="Times New Roman"/>
                <w:b/>
                <w:iCs/>
                <w:noProof/>
                <w:sz w:val="20"/>
              </w:rPr>
            </w:pPr>
            <w:r w:rsidRPr="004D4A14">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11EBEA" w14:textId="77777777" w:rsidR="00D163E2" w:rsidRPr="004D4A14" w:rsidRDefault="00D163E2" w:rsidP="00D163E2">
            <w:pPr>
              <w:jc w:val="center"/>
              <w:rPr>
                <w:rFonts w:eastAsia="Times New Roman" w:cs="Times New Roman"/>
                <w:b/>
                <w:iCs/>
                <w:noProof/>
                <w:sz w:val="20"/>
              </w:rPr>
            </w:pPr>
            <w:r w:rsidRPr="004D4A14">
              <w:rPr>
                <w:rFonts w:cs="Times New Roman"/>
                <w:b/>
                <w:noProof/>
                <w:sz w:val="20"/>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494474D" w14:textId="77777777" w:rsidR="00D163E2" w:rsidRPr="004D4A14" w:rsidRDefault="00D163E2" w:rsidP="00D163E2">
            <w:pPr>
              <w:jc w:val="center"/>
              <w:rPr>
                <w:rFonts w:eastAsia="Times New Roman" w:cs="Times New Roman"/>
                <w:b/>
                <w:iCs/>
                <w:noProof/>
                <w:sz w:val="20"/>
              </w:rPr>
            </w:pPr>
            <w:r w:rsidRPr="004D4A14">
              <w:rPr>
                <w:rFonts w:cs="Times New Roman"/>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7801FE8" w14:textId="77777777" w:rsidR="00D163E2" w:rsidRPr="004D4A14" w:rsidRDefault="00D163E2" w:rsidP="00D163E2">
            <w:pPr>
              <w:jc w:val="center"/>
              <w:rPr>
                <w:rFonts w:eastAsia="Times New Roman" w:cs="Times New Roman"/>
                <w:b/>
                <w:iCs/>
                <w:noProof/>
                <w:sz w:val="20"/>
              </w:rPr>
            </w:pPr>
            <w:r w:rsidRPr="004D4A14">
              <w:rPr>
                <w:rFonts w:cs="Times New Roman"/>
                <w:b/>
                <w:noProof/>
                <w:sz w:val="20"/>
              </w:rPr>
              <w:t>Suma (EUR)</w:t>
            </w:r>
          </w:p>
        </w:tc>
      </w:tr>
      <w:tr w:rsidR="00D163E2" w:rsidRPr="004D4A14" w14:paraId="563EF8AC" w14:textId="77777777" w:rsidTr="007A4608">
        <w:trPr>
          <w:trHeight w:val="303"/>
        </w:trPr>
        <w:tc>
          <w:tcPr>
            <w:tcW w:w="1093" w:type="dxa"/>
          </w:tcPr>
          <w:p w14:paraId="207C8DF2" w14:textId="77777777" w:rsidR="00D163E2" w:rsidRPr="004D4A14" w:rsidRDefault="00D163E2" w:rsidP="00D163E2">
            <w:pPr>
              <w:jc w:val="center"/>
              <w:rPr>
                <w:rFonts w:eastAsia="Times New Roman" w:cs="Times New Roman"/>
                <w:noProof/>
                <w:sz w:val="16"/>
                <w:szCs w:val="16"/>
              </w:rPr>
            </w:pPr>
            <w:r w:rsidRPr="004D4A14">
              <w:rPr>
                <w:rFonts w:eastAsia="Times New Roman" w:cs="Times New Roman"/>
                <w:noProof/>
                <w:sz w:val="16"/>
                <w:szCs w:val="16"/>
              </w:rPr>
              <w:t>12</w:t>
            </w:r>
          </w:p>
        </w:tc>
        <w:tc>
          <w:tcPr>
            <w:tcW w:w="849" w:type="dxa"/>
          </w:tcPr>
          <w:p w14:paraId="655E4D4F" w14:textId="77777777" w:rsidR="00D163E2" w:rsidRPr="004D4A14" w:rsidRDefault="00D163E2" w:rsidP="00D163E2">
            <w:pPr>
              <w:jc w:val="center"/>
              <w:rPr>
                <w:rFonts w:eastAsia="Times New Roman" w:cs="Times New Roman"/>
                <w:noProof/>
                <w:sz w:val="16"/>
                <w:szCs w:val="16"/>
              </w:rPr>
            </w:pPr>
            <w:r w:rsidRPr="004D4A14">
              <w:rPr>
                <w:rFonts w:eastAsia="Times New Roman" w:cs="Times New Roman"/>
                <w:noProof/>
                <w:sz w:val="16"/>
                <w:szCs w:val="16"/>
              </w:rPr>
              <w:t>SaF</w:t>
            </w:r>
          </w:p>
          <w:p w14:paraId="6DC8CC14" w14:textId="77777777" w:rsidR="00D163E2" w:rsidRPr="004D4A14" w:rsidRDefault="00D163E2" w:rsidP="00D163E2">
            <w:pPr>
              <w:jc w:val="center"/>
              <w:rPr>
                <w:rFonts w:eastAsia="Times New Roman" w:cs="Times New Roman"/>
                <w:noProof/>
                <w:sz w:val="16"/>
                <w:szCs w:val="16"/>
              </w:rPr>
            </w:pPr>
          </w:p>
        </w:tc>
        <w:tc>
          <w:tcPr>
            <w:tcW w:w="1162" w:type="dxa"/>
          </w:tcPr>
          <w:p w14:paraId="4B4A092F" w14:textId="77777777" w:rsidR="00D163E2" w:rsidRPr="004D4A14" w:rsidRDefault="00D163E2" w:rsidP="00D163E2">
            <w:pPr>
              <w:jc w:val="both"/>
              <w:rPr>
                <w:rFonts w:eastAsia="Times New Roman" w:cs="Times New Roman"/>
                <w:noProof/>
                <w:sz w:val="16"/>
                <w:szCs w:val="16"/>
              </w:rPr>
            </w:pPr>
            <w:r w:rsidRPr="004D4A14">
              <w:rPr>
                <w:rFonts w:eastAsia="Times New Roman" w:cs="Times New Roman"/>
                <w:noProof/>
                <w:color w:val="000000" w:themeColor="text1"/>
                <w:sz w:val="16"/>
                <w:szCs w:val="16"/>
              </w:rPr>
              <w:t>Visa Lietuva</w:t>
            </w:r>
          </w:p>
          <w:p w14:paraId="724F3BE5" w14:textId="77777777" w:rsidR="00D163E2" w:rsidRPr="004D4A14" w:rsidRDefault="00D163E2" w:rsidP="00D163E2">
            <w:pPr>
              <w:rPr>
                <w:rFonts w:eastAsia="Times New Roman" w:cs="Times New Roman"/>
                <w:noProof/>
                <w:sz w:val="16"/>
                <w:szCs w:val="16"/>
              </w:rPr>
            </w:pPr>
          </w:p>
        </w:tc>
        <w:tc>
          <w:tcPr>
            <w:tcW w:w="1134" w:type="dxa"/>
          </w:tcPr>
          <w:p w14:paraId="64B9A8A4" w14:textId="77777777" w:rsidR="00D163E2" w:rsidRPr="004D4A14" w:rsidRDefault="00D163E2" w:rsidP="00D163E2">
            <w:pPr>
              <w:jc w:val="center"/>
              <w:rPr>
                <w:rFonts w:eastAsia="Times New Roman" w:cs="Times New Roman"/>
                <w:noProof/>
                <w:sz w:val="16"/>
                <w:szCs w:val="16"/>
              </w:rPr>
            </w:pPr>
            <w:r w:rsidRPr="004D4A14">
              <w:rPr>
                <w:rFonts w:eastAsia="Times New Roman" w:cs="Times New Roman"/>
                <w:noProof/>
                <w:sz w:val="16"/>
                <w:szCs w:val="16"/>
              </w:rPr>
              <w:t>12.1</w:t>
            </w:r>
          </w:p>
          <w:p w14:paraId="41877D82" w14:textId="77777777" w:rsidR="00D163E2" w:rsidRPr="004D4A14" w:rsidRDefault="00D163E2" w:rsidP="00D163E2">
            <w:pPr>
              <w:jc w:val="center"/>
              <w:rPr>
                <w:rFonts w:eastAsia="Times New Roman" w:cs="Times New Roman"/>
                <w:noProof/>
                <w:sz w:val="16"/>
                <w:szCs w:val="16"/>
              </w:rPr>
            </w:pPr>
          </w:p>
          <w:p w14:paraId="05E6CD94" w14:textId="77777777" w:rsidR="00D163E2" w:rsidRPr="004D4A14" w:rsidRDefault="00D163E2" w:rsidP="00D163E2">
            <w:pPr>
              <w:jc w:val="center"/>
              <w:rPr>
                <w:rFonts w:eastAsia="Times New Roman" w:cs="Times New Roman"/>
                <w:b/>
                <w:bCs/>
                <w:noProof/>
                <w:sz w:val="16"/>
                <w:szCs w:val="16"/>
              </w:rPr>
            </w:pPr>
          </w:p>
        </w:tc>
        <w:tc>
          <w:tcPr>
            <w:tcW w:w="3969" w:type="dxa"/>
          </w:tcPr>
          <w:p w14:paraId="02696915" w14:textId="77777777" w:rsidR="00D163E2" w:rsidRPr="004D4A14" w:rsidRDefault="00D163E2" w:rsidP="00D163E2">
            <w:pPr>
              <w:rPr>
                <w:rFonts w:eastAsia="Times New Roman" w:cs="Times New Roman"/>
                <w:noProof/>
                <w:sz w:val="16"/>
                <w:szCs w:val="16"/>
              </w:rPr>
            </w:pPr>
            <w:r w:rsidRPr="004D4A14">
              <w:rPr>
                <w:rFonts w:eastAsia="Times New Roman" w:cs="Times New Roman"/>
                <w:noProof/>
                <w:color w:val="000000" w:themeColor="text1"/>
                <w:sz w:val="16"/>
                <w:szCs w:val="16"/>
              </w:rPr>
              <w:t>33 – Nesiorientuojant į teritoriškumą</w:t>
            </w:r>
          </w:p>
          <w:p w14:paraId="20F0F497" w14:textId="77777777" w:rsidR="00D163E2" w:rsidRPr="004D4A14" w:rsidRDefault="00D163E2" w:rsidP="00D163E2">
            <w:pPr>
              <w:rPr>
                <w:rFonts w:eastAsia="Times New Roman" w:cs="Times New Roman"/>
                <w:noProof/>
                <w:color w:val="000000" w:themeColor="text1"/>
                <w:sz w:val="16"/>
                <w:szCs w:val="16"/>
              </w:rPr>
            </w:pPr>
          </w:p>
        </w:tc>
        <w:tc>
          <w:tcPr>
            <w:tcW w:w="1559" w:type="dxa"/>
          </w:tcPr>
          <w:p w14:paraId="56E413E8" w14:textId="77777777" w:rsidR="00D163E2" w:rsidRPr="004D4A14" w:rsidRDefault="00D163E2" w:rsidP="00D163E2">
            <w:pPr>
              <w:jc w:val="right"/>
              <w:rPr>
                <w:rFonts w:cs="Times New Roman"/>
                <w:sz w:val="16"/>
                <w:szCs w:val="16"/>
              </w:rPr>
            </w:pPr>
            <w:r w:rsidRPr="004D4A14">
              <w:rPr>
                <w:rFonts w:cs="Times New Roman"/>
                <w:sz w:val="16"/>
                <w:szCs w:val="16"/>
              </w:rPr>
              <w:t>47 000 000,00</w:t>
            </w:r>
          </w:p>
          <w:p w14:paraId="06DC8DF7" w14:textId="77777777" w:rsidR="00D163E2" w:rsidRPr="004D4A14" w:rsidRDefault="00D163E2" w:rsidP="00D163E2">
            <w:pPr>
              <w:rPr>
                <w:rFonts w:cs="Times New Roman"/>
                <w:sz w:val="16"/>
                <w:szCs w:val="16"/>
              </w:rPr>
            </w:pPr>
          </w:p>
        </w:tc>
      </w:tr>
    </w:tbl>
    <w:p w14:paraId="48D6C450" w14:textId="77777777" w:rsidR="00D163E2" w:rsidRPr="004D4A14" w:rsidRDefault="00D163E2" w:rsidP="00D163E2">
      <w:pPr>
        <w:spacing w:after="0"/>
        <w:rPr>
          <w:rFonts w:cs="Times New Roman"/>
        </w:rPr>
      </w:pPr>
    </w:p>
    <w:tbl>
      <w:tblPr>
        <w:tblStyle w:val="Lentelstinklelis30"/>
        <w:tblW w:w="9747" w:type="dxa"/>
        <w:tblLook w:val="04A0" w:firstRow="1" w:lastRow="0" w:firstColumn="1" w:lastColumn="0" w:noHBand="0" w:noVBand="1"/>
      </w:tblPr>
      <w:tblGrid>
        <w:gridCol w:w="1101"/>
        <w:gridCol w:w="850"/>
        <w:gridCol w:w="1134"/>
        <w:gridCol w:w="1134"/>
        <w:gridCol w:w="4021"/>
        <w:gridCol w:w="1507"/>
      </w:tblGrid>
      <w:tr w:rsidR="00D163E2" w:rsidRPr="004D4A14" w14:paraId="1D6FBB8D" w14:textId="77777777" w:rsidTr="007A4608">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2360521" w14:textId="77777777" w:rsidR="00D163E2" w:rsidRPr="004D4A14" w:rsidRDefault="00D163E2" w:rsidP="00D163E2">
            <w:pPr>
              <w:rPr>
                <w:b/>
                <w:iCs/>
                <w:noProof/>
                <w:sz w:val="20"/>
                <w:szCs w:val="20"/>
              </w:rPr>
            </w:pPr>
            <w:r w:rsidRPr="004D4A14">
              <w:rPr>
                <w:b/>
                <w:noProof/>
                <w:sz w:val="20"/>
                <w:szCs w:val="20"/>
              </w:rPr>
              <w:t xml:space="preserve">7 lentelė. 7 matmuo. </w:t>
            </w:r>
            <w:r w:rsidRPr="004D4A14">
              <w:rPr>
                <w:b/>
                <w:sz w:val="20"/>
                <w:szCs w:val="20"/>
              </w:rPr>
              <w:t xml:space="preserve">ESF+, ERPF, </w:t>
            </w:r>
            <w:proofErr w:type="spellStart"/>
            <w:r w:rsidRPr="004D4A14">
              <w:rPr>
                <w:b/>
                <w:sz w:val="20"/>
                <w:szCs w:val="20"/>
              </w:rPr>
              <w:t>SaF</w:t>
            </w:r>
            <w:proofErr w:type="spellEnd"/>
            <w:r w:rsidRPr="004D4A14">
              <w:rPr>
                <w:b/>
                <w:sz w:val="20"/>
                <w:szCs w:val="20"/>
              </w:rPr>
              <w:t xml:space="preserve"> ir TPF lyčių lygybės matmuo</w:t>
            </w:r>
          </w:p>
        </w:tc>
      </w:tr>
      <w:tr w:rsidR="00D163E2" w:rsidRPr="004D4A14" w14:paraId="45AD296C" w14:textId="77777777" w:rsidTr="007A4608">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27ACDBD" w14:textId="77777777" w:rsidR="00D163E2" w:rsidRPr="004D4A14" w:rsidRDefault="00D163E2" w:rsidP="00D163E2">
            <w:pPr>
              <w:jc w:val="center"/>
              <w:rPr>
                <w:b/>
                <w:iCs/>
                <w:noProof/>
                <w:sz w:val="20"/>
              </w:rPr>
            </w:pPr>
            <w:r w:rsidRPr="004D4A14">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C33AA5F" w14:textId="77777777" w:rsidR="00D163E2" w:rsidRPr="004D4A14" w:rsidRDefault="00D163E2" w:rsidP="00D163E2">
            <w:pPr>
              <w:jc w:val="center"/>
              <w:rPr>
                <w:b/>
                <w:iCs/>
                <w:noProof/>
                <w:sz w:val="20"/>
              </w:rPr>
            </w:pPr>
            <w:r w:rsidRPr="004D4A14">
              <w:rPr>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51BC8C5" w14:textId="77777777" w:rsidR="00D163E2" w:rsidRPr="004D4A14" w:rsidRDefault="00D163E2" w:rsidP="00D163E2">
            <w:pPr>
              <w:jc w:val="center"/>
              <w:rPr>
                <w:b/>
                <w:iCs/>
                <w:noProof/>
                <w:sz w:val="20"/>
              </w:rPr>
            </w:pPr>
            <w:r w:rsidRPr="004D4A14">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5F1E145" w14:textId="77777777" w:rsidR="00D163E2" w:rsidRPr="004D4A14" w:rsidRDefault="00D163E2" w:rsidP="00D163E2">
            <w:pPr>
              <w:jc w:val="center"/>
              <w:rPr>
                <w:b/>
                <w:iCs/>
                <w:noProof/>
                <w:sz w:val="20"/>
              </w:rPr>
            </w:pPr>
            <w:r w:rsidRPr="004D4A14">
              <w:rPr>
                <w:b/>
                <w:noProof/>
                <w:sz w:val="20"/>
              </w:rPr>
              <w:t>Konkretus uždavinys</w:t>
            </w:r>
          </w:p>
        </w:tc>
        <w:tc>
          <w:tcPr>
            <w:tcW w:w="402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B5BD447" w14:textId="77777777" w:rsidR="00D163E2" w:rsidRPr="004D4A14" w:rsidRDefault="00D163E2" w:rsidP="00D163E2">
            <w:pPr>
              <w:jc w:val="center"/>
              <w:rPr>
                <w:b/>
                <w:iCs/>
                <w:noProof/>
                <w:sz w:val="20"/>
              </w:rPr>
            </w:pPr>
            <w:r w:rsidRPr="004D4A14">
              <w:rPr>
                <w:b/>
                <w:noProof/>
                <w:sz w:val="20"/>
              </w:rPr>
              <w:t>Kodas</w:t>
            </w:r>
          </w:p>
        </w:tc>
        <w:tc>
          <w:tcPr>
            <w:tcW w:w="150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CEB9B30" w14:textId="77777777" w:rsidR="00D163E2" w:rsidRPr="004D4A14" w:rsidRDefault="00D163E2" w:rsidP="00D163E2">
            <w:pPr>
              <w:jc w:val="center"/>
              <w:rPr>
                <w:b/>
                <w:iCs/>
                <w:noProof/>
                <w:sz w:val="20"/>
              </w:rPr>
            </w:pPr>
            <w:r w:rsidRPr="004D4A14">
              <w:rPr>
                <w:b/>
                <w:noProof/>
                <w:sz w:val="20"/>
              </w:rPr>
              <w:t>Suma (EUR)</w:t>
            </w:r>
          </w:p>
        </w:tc>
      </w:tr>
      <w:tr w:rsidR="00D163E2" w:rsidRPr="004D4A14" w14:paraId="39DCAF50" w14:textId="77777777" w:rsidTr="007A4608">
        <w:tc>
          <w:tcPr>
            <w:tcW w:w="1101" w:type="dxa"/>
            <w:tcBorders>
              <w:top w:val="single" w:sz="12" w:space="0" w:color="auto"/>
              <w:bottom w:val="single" w:sz="4" w:space="0" w:color="auto"/>
            </w:tcBorders>
          </w:tcPr>
          <w:p w14:paraId="1F1AFBCA" w14:textId="77777777" w:rsidR="00D163E2" w:rsidRPr="004D4A14" w:rsidRDefault="00D163E2" w:rsidP="00D163E2">
            <w:pPr>
              <w:jc w:val="center"/>
              <w:rPr>
                <w:noProof/>
                <w:sz w:val="16"/>
                <w:szCs w:val="16"/>
              </w:rPr>
            </w:pPr>
            <w:r w:rsidRPr="004D4A14">
              <w:rPr>
                <w:noProof/>
                <w:sz w:val="16"/>
                <w:szCs w:val="16"/>
              </w:rPr>
              <w:t>12</w:t>
            </w:r>
          </w:p>
        </w:tc>
        <w:tc>
          <w:tcPr>
            <w:tcW w:w="850" w:type="dxa"/>
            <w:tcBorders>
              <w:top w:val="single" w:sz="12" w:space="0" w:color="auto"/>
              <w:bottom w:val="single" w:sz="4" w:space="0" w:color="auto"/>
            </w:tcBorders>
          </w:tcPr>
          <w:p w14:paraId="693A28E8" w14:textId="77777777" w:rsidR="00D163E2" w:rsidRPr="004D4A14" w:rsidRDefault="00D163E2" w:rsidP="00D163E2">
            <w:pPr>
              <w:jc w:val="center"/>
              <w:rPr>
                <w:noProof/>
                <w:sz w:val="16"/>
                <w:szCs w:val="16"/>
              </w:rPr>
            </w:pPr>
            <w:r w:rsidRPr="004D4A14">
              <w:rPr>
                <w:noProof/>
                <w:sz w:val="16"/>
                <w:szCs w:val="16"/>
              </w:rPr>
              <w:t>SaF</w:t>
            </w:r>
          </w:p>
          <w:p w14:paraId="774032C8" w14:textId="77777777" w:rsidR="00D163E2" w:rsidRPr="004D4A14" w:rsidRDefault="00D163E2" w:rsidP="00D163E2">
            <w:pPr>
              <w:jc w:val="center"/>
              <w:rPr>
                <w:noProof/>
                <w:sz w:val="16"/>
                <w:szCs w:val="16"/>
              </w:rPr>
            </w:pPr>
          </w:p>
        </w:tc>
        <w:tc>
          <w:tcPr>
            <w:tcW w:w="1134" w:type="dxa"/>
            <w:tcBorders>
              <w:top w:val="single" w:sz="12" w:space="0" w:color="auto"/>
              <w:bottom w:val="single" w:sz="4" w:space="0" w:color="auto"/>
            </w:tcBorders>
          </w:tcPr>
          <w:p w14:paraId="74E90F13" w14:textId="77777777" w:rsidR="00D163E2" w:rsidRPr="004D4A14" w:rsidRDefault="00D163E2" w:rsidP="00D163E2">
            <w:pPr>
              <w:jc w:val="both"/>
              <w:rPr>
                <w:noProof/>
                <w:sz w:val="16"/>
                <w:szCs w:val="16"/>
              </w:rPr>
            </w:pPr>
            <w:r w:rsidRPr="004D4A14">
              <w:rPr>
                <w:noProof/>
                <w:color w:val="000000" w:themeColor="text1"/>
                <w:sz w:val="16"/>
                <w:szCs w:val="16"/>
              </w:rPr>
              <w:t>Visa Lietuva</w:t>
            </w:r>
          </w:p>
          <w:p w14:paraId="2BF445D0" w14:textId="77777777" w:rsidR="00D163E2" w:rsidRPr="004D4A14" w:rsidRDefault="00D163E2" w:rsidP="00D163E2">
            <w:pPr>
              <w:rPr>
                <w:noProof/>
                <w:sz w:val="16"/>
                <w:szCs w:val="16"/>
              </w:rPr>
            </w:pPr>
          </w:p>
        </w:tc>
        <w:tc>
          <w:tcPr>
            <w:tcW w:w="1134" w:type="dxa"/>
            <w:tcBorders>
              <w:top w:val="single" w:sz="12" w:space="0" w:color="auto"/>
              <w:bottom w:val="single" w:sz="4" w:space="0" w:color="auto"/>
            </w:tcBorders>
          </w:tcPr>
          <w:p w14:paraId="5527046B" w14:textId="77777777" w:rsidR="00D163E2" w:rsidRPr="004D4A14" w:rsidRDefault="00D163E2" w:rsidP="00D163E2">
            <w:pPr>
              <w:jc w:val="center"/>
              <w:rPr>
                <w:noProof/>
                <w:sz w:val="16"/>
                <w:szCs w:val="16"/>
              </w:rPr>
            </w:pPr>
            <w:r w:rsidRPr="004D4A14">
              <w:rPr>
                <w:noProof/>
                <w:sz w:val="16"/>
                <w:szCs w:val="16"/>
              </w:rPr>
              <w:t>12.1</w:t>
            </w:r>
          </w:p>
          <w:p w14:paraId="54E15E21" w14:textId="77777777" w:rsidR="00D163E2" w:rsidRPr="004D4A14" w:rsidRDefault="00D163E2" w:rsidP="00D163E2">
            <w:pPr>
              <w:jc w:val="center"/>
              <w:rPr>
                <w:noProof/>
                <w:sz w:val="16"/>
                <w:szCs w:val="16"/>
              </w:rPr>
            </w:pPr>
          </w:p>
          <w:p w14:paraId="64E4E8FC" w14:textId="77777777" w:rsidR="00D163E2" w:rsidRPr="004D4A14" w:rsidRDefault="00D163E2" w:rsidP="00D163E2">
            <w:pPr>
              <w:jc w:val="center"/>
              <w:rPr>
                <w:noProof/>
                <w:sz w:val="16"/>
                <w:szCs w:val="16"/>
              </w:rPr>
            </w:pPr>
          </w:p>
        </w:tc>
        <w:tc>
          <w:tcPr>
            <w:tcW w:w="4021" w:type="dxa"/>
            <w:tcBorders>
              <w:top w:val="single" w:sz="12" w:space="0" w:color="auto"/>
              <w:bottom w:val="single" w:sz="4" w:space="0" w:color="auto"/>
            </w:tcBorders>
          </w:tcPr>
          <w:p w14:paraId="3CCAF2F3" w14:textId="77777777" w:rsidR="00D163E2" w:rsidRPr="004D4A14" w:rsidRDefault="00D163E2" w:rsidP="00D163E2">
            <w:pPr>
              <w:rPr>
                <w:noProof/>
                <w:sz w:val="16"/>
                <w:szCs w:val="16"/>
              </w:rPr>
            </w:pPr>
            <w:r w:rsidRPr="004D4A14">
              <w:rPr>
                <w:noProof/>
                <w:color w:val="000000" w:themeColor="text1"/>
                <w:sz w:val="16"/>
                <w:szCs w:val="16"/>
              </w:rPr>
              <w:t>03 – Neutralumas lyties požiūriu</w:t>
            </w:r>
          </w:p>
          <w:p w14:paraId="50D7213A" w14:textId="77777777" w:rsidR="00D163E2" w:rsidRPr="004D4A14" w:rsidRDefault="00D163E2" w:rsidP="00D163E2">
            <w:pPr>
              <w:rPr>
                <w:noProof/>
                <w:sz w:val="16"/>
                <w:szCs w:val="16"/>
              </w:rPr>
            </w:pPr>
          </w:p>
        </w:tc>
        <w:tc>
          <w:tcPr>
            <w:tcW w:w="1507" w:type="dxa"/>
            <w:tcBorders>
              <w:top w:val="single" w:sz="12" w:space="0" w:color="auto"/>
              <w:bottom w:val="single" w:sz="4" w:space="0" w:color="auto"/>
            </w:tcBorders>
          </w:tcPr>
          <w:p w14:paraId="68229CD0" w14:textId="77777777" w:rsidR="00D163E2" w:rsidRPr="004D4A14" w:rsidRDefault="00D163E2" w:rsidP="00D163E2">
            <w:pPr>
              <w:jc w:val="right"/>
              <w:rPr>
                <w:sz w:val="16"/>
                <w:szCs w:val="16"/>
              </w:rPr>
            </w:pPr>
            <w:r w:rsidRPr="004D4A14">
              <w:rPr>
                <w:sz w:val="16"/>
                <w:szCs w:val="16"/>
              </w:rPr>
              <w:t>47 000 000,00</w:t>
            </w:r>
          </w:p>
          <w:p w14:paraId="12E6C33D" w14:textId="77777777" w:rsidR="00D163E2" w:rsidRPr="004D4A14" w:rsidRDefault="00D163E2" w:rsidP="00D163E2">
            <w:pPr>
              <w:rPr>
                <w:noProof/>
                <w:sz w:val="16"/>
                <w:szCs w:val="16"/>
              </w:rPr>
            </w:pPr>
          </w:p>
        </w:tc>
      </w:tr>
    </w:tbl>
    <w:p w14:paraId="0C587C3B" w14:textId="067CAC14" w:rsidR="009C14FB" w:rsidRPr="004D4A14" w:rsidRDefault="009C14FB" w:rsidP="00197FF3">
      <w:pPr>
        <w:pStyle w:val="Pagrindinispaprastastekstas"/>
        <w:rPr>
          <w:lang w:bidi="lt-LT"/>
        </w:rPr>
      </w:pPr>
    </w:p>
    <w:p w14:paraId="77E21C61" w14:textId="77777777" w:rsidR="009C14FB" w:rsidRPr="004D4A14" w:rsidRDefault="009C14FB">
      <w:pPr>
        <w:rPr>
          <w:rFonts w:asciiTheme="majorHAnsi" w:eastAsia="Times New Roman" w:hAnsiTheme="majorHAnsi" w:cs="Times New Roman"/>
          <w:sz w:val="22"/>
          <w:szCs w:val="24"/>
          <w:lang w:bidi="lt-LT"/>
        </w:rPr>
      </w:pPr>
      <w:r w:rsidRPr="004D4A14">
        <w:rPr>
          <w:lang w:bidi="lt-LT"/>
        </w:rPr>
        <w:br w:type="page"/>
      </w:r>
    </w:p>
    <w:p w14:paraId="30550058" w14:textId="77777777" w:rsidR="00197FF3" w:rsidRPr="004D4A14" w:rsidRDefault="00197FF3" w:rsidP="00197FF3">
      <w:pPr>
        <w:pStyle w:val="Antrat1"/>
        <w:rPr>
          <w:rFonts w:eastAsia="Times New Roman" w:cs="Times New Roman"/>
          <w:sz w:val="22"/>
          <w:szCs w:val="24"/>
          <w:lang w:bidi="lt-LT"/>
        </w:rPr>
      </w:pPr>
      <w:r w:rsidRPr="004D4A14">
        <w:rPr>
          <w:rFonts w:ascii="Times New Roman" w:hAnsi="Times New Roman" w:cs="Times New Roman"/>
        </w:rPr>
        <w:lastRenderedPageBreak/>
        <w:t>13. specialus prioritetas.  energetinės infrastruktūros atsparumo didinimas</w:t>
      </w:r>
    </w:p>
    <w:p w14:paraId="47FAFCD8" w14:textId="5A78BD75" w:rsidR="00197FF3" w:rsidRPr="004D4A14" w:rsidRDefault="00197FF3" w:rsidP="00197FF3">
      <w:pPr>
        <w:pStyle w:val="Antrat2"/>
        <w:jc w:val="both"/>
        <w:rPr>
          <w:color w:val="EE0000"/>
        </w:rPr>
      </w:pPr>
      <w:r w:rsidRPr="004D4A14">
        <w:t xml:space="preserve">Konkretus uždavinys – 13.1. </w:t>
      </w:r>
      <w:r w:rsidR="001D3B11" w:rsidRPr="004D4A14">
        <w:rPr>
          <w:szCs w:val="24"/>
        </w:rPr>
        <w:t>Skatinti energetikos jungčių ir susijusios perdavimo, paskirstymo ir pagalbinės infrastruktūros, taip pat kritinės energetinės infrastruktūros apsaugą bei įkrovimo infrastruktūros diegimą</w:t>
      </w:r>
    </w:p>
    <w:p w14:paraId="02C2D240" w14:textId="77777777" w:rsidR="00197FF3" w:rsidRPr="004D4A14" w:rsidRDefault="00197FF3" w:rsidP="00197FF3">
      <w:pPr>
        <w:pStyle w:val="Stilius1"/>
      </w:pPr>
      <w:r w:rsidRPr="004D4A14">
        <w:t>Įgyvendinamos veiklos</w:t>
      </w:r>
    </w:p>
    <w:tbl>
      <w:tblPr>
        <w:tblStyle w:val="Lentelstinklelis2"/>
        <w:tblW w:w="9634" w:type="dxa"/>
        <w:tblLook w:val="04A0" w:firstRow="1" w:lastRow="0" w:firstColumn="1" w:lastColumn="0" w:noHBand="0" w:noVBand="1"/>
      </w:tblPr>
      <w:tblGrid>
        <w:gridCol w:w="9634"/>
      </w:tblGrid>
      <w:tr w:rsidR="00197FF3" w:rsidRPr="004D4A14" w14:paraId="19822022" w14:textId="77777777" w:rsidTr="00E01FFD">
        <w:trPr>
          <w:trHeight w:val="283"/>
        </w:trPr>
        <w:tc>
          <w:tcPr>
            <w:tcW w:w="9634" w:type="dxa"/>
          </w:tcPr>
          <w:p w14:paraId="07088452" w14:textId="77777777" w:rsidR="00197FF3" w:rsidRPr="004D4A14" w:rsidRDefault="00197FF3" w:rsidP="007A4608">
            <w:pPr>
              <w:spacing w:before="60" w:after="60"/>
              <w:jc w:val="both"/>
              <w:rPr>
                <w:rFonts w:ascii="Times New Roman" w:eastAsia="Times New Roman" w:hAnsi="Times New Roman" w:cs="Times New Roman"/>
                <w:sz w:val="24"/>
                <w:szCs w:val="24"/>
              </w:rPr>
            </w:pPr>
            <w:r w:rsidRPr="004D4A14">
              <w:rPr>
                <w:rFonts w:ascii="Times New Roman" w:eastAsia="Times New Roman" w:hAnsi="Times New Roman" w:cs="Times New Roman"/>
              </w:rPr>
              <w:t xml:space="preserve">Požeminių kabelių įrengimas užtikrina stabilų ir nepertraukiamą elektros tiekimą skirstymo lygiu. Ši sustiprinta apsauga garantuoja tiekimo tęstinumą ir atitinka kritinės infrastruktūros atsparumo poreikius. Svarbu pažymėti, kad požeminės elektros kabelių linijos užtikrina ženkliai didesnę infrastruktūros apsaugą hibridinių atakų ar karinių operacijų atveju, nes požeminė infrastruktūra yra daug atsparesnė fizinei žalai ir ją sunkiau vizualiai aptikti. </w:t>
            </w:r>
          </w:p>
          <w:p w14:paraId="6CC8F190" w14:textId="77777777" w:rsidR="00197FF3" w:rsidRPr="004D4A14" w:rsidRDefault="00197FF3" w:rsidP="007A4608">
            <w:pPr>
              <w:autoSpaceDE w:val="0"/>
              <w:autoSpaceDN w:val="0"/>
              <w:spacing w:before="60" w:after="60"/>
              <w:jc w:val="both"/>
              <w:rPr>
                <w:rFonts w:ascii="Times New Roman" w:eastAsia="Times New Roman" w:hAnsi="Times New Roman" w:cs="Times New Roman"/>
              </w:rPr>
            </w:pPr>
            <w:r w:rsidRPr="004D4A14">
              <w:rPr>
                <w:rFonts w:ascii="Times New Roman" w:eastAsia="Times New Roman" w:hAnsi="Times New Roman" w:cs="Times New Roman"/>
              </w:rPr>
              <w:t xml:space="preserve">Šis uždavinys prisidės prie elektros energijos tiekimo patikimumo stiprinimo – požeminės elektros kabelių linijos didina tiekimo patikimumą, nes yra apsaugotos nuo išorinių veiksnių, kurie dažnai pažeidžia oro linijas – pavyzdžiui, stipraus vėjo, audrų, ledo sluoksnio, kritusių medžių ar žaibų. Kabeliai po žeme mažiau pažeidžiami atmosferos, mechaninio poveikio ar nuo galimų hibridinių atakų, todėl sumažėja gedimų ir avarijų rizika, užtikrinamas stabilesnis ir patikimesnis elektros tiekimas vartotojams. </w:t>
            </w:r>
          </w:p>
          <w:p w14:paraId="73E825D9" w14:textId="6FB254D0" w:rsidR="00197FF3" w:rsidRPr="004D4A14" w:rsidRDefault="00197FF3" w:rsidP="007A4608">
            <w:pPr>
              <w:autoSpaceDE w:val="0"/>
              <w:autoSpaceDN w:val="0"/>
              <w:spacing w:before="60" w:after="60"/>
              <w:jc w:val="both"/>
              <w:rPr>
                <w:rFonts w:ascii="Times New Roman" w:eastAsia="Times New Roman" w:hAnsi="Times New Roman" w:cs="Times New Roman"/>
              </w:rPr>
            </w:pPr>
            <w:r w:rsidRPr="004D4A14">
              <w:rPr>
                <w:rFonts w:ascii="Times New Roman" w:eastAsia="Times New Roman" w:hAnsi="Times New Roman" w:cs="Times New Roman"/>
              </w:rPr>
              <w:t xml:space="preserve">Apie 80 proc. elektros tiekimo atjungimų įvyksta dėl sutrikimų 10 </w:t>
            </w:r>
            <w:proofErr w:type="spellStart"/>
            <w:r w:rsidRPr="004D4A14">
              <w:rPr>
                <w:rFonts w:ascii="Times New Roman" w:eastAsia="Times New Roman" w:hAnsi="Times New Roman" w:cs="Times New Roman"/>
              </w:rPr>
              <w:t>kV</w:t>
            </w:r>
            <w:proofErr w:type="spellEnd"/>
            <w:r w:rsidRPr="004D4A14">
              <w:rPr>
                <w:rFonts w:ascii="Times New Roman" w:eastAsia="Times New Roman" w:hAnsi="Times New Roman" w:cs="Times New Roman"/>
              </w:rPr>
              <w:t xml:space="preserve"> tinkle, kuris pažeidžiamas krentančių medžių ir jų šakų. 2020 metais įvykusi audra Laura buvo didžiausia, tačiau jau 2024 m. per Lietuvą praūžė kelis kartus galingesnė audra Kirsti, kuri be elektros paliko daugiau nei 474 tūkst. vartotojų, o kai kuriems elektros energiją pavyko atstatyti tik po 8 dienų. Pagrindinė priežastis – nuvirtusių medžių kiekis buvo daugiau nei 3 kartus didesnis nei bet kada anksčiau.</w:t>
            </w:r>
          </w:p>
          <w:p w14:paraId="2C00F330" w14:textId="77777777" w:rsidR="00197FF3" w:rsidRPr="004D4A14" w:rsidRDefault="00197FF3" w:rsidP="007A4608">
            <w:pPr>
              <w:spacing w:before="60" w:after="60"/>
              <w:jc w:val="both"/>
              <w:rPr>
                <w:rFonts w:ascii="Times New Roman" w:eastAsia="Times New Roman" w:hAnsi="Times New Roman" w:cs="Times New Roman"/>
              </w:rPr>
            </w:pPr>
            <w:r w:rsidRPr="004D4A14">
              <w:rPr>
                <w:rFonts w:ascii="Times New Roman" w:eastAsia="Times New Roman" w:hAnsi="Times New Roman" w:cs="Times New Roman"/>
              </w:rPr>
              <w:t>Veiksmas, siekiant didinti elektros energijos tiekimo kokybę ir patikimumą:</w:t>
            </w:r>
          </w:p>
          <w:p w14:paraId="3B7E4DEE" w14:textId="77777777" w:rsidR="00197FF3" w:rsidRPr="004D4A14" w:rsidRDefault="00197FF3" w:rsidP="007A4608">
            <w:pPr>
              <w:spacing w:before="120" w:after="120"/>
              <w:jc w:val="both"/>
              <w:rPr>
                <w:rFonts w:ascii="Times New Roman" w:eastAsia="Times New Roman" w:hAnsi="Times New Roman" w:cs="Times New Roman"/>
              </w:rPr>
            </w:pPr>
            <w:r w:rsidRPr="004D4A14">
              <w:rPr>
                <w:rFonts w:ascii="Times New Roman" w:eastAsia="Times New Roman" w:hAnsi="Times New Roman" w:cs="Times New Roman"/>
                <w:b/>
                <w:bCs/>
              </w:rPr>
              <w:t xml:space="preserve">Elektros oro linijų pakeitimas kabeliais po žeme miškingose vietovėse: </w:t>
            </w:r>
            <w:r w:rsidRPr="004D4A14">
              <w:rPr>
                <w:rFonts w:ascii="Times New Roman" w:eastAsia="Times New Roman" w:hAnsi="Times New Roman" w:cs="Times New Roman"/>
              </w:rPr>
              <w:t>elektros energetikos sistemos tinkamam ir tvariam funkcionavimui reikalingas išoriniam poveikiui atsparus ir patikimas elektros energijos perdavimo ir skirstymo tinklas. Siekian</w:t>
            </w:r>
            <w:r w:rsidRPr="004D4A14">
              <w:rPr>
                <w:rFonts w:eastAsia="Times New Roman" w:cs="Times New Roman"/>
              </w:rPr>
              <w:t>t</w:t>
            </w:r>
            <w:r w:rsidRPr="004D4A14">
              <w:rPr>
                <w:rFonts w:ascii="Times New Roman" w:eastAsia="Times New Roman" w:hAnsi="Times New Roman" w:cs="Times New Roman"/>
              </w:rPr>
              <w:t xml:space="preserve"> didinti tinklo apsaugą hibridinių atakų ar karinių operacijų atveju, taip pat mažinti gamtos sukeliamų elektros tinklo gedimų poveikį ir miškingose vietovėse apsaugoti elektros tinklą nuo užvirsti ant laidų galinčių medžių, bus keičiamos elektros oro linijos kabelių požeminėmis linijomis. Bus investuojama į elektros linijų tiesimą bei atnaujinimą ir elektros linijų kabelių klojimą, didinant elektros energijos tinklo tvarumą ir lankstumą. Taip miškingose vietovėse elektros tinklas apsaugomas nuo užvirsti ant laidų galinčių medžių ir padidinamas elektros skirstomojo tinklo atsparumas.</w:t>
            </w:r>
          </w:p>
          <w:p w14:paraId="18C693F7" w14:textId="7F4C2EEA" w:rsidR="00197FF3" w:rsidRPr="004D4A14" w:rsidRDefault="00197FF3" w:rsidP="009C14FB">
            <w:pPr>
              <w:pStyle w:val="Sraopastraipa"/>
              <w:tabs>
                <w:tab w:val="left" w:pos="492"/>
              </w:tabs>
              <w:spacing w:before="60" w:after="60"/>
              <w:ind w:left="0"/>
              <w:contextualSpacing w:val="0"/>
              <w:jc w:val="both"/>
              <w:textAlignment w:val="top"/>
              <w:rPr>
                <w:rFonts w:ascii="Times New Roman" w:eastAsia="Times New Roman" w:hAnsi="Times New Roman" w:cs="Times New Roman"/>
                <w:lang w:eastAsia="lt-LT"/>
              </w:rPr>
            </w:pPr>
            <w:r w:rsidRPr="004D4A14">
              <w:rPr>
                <w:rFonts w:ascii="Times New Roman" w:eastAsia="Times New Roman" w:hAnsi="Times New Roman" w:cs="Times New Roman"/>
              </w:rPr>
              <w:t xml:space="preserve">Požeminės elektros kabelių linijos užtikrina didesnį infrastruktūros atsparumą hibridinių atakų ar karinių veiksmų metu, nes požeminė infrastruktūra yra geriau apsaugota nuo fizinio pažeidimo ir yra sunkiau aptinkama vizualiai. Šie aspektai yra ypatingai aktualūs atsižvelgiant į Lietuvos, kaip Europos Sąjungos pasienio valstybės, esančios šalia šalių agresorių situaciją ir iš to kylančias grėsmes. Ypatingai, kai pastaraisiais metais yra vykdomos hibridinės atakos prieš Europos Sąjungos kritinę energetikos infrastruktūrą, o pastaruoju metu pasitaiko atvejų kuomet pažeidžiant oro erdvę iš Rusijos ir (ar) Baltarusijos  atskridę bepiločiai orlaiviai ar kiti objektai sudūžta Lietuvos teritorijoje. </w:t>
            </w:r>
            <w:r w:rsidRPr="004D4A14">
              <w:rPr>
                <w:rFonts w:ascii="Times New Roman" w:eastAsia="Times New Roman" w:hAnsi="Times New Roman" w:cs="Times New Roman"/>
                <w:lang w:eastAsia="lt-LT"/>
              </w:rPr>
              <w:t>Veikla bus vykdoma visoje Lietuvoje.</w:t>
            </w:r>
          </w:p>
          <w:p w14:paraId="1527234E" w14:textId="77777777" w:rsidR="00197FF3" w:rsidRPr="004D4A14" w:rsidRDefault="00197FF3" w:rsidP="007A4608">
            <w:pPr>
              <w:spacing w:before="120" w:after="120"/>
              <w:jc w:val="both"/>
              <w:rPr>
                <w:rFonts w:ascii="Times New Roman" w:eastAsia="Times New Roman" w:hAnsi="Times New Roman" w:cs="Times New Roman"/>
                <w:bCs/>
              </w:rPr>
            </w:pPr>
            <w:r w:rsidRPr="004D4A14">
              <w:rPr>
                <w:rFonts w:ascii="Times New Roman" w:eastAsia="Times New Roman" w:hAnsi="Times New Roman" w:cs="Times New Roman"/>
                <w:noProof/>
                <w:szCs w:val="24"/>
              </w:rPr>
              <w:t>Uždavinio veiklos (</w:t>
            </w:r>
            <w:r w:rsidRPr="004D4A14">
              <w:rPr>
                <w:rFonts w:ascii="Times New Roman" w:eastAsia="Times New Roman" w:hAnsi="Times New Roman" w:cs="Times New Roman"/>
                <w:bCs/>
                <w:noProof/>
                <w:szCs w:val="24"/>
              </w:rPr>
              <w:t>veiksmų rūšys</w:t>
            </w:r>
            <w:r w:rsidRPr="004D4A14">
              <w:rPr>
                <w:rFonts w:ascii="Times New Roman" w:eastAsia="Times New Roman" w:hAnsi="Times New Roman" w:cs="Times New Roman"/>
                <w:noProof/>
                <w:szCs w:val="24"/>
              </w:rPr>
              <w:t xml:space="preserve">) įvertintos vadovaujantis </w:t>
            </w:r>
            <w:r w:rsidRPr="004D4A14">
              <w:rPr>
                <w:rFonts w:ascii="Times New Roman" w:eastAsia="Times New Roman" w:hAnsi="Times New Roman" w:cs="Times New Roman"/>
                <w:bCs/>
                <w:noProof/>
                <w:szCs w:val="24"/>
              </w:rPr>
              <w:t>EGADP</w:t>
            </w:r>
            <w:r w:rsidRPr="004D4A14">
              <w:rPr>
                <w:rFonts w:ascii="Times New Roman" w:eastAsia="Times New Roman" w:hAnsi="Times New Roman" w:cs="Times New Roman"/>
                <w:noProof/>
                <w:szCs w:val="24"/>
              </w:rPr>
              <w:t xml:space="preserve"> NRŽ gairėmis, todėl laikoma, kad atitinka NRŽ principą.</w:t>
            </w:r>
          </w:p>
        </w:tc>
      </w:tr>
    </w:tbl>
    <w:p w14:paraId="3017860E" w14:textId="77777777" w:rsidR="00197FF3" w:rsidRPr="004D4A14" w:rsidRDefault="00197FF3" w:rsidP="00197FF3">
      <w:pPr>
        <w:pStyle w:val="Stilius1"/>
      </w:pPr>
      <w:r w:rsidRPr="004D4A14">
        <w:t>Pagrindinės tikslinės grupės</w:t>
      </w:r>
    </w:p>
    <w:tbl>
      <w:tblPr>
        <w:tblStyle w:val="Lentelstinklelis2"/>
        <w:tblW w:w="0" w:type="auto"/>
        <w:tblLook w:val="04A0" w:firstRow="1" w:lastRow="0" w:firstColumn="1" w:lastColumn="0" w:noHBand="0" w:noVBand="1"/>
      </w:tblPr>
      <w:tblGrid>
        <w:gridCol w:w="9628"/>
      </w:tblGrid>
      <w:tr w:rsidR="00197FF3" w:rsidRPr="004D4A14" w14:paraId="3E44800F" w14:textId="77777777" w:rsidTr="007A4608">
        <w:tc>
          <w:tcPr>
            <w:tcW w:w="9854" w:type="dxa"/>
          </w:tcPr>
          <w:p w14:paraId="117E886D" w14:textId="77777777" w:rsidR="00197FF3" w:rsidRPr="004D4A14" w:rsidRDefault="00197FF3" w:rsidP="009C14FB">
            <w:pPr>
              <w:pStyle w:val="Default"/>
              <w:spacing w:after="240"/>
              <w:jc w:val="both"/>
              <w:rPr>
                <w:rFonts w:ascii="Times New Roman" w:hAnsi="Times New Roman"/>
                <w:szCs w:val="22"/>
              </w:rPr>
            </w:pPr>
            <w:r w:rsidRPr="004D4A14">
              <w:rPr>
                <w:rFonts w:ascii="Times New Roman" w:hAnsi="Times New Roman"/>
                <w:color w:val="000000" w:themeColor="text1"/>
                <w:szCs w:val="22"/>
                <w:lang w:eastAsia="lt-LT"/>
              </w:rPr>
              <w:t>AB „Energijos skirstymo operatorius“</w:t>
            </w:r>
            <w:r w:rsidRPr="004D4A14">
              <w:rPr>
                <w:rFonts w:ascii="Times New Roman" w:eastAsia="Times New Roman" w:hAnsi="Times New Roman"/>
                <w:color w:val="auto"/>
                <w:szCs w:val="22"/>
                <w:lang w:eastAsia="lt-LT"/>
              </w:rPr>
              <w:t>, elektros energijos vartotojai.</w:t>
            </w:r>
          </w:p>
        </w:tc>
      </w:tr>
    </w:tbl>
    <w:p w14:paraId="64F19DB5" w14:textId="77777777" w:rsidR="00197FF3" w:rsidRPr="004D4A14" w:rsidRDefault="00197FF3" w:rsidP="00197FF3">
      <w:pPr>
        <w:pStyle w:val="Stilius1"/>
        <w:rPr>
          <w:rFonts w:eastAsia="Times New Roman"/>
          <w:iCs/>
          <w:noProof/>
          <w:lang w:eastAsia="lt-LT" w:bidi="lt-LT"/>
        </w:rPr>
      </w:pPr>
      <w:r w:rsidRPr="004D4A14">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197FF3" w:rsidRPr="004D4A14" w14:paraId="3021F187" w14:textId="77777777" w:rsidTr="007A4608">
        <w:trPr>
          <w:trHeight w:val="82"/>
        </w:trPr>
        <w:tc>
          <w:tcPr>
            <w:tcW w:w="9854" w:type="dxa"/>
          </w:tcPr>
          <w:p w14:paraId="243C15ED" w14:textId="77777777" w:rsidR="00197FF3" w:rsidRPr="004D4A14" w:rsidRDefault="00197FF3" w:rsidP="007A4608">
            <w:pPr>
              <w:pStyle w:val="Stilius1"/>
              <w:jc w:val="both"/>
              <w:rPr>
                <w:b w:val="0"/>
                <w:i w:val="0"/>
                <w:color w:val="auto"/>
                <w:sz w:val="22"/>
              </w:rPr>
            </w:pPr>
            <w:r w:rsidRPr="004D4A14">
              <w:rPr>
                <w:rFonts w:eastAsia="Times New Roman" w:cs="Times New Roman"/>
                <w:b w:val="0"/>
                <w:i w:val="0"/>
                <w:color w:val="auto"/>
                <w:sz w:val="22"/>
                <w:szCs w:val="24"/>
                <w:lang w:eastAsia="lt-LT"/>
              </w:rPr>
              <w:t>Netaikoma</w:t>
            </w:r>
          </w:p>
        </w:tc>
      </w:tr>
    </w:tbl>
    <w:p w14:paraId="213B8603" w14:textId="77777777" w:rsidR="00197FF3" w:rsidRPr="004D4A14" w:rsidRDefault="00197FF3" w:rsidP="00197FF3">
      <w:pPr>
        <w:pStyle w:val="Stilius1"/>
      </w:pPr>
      <w:r w:rsidRPr="004D4A14">
        <w:t>Konkrečios tikslinės teritorijos, įskaitant planuojamą teritorinių priemonių panaudojimą</w:t>
      </w:r>
    </w:p>
    <w:tbl>
      <w:tblPr>
        <w:tblStyle w:val="Lentelstinklelis2"/>
        <w:tblW w:w="0" w:type="auto"/>
        <w:tblLook w:val="04A0" w:firstRow="1" w:lastRow="0" w:firstColumn="1" w:lastColumn="0" w:noHBand="0" w:noVBand="1"/>
      </w:tblPr>
      <w:tblGrid>
        <w:gridCol w:w="9628"/>
      </w:tblGrid>
      <w:tr w:rsidR="00197FF3" w:rsidRPr="004D4A14" w14:paraId="6776A1FE" w14:textId="77777777" w:rsidTr="007A4608">
        <w:tc>
          <w:tcPr>
            <w:tcW w:w="9854" w:type="dxa"/>
          </w:tcPr>
          <w:p w14:paraId="0390DCE3" w14:textId="77777777" w:rsidR="00197FF3" w:rsidRPr="004D4A14" w:rsidRDefault="00197FF3" w:rsidP="007A4608">
            <w:pPr>
              <w:spacing w:before="120" w:after="120"/>
              <w:jc w:val="both"/>
              <w:rPr>
                <w:rFonts w:ascii="Times New Roman" w:hAnsi="Times New Roman" w:cs="Times New Roman"/>
                <w:iCs/>
                <w:spacing w:val="-4"/>
              </w:rPr>
            </w:pPr>
            <w:r w:rsidRPr="004D4A14">
              <w:rPr>
                <w:rFonts w:ascii="Times New Roman" w:eastAsia="Times New Roman" w:hAnsi="Times New Roman" w:cs="Times New Roman"/>
                <w:szCs w:val="24"/>
                <w:lang w:eastAsia="lt-LT"/>
              </w:rPr>
              <w:lastRenderedPageBreak/>
              <w:t>Visa Lietuva</w:t>
            </w:r>
          </w:p>
        </w:tc>
      </w:tr>
    </w:tbl>
    <w:p w14:paraId="4D316996" w14:textId="77777777" w:rsidR="00197FF3" w:rsidRPr="004D4A14" w:rsidRDefault="00197FF3" w:rsidP="00197FF3">
      <w:pPr>
        <w:pStyle w:val="Stilius1"/>
      </w:pPr>
      <w:r w:rsidRPr="004D4A14">
        <w:t>Tarpregioniniai, tarp sienų ir tarpvalstybiniai veiksmai</w:t>
      </w:r>
    </w:p>
    <w:tbl>
      <w:tblPr>
        <w:tblStyle w:val="Lentelstinklelis2"/>
        <w:tblW w:w="9628" w:type="dxa"/>
        <w:tblLook w:val="04A0" w:firstRow="1" w:lastRow="0" w:firstColumn="1" w:lastColumn="0" w:noHBand="0" w:noVBand="1"/>
      </w:tblPr>
      <w:tblGrid>
        <w:gridCol w:w="9628"/>
      </w:tblGrid>
      <w:tr w:rsidR="00197FF3" w:rsidRPr="004D4A14" w14:paraId="2175920A" w14:textId="77777777" w:rsidTr="007A4608">
        <w:tc>
          <w:tcPr>
            <w:tcW w:w="9628" w:type="dxa"/>
          </w:tcPr>
          <w:p w14:paraId="7BAC70F0" w14:textId="77777777" w:rsidR="00197FF3" w:rsidRPr="004D4A14" w:rsidRDefault="00197FF3" w:rsidP="007A4608">
            <w:pPr>
              <w:spacing w:before="120" w:after="120"/>
              <w:jc w:val="both"/>
              <w:rPr>
                <w:rFonts w:cs="Times New Roman"/>
                <w:color w:val="EE0000"/>
              </w:rPr>
            </w:pPr>
            <w:r w:rsidRPr="004D4A14">
              <w:rPr>
                <w:rFonts w:ascii="Times New Roman" w:hAnsi="Times New Roman" w:cs="Times New Roman"/>
                <w:noProof/>
                <w:lang w:eastAsia="lt-LT"/>
              </w:rPr>
              <w:t>Įgyvendinant veiklas, numatoma prisidėti prie BJRS</w:t>
            </w:r>
            <w:r w:rsidRPr="004D4A14">
              <w:rPr>
                <w:rFonts w:ascii="Times New Roman" w:hAnsi="Times New Roman" w:cs="Times New Roman"/>
              </w:rPr>
              <w:t xml:space="preserve"> politikos krypties „Energetika“ veiklų</w:t>
            </w:r>
            <w:r w:rsidRPr="004D4A14">
              <w:rPr>
                <w:rFonts w:ascii="Times New Roman" w:eastAsia="Calibri" w:hAnsi="Times New Roman" w:cs="Times New Roman"/>
                <w:noProof/>
                <w:lang w:eastAsia="lt-LT" w:bidi="lt-LT"/>
              </w:rPr>
              <w:t xml:space="preserve"> </w:t>
            </w:r>
            <w:r w:rsidRPr="004D4A14">
              <w:rPr>
                <w:rFonts w:ascii="Times New Roman" w:hAnsi="Times New Roman" w:cs="Times New Roman"/>
                <w:noProof/>
                <w:lang w:eastAsia="lt-LT"/>
              </w:rPr>
              <w:t xml:space="preserve">įgyvendinimo. Bus siekiama intensyvinti bendradarbiavimą su kitų </w:t>
            </w:r>
            <w:r w:rsidRPr="004D4A14">
              <w:rPr>
                <w:rFonts w:ascii="Times New Roman" w:hAnsi="Times New Roman" w:cs="Times New Roman"/>
              </w:rPr>
              <w:t>BJR šalių partneriais</w:t>
            </w:r>
            <w:r w:rsidRPr="004D4A14">
              <w:rPr>
                <w:rFonts w:ascii="Times New Roman" w:hAnsi="Times New Roman" w:cs="Times New Roman"/>
                <w:noProof/>
                <w:lang w:eastAsia="lt-LT"/>
              </w:rPr>
              <w:t>, įskaitant ir apsikeitimą gerosiomis praktikomis AEI</w:t>
            </w:r>
            <w:r w:rsidRPr="004D4A14">
              <w:rPr>
                <w:rFonts w:ascii="Times New Roman" w:hAnsi="Times New Roman" w:cs="Times New Roman"/>
              </w:rPr>
              <w:t xml:space="preserve"> integracijos į energetinę sistemą, energijos saugojimo, elektros tinklų atsparumo ir valdymo srityse.</w:t>
            </w:r>
          </w:p>
        </w:tc>
      </w:tr>
    </w:tbl>
    <w:p w14:paraId="36703E02" w14:textId="77777777" w:rsidR="00197FF3" w:rsidRPr="004D4A14" w:rsidRDefault="00197FF3" w:rsidP="00197FF3">
      <w:pPr>
        <w:pStyle w:val="Stilius1"/>
      </w:pPr>
      <w:r w:rsidRPr="004D4A14">
        <w:t>Planuojamas finansinių priemonių naudojimas</w:t>
      </w:r>
    </w:p>
    <w:tbl>
      <w:tblPr>
        <w:tblStyle w:val="Lentelstinklelis2"/>
        <w:tblW w:w="0" w:type="auto"/>
        <w:tblLook w:val="04A0" w:firstRow="1" w:lastRow="0" w:firstColumn="1" w:lastColumn="0" w:noHBand="0" w:noVBand="1"/>
      </w:tblPr>
      <w:tblGrid>
        <w:gridCol w:w="9628"/>
      </w:tblGrid>
      <w:tr w:rsidR="00197FF3" w:rsidRPr="004D4A14" w14:paraId="40432A8C" w14:textId="77777777" w:rsidTr="007A4608">
        <w:tc>
          <w:tcPr>
            <w:tcW w:w="9854" w:type="dxa"/>
          </w:tcPr>
          <w:p w14:paraId="0B07AB4C" w14:textId="77777777" w:rsidR="00197FF3" w:rsidRPr="004D4A14" w:rsidRDefault="00197FF3" w:rsidP="007A4608">
            <w:pPr>
              <w:spacing w:before="120" w:after="120"/>
              <w:jc w:val="both"/>
              <w:rPr>
                <w:rFonts w:ascii="Times New Roman" w:eastAsia="Calibri" w:hAnsi="Times New Roman" w:cs="Times New Roman"/>
                <w:lang w:eastAsia="lt-LT"/>
              </w:rPr>
            </w:pPr>
            <w:r w:rsidRPr="004D4A14">
              <w:rPr>
                <w:rFonts w:ascii="Times New Roman" w:eastAsia="Calibri" w:hAnsi="Times New Roman" w:cs="Times New Roman"/>
                <w:lang w:eastAsia="lt-LT"/>
              </w:rPr>
              <w:t>-</w:t>
            </w:r>
          </w:p>
        </w:tc>
      </w:tr>
    </w:tbl>
    <w:p w14:paraId="6BC40F94" w14:textId="77777777" w:rsidR="00197FF3" w:rsidRPr="004D4A14" w:rsidRDefault="00197FF3" w:rsidP="00197FF3">
      <w:pPr>
        <w:pStyle w:val="Stilius1"/>
      </w:pPr>
      <w:r w:rsidRPr="004D4A14">
        <w:t>Rodikliai</w:t>
      </w:r>
    </w:p>
    <w:p w14:paraId="5B968EFC" w14:textId="77777777" w:rsidR="00197FF3" w:rsidRPr="004D4A14" w:rsidRDefault="00197FF3" w:rsidP="00197FF3">
      <w:pPr>
        <w:spacing w:before="240" w:after="0" w:line="240" w:lineRule="auto"/>
        <w:jc w:val="both"/>
        <w:rPr>
          <w:rFonts w:cs="Times New Roman"/>
          <w:b/>
          <w:sz w:val="22"/>
        </w:rPr>
      </w:pPr>
      <w:r w:rsidRPr="004D4A14">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5"/>
        <w:gridCol w:w="967"/>
        <w:gridCol w:w="830"/>
        <w:gridCol w:w="965"/>
        <w:gridCol w:w="1239"/>
        <w:gridCol w:w="1789"/>
        <w:gridCol w:w="974"/>
        <w:gridCol w:w="967"/>
        <w:gridCol w:w="922"/>
      </w:tblGrid>
      <w:tr w:rsidR="00197FF3" w:rsidRPr="004D4A14" w14:paraId="423792BE" w14:textId="77777777" w:rsidTr="007A4608">
        <w:trPr>
          <w:trHeight w:val="1043"/>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9F83AE1" w14:textId="77777777" w:rsidR="00197FF3" w:rsidRPr="004D4A14" w:rsidRDefault="00197FF3" w:rsidP="007A4608">
            <w:pPr>
              <w:spacing w:after="0" w:line="240" w:lineRule="auto"/>
              <w:jc w:val="center"/>
              <w:rPr>
                <w:rFonts w:cs="Times New Roman"/>
                <w:b/>
                <w:noProof/>
                <w:sz w:val="16"/>
                <w:szCs w:val="16"/>
              </w:rPr>
            </w:pPr>
            <w:r w:rsidRPr="004D4A14">
              <w:rPr>
                <w:rFonts w:cs="Times New Roman"/>
                <w:b/>
                <w:noProof/>
                <w:sz w:val="16"/>
                <w:szCs w:val="16"/>
              </w:rPr>
              <w:t>Prioritetas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2F7A1B5" w14:textId="77777777" w:rsidR="00197FF3" w:rsidRPr="004D4A14" w:rsidRDefault="00197FF3" w:rsidP="007A4608">
            <w:pPr>
              <w:spacing w:after="0" w:line="240" w:lineRule="auto"/>
              <w:jc w:val="center"/>
              <w:rPr>
                <w:rFonts w:cs="Times New Roman"/>
                <w:b/>
                <w:noProof/>
                <w:sz w:val="16"/>
                <w:szCs w:val="16"/>
              </w:rPr>
            </w:pPr>
            <w:r w:rsidRPr="004D4A14">
              <w:rPr>
                <w:rFonts w:cs="Times New Roman"/>
                <w:b/>
                <w:noProof/>
                <w:sz w:val="16"/>
                <w:szCs w:val="16"/>
              </w:rPr>
              <w:t>Konkretus uždavinys</w:t>
            </w:r>
          </w:p>
        </w:tc>
        <w:tc>
          <w:tcPr>
            <w:tcW w:w="4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0359AB" w14:textId="77777777" w:rsidR="00197FF3" w:rsidRPr="004D4A14" w:rsidRDefault="00197FF3" w:rsidP="007A4608">
            <w:pPr>
              <w:spacing w:after="0" w:line="240" w:lineRule="auto"/>
              <w:jc w:val="center"/>
              <w:rPr>
                <w:rFonts w:cs="Times New Roman"/>
                <w:b/>
                <w:noProof/>
                <w:sz w:val="16"/>
                <w:szCs w:val="16"/>
              </w:rPr>
            </w:pPr>
            <w:r w:rsidRPr="004D4A14">
              <w:rPr>
                <w:rFonts w:cs="Times New Roman"/>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893E8D1" w14:textId="77777777" w:rsidR="00197FF3" w:rsidRPr="004D4A14" w:rsidRDefault="00197FF3" w:rsidP="007A4608">
            <w:pPr>
              <w:spacing w:after="0" w:line="240" w:lineRule="auto"/>
              <w:jc w:val="center"/>
              <w:rPr>
                <w:rFonts w:cs="Times New Roman"/>
                <w:b/>
                <w:noProof/>
                <w:sz w:val="16"/>
                <w:szCs w:val="16"/>
              </w:rPr>
            </w:pPr>
            <w:r w:rsidRPr="004D4A14">
              <w:rPr>
                <w:rFonts w:cs="Times New Roman"/>
                <w:b/>
                <w:noProof/>
                <w:sz w:val="16"/>
                <w:szCs w:val="16"/>
              </w:rPr>
              <w:t>Regiono kategorija</w:t>
            </w:r>
          </w:p>
        </w:tc>
        <w:tc>
          <w:tcPr>
            <w:tcW w:w="64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D574F80" w14:textId="77777777" w:rsidR="00197FF3" w:rsidRPr="004D4A14" w:rsidRDefault="00197FF3" w:rsidP="007A4608">
            <w:pPr>
              <w:spacing w:after="0" w:line="240" w:lineRule="auto"/>
              <w:jc w:val="center"/>
              <w:rPr>
                <w:rFonts w:cs="Times New Roman"/>
                <w:b/>
                <w:noProof/>
                <w:sz w:val="16"/>
                <w:szCs w:val="16"/>
              </w:rPr>
            </w:pPr>
            <w:r w:rsidRPr="004D4A14">
              <w:rPr>
                <w:rFonts w:cs="Times New Roman"/>
                <w:b/>
                <w:noProof/>
                <w:sz w:val="16"/>
                <w:szCs w:val="16"/>
              </w:rPr>
              <w:t>Identifikavimo numeris</w:t>
            </w:r>
          </w:p>
        </w:tc>
        <w:tc>
          <w:tcPr>
            <w:tcW w:w="93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991B678" w14:textId="77777777" w:rsidR="00197FF3" w:rsidRPr="004D4A14" w:rsidRDefault="00197FF3" w:rsidP="007A4608">
            <w:pPr>
              <w:spacing w:after="0" w:line="240" w:lineRule="auto"/>
              <w:jc w:val="center"/>
              <w:rPr>
                <w:rFonts w:cs="Times New Roman"/>
                <w:b/>
                <w:noProof/>
                <w:sz w:val="16"/>
                <w:szCs w:val="16"/>
              </w:rPr>
            </w:pPr>
            <w:r w:rsidRPr="004D4A14">
              <w:rPr>
                <w:rFonts w:cs="Times New Roman"/>
                <w:b/>
                <w:noProof/>
                <w:sz w:val="16"/>
                <w:szCs w:val="16"/>
              </w:rPr>
              <w:t>Rodiklis</w:t>
            </w:r>
          </w:p>
        </w:tc>
        <w:tc>
          <w:tcPr>
            <w:tcW w:w="50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611F2AF" w14:textId="77777777" w:rsidR="00197FF3" w:rsidRPr="004D4A14" w:rsidRDefault="00197FF3" w:rsidP="007A4608">
            <w:pPr>
              <w:spacing w:after="0" w:line="240" w:lineRule="auto"/>
              <w:jc w:val="center"/>
              <w:rPr>
                <w:rFonts w:cs="Times New Roman"/>
                <w:b/>
                <w:noProof/>
                <w:sz w:val="16"/>
                <w:szCs w:val="16"/>
              </w:rPr>
            </w:pPr>
            <w:r w:rsidRPr="004D4A14">
              <w:rPr>
                <w:rFonts w:cs="Times New Roman"/>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997FC4B" w14:textId="77777777" w:rsidR="00197FF3" w:rsidRPr="004D4A14" w:rsidRDefault="00197FF3" w:rsidP="007A4608">
            <w:pPr>
              <w:spacing w:after="0" w:line="240" w:lineRule="auto"/>
              <w:jc w:val="center"/>
              <w:rPr>
                <w:rFonts w:cs="Times New Roman"/>
                <w:b/>
                <w:noProof/>
                <w:sz w:val="16"/>
                <w:szCs w:val="16"/>
              </w:rPr>
            </w:pPr>
            <w:r w:rsidRPr="004D4A14">
              <w:rPr>
                <w:rFonts w:cs="Times New Roman"/>
                <w:b/>
                <w:noProof/>
                <w:sz w:val="16"/>
                <w:szCs w:val="16"/>
              </w:rPr>
              <w:t>Tarpinė reikšmė (2024 m.)</w:t>
            </w:r>
          </w:p>
        </w:tc>
        <w:tc>
          <w:tcPr>
            <w:tcW w:w="48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6B67F1F" w14:textId="77777777" w:rsidR="00197FF3" w:rsidRPr="004D4A14" w:rsidRDefault="00197FF3" w:rsidP="007A4608">
            <w:pPr>
              <w:spacing w:after="0" w:line="240" w:lineRule="auto"/>
              <w:jc w:val="center"/>
              <w:rPr>
                <w:rFonts w:cs="Times New Roman"/>
                <w:b/>
                <w:noProof/>
                <w:sz w:val="16"/>
                <w:szCs w:val="16"/>
              </w:rPr>
            </w:pPr>
            <w:r w:rsidRPr="004D4A14">
              <w:rPr>
                <w:rFonts w:cs="Times New Roman"/>
                <w:b/>
                <w:noProof/>
                <w:sz w:val="16"/>
                <w:szCs w:val="16"/>
              </w:rPr>
              <w:t>Siektina reikšmė (2029 m.)</w:t>
            </w:r>
          </w:p>
        </w:tc>
      </w:tr>
      <w:tr w:rsidR="00197FF3" w:rsidRPr="004D4A14" w14:paraId="45A52F3E" w14:textId="77777777" w:rsidTr="007A4608">
        <w:trPr>
          <w:trHeight w:val="1676"/>
        </w:trPr>
        <w:tc>
          <w:tcPr>
            <w:tcW w:w="497" w:type="pct"/>
            <w:tcBorders>
              <w:top w:val="single" w:sz="12" w:space="0" w:color="auto"/>
            </w:tcBorders>
          </w:tcPr>
          <w:p w14:paraId="69054BA0" w14:textId="77777777" w:rsidR="00197FF3" w:rsidRPr="004D4A14" w:rsidRDefault="00197FF3" w:rsidP="007A4608">
            <w:pPr>
              <w:spacing w:after="0" w:line="240" w:lineRule="auto"/>
              <w:jc w:val="both"/>
              <w:rPr>
                <w:rFonts w:cs="Times New Roman"/>
                <w:noProof/>
                <w:sz w:val="16"/>
                <w:szCs w:val="16"/>
              </w:rPr>
            </w:pPr>
            <w:r w:rsidRPr="004D4A14">
              <w:rPr>
                <w:rFonts w:cs="Times New Roman"/>
                <w:noProof/>
                <w:sz w:val="16"/>
                <w:szCs w:val="16"/>
              </w:rPr>
              <w:t>13. Energetinės infrastruktūros atsparumo skatinimas</w:t>
            </w:r>
          </w:p>
        </w:tc>
        <w:tc>
          <w:tcPr>
            <w:tcW w:w="503" w:type="pct"/>
            <w:tcBorders>
              <w:top w:val="single" w:sz="12" w:space="0" w:color="auto"/>
            </w:tcBorders>
          </w:tcPr>
          <w:p w14:paraId="0B3339B5" w14:textId="77777777" w:rsidR="00197FF3" w:rsidRPr="004D4A14" w:rsidRDefault="00197FF3" w:rsidP="007A4608">
            <w:pPr>
              <w:spacing w:after="0" w:line="240" w:lineRule="auto"/>
              <w:jc w:val="both"/>
              <w:rPr>
                <w:rFonts w:cs="Times New Roman"/>
                <w:noProof/>
                <w:sz w:val="16"/>
                <w:szCs w:val="16"/>
              </w:rPr>
            </w:pPr>
            <w:r w:rsidRPr="004D4A14">
              <w:rPr>
                <w:rFonts w:cs="Times New Roman"/>
                <w:noProof/>
                <w:sz w:val="16"/>
                <w:szCs w:val="16"/>
              </w:rPr>
              <w:t>13.1</w:t>
            </w:r>
          </w:p>
        </w:tc>
        <w:tc>
          <w:tcPr>
            <w:tcW w:w="432" w:type="pct"/>
            <w:tcBorders>
              <w:top w:val="single" w:sz="12" w:space="0" w:color="auto"/>
            </w:tcBorders>
          </w:tcPr>
          <w:p w14:paraId="47397C8A" w14:textId="77777777" w:rsidR="00197FF3" w:rsidRPr="004D4A14" w:rsidRDefault="00197FF3" w:rsidP="007A4608">
            <w:pPr>
              <w:spacing w:after="0" w:line="240" w:lineRule="auto"/>
              <w:jc w:val="both"/>
              <w:rPr>
                <w:rFonts w:cs="Times New Roman"/>
                <w:noProof/>
                <w:sz w:val="16"/>
                <w:szCs w:val="16"/>
              </w:rPr>
            </w:pPr>
            <w:r w:rsidRPr="004D4A14">
              <w:rPr>
                <w:rFonts w:cs="Times New Roman"/>
                <w:noProof/>
                <w:sz w:val="16"/>
                <w:szCs w:val="16"/>
              </w:rPr>
              <w:t>SaF</w:t>
            </w:r>
          </w:p>
        </w:tc>
        <w:tc>
          <w:tcPr>
            <w:tcW w:w="502" w:type="pct"/>
            <w:tcBorders>
              <w:top w:val="single" w:sz="12" w:space="0" w:color="auto"/>
            </w:tcBorders>
          </w:tcPr>
          <w:p w14:paraId="036BA549" w14:textId="77777777" w:rsidR="00197FF3" w:rsidRPr="004D4A14" w:rsidRDefault="00197FF3" w:rsidP="007A4608">
            <w:pPr>
              <w:spacing w:after="0" w:line="240" w:lineRule="auto"/>
              <w:jc w:val="both"/>
              <w:rPr>
                <w:rFonts w:cs="Times New Roman"/>
                <w:noProof/>
                <w:sz w:val="16"/>
                <w:szCs w:val="16"/>
              </w:rPr>
            </w:pPr>
            <w:r w:rsidRPr="004D4A14">
              <w:rPr>
                <w:rFonts w:cs="Times New Roman"/>
                <w:noProof/>
                <w:sz w:val="16"/>
                <w:szCs w:val="16"/>
              </w:rPr>
              <w:t>Visa Lietuva</w:t>
            </w:r>
          </w:p>
        </w:tc>
        <w:tc>
          <w:tcPr>
            <w:tcW w:w="645" w:type="pct"/>
            <w:tcBorders>
              <w:top w:val="single" w:sz="12" w:space="0" w:color="auto"/>
            </w:tcBorders>
          </w:tcPr>
          <w:p w14:paraId="53B08B41" w14:textId="77777777" w:rsidR="00197FF3" w:rsidRPr="004D4A14" w:rsidRDefault="00197FF3" w:rsidP="007A4608">
            <w:pPr>
              <w:spacing w:after="0" w:line="240" w:lineRule="auto"/>
              <w:jc w:val="both"/>
              <w:rPr>
                <w:rFonts w:cs="Times New Roman"/>
                <w:noProof/>
                <w:sz w:val="16"/>
                <w:szCs w:val="16"/>
              </w:rPr>
            </w:pPr>
            <w:r w:rsidRPr="004D4A14">
              <w:rPr>
                <w:rFonts w:cs="Times New Roman"/>
                <w:noProof/>
                <w:sz w:val="16"/>
                <w:szCs w:val="16"/>
              </w:rPr>
              <w:t>RCO131 </w:t>
            </w:r>
          </w:p>
        </w:tc>
        <w:tc>
          <w:tcPr>
            <w:tcW w:w="931" w:type="pct"/>
            <w:tcBorders>
              <w:top w:val="single" w:sz="12" w:space="0" w:color="auto"/>
            </w:tcBorders>
          </w:tcPr>
          <w:p w14:paraId="36DB1D1F" w14:textId="77777777" w:rsidR="00197FF3" w:rsidRPr="004D4A14" w:rsidRDefault="00197FF3" w:rsidP="007A4608">
            <w:pPr>
              <w:tabs>
                <w:tab w:val="left" w:pos="315"/>
                <w:tab w:val="left" w:pos="457"/>
              </w:tabs>
              <w:spacing w:after="0" w:line="240" w:lineRule="auto"/>
              <w:contextualSpacing/>
              <w:jc w:val="both"/>
              <w:rPr>
                <w:rFonts w:cs="Times New Roman"/>
                <w:noProof/>
                <w:sz w:val="16"/>
                <w:szCs w:val="16"/>
              </w:rPr>
            </w:pPr>
            <w:r w:rsidRPr="004D4A14">
              <w:rPr>
                <w:rFonts w:cs="Times New Roman"/>
                <w:noProof/>
                <w:sz w:val="16"/>
                <w:szCs w:val="16"/>
              </w:rPr>
              <w:t>Energijos perdavimo arba skirstymo tinklo linijos ir jungtys – naujos nutiestos arba patobulintos</w:t>
            </w:r>
          </w:p>
        </w:tc>
        <w:tc>
          <w:tcPr>
            <w:tcW w:w="507" w:type="pct"/>
            <w:tcBorders>
              <w:top w:val="single" w:sz="12" w:space="0" w:color="auto"/>
            </w:tcBorders>
          </w:tcPr>
          <w:p w14:paraId="0EF9064E" w14:textId="77777777" w:rsidR="00197FF3" w:rsidRPr="004D4A14" w:rsidRDefault="00197FF3" w:rsidP="007A4608">
            <w:pPr>
              <w:spacing w:after="0" w:line="240" w:lineRule="auto"/>
              <w:jc w:val="both"/>
              <w:rPr>
                <w:rFonts w:cs="Times New Roman"/>
                <w:noProof/>
                <w:sz w:val="16"/>
                <w:szCs w:val="16"/>
              </w:rPr>
            </w:pPr>
            <w:r w:rsidRPr="004D4A14">
              <w:rPr>
                <w:rFonts w:cs="Times New Roman"/>
                <w:noProof/>
                <w:sz w:val="16"/>
                <w:szCs w:val="16"/>
              </w:rPr>
              <w:t>Kilometrai</w:t>
            </w:r>
          </w:p>
        </w:tc>
        <w:tc>
          <w:tcPr>
            <w:tcW w:w="503" w:type="pct"/>
            <w:tcBorders>
              <w:top w:val="single" w:sz="12" w:space="0" w:color="auto"/>
            </w:tcBorders>
          </w:tcPr>
          <w:p w14:paraId="0273A23A" w14:textId="77777777" w:rsidR="00197FF3" w:rsidRPr="004D4A14" w:rsidRDefault="00197FF3" w:rsidP="007A4608">
            <w:pPr>
              <w:spacing w:after="0" w:line="240" w:lineRule="auto"/>
              <w:jc w:val="center"/>
              <w:rPr>
                <w:rFonts w:cs="Times New Roman"/>
                <w:noProof/>
                <w:sz w:val="16"/>
                <w:szCs w:val="16"/>
              </w:rPr>
            </w:pPr>
            <w:r w:rsidRPr="004D4A14">
              <w:rPr>
                <w:rFonts w:cs="Times New Roman"/>
                <w:noProof/>
                <w:sz w:val="16"/>
                <w:szCs w:val="16"/>
              </w:rPr>
              <w:t>0</w:t>
            </w:r>
          </w:p>
        </w:tc>
        <w:tc>
          <w:tcPr>
            <w:tcW w:w="480" w:type="pct"/>
            <w:tcBorders>
              <w:top w:val="single" w:sz="12" w:space="0" w:color="auto"/>
            </w:tcBorders>
          </w:tcPr>
          <w:p w14:paraId="29232DEA" w14:textId="77777777" w:rsidR="00197FF3" w:rsidRPr="004D4A14" w:rsidRDefault="00197FF3" w:rsidP="007A4608">
            <w:pPr>
              <w:spacing w:after="0" w:line="240" w:lineRule="auto"/>
              <w:jc w:val="center"/>
              <w:rPr>
                <w:rFonts w:cs="Times New Roman"/>
                <w:noProof/>
                <w:sz w:val="16"/>
                <w:szCs w:val="16"/>
              </w:rPr>
            </w:pPr>
            <w:r w:rsidRPr="004D4A14">
              <w:rPr>
                <w:rFonts w:cs="Times New Roman"/>
                <w:noProof/>
                <w:sz w:val="16"/>
                <w:szCs w:val="16"/>
              </w:rPr>
              <w:t>588</w:t>
            </w:r>
          </w:p>
        </w:tc>
      </w:tr>
    </w:tbl>
    <w:p w14:paraId="6D124812" w14:textId="77777777" w:rsidR="00197FF3" w:rsidRPr="004D4A14" w:rsidRDefault="00197FF3" w:rsidP="00197FF3">
      <w:pPr>
        <w:spacing w:after="0" w:line="240" w:lineRule="auto"/>
        <w:jc w:val="both"/>
        <w:rPr>
          <w:rFonts w:cs="Times New Roman"/>
          <w:b/>
          <w:sz w:val="22"/>
        </w:rPr>
        <w:sectPr w:rsidR="00197FF3" w:rsidRPr="004D4A14" w:rsidSect="00197FF3">
          <w:footerReference w:type="first" r:id="rId12"/>
          <w:pgSz w:w="11906" w:h="16838"/>
          <w:pgMar w:top="1276" w:right="567" w:bottom="1134" w:left="1701" w:header="567" w:footer="567" w:gutter="0"/>
          <w:cols w:space="1296"/>
          <w:docGrid w:linePitch="360"/>
        </w:sectPr>
      </w:pPr>
    </w:p>
    <w:p w14:paraId="7163BF9D" w14:textId="77777777" w:rsidR="00197FF3" w:rsidRPr="004D4A14" w:rsidRDefault="00197FF3" w:rsidP="00197FF3">
      <w:pPr>
        <w:spacing w:after="0" w:line="240" w:lineRule="auto"/>
        <w:jc w:val="both"/>
        <w:rPr>
          <w:rFonts w:cs="Times New Roman"/>
          <w:b/>
          <w:sz w:val="22"/>
        </w:rPr>
      </w:pPr>
      <w:r w:rsidRPr="004D4A14">
        <w:rPr>
          <w:rFonts w:cs="Times New Roman"/>
          <w:b/>
          <w:sz w:val="22"/>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976"/>
        <w:gridCol w:w="835"/>
        <w:gridCol w:w="975"/>
        <w:gridCol w:w="1255"/>
        <w:gridCol w:w="2655"/>
        <w:gridCol w:w="2224"/>
        <w:gridCol w:w="975"/>
        <w:gridCol w:w="1115"/>
        <w:gridCol w:w="975"/>
        <w:gridCol w:w="907"/>
        <w:gridCol w:w="1029"/>
      </w:tblGrid>
      <w:tr w:rsidR="00197FF3" w:rsidRPr="004D4A14" w14:paraId="19FB1F01" w14:textId="77777777" w:rsidTr="007A4608">
        <w:trPr>
          <w:trHeight w:val="1141"/>
          <w:tblHeader/>
        </w:trPr>
        <w:tc>
          <w:tcPr>
            <w:tcW w:w="317" w:type="pct"/>
            <w:tcBorders>
              <w:top w:val="single" w:sz="12" w:space="0" w:color="auto"/>
              <w:left w:val="single" w:sz="12" w:space="0" w:color="auto"/>
              <w:bottom w:val="single" w:sz="12" w:space="0" w:color="auto"/>
              <w:right w:val="single" w:sz="12" w:space="0" w:color="auto"/>
            </w:tcBorders>
            <w:shd w:val="clear" w:color="auto" w:fill="DBE5F1"/>
            <w:vAlign w:val="center"/>
          </w:tcPr>
          <w:p w14:paraId="1ABAEB97" w14:textId="77777777" w:rsidR="00197FF3" w:rsidRPr="004D4A14" w:rsidRDefault="00197FF3" w:rsidP="007A4608">
            <w:pPr>
              <w:spacing w:after="0" w:line="240" w:lineRule="auto"/>
              <w:jc w:val="center"/>
              <w:rPr>
                <w:rFonts w:eastAsia="Calibri" w:cs="Times New Roman"/>
                <w:b/>
                <w:noProof/>
                <w:sz w:val="16"/>
                <w:szCs w:val="16"/>
              </w:rPr>
            </w:pPr>
            <w:r w:rsidRPr="004D4A14">
              <w:rPr>
                <w:rFonts w:eastAsia="Calibri"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0FECB595" w14:textId="77777777" w:rsidR="00197FF3" w:rsidRPr="004D4A14" w:rsidRDefault="00197FF3" w:rsidP="007A4608">
            <w:pPr>
              <w:spacing w:after="0" w:line="240" w:lineRule="auto"/>
              <w:jc w:val="center"/>
              <w:rPr>
                <w:rFonts w:eastAsia="Calibri" w:cs="Times New Roman"/>
                <w:b/>
                <w:noProof/>
                <w:sz w:val="16"/>
                <w:szCs w:val="16"/>
              </w:rPr>
            </w:pPr>
            <w:r w:rsidRPr="004D4A14">
              <w:rPr>
                <w:rFonts w:eastAsia="Calibri"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vAlign w:val="center"/>
          </w:tcPr>
          <w:p w14:paraId="06FED1AD" w14:textId="77777777" w:rsidR="00197FF3" w:rsidRPr="004D4A14" w:rsidRDefault="00197FF3" w:rsidP="007A4608">
            <w:pPr>
              <w:spacing w:after="0" w:line="240" w:lineRule="auto"/>
              <w:jc w:val="center"/>
              <w:rPr>
                <w:rFonts w:eastAsia="Calibri" w:cs="Times New Roman"/>
                <w:b/>
                <w:noProof/>
                <w:sz w:val="16"/>
                <w:szCs w:val="16"/>
              </w:rPr>
            </w:pPr>
            <w:r w:rsidRPr="004D4A14">
              <w:rPr>
                <w:rFonts w:eastAsia="Calibri"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78BE8454" w14:textId="77777777" w:rsidR="00197FF3" w:rsidRPr="004D4A14" w:rsidRDefault="00197FF3" w:rsidP="007A4608">
            <w:pPr>
              <w:spacing w:after="0" w:line="240" w:lineRule="auto"/>
              <w:jc w:val="center"/>
              <w:rPr>
                <w:rFonts w:eastAsia="Calibri" w:cs="Times New Roman"/>
                <w:b/>
                <w:noProof/>
                <w:sz w:val="16"/>
                <w:szCs w:val="16"/>
              </w:rPr>
            </w:pPr>
            <w:r w:rsidRPr="004D4A14">
              <w:rPr>
                <w:rFonts w:eastAsia="Calibri"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vAlign w:val="center"/>
          </w:tcPr>
          <w:p w14:paraId="3FE78A58" w14:textId="77777777" w:rsidR="00197FF3" w:rsidRPr="004D4A14" w:rsidRDefault="00197FF3" w:rsidP="007A4608">
            <w:pPr>
              <w:spacing w:after="0" w:line="240" w:lineRule="auto"/>
              <w:jc w:val="center"/>
              <w:rPr>
                <w:rFonts w:eastAsia="Calibri" w:cs="Times New Roman"/>
                <w:b/>
                <w:noProof/>
                <w:sz w:val="16"/>
                <w:szCs w:val="16"/>
              </w:rPr>
            </w:pPr>
            <w:r w:rsidRPr="004D4A14">
              <w:rPr>
                <w:rFonts w:eastAsia="Calibri" w:cs="Times New Roman"/>
                <w:b/>
                <w:noProof/>
                <w:sz w:val="16"/>
                <w:szCs w:val="16"/>
              </w:rPr>
              <w:t>Identifikavimo numeris</w:t>
            </w:r>
          </w:p>
        </w:tc>
        <w:tc>
          <w:tcPr>
            <w:tcW w:w="893" w:type="pct"/>
            <w:tcBorders>
              <w:top w:val="single" w:sz="12" w:space="0" w:color="auto"/>
              <w:left w:val="single" w:sz="12" w:space="0" w:color="auto"/>
              <w:bottom w:val="single" w:sz="12" w:space="0" w:color="auto"/>
              <w:right w:val="single" w:sz="12" w:space="0" w:color="auto"/>
            </w:tcBorders>
            <w:shd w:val="clear" w:color="auto" w:fill="DBE5F1"/>
            <w:vAlign w:val="center"/>
          </w:tcPr>
          <w:p w14:paraId="30B32750" w14:textId="77777777" w:rsidR="00197FF3" w:rsidRPr="004D4A14" w:rsidRDefault="00197FF3" w:rsidP="007A4608">
            <w:pPr>
              <w:spacing w:after="0" w:line="240" w:lineRule="auto"/>
              <w:jc w:val="center"/>
              <w:rPr>
                <w:rFonts w:eastAsia="Calibri" w:cs="Times New Roman"/>
                <w:b/>
                <w:noProof/>
                <w:sz w:val="16"/>
                <w:szCs w:val="16"/>
              </w:rPr>
            </w:pPr>
            <w:r w:rsidRPr="004D4A14">
              <w:rPr>
                <w:rFonts w:eastAsia="Calibri" w:cs="Times New Roman"/>
                <w:b/>
                <w:noProof/>
                <w:sz w:val="16"/>
                <w:szCs w:val="16"/>
              </w:rPr>
              <w:t>Rodiklis</w:t>
            </w:r>
          </w:p>
        </w:tc>
        <w:tc>
          <w:tcPr>
            <w:tcW w:w="748" w:type="pct"/>
            <w:tcBorders>
              <w:top w:val="single" w:sz="12" w:space="0" w:color="auto"/>
              <w:left w:val="single" w:sz="12" w:space="0" w:color="auto"/>
              <w:bottom w:val="single" w:sz="12" w:space="0" w:color="auto"/>
              <w:right w:val="single" w:sz="12" w:space="0" w:color="auto"/>
            </w:tcBorders>
            <w:shd w:val="clear" w:color="auto" w:fill="DBE5F1"/>
            <w:vAlign w:val="center"/>
          </w:tcPr>
          <w:p w14:paraId="63F7FDA1" w14:textId="77777777" w:rsidR="00197FF3" w:rsidRPr="004D4A14" w:rsidRDefault="00197FF3" w:rsidP="007A4608">
            <w:pPr>
              <w:spacing w:after="0" w:line="240" w:lineRule="auto"/>
              <w:jc w:val="center"/>
              <w:rPr>
                <w:rFonts w:eastAsia="Calibri" w:cs="Times New Roman"/>
                <w:b/>
                <w:noProof/>
                <w:sz w:val="16"/>
                <w:szCs w:val="16"/>
              </w:rPr>
            </w:pPr>
            <w:r w:rsidRPr="004D4A14">
              <w:rPr>
                <w:rFonts w:eastAsia="Calibri" w:cs="Times New Roman"/>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3BC9F3F6" w14:textId="77777777" w:rsidR="00197FF3" w:rsidRPr="004D4A14" w:rsidRDefault="00197FF3" w:rsidP="007A4608">
            <w:pPr>
              <w:spacing w:after="0" w:line="240" w:lineRule="auto"/>
              <w:jc w:val="center"/>
              <w:rPr>
                <w:rFonts w:eastAsia="Calibri" w:cs="Times New Roman"/>
                <w:b/>
                <w:noProof/>
                <w:sz w:val="16"/>
                <w:szCs w:val="16"/>
              </w:rPr>
            </w:pPr>
            <w:r w:rsidRPr="004D4A14">
              <w:rPr>
                <w:rFonts w:eastAsia="Calibri"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vAlign w:val="center"/>
          </w:tcPr>
          <w:p w14:paraId="4DA1027A" w14:textId="77777777" w:rsidR="00197FF3" w:rsidRPr="004D4A14" w:rsidRDefault="00197FF3" w:rsidP="007A4608">
            <w:pPr>
              <w:spacing w:after="0" w:line="240" w:lineRule="auto"/>
              <w:jc w:val="center"/>
              <w:rPr>
                <w:rFonts w:eastAsia="Calibri" w:cs="Times New Roman"/>
                <w:b/>
                <w:noProof/>
                <w:sz w:val="16"/>
                <w:szCs w:val="16"/>
              </w:rPr>
            </w:pPr>
            <w:r w:rsidRPr="004D4A14">
              <w:rPr>
                <w:rFonts w:eastAsia="Calibri"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34E8E18E" w14:textId="77777777" w:rsidR="00197FF3" w:rsidRPr="004D4A14" w:rsidRDefault="00197FF3" w:rsidP="007A4608">
            <w:pPr>
              <w:spacing w:after="0" w:line="240" w:lineRule="auto"/>
              <w:jc w:val="center"/>
              <w:rPr>
                <w:rFonts w:eastAsia="Calibri" w:cs="Times New Roman"/>
                <w:b/>
                <w:noProof/>
                <w:sz w:val="16"/>
                <w:szCs w:val="16"/>
              </w:rPr>
            </w:pPr>
            <w:r w:rsidRPr="004D4A14">
              <w:rPr>
                <w:rFonts w:eastAsia="Calibri" w:cs="Times New Roman"/>
                <w:b/>
                <w:noProof/>
                <w:sz w:val="16"/>
                <w:szCs w:val="16"/>
              </w:rPr>
              <w:t>Siektina reikšmė (2030 m.)</w:t>
            </w:r>
          </w:p>
        </w:tc>
        <w:tc>
          <w:tcPr>
            <w:tcW w:w="305" w:type="pct"/>
            <w:tcBorders>
              <w:top w:val="single" w:sz="12" w:space="0" w:color="auto"/>
              <w:left w:val="single" w:sz="12" w:space="0" w:color="auto"/>
              <w:bottom w:val="single" w:sz="12" w:space="0" w:color="auto"/>
              <w:right w:val="single" w:sz="12" w:space="0" w:color="auto"/>
            </w:tcBorders>
            <w:shd w:val="clear" w:color="auto" w:fill="DBE5F1"/>
            <w:vAlign w:val="center"/>
          </w:tcPr>
          <w:p w14:paraId="6521D941" w14:textId="77777777" w:rsidR="00197FF3" w:rsidRPr="004D4A14" w:rsidRDefault="00197FF3" w:rsidP="007A4608">
            <w:pPr>
              <w:spacing w:after="0" w:line="240" w:lineRule="auto"/>
              <w:jc w:val="center"/>
              <w:rPr>
                <w:rFonts w:eastAsia="Calibri" w:cs="Times New Roman"/>
                <w:b/>
                <w:noProof/>
                <w:sz w:val="16"/>
                <w:szCs w:val="16"/>
              </w:rPr>
            </w:pPr>
            <w:r w:rsidRPr="004D4A14">
              <w:rPr>
                <w:rFonts w:eastAsia="Calibri" w:cs="Times New Roman"/>
                <w:b/>
                <w:noProof/>
                <w:sz w:val="16"/>
                <w:szCs w:val="16"/>
              </w:rPr>
              <w:t>Duomenų šaltinis</w:t>
            </w:r>
          </w:p>
        </w:tc>
        <w:tc>
          <w:tcPr>
            <w:tcW w:w="346" w:type="pct"/>
            <w:tcBorders>
              <w:top w:val="single" w:sz="12" w:space="0" w:color="auto"/>
              <w:left w:val="single" w:sz="12" w:space="0" w:color="auto"/>
              <w:bottom w:val="single" w:sz="12" w:space="0" w:color="auto"/>
              <w:right w:val="single" w:sz="12" w:space="0" w:color="auto"/>
            </w:tcBorders>
            <w:shd w:val="clear" w:color="auto" w:fill="DBE5F1"/>
            <w:vAlign w:val="center"/>
          </w:tcPr>
          <w:p w14:paraId="5E987631" w14:textId="77777777" w:rsidR="00197FF3" w:rsidRPr="004D4A14" w:rsidRDefault="00197FF3" w:rsidP="007A4608">
            <w:pPr>
              <w:spacing w:after="0" w:line="240" w:lineRule="auto"/>
              <w:jc w:val="center"/>
              <w:rPr>
                <w:rFonts w:eastAsia="Calibri" w:cs="Times New Roman"/>
                <w:b/>
                <w:noProof/>
                <w:sz w:val="16"/>
                <w:szCs w:val="16"/>
              </w:rPr>
            </w:pPr>
            <w:r w:rsidRPr="004D4A14">
              <w:rPr>
                <w:rFonts w:eastAsia="Calibri" w:cs="Times New Roman"/>
                <w:b/>
                <w:noProof/>
                <w:sz w:val="16"/>
                <w:szCs w:val="16"/>
              </w:rPr>
              <w:t>Pastabos</w:t>
            </w:r>
          </w:p>
        </w:tc>
      </w:tr>
      <w:tr w:rsidR="00197FF3" w:rsidRPr="004D4A14" w14:paraId="20F4E876" w14:textId="77777777" w:rsidTr="007A4608">
        <w:trPr>
          <w:trHeight w:val="286"/>
        </w:trPr>
        <w:tc>
          <w:tcPr>
            <w:tcW w:w="317" w:type="pct"/>
            <w:tcBorders>
              <w:top w:val="single" w:sz="12" w:space="0" w:color="auto"/>
            </w:tcBorders>
          </w:tcPr>
          <w:p w14:paraId="51E11DBD" w14:textId="77777777" w:rsidR="00197FF3" w:rsidRPr="004D4A14" w:rsidRDefault="00197FF3" w:rsidP="007A4608">
            <w:pPr>
              <w:spacing w:after="0" w:line="240" w:lineRule="auto"/>
              <w:jc w:val="both"/>
              <w:rPr>
                <w:rFonts w:eastAsia="Calibri" w:cs="Times New Roman"/>
                <w:noProof/>
                <w:sz w:val="16"/>
                <w:szCs w:val="16"/>
              </w:rPr>
            </w:pPr>
            <w:r w:rsidRPr="004D4A14">
              <w:rPr>
                <w:rFonts w:cs="Times New Roman"/>
                <w:noProof/>
                <w:sz w:val="16"/>
                <w:szCs w:val="16"/>
              </w:rPr>
              <w:t>13. Energetinės infrastruktūros atsparumo skatinimas</w:t>
            </w:r>
          </w:p>
        </w:tc>
        <w:tc>
          <w:tcPr>
            <w:tcW w:w="328" w:type="pct"/>
            <w:tcBorders>
              <w:top w:val="single" w:sz="12" w:space="0" w:color="auto"/>
            </w:tcBorders>
          </w:tcPr>
          <w:p w14:paraId="443EB43A" w14:textId="77777777" w:rsidR="00197FF3" w:rsidRPr="004D4A14" w:rsidRDefault="00197FF3" w:rsidP="007A4608">
            <w:pPr>
              <w:spacing w:after="0" w:line="240" w:lineRule="auto"/>
              <w:jc w:val="both"/>
              <w:rPr>
                <w:rFonts w:eastAsia="Calibri" w:cs="Times New Roman"/>
                <w:noProof/>
                <w:sz w:val="16"/>
                <w:szCs w:val="16"/>
              </w:rPr>
            </w:pPr>
            <w:r w:rsidRPr="004D4A14">
              <w:rPr>
                <w:rFonts w:cs="Times New Roman"/>
                <w:noProof/>
                <w:sz w:val="16"/>
                <w:szCs w:val="16"/>
              </w:rPr>
              <w:t>13.1</w:t>
            </w:r>
          </w:p>
        </w:tc>
        <w:tc>
          <w:tcPr>
            <w:tcW w:w="281" w:type="pct"/>
            <w:tcBorders>
              <w:top w:val="single" w:sz="12" w:space="0" w:color="auto"/>
            </w:tcBorders>
          </w:tcPr>
          <w:p w14:paraId="3494E35F" w14:textId="77777777" w:rsidR="00197FF3" w:rsidRPr="004D4A14" w:rsidRDefault="00197FF3" w:rsidP="007A4608">
            <w:pPr>
              <w:spacing w:after="0" w:line="240" w:lineRule="auto"/>
              <w:jc w:val="both"/>
              <w:rPr>
                <w:rFonts w:eastAsia="Calibri" w:cs="Times New Roman"/>
                <w:noProof/>
                <w:sz w:val="16"/>
                <w:szCs w:val="16"/>
              </w:rPr>
            </w:pPr>
            <w:r w:rsidRPr="004D4A14">
              <w:rPr>
                <w:rFonts w:cs="Times New Roman"/>
                <w:noProof/>
                <w:sz w:val="16"/>
                <w:szCs w:val="16"/>
              </w:rPr>
              <w:t>SaF</w:t>
            </w:r>
          </w:p>
        </w:tc>
        <w:tc>
          <w:tcPr>
            <w:tcW w:w="328" w:type="pct"/>
            <w:tcBorders>
              <w:top w:val="single" w:sz="12" w:space="0" w:color="auto"/>
            </w:tcBorders>
          </w:tcPr>
          <w:p w14:paraId="4EE3863B" w14:textId="77777777" w:rsidR="00197FF3" w:rsidRPr="004D4A14" w:rsidRDefault="00197FF3" w:rsidP="007A4608">
            <w:pPr>
              <w:spacing w:after="0" w:line="240" w:lineRule="auto"/>
              <w:jc w:val="both"/>
              <w:rPr>
                <w:rFonts w:eastAsia="Calibri" w:cs="Times New Roman"/>
                <w:noProof/>
                <w:sz w:val="16"/>
                <w:szCs w:val="16"/>
              </w:rPr>
            </w:pPr>
            <w:r w:rsidRPr="004D4A14">
              <w:rPr>
                <w:rFonts w:cs="Times New Roman"/>
                <w:noProof/>
                <w:sz w:val="16"/>
                <w:szCs w:val="16"/>
              </w:rPr>
              <w:t>Visa Lietuva</w:t>
            </w:r>
          </w:p>
        </w:tc>
        <w:tc>
          <w:tcPr>
            <w:tcW w:w="422" w:type="pct"/>
            <w:tcBorders>
              <w:top w:val="single" w:sz="12" w:space="0" w:color="auto"/>
            </w:tcBorders>
          </w:tcPr>
          <w:p w14:paraId="09A173A8" w14:textId="77777777" w:rsidR="00197FF3" w:rsidRPr="004D4A14" w:rsidRDefault="00197FF3" w:rsidP="007A4608">
            <w:pPr>
              <w:spacing w:after="0" w:line="240" w:lineRule="auto"/>
              <w:jc w:val="both"/>
              <w:rPr>
                <w:rFonts w:eastAsia="Calibri" w:cs="Times New Roman"/>
                <w:sz w:val="16"/>
                <w:szCs w:val="16"/>
                <w:lang w:eastAsia="lt-LT" w:bidi="lt-LT"/>
              </w:rPr>
            </w:pPr>
            <w:r w:rsidRPr="004D4A14">
              <w:rPr>
                <w:rFonts w:cs="Times New Roman"/>
                <w:sz w:val="16"/>
                <w:szCs w:val="16"/>
                <w:lang w:eastAsia="en-GB"/>
              </w:rPr>
              <w:t xml:space="preserve">Specialusis </w:t>
            </w:r>
          </w:p>
        </w:tc>
        <w:tc>
          <w:tcPr>
            <w:tcW w:w="893" w:type="pct"/>
            <w:tcBorders>
              <w:top w:val="single" w:sz="12" w:space="0" w:color="auto"/>
            </w:tcBorders>
          </w:tcPr>
          <w:p w14:paraId="11DEAEEE" w14:textId="77777777" w:rsidR="00197FF3" w:rsidRPr="004D4A14" w:rsidRDefault="00197FF3" w:rsidP="007A4608">
            <w:pPr>
              <w:spacing w:after="0" w:line="240" w:lineRule="auto"/>
              <w:jc w:val="both"/>
              <w:rPr>
                <w:rFonts w:eastAsia="Calibri" w:cs="Times New Roman"/>
                <w:sz w:val="16"/>
                <w:szCs w:val="16"/>
                <w:lang w:eastAsia="lt-LT" w:bidi="lt-LT"/>
              </w:rPr>
            </w:pPr>
            <w:r w:rsidRPr="004D4A14">
              <w:rPr>
                <w:rFonts w:cs="Times New Roman"/>
                <w:iCs/>
                <w:sz w:val="16"/>
                <w:szCs w:val="16"/>
              </w:rPr>
              <w:t>Vartotojai, kuriems pagerėjo tiekiamos elektros energijos kokybė</w:t>
            </w:r>
          </w:p>
        </w:tc>
        <w:tc>
          <w:tcPr>
            <w:tcW w:w="748" w:type="pct"/>
            <w:tcBorders>
              <w:top w:val="single" w:sz="12" w:space="0" w:color="auto"/>
            </w:tcBorders>
          </w:tcPr>
          <w:p w14:paraId="26E98B19" w14:textId="77777777" w:rsidR="00197FF3" w:rsidRPr="004D4A14" w:rsidRDefault="00197FF3" w:rsidP="007A4608">
            <w:pPr>
              <w:spacing w:after="0" w:line="240" w:lineRule="auto"/>
              <w:jc w:val="both"/>
              <w:rPr>
                <w:rFonts w:eastAsia="Calibri" w:cs="Times New Roman"/>
                <w:noProof/>
                <w:sz w:val="16"/>
                <w:szCs w:val="16"/>
              </w:rPr>
            </w:pPr>
            <w:r w:rsidRPr="004D4A14">
              <w:rPr>
                <w:rFonts w:cs="Times New Roman"/>
                <w:noProof/>
                <w:sz w:val="16"/>
                <w:szCs w:val="16"/>
              </w:rPr>
              <w:t>Galutiniai vartotojai per metus</w:t>
            </w:r>
          </w:p>
        </w:tc>
        <w:tc>
          <w:tcPr>
            <w:tcW w:w="328" w:type="pct"/>
            <w:tcBorders>
              <w:top w:val="single" w:sz="12" w:space="0" w:color="auto"/>
            </w:tcBorders>
          </w:tcPr>
          <w:p w14:paraId="6889FF1E" w14:textId="77777777" w:rsidR="00197FF3" w:rsidRPr="004D4A14" w:rsidRDefault="00197FF3" w:rsidP="007A4608">
            <w:pPr>
              <w:spacing w:after="0" w:line="240" w:lineRule="auto"/>
              <w:jc w:val="center"/>
              <w:rPr>
                <w:rFonts w:eastAsia="Calibri" w:cs="Times New Roman"/>
                <w:iCs/>
                <w:noProof/>
                <w:sz w:val="16"/>
                <w:szCs w:val="16"/>
              </w:rPr>
            </w:pPr>
            <w:r w:rsidRPr="004D4A14">
              <w:rPr>
                <w:rFonts w:eastAsia="Calibri" w:cs="Times New Roman"/>
                <w:iCs/>
                <w:noProof/>
                <w:sz w:val="16"/>
                <w:szCs w:val="16"/>
              </w:rPr>
              <w:t>0</w:t>
            </w:r>
          </w:p>
        </w:tc>
        <w:tc>
          <w:tcPr>
            <w:tcW w:w="375" w:type="pct"/>
            <w:tcBorders>
              <w:top w:val="single" w:sz="12" w:space="0" w:color="auto"/>
            </w:tcBorders>
          </w:tcPr>
          <w:p w14:paraId="110D1537" w14:textId="77777777" w:rsidR="00197FF3" w:rsidRPr="004D4A14" w:rsidRDefault="00197FF3" w:rsidP="007A4608">
            <w:pPr>
              <w:spacing w:after="0" w:line="240" w:lineRule="auto"/>
              <w:jc w:val="center"/>
              <w:rPr>
                <w:rFonts w:eastAsia="Calibri" w:cs="Times New Roman"/>
                <w:iCs/>
                <w:noProof/>
                <w:sz w:val="16"/>
                <w:szCs w:val="16"/>
              </w:rPr>
            </w:pPr>
            <w:r w:rsidRPr="004D4A14">
              <w:rPr>
                <w:rFonts w:eastAsia="Calibri" w:cs="Times New Roman"/>
                <w:iCs/>
                <w:noProof/>
                <w:sz w:val="16"/>
                <w:szCs w:val="16"/>
              </w:rPr>
              <w:t>2025</w:t>
            </w:r>
          </w:p>
        </w:tc>
        <w:tc>
          <w:tcPr>
            <w:tcW w:w="328" w:type="pct"/>
            <w:tcBorders>
              <w:top w:val="single" w:sz="12" w:space="0" w:color="auto"/>
            </w:tcBorders>
          </w:tcPr>
          <w:p w14:paraId="3DF3A75D" w14:textId="77777777" w:rsidR="00197FF3" w:rsidRPr="004D4A14" w:rsidRDefault="00197FF3" w:rsidP="007A4608">
            <w:pPr>
              <w:spacing w:after="0" w:line="240" w:lineRule="auto"/>
              <w:jc w:val="center"/>
              <w:rPr>
                <w:rFonts w:eastAsia="Calibri" w:cs="Times New Roman"/>
                <w:iCs/>
                <w:noProof/>
                <w:sz w:val="16"/>
                <w:szCs w:val="16"/>
              </w:rPr>
            </w:pPr>
            <w:r w:rsidRPr="004D4A14">
              <w:rPr>
                <w:rFonts w:eastAsia="Calibri" w:cs="Times New Roman"/>
                <w:iCs/>
                <w:noProof/>
                <w:sz w:val="16"/>
                <w:szCs w:val="16"/>
              </w:rPr>
              <w:t>74 676</w:t>
            </w:r>
          </w:p>
        </w:tc>
        <w:tc>
          <w:tcPr>
            <w:tcW w:w="305" w:type="pct"/>
            <w:tcBorders>
              <w:top w:val="single" w:sz="12" w:space="0" w:color="auto"/>
            </w:tcBorders>
          </w:tcPr>
          <w:p w14:paraId="47686018" w14:textId="77777777" w:rsidR="00197FF3" w:rsidRPr="004D4A14" w:rsidRDefault="00197FF3" w:rsidP="007A4608">
            <w:pPr>
              <w:spacing w:after="0" w:line="240" w:lineRule="auto"/>
              <w:jc w:val="both"/>
              <w:rPr>
                <w:rFonts w:eastAsia="Calibri" w:cs="Times New Roman"/>
                <w:iCs/>
                <w:noProof/>
                <w:sz w:val="16"/>
                <w:szCs w:val="16"/>
              </w:rPr>
            </w:pPr>
            <w:r w:rsidRPr="004D4A14">
              <w:rPr>
                <w:rFonts w:cs="Times New Roman"/>
                <w:noProof/>
                <w:sz w:val="16"/>
                <w:szCs w:val="16"/>
              </w:rPr>
              <w:t>Projektų duomenys</w:t>
            </w:r>
          </w:p>
        </w:tc>
        <w:tc>
          <w:tcPr>
            <w:tcW w:w="346" w:type="pct"/>
            <w:tcBorders>
              <w:top w:val="single" w:sz="12" w:space="0" w:color="auto"/>
            </w:tcBorders>
          </w:tcPr>
          <w:p w14:paraId="0A3B533C" w14:textId="77777777" w:rsidR="00197FF3" w:rsidRPr="004D4A14" w:rsidRDefault="00197FF3" w:rsidP="007A4608">
            <w:pPr>
              <w:spacing w:after="0" w:line="240" w:lineRule="auto"/>
              <w:jc w:val="both"/>
              <w:rPr>
                <w:rFonts w:eastAsia="Calibri" w:cs="Times New Roman"/>
                <w:i/>
                <w:noProof/>
                <w:sz w:val="16"/>
                <w:szCs w:val="16"/>
                <w:lang w:eastAsia="lt-LT" w:bidi="lt-LT"/>
              </w:rPr>
            </w:pPr>
          </w:p>
        </w:tc>
      </w:tr>
    </w:tbl>
    <w:p w14:paraId="6E86AB2A" w14:textId="77777777" w:rsidR="00197FF3" w:rsidRPr="004D4A14" w:rsidRDefault="00197FF3" w:rsidP="00197FF3">
      <w:pPr>
        <w:spacing w:after="0" w:line="240" w:lineRule="auto"/>
        <w:jc w:val="both"/>
        <w:rPr>
          <w:rFonts w:cs="Times New Roman"/>
          <w:b/>
          <w:sz w:val="22"/>
        </w:rPr>
      </w:pPr>
    </w:p>
    <w:p w14:paraId="3F616238" w14:textId="77777777" w:rsidR="00197FF3" w:rsidRPr="004D4A14" w:rsidRDefault="00197FF3" w:rsidP="00197FF3">
      <w:pPr>
        <w:spacing w:after="0" w:line="240" w:lineRule="auto"/>
        <w:jc w:val="both"/>
        <w:rPr>
          <w:rFonts w:cs="Times New Roman"/>
          <w:sz w:val="16"/>
          <w:szCs w:val="16"/>
        </w:rPr>
        <w:sectPr w:rsidR="00197FF3" w:rsidRPr="004D4A14" w:rsidSect="00197FF3">
          <w:pgSz w:w="16838" w:h="11906" w:orient="landscape"/>
          <w:pgMar w:top="1701" w:right="1276" w:bottom="567" w:left="1134" w:header="567" w:footer="567" w:gutter="0"/>
          <w:cols w:space="1296"/>
          <w:docGrid w:linePitch="360"/>
        </w:sectPr>
      </w:pPr>
    </w:p>
    <w:p w14:paraId="1601D0D8" w14:textId="77777777" w:rsidR="00197FF3" w:rsidRPr="004D4A14" w:rsidRDefault="00197FF3" w:rsidP="00197FF3">
      <w:pPr>
        <w:pStyle w:val="Stilius1"/>
        <w:rPr>
          <w:noProof/>
          <w:lang w:eastAsia="lt-LT" w:bidi="lt-LT"/>
        </w:rPr>
      </w:pPr>
      <w:r w:rsidRPr="004D4A14">
        <w:rPr>
          <w:noProof/>
          <w:lang w:eastAsia="lt-LT" w:bidi="lt-LT"/>
        </w:rPr>
        <w:lastRenderedPageBreak/>
        <w:t>Preliminarus Programos išteklių suskirstymas pagal intervencinių priemonių rūšį</w:t>
      </w:r>
    </w:p>
    <w:tbl>
      <w:tblPr>
        <w:tblStyle w:val="Lentelstinklelis"/>
        <w:tblW w:w="9608" w:type="dxa"/>
        <w:tblLayout w:type="fixed"/>
        <w:tblLook w:val="04A0" w:firstRow="1" w:lastRow="0" w:firstColumn="1" w:lastColumn="0" w:noHBand="0" w:noVBand="1"/>
      </w:tblPr>
      <w:tblGrid>
        <w:gridCol w:w="1069"/>
        <w:gridCol w:w="843"/>
        <w:gridCol w:w="1772"/>
        <w:gridCol w:w="1130"/>
        <w:gridCol w:w="3251"/>
        <w:gridCol w:w="1543"/>
      </w:tblGrid>
      <w:tr w:rsidR="00197FF3" w:rsidRPr="004D4A14" w14:paraId="78FE737D" w14:textId="77777777" w:rsidTr="007A4608">
        <w:tc>
          <w:tcPr>
            <w:tcW w:w="9608"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EB5A16B" w14:textId="77777777" w:rsidR="00197FF3" w:rsidRPr="004D4A14" w:rsidRDefault="00197FF3" w:rsidP="007A4608">
            <w:pPr>
              <w:rPr>
                <w:b/>
                <w:noProof/>
                <w:sz w:val="20"/>
              </w:rPr>
            </w:pPr>
            <w:r w:rsidRPr="004D4A14">
              <w:rPr>
                <w:b/>
                <w:noProof/>
                <w:sz w:val="20"/>
              </w:rPr>
              <w:t>4 lentelė. 1 matmuo. Intervencinių priemonių sritis</w:t>
            </w:r>
          </w:p>
        </w:tc>
      </w:tr>
      <w:tr w:rsidR="00197FF3" w:rsidRPr="004D4A14" w14:paraId="404E0AD9" w14:textId="77777777" w:rsidTr="007A4608">
        <w:tc>
          <w:tcPr>
            <w:tcW w:w="10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4A178A5" w14:textId="77777777" w:rsidR="00197FF3" w:rsidRPr="004D4A14" w:rsidRDefault="00197FF3" w:rsidP="007A4608">
            <w:pPr>
              <w:jc w:val="center"/>
              <w:rPr>
                <w:rFonts w:eastAsia="Times New Roman"/>
                <w:b/>
                <w:iCs/>
                <w:noProof/>
                <w:sz w:val="20"/>
              </w:rPr>
            </w:pPr>
            <w:r w:rsidRPr="004D4A14">
              <w:rPr>
                <w:b/>
                <w:noProof/>
                <w:sz w:val="20"/>
              </w:rPr>
              <w:t>Prioriteto Nr.</w:t>
            </w:r>
          </w:p>
        </w:tc>
        <w:tc>
          <w:tcPr>
            <w:tcW w:w="84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19E440E" w14:textId="77777777" w:rsidR="00197FF3" w:rsidRPr="004D4A14" w:rsidRDefault="00197FF3" w:rsidP="007A4608">
            <w:pPr>
              <w:jc w:val="center"/>
              <w:rPr>
                <w:rFonts w:eastAsia="Times New Roman"/>
                <w:b/>
                <w:iCs/>
                <w:noProof/>
                <w:sz w:val="20"/>
              </w:rPr>
            </w:pPr>
            <w:r w:rsidRPr="004D4A14">
              <w:rPr>
                <w:b/>
                <w:noProof/>
                <w:sz w:val="20"/>
              </w:rPr>
              <w:t>Fondas</w:t>
            </w:r>
          </w:p>
        </w:tc>
        <w:tc>
          <w:tcPr>
            <w:tcW w:w="177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FA5BF6D" w14:textId="77777777" w:rsidR="00197FF3" w:rsidRPr="004D4A14" w:rsidRDefault="00197FF3" w:rsidP="007A4608">
            <w:pPr>
              <w:jc w:val="center"/>
              <w:rPr>
                <w:rFonts w:eastAsia="Times New Roman"/>
                <w:b/>
                <w:iCs/>
                <w:noProof/>
                <w:sz w:val="20"/>
              </w:rPr>
            </w:pPr>
            <w:r w:rsidRPr="004D4A14">
              <w:rPr>
                <w:b/>
                <w:noProof/>
                <w:sz w:val="20"/>
              </w:rPr>
              <w:t>Regiono kategorija</w:t>
            </w:r>
          </w:p>
        </w:tc>
        <w:tc>
          <w:tcPr>
            <w:tcW w:w="113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4AD997B" w14:textId="77777777" w:rsidR="00197FF3" w:rsidRPr="004D4A14" w:rsidRDefault="00197FF3" w:rsidP="007A4608">
            <w:pPr>
              <w:jc w:val="center"/>
              <w:rPr>
                <w:rFonts w:eastAsia="Times New Roman"/>
                <w:b/>
                <w:iCs/>
                <w:noProof/>
                <w:sz w:val="20"/>
              </w:rPr>
            </w:pPr>
            <w:r w:rsidRPr="004D4A14">
              <w:rPr>
                <w:b/>
                <w:noProof/>
                <w:sz w:val="20"/>
              </w:rPr>
              <w:t>Konkretus uždavinys</w:t>
            </w:r>
          </w:p>
        </w:tc>
        <w:tc>
          <w:tcPr>
            <w:tcW w:w="325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2E5D834" w14:textId="77777777" w:rsidR="00197FF3" w:rsidRPr="004D4A14" w:rsidRDefault="00197FF3" w:rsidP="007A4608">
            <w:pPr>
              <w:jc w:val="center"/>
              <w:rPr>
                <w:rFonts w:eastAsia="Times New Roman"/>
                <w:b/>
                <w:iCs/>
                <w:noProof/>
                <w:sz w:val="20"/>
              </w:rPr>
            </w:pPr>
            <w:r w:rsidRPr="004D4A14">
              <w:rPr>
                <w:b/>
                <w:noProof/>
                <w:sz w:val="20"/>
              </w:rPr>
              <w:t>Kodas</w:t>
            </w:r>
          </w:p>
        </w:tc>
        <w:tc>
          <w:tcPr>
            <w:tcW w:w="154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6A41888" w14:textId="77777777" w:rsidR="00197FF3" w:rsidRPr="004D4A14" w:rsidRDefault="00197FF3" w:rsidP="007A4608">
            <w:pPr>
              <w:jc w:val="center"/>
              <w:rPr>
                <w:rFonts w:eastAsia="Times New Roman"/>
                <w:b/>
                <w:iCs/>
                <w:noProof/>
                <w:sz w:val="20"/>
              </w:rPr>
            </w:pPr>
            <w:r w:rsidRPr="004D4A14">
              <w:rPr>
                <w:b/>
                <w:noProof/>
                <w:sz w:val="20"/>
              </w:rPr>
              <w:t>Suma (EUR)</w:t>
            </w:r>
          </w:p>
        </w:tc>
      </w:tr>
      <w:tr w:rsidR="00197FF3" w:rsidRPr="004D4A14" w14:paraId="7DE3E76C" w14:textId="77777777" w:rsidTr="007A4608">
        <w:trPr>
          <w:trHeight w:val="552"/>
        </w:trPr>
        <w:tc>
          <w:tcPr>
            <w:tcW w:w="1069" w:type="dxa"/>
            <w:tcBorders>
              <w:top w:val="single" w:sz="12" w:space="0" w:color="auto"/>
            </w:tcBorders>
          </w:tcPr>
          <w:p w14:paraId="0D0300D3" w14:textId="77777777" w:rsidR="00197FF3" w:rsidRPr="004D4A14" w:rsidRDefault="00197FF3" w:rsidP="007A4608">
            <w:pPr>
              <w:jc w:val="center"/>
              <w:rPr>
                <w:rFonts w:eastAsia="Times New Roman"/>
                <w:iCs/>
                <w:noProof/>
                <w:sz w:val="20"/>
              </w:rPr>
            </w:pPr>
            <w:r w:rsidRPr="004D4A14">
              <w:rPr>
                <w:rFonts w:eastAsia="Times New Roman"/>
                <w:iCs/>
                <w:noProof/>
                <w:sz w:val="20"/>
              </w:rPr>
              <w:t>13.</w:t>
            </w:r>
          </w:p>
        </w:tc>
        <w:tc>
          <w:tcPr>
            <w:tcW w:w="843" w:type="dxa"/>
            <w:tcBorders>
              <w:top w:val="single" w:sz="12" w:space="0" w:color="auto"/>
            </w:tcBorders>
          </w:tcPr>
          <w:p w14:paraId="474357E6" w14:textId="77777777" w:rsidR="00197FF3" w:rsidRPr="004D4A14" w:rsidRDefault="00197FF3" w:rsidP="007A4608">
            <w:pPr>
              <w:jc w:val="center"/>
              <w:rPr>
                <w:rFonts w:eastAsia="Times New Roman"/>
                <w:iCs/>
                <w:noProof/>
                <w:sz w:val="20"/>
              </w:rPr>
            </w:pPr>
            <w:r w:rsidRPr="004D4A14">
              <w:rPr>
                <w:rFonts w:cs="Times New Roman"/>
                <w:noProof/>
                <w:sz w:val="16"/>
                <w:szCs w:val="16"/>
              </w:rPr>
              <w:t>SaF</w:t>
            </w:r>
          </w:p>
          <w:p w14:paraId="7D8FE3B3" w14:textId="77777777" w:rsidR="00197FF3" w:rsidRPr="004D4A14" w:rsidRDefault="00197FF3" w:rsidP="007A4608">
            <w:pPr>
              <w:jc w:val="center"/>
              <w:rPr>
                <w:rFonts w:eastAsia="Times New Roman"/>
                <w:iCs/>
                <w:noProof/>
                <w:sz w:val="20"/>
              </w:rPr>
            </w:pPr>
          </w:p>
        </w:tc>
        <w:tc>
          <w:tcPr>
            <w:tcW w:w="1772" w:type="dxa"/>
            <w:tcBorders>
              <w:top w:val="single" w:sz="12" w:space="0" w:color="auto"/>
            </w:tcBorders>
          </w:tcPr>
          <w:p w14:paraId="141F3F5E" w14:textId="77777777" w:rsidR="00197FF3" w:rsidRPr="004D4A14" w:rsidRDefault="00197FF3" w:rsidP="007A4608">
            <w:pPr>
              <w:rPr>
                <w:rFonts w:eastAsia="Times New Roman"/>
                <w:iCs/>
                <w:noProof/>
                <w:sz w:val="20"/>
              </w:rPr>
            </w:pPr>
            <w:r w:rsidRPr="004D4A14">
              <w:rPr>
                <w:rFonts w:cs="Times New Roman"/>
                <w:noProof/>
                <w:sz w:val="16"/>
                <w:szCs w:val="16"/>
              </w:rPr>
              <w:t>Visa Lietuva</w:t>
            </w:r>
          </w:p>
          <w:p w14:paraId="0DCEBE03" w14:textId="77777777" w:rsidR="00197FF3" w:rsidRPr="004D4A14" w:rsidRDefault="00197FF3" w:rsidP="007A4608">
            <w:pPr>
              <w:rPr>
                <w:rFonts w:eastAsia="Times New Roman"/>
                <w:iCs/>
                <w:noProof/>
                <w:sz w:val="20"/>
              </w:rPr>
            </w:pPr>
          </w:p>
        </w:tc>
        <w:tc>
          <w:tcPr>
            <w:tcW w:w="1130" w:type="dxa"/>
            <w:tcBorders>
              <w:top w:val="single" w:sz="12" w:space="0" w:color="auto"/>
            </w:tcBorders>
          </w:tcPr>
          <w:p w14:paraId="4F5C29CB" w14:textId="77777777" w:rsidR="00197FF3" w:rsidRPr="004D4A14" w:rsidRDefault="00197FF3" w:rsidP="007A4608">
            <w:pPr>
              <w:jc w:val="center"/>
              <w:rPr>
                <w:rFonts w:eastAsia="Times New Roman"/>
                <w:iCs/>
                <w:noProof/>
                <w:sz w:val="16"/>
                <w:szCs w:val="16"/>
              </w:rPr>
            </w:pPr>
            <w:r w:rsidRPr="004D4A14">
              <w:rPr>
                <w:rFonts w:eastAsia="Times New Roman"/>
                <w:iCs/>
                <w:noProof/>
                <w:sz w:val="16"/>
                <w:szCs w:val="16"/>
              </w:rPr>
              <w:t>13.1</w:t>
            </w:r>
          </w:p>
        </w:tc>
        <w:tc>
          <w:tcPr>
            <w:tcW w:w="3251" w:type="dxa"/>
            <w:tcBorders>
              <w:top w:val="single" w:sz="12" w:space="0" w:color="auto"/>
            </w:tcBorders>
          </w:tcPr>
          <w:p w14:paraId="1DBC2D23" w14:textId="77777777" w:rsidR="00197FF3" w:rsidRPr="004D4A14" w:rsidRDefault="00197FF3" w:rsidP="007A4608">
            <w:pPr>
              <w:rPr>
                <w:rFonts w:eastAsia="Times New Roman"/>
                <w:iCs/>
                <w:noProof/>
                <w:sz w:val="16"/>
                <w:szCs w:val="16"/>
              </w:rPr>
            </w:pPr>
            <w:r w:rsidRPr="004D4A14">
              <w:rPr>
                <w:rFonts w:eastAsia="Times New Roman"/>
                <w:iCs/>
                <w:noProof/>
                <w:sz w:val="16"/>
                <w:szCs w:val="16"/>
              </w:rPr>
              <w:t>196 - Energetikos jungtys ir susijusi perdavimo, paskirstymo, kaupimo ir pagalbinė infrastruktūra</w:t>
            </w:r>
          </w:p>
          <w:p w14:paraId="571C49C4" w14:textId="77777777" w:rsidR="00197FF3" w:rsidRPr="004D4A14" w:rsidRDefault="00197FF3" w:rsidP="007A4608">
            <w:pPr>
              <w:rPr>
                <w:rFonts w:eastAsia="Times New Roman" w:cs="Times New Roman"/>
                <w:iCs/>
                <w:noProof/>
                <w:sz w:val="16"/>
                <w:szCs w:val="16"/>
              </w:rPr>
            </w:pPr>
          </w:p>
        </w:tc>
        <w:tc>
          <w:tcPr>
            <w:tcW w:w="1543" w:type="dxa"/>
            <w:tcBorders>
              <w:top w:val="single" w:sz="12" w:space="0" w:color="auto"/>
            </w:tcBorders>
          </w:tcPr>
          <w:p w14:paraId="7346CAED" w14:textId="77777777" w:rsidR="00197FF3" w:rsidRPr="004D4A14" w:rsidRDefault="00197FF3" w:rsidP="007A4608">
            <w:pPr>
              <w:jc w:val="right"/>
              <w:rPr>
                <w:rFonts w:eastAsia="Times New Roman" w:cs="Times New Roman"/>
                <w:iCs/>
                <w:noProof/>
                <w:sz w:val="16"/>
                <w:szCs w:val="16"/>
              </w:rPr>
            </w:pPr>
            <w:r w:rsidRPr="004D4A14">
              <w:rPr>
                <w:rFonts w:eastAsia="Times New Roman" w:cs="Times New Roman"/>
                <w:iCs/>
                <w:noProof/>
                <w:sz w:val="16"/>
                <w:szCs w:val="16"/>
              </w:rPr>
              <w:t>40 000 000,00</w:t>
            </w:r>
          </w:p>
        </w:tc>
      </w:tr>
    </w:tbl>
    <w:p w14:paraId="2B3207DB" w14:textId="77777777" w:rsidR="00197FF3" w:rsidRPr="004D4A14" w:rsidRDefault="00197FF3" w:rsidP="00197FF3">
      <w:pPr>
        <w:spacing w:after="0" w:line="240" w:lineRule="auto"/>
        <w:rPr>
          <w:rFonts w:eastAsia="Times New Roman"/>
          <w:iCs/>
          <w:noProof/>
          <w:sz w:val="20"/>
          <w:szCs w:val="20"/>
        </w:rPr>
      </w:pPr>
    </w:p>
    <w:tbl>
      <w:tblPr>
        <w:tblStyle w:val="Lentelstinklelis"/>
        <w:tblW w:w="9624" w:type="dxa"/>
        <w:tblLayout w:type="fixed"/>
        <w:tblLook w:val="04A0" w:firstRow="1" w:lastRow="0" w:firstColumn="1" w:lastColumn="0" w:noHBand="0" w:noVBand="1"/>
      </w:tblPr>
      <w:tblGrid>
        <w:gridCol w:w="1101"/>
        <w:gridCol w:w="850"/>
        <w:gridCol w:w="1720"/>
        <w:gridCol w:w="1134"/>
        <w:gridCol w:w="3317"/>
        <w:gridCol w:w="1502"/>
      </w:tblGrid>
      <w:tr w:rsidR="00197FF3" w:rsidRPr="004D4A14" w14:paraId="530C49CC" w14:textId="77777777" w:rsidTr="007A4608">
        <w:tc>
          <w:tcPr>
            <w:tcW w:w="962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9642C82" w14:textId="77777777" w:rsidR="00197FF3" w:rsidRPr="004D4A14" w:rsidRDefault="00197FF3" w:rsidP="007A4608">
            <w:pPr>
              <w:rPr>
                <w:rFonts w:eastAsia="Times New Roman"/>
                <w:b/>
                <w:iCs/>
                <w:noProof/>
                <w:sz w:val="20"/>
              </w:rPr>
            </w:pPr>
            <w:r w:rsidRPr="004D4A14">
              <w:rPr>
                <w:b/>
                <w:noProof/>
                <w:sz w:val="20"/>
              </w:rPr>
              <w:t>5 lentelė. 2 matmuo. Finansavimo forma</w:t>
            </w:r>
          </w:p>
        </w:tc>
      </w:tr>
      <w:tr w:rsidR="00197FF3" w:rsidRPr="004D4A14" w14:paraId="2413610B" w14:textId="77777777" w:rsidTr="007A4608">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977F765" w14:textId="77777777" w:rsidR="00197FF3" w:rsidRPr="004D4A14" w:rsidRDefault="00197FF3" w:rsidP="007A4608">
            <w:pPr>
              <w:jc w:val="center"/>
              <w:rPr>
                <w:rFonts w:eastAsia="Times New Roman"/>
                <w:b/>
                <w:iCs/>
                <w:noProof/>
                <w:sz w:val="20"/>
              </w:rPr>
            </w:pPr>
            <w:r w:rsidRPr="004D4A14">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5AA0D4" w14:textId="77777777" w:rsidR="00197FF3" w:rsidRPr="004D4A14" w:rsidRDefault="00197FF3" w:rsidP="007A4608">
            <w:pPr>
              <w:jc w:val="center"/>
              <w:rPr>
                <w:rFonts w:eastAsia="Times New Roman"/>
                <w:b/>
                <w:iCs/>
                <w:noProof/>
                <w:sz w:val="20"/>
              </w:rPr>
            </w:pPr>
            <w:r w:rsidRPr="004D4A14">
              <w:rPr>
                <w:b/>
                <w:noProof/>
                <w:sz w:val="20"/>
              </w:rPr>
              <w:t>Fondas</w:t>
            </w:r>
          </w:p>
        </w:tc>
        <w:tc>
          <w:tcPr>
            <w:tcW w:w="172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D8B543" w14:textId="77777777" w:rsidR="00197FF3" w:rsidRPr="004D4A14" w:rsidRDefault="00197FF3" w:rsidP="007A4608">
            <w:pPr>
              <w:jc w:val="center"/>
              <w:rPr>
                <w:rFonts w:eastAsia="Times New Roman"/>
                <w:b/>
                <w:iCs/>
                <w:noProof/>
                <w:sz w:val="20"/>
              </w:rPr>
            </w:pPr>
            <w:r w:rsidRPr="004D4A14">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1AEB9C9" w14:textId="77777777" w:rsidR="00197FF3" w:rsidRPr="004D4A14" w:rsidRDefault="00197FF3" w:rsidP="007A4608">
            <w:pPr>
              <w:jc w:val="center"/>
              <w:rPr>
                <w:rFonts w:eastAsia="Times New Roman"/>
                <w:b/>
                <w:iCs/>
                <w:noProof/>
                <w:sz w:val="20"/>
              </w:rPr>
            </w:pPr>
            <w:r w:rsidRPr="004D4A14">
              <w:rPr>
                <w:b/>
                <w:noProof/>
                <w:sz w:val="20"/>
              </w:rPr>
              <w:t>Konkretus uždavinys</w:t>
            </w:r>
          </w:p>
        </w:tc>
        <w:tc>
          <w:tcPr>
            <w:tcW w:w="33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71A23F8" w14:textId="77777777" w:rsidR="00197FF3" w:rsidRPr="004D4A14" w:rsidRDefault="00197FF3" w:rsidP="007A4608">
            <w:pPr>
              <w:jc w:val="center"/>
              <w:rPr>
                <w:rFonts w:eastAsia="Times New Roman"/>
                <w:b/>
                <w:iCs/>
                <w:noProof/>
                <w:sz w:val="20"/>
              </w:rPr>
            </w:pPr>
            <w:r w:rsidRPr="004D4A14">
              <w:rPr>
                <w:b/>
                <w:noProof/>
                <w:sz w:val="20"/>
              </w:rPr>
              <w:t>Kodas</w:t>
            </w:r>
          </w:p>
        </w:tc>
        <w:tc>
          <w:tcPr>
            <w:tcW w:w="150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0E2B3AA" w14:textId="77777777" w:rsidR="00197FF3" w:rsidRPr="004D4A14" w:rsidRDefault="00197FF3" w:rsidP="007A4608">
            <w:pPr>
              <w:jc w:val="center"/>
              <w:rPr>
                <w:rFonts w:eastAsia="Times New Roman"/>
                <w:b/>
                <w:iCs/>
                <w:noProof/>
                <w:sz w:val="20"/>
              </w:rPr>
            </w:pPr>
            <w:r w:rsidRPr="004D4A14">
              <w:rPr>
                <w:b/>
                <w:noProof/>
                <w:sz w:val="20"/>
              </w:rPr>
              <w:t>Suma (EUR)</w:t>
            </w:r>
          </w:p>
        </w:tc>
      </w:tr>
      <w:tr w:rsidR="00197FF3" w:rsidRPr="004D4A14" w14:paraId="280E0943" w14:textId="77777777" w:rsidTr="007A4608">
        <w:trPr>
          <w:trHeight w:val="414"/>
        </w:trPr>
        <w:tc>
          <w:tcPr>
            <w:tcW w:w="1101" w:type="dxa"/>
            <w:tcBorders>
              <w:top w:val="single" w:sz="12" w:space="0" w:color="auto"/>
            </w:tcBorders>
          </w:tcPr>
          <w:p w14:paraId="167EA622" w14:textId="77777777" w:rsidR="00197FF3" w:rsidRPr="004D4A14" w:rsidRDefault="00197FF3" w:rsidP="007A4608">
            <w:pPr>
              <w:jc w:val="center"/>
              <w:rPr>
                <w:rFonts w:eastAsia="Times New Roman"/>
                <w:iCs/>
                <w:noProof/>
                <w:sz w:val="20"/>
                <w:szCs w:val="20"/>
              </w:rPr>
            </w:pPr>
            <w:r w:rsidRPr="004D4A14">
              <w:rPr>
                <w:rFonts w:eastAsia="Times New Roman"/>
                <w:iCs/>
                <w:noProof/>
                <w:sz w:val="20"/>
              </w:rPr>
              <w:t>13.</w:t>
            </w:r>
          </w:p>
        </w:tc>
        <w:tc>
          <w:tcPr>
            <w:tcW w:w="850" w:type="dxa"/>
            <w:tcBorders>
              <w:top w:val="single" w:sz="12" w:space="0" w:color="auto"/>
            </w:tcBorders>
          </w:tcPr>
          <w:p w14:paraId="13B8369A" w14:textId="77777777" w:rsidR="00197FF3" w:rsidRPr="004D4A14" w:rsidRDefault="00197FF3" w:rsidP="007A4608">
            <w:pPr>
              <w:jc w:val="center"/>
              <w:rPr>
                <w:rFonts w:eastAsia="Times New Roman"/>
                <w:iCs/>
                <w:noProof/>
                <w:sz w:val="20"/>
                <w:szCs w:val="20"/>
              </w:rPr>
            </w:pPr>
            <w:r w:rsidRPr="004D4A14">
              <w:rPr>
                <w:rFonts w:cs="Times New Roman"/>
                <w:noProof/>
                <w:sz w:val="16"/>
                <w:szCs w:val="16"/>
              </w:rPr>
              <w:t>SaF</w:t>
            </w:r>
          </w:p>
          <w:p w14:paraId="1D137A07" w14:textId="77777777" w:rsidR="00197FF3" w:rsidRPr="004D4A14" w:rsidRDefault="00197FF3" w:rsidP="007A4608">
            <w:pPr>
              <w:jc w:val="center"/>
              <w:rPr>
                <w:rFonts w:eastAsia="Times New Roman"/>
                <w:iCs/>
                <w:noProof/>
                <w:sz w:val="20"/>
                <w:szCs w:val="20"/>
              </w:rPr>
            </w:pPr>
          </w:p>
        </w:tc>
        <w:tc>
          <w:tcPr>
            <w:tcW w:w="1720" w:type="dxa"/>
            <w:tcBorders>
              <w:top w:val="single" w:sz="12" w:space="0" w:color="auto"/>
            </w:tcBorders>
          </w:tcPr>
          <w:p w14:paraId="0F3D2E58" w14:textId="77777777" w:rsidR="00197FF3" w:rsidRPr="004D4A14" w:rsidRDefault="00197FF3" w:rsidP="007A4608">
            <w:pPr>
              <w:rPr>
                <w:rFonts w:eastAsia="Times New Roman"/>
                <w:iCs/>
                <w:noProof/>
                <w:sz w:val="20"/>
                <w:szCs w:val="20"/>
              </w:rPr>
            </w:pPr>
            <w:r w:rsidRPr="004D4A14">
              <w:rPr>
                <w:rFonts w:cs="Times New Roman"/>
                <w:noProof/>
                <w:sz w:val="16"/>
                <w:szCs w:val="16"/>
              </w:rPr>
              <w:t>Visa Lietuva</w:t>
            </w:r>
          </w:p>
        </w:tc>
        <w:tc>
          <w:tcPr>
            <w:tcW w:w="1134" w:type="dxa"/>
            <w:tcBorders>
              <w:top w:val="single" w:sz="12" w:space="0" w:color="auto"/>
            </w:tcBorders>
          </w:tcPr>
          <w:p w14:paraId="3927AA9B" w14:textId="77777777" w:rsidR="00197FF3" w:rsidRPr="004D4A14" w:rsidRDefault="00197FF3" w:rsidP="007A4608">
            <w:pPr>
              <w:jc w:val="center"/>
              <w:rPr>
                <w:rFonts w:eastAsia="Times New Roman"/>
                <w:b/>
                <w:iCs/>
                <w:noProof/>
                <w:sz w:val="16"/>
                <w:szCs w:val="16"/>
              </w:rPr>
            </w:pPr>
            <w:r w:rsidRPr="004D4A14">
              <w:rPr>
                <w:rFonts w:eastAsia="Times New Roman"/>
                <w:iCs/>
                <w:noProof/>
                <w:sz w:val="16"/>
                <w:szCs w:val="16"/>
              </w:rPr>
              <w:t>13.1</w:t>
            </w:r>
          </w:p>
        </w:tc>
        <w:tc>
          <w:tcPr>
            <w:tcW w:w="3317" w:type="dxa"/>
            <w:tcBorders>
              <w:top w:val="single" w:sz="12" w:space="0" w:color="auto"/>
            </w:tcBorders>
          </w:tcPr>
          <w:p w14:paraId="41C8BE78" w14:textId="77777777" w:rsidR="00197FF3" w:rsidRPr="004D4A14" w:rsidRDefault="00197FF3" w:rsidP="007A4608">
            <w:pPr>
              <w:rPr>
                <w:rFonts w:eastAsia="Times New Roman" w:cs="Times New Roman"/>
                <w:bCs/>
                <w:iCs/>
                <w:noProof/>
                <w:sz w:val="16"/>
                <w:szCs w:val="16"/>
              </w:rPr>
            </w:pPr>
            <w:r w:rsidRPr="004D4A14">
              <w:rPr>
                <w:rFonts w:eastAsia="Times New Roman"/>
                <w:iCs/>
                <w:noProof/>
                <w:sz w:val="16"/>
                <w:szCs w:val="16"/>
              </w:rPr>
              <w:t>01 – Dotacija</w:t>
            </w:r>
          </w:p>
        </w:tc>
        <w:tc>
          <w:tcPr>
            <w:tcW w:w="1502" w:type="dxa"/>
            <w:tcBorders>
              <w:top w:val="single" w:sz="12" w:space="0" w:color="auto"/>
            </w:tcBorders>
          </w:tcPr>
          <w:p w14:paraId="4D3FEA58" w14:textId="77777777" w:rsidR="00197FF3" w:rsidRPr="004D4A14" w:rsidRDefault="00197FF3" w:rsidP="007A4608">
            <w:pPr>
              <w:jc w:val="right"/>
              <w:rPr>
                <w:rFonts w:cs="Times New Roman"/>
                <w:sz w:val="16"/>
                <w:szCs w:val="16"/>
              </w:rPr>
            </w:pPr>
            <w:r w:rsidRPr="004D4A14">
              <w:rPr>
                <w:rFonts w:eastAsia="Times New Roman" w:cs="Times New Roman"/>
                <w:iCs/>
                <w:noProof/>
                <w:sz w:val="16"/>
                <w:szCs w:val="16"/>
              </w:rPr>
              <w:t>40 000 000,00</w:t>
            </w:r>
          </w:p>
        </w:tc>
      </w:tr>
    </w:tbl>
    <w:p w14:paraId="3D861A45" w14:textId="77777777" w:rsidR="00197FF3" w:rsidRPr="004D4A14" w:rsidRDefault="00197FF3" w:rsidP="00197FF3">
      <w:pPr>
        <w:spacing w:after="0" w:line="240" w:lineRule="auto"/>
        <w:rPr>
          <w:rFonts w:eastAsia="Times New Roman"/>
          <w:iCs/>
          <w:noProof/>
          <w:sz w:val="20"/>
          <w:szCs w:val="20"/>
        </w:rPr>
      </w:pPr>
    </w:p>
    <w:tbl>
      <w:tblPr>
        <w:tblStyle w:val="Lentelstinklelis"/>
        <w:tblW w:w="9624" w:type="dxa"/>
        <w:tblLook w:val="04A0" w:firstRow="1" w:lastRow="0" w:firstColumn="1" w:lastColumn="0" w:noHBand="0" w:noVBand="1"/>
      </w:tblPr>
      <w:tblGrid>
        <w:gridCol w:w="1091"/>
        <w:gridCol w:w="848"/>
        <w:gridCol w:w="1688"/>
        <w:gridCol w:w="1128"/>
        <w:gridCol w:w="3322"/>
        <w:gridCol w:w="1547"/>
      </w:tblGrid>
      <w:tr w:rsidR="00197FF3" w:rsidRPr="004D4A14" w14:paraId="172787C0" w14:textId="77777777" w:rsidTr="007A4608">
        <w:tc>
          <w:tcPr>
            <w:tcW w:w="962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CAA951E" w14:textId="77777777" w:rsidR="00197FF3" w:rsidRPr="004D4A14" w:rsidRDefault="00197FF3" w:rsidP="007A4608">
            <w:pPr>
              <w:rPr>
                <w:rFonts w:eastAsia="Times New Roman"/>
                <w:b/>
                <w:iCs/>
                <w:noProof/>
                <w:sz w:val="20"/>
              </w:rPr>
            </w:pPr>
            <w:r w:rsidRPr="004D4A14">
              <w:rPr>
                <w:b/>
                <w:noProof/>
                <w:sz w:val="20"/>
              </w:rPr>
              <w:t>6 lentelė. 3 matmuo. Teritorinis įgyvendinimo mechanizmas ir pagrindinė teritorinė sritis</w:t>
            </w:r>
          </w:p>
        </w:tc>
      </w:tr>
      <w:tr w:rsidR="00197FF3" w:rsidRPr="004D4A14" w14:paraId="66B1CD87" w14:textId="77777777" w:rsidTr="007A4608">
        <w:tc>
          <w:tcPr>
            <w:tcW w:w="109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28FA125" w14:textId="77777777" w:rsidR="00197FF3" w:rsidRPr="004D4A14" w:rsidRDefault="00197FF3" w:rsidP="007A4608">
            <w:pPr>
              <w:jc w:val="center"/>
              <w:rPr>
                <w:rFonts w:eastAsia="Times New Roman"/>
                <w:b/>
                <w:iCs/>
                <w:noProof/>
                <w:sz w:val="20"/>
              </w:rPr>
            </w:pPr>
            <w:r w:rsidRPr="004D4A14">
              <w:rPr>
                <w:b/>
                <w:noProof/>
                <w:sz w:val="20"/>
              </w:rPr>
              <w:t>Prioriteto Nr.</w:t>
            </w:r>
          </w:p>
        </w:tc>
        <w:tc>
          <w:tcPr>
            <w:tcW w:w="84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B2604D3" w14:textId="77777777" w:rsidR="00197FF3" w:rsidRPr="004D4A14" w:rsidRDefault="00197FF3" w:rsidP="007A4608">
            <w:pPr>
              <w:jc w:val="center"/>
              <w:rPr>
                <w:rFonts w:eastAsia="Times New Roman"/>
                <w:b/>
                <w:iCs/>
                <w:noProof/>
                <w:sz w:val="20"/>
              </w:rPr>
            </w:pPr>
            <w:r w:rsidRPr="004D4A14">
              <w:rPr>
                <w:b/>
                <w:noProof/>
                <w:sz w:val="20"/>
              </w:rPr>
              <w:t>Fondas</w:t>
            </w:r>
          </w:p>
        </w:tc>
        <w:tc>
          <w:tcPr>
            <w:tcW w:w="168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93DA36" w14:textId="77777777" w:rsidR="00197FF3" w:rsidRPr="004D4A14" w:rsidRDefault="00197FF3" w:rsidP="007A4608">
            <w:pPr>
              <w:jc w:val="center"/>
              <w:rPr>
                <w:rFonts w:eastAsia="Times New Roman"/>
                <w:b/>
                <w:iCs/>
                <w:noProof/>
                <w:sz w:val="20"/>
              </w:rPr>
            </w:pPr>
            <w:r w:rsidRPr="004D4A14">
              <w:rPr>
                <w:b/>
                <w:noProof/>
                <w:sz w:val="20"/>
              </w:rPr>
              <w:t>Regiono kategorija</w:t>
            </w:r>
          </w:p>
        </w:tc>
        <w:tc>
          <w:tcPr>
            <w:tcW w:w="112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F270F01" w14:textId="77777777" w:rsidR="00197FF3" w:rsidRPr="004D4A14" w:rsidRDefault="00197FF3" w:rsidP="007A4608">
            <w:pPr>
              <w:jc w:val="center"/>
              <w:rPr>
                <w:rFonts w:eastAsia="Times New Roman"/>
                <w:b/>
                <w:iCs/>
                <w:noProof/>
                <w:sz w:val="20"/>
              </w:rPr>
            </w:pPr>
            <w:r w:rsidRPr="004D4A14">
              <w:rPr>
                <w:b/>
                <w:noProof/>
                <w:sz w:val="20"/>
              </w:rPr>
              <w:t>Konkretus uždavinys</w:t>
            </w:r>
          </w:p>
        </w:tc>
        <w:tc>
          <w:tcPr>
            <w:tcW w:w="332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877547B" w14:textId="77777777" w:rsidR="00197FF3" w:rsidRPr="004D4A14" w:rsidRDefault="00197FF3" w:rsidP="007A4608">
            <w:pPr>
              <w:jc w:val="center"/>
              <w:rPr>
                <w:rFonts w:eastAsia="Times New Roman"/>
                <w:b/>
                <w:iCs/>
                <w:noProof/>
                <w:sz w:val="20"/>
              </w:rPr>
            </w:pPr>
            <w:r w:rsidRPr="004D4A14">
              <w:rPr>
                <w:b/>
                <w:noProof/>
                <w:sz w:val="20"/>
              </w:rPr>
              <w:t>Kodas</w:t>
            </w:r>
          </w:p>
        </w:tc>
        <w:tc>
          <w:tcPr>
            <w:tcW w:w="154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4F0D896" w14:textId="77777777" w:rsidR="00197FF3" w:rsidRPr="004D4A14" w:rsidRDefault="00197FF3" w:rsidP="007A4608">
            <w:pPr>
              <w:jc w:val="center"/>
              <w:rPr>
                <w:rFonts w:eastAsia="Times New Roman"/>
                <w:b/>
                <w:iCs/>
                <w:noProof/>
                <w:sz w:val="20"/>
              </w:rPr>
            </w:pPr>
            <w:r w:rsidRPr="004D4A14">
              <w:rPr>
                <w:b/>
                <w:noProof/>
                <w:sz w:val="20"/>
              </w:rPr>
              <w:t>Suma (EUR)</w:t>
            </w:r>
          </w:p>
        </w:tc>
      </w:tr>
      <w:tr w:rsidR="00197FF3" w:rsidRPr="004D4A14" w14:paraId="1D0EFA3A" w14:textId="77777777" w:rsidTr="007A4608">
        <w:trPr>
          <w:trHeight w:val="616"/>
        </w:trPr>
        <w:tc>
          <w:tcPr>
            <w:tcW w:w="1091" w:type="dxa"/>
          </w:tcPr>
          <w:p w14:paraId="4E26A87B" w14:textId="77777777" w:rsidR="00197FF3" w:rsidRPr="004D4A14" w:rsidRDefault="00197FF3" w:rsidP="007A4608">
            <w:pPr>
              <w:jc w:val="center"/>
              <w:rPr>
                <w:rFonts w:eastAsia="Times New Roman"/>
                <w:iCs/>
                <w:noProof/>
                <w:sz w:val="20"/>
                <w:szCs w:val="20"/>
              </w:rPr>
            </w:pPr>
            <w:r w:rsidRPr="004D4A14">
              <w:rPr>
                <w:rFonts w:eastAsia="Times New Roman"/>
                <w:iCs/>
                <w:noProof/>
                <w:sz w:val="20"/>
              </w:rPr>
              <w:t>13</w:t>
            </w:r>
          </w:p>
        </w:tc>
        <w:tc>
          <w:tcPr>
            <w:tcW w:w="848" w:type="dxa"/>
          </w:tcPr>
          <w:p w14:paraId="3C1A5ADD" w14:textId="77777777" w:rsidR="00197FF3" w:rsidRPr="004D4A14" w:rsidRDefault="00197FF3" w:rsidP="007A4608">
            <w:pPr>
              <w:jc w:val="center"/>
              <w:rPr>
                <w:rFonts w:eastAsia="Times New Roman"/>
                <w:iCs/>
                <w:noProof/>
                <w:sz w:val="20"/>
                <w:szCs w:val="20"/>
              </w:rPr>
            </w:pPr>
            <w:r w:rsidRPr="004D4A14">
              <w:rPr>
                <w:rFonts w:cs="Times New Roman"/>
                <w:noProof/>
                <w:sz w:val="16"/>
                <w:szCs w:val="16"/>
              </w:rPr>
              <w:t>SaF</w:t>
            </w:r>
          </w:p>
        </w:tc>
        <w:tc>
          <w:tcPr>
            <w:tcW w:w="1688" w:type="dxa"/>
          </w:tcPr>
          <w:p w14:paraId="5A1CA481" w14:textId="77777777" w:rsidR="00197FF3" w:rsidRPr="004D4A14" w:rsidRDefault="00197FF3" w:rsidP="007A4608">
            <w:pPr>
              <w:rPr>
                <w:rFonts w:eastAsia="Times New Roman"/>
                <w:iCs/>
                <w:noProof/>
                <w:sz w:val="20"/>
                <w:szCs w:val="20"/>
              </w:rPr>
            </w:pPr>
            <w:r w:rsidRPr="004D4A14">
              <w:rPr>
                <w:rFonts w:cs="Times New Roman"/>
                <w:noProof/>
                <w:sz w:val="16"/>
                <w:szCs w:val="16"/>
              </w:rPr>
              <w:t>Visa Lietuva</w:t>
            </w:r>
          </w:p>
        </w:tc>
        <w:tc>
          <w:tcPr>
            <w:tcW w:w="1128" w:type="dxa"/>
          </w:tcPr>
          <w:p w14:paraId="17DFC900" w14:textId="77777777" w:rsidR="00197FF3" w:rsidRPr="004D4A14" w:rsidRDefault="00197FF3" w:rsidP="007A4608">
            <w:pPr>
              <w:jc w:val="center"/>
              <w:rPr>
                <w:rFonts w:eastAsia="Times New Roman"/>
                <w:b/>
                <w:iCs/>
                <w:noProof/>
                <w:sz w:val="16"/>
                <w:szCs w:val="16"/>
              </w:rPr>
            </w:pPr>
            <w:r w:rsidRPr="004D4A14">
              <w:rPr>
                <w:rFonts w:eastAsia="Times New Roman"/>
                <w:iCs/>
                <w:noProof/>
                <w:sz w:val="16"/>
                <w:szCs w:val="16"/>
              </w:rPr>
              <w:t>13.1</w:t>
            </w:r>
          </w:p>
        </w:tc>
        <w:tc>
          <w:tcPr>
            <w:tcW w:w="3322" w:type="dxa"/>
          </w:tcPr>
          <w:p w14:paraId="7F2EBA32" w14:textId="77777777" w:rsidR="00197FF3" w:rsidRPr="004D4A14" w:rsidRDefault="00197FF3" w:rsidP="007A4608">
            <w:pPr>
              <w:rPr>
                <w:rFonts w:eastAsia="Times New Roman" w:cs="Times New Roman"/>
                <w:bCs/>
                <w:iCs/>
                <w:noProof/>
                <w:sz w:val="16"/>
                <w:szCs w:val="16"/>
              </w:rPr>
            </w:pPr>
            <w:r w:rsidRPr="004D4A14">
              <w:rPr>
                <w:rFonts w:eastAsia="Times New Roman"/>
                <w:iCs/>
                <w:noProof/>
                <w:sz w:val="16"/>
                <w:szCs w:val="16"/>
              </w:rPr>
              <w:t>33 – Nesiorientuojant į teritoriškumą</w:t>
            </w:r>
          </w:p>
        </w:tc>
        <w:tc>
          <w:tcPr>
            <w:tcW w:w="1547" w:type="dxa"/>
          </w:tcPr>
          <w:p w14:paraId="3EAA0F05" w14:textId="77777777" w:rsidR="00197FF3" w:rsidRPr="004D4A14" w:rsidRDefault="00197FF3" w:rsidP="007A4608">
            <w:pPr>
              <w:jc w:val="right"/>
              <w:rPr>
                <w:rFonts w:cs="Times New Roman"/>
                <w:sz w:val="16"/>
                <w:szCs w:val="16"/>
              </w:rPr>
            </w:pPr>
            <w:r w:rsidRPr="004D4A14">
              <w:rPr>
                <w:rFonts w:eastAsia="Times New Roman" w:cs="Times New Roman"/>
                <w:iCs/>
                <w:noProof/>
                <w:sz w:val="16"/>
                <w:szCs w:val="16"/>
              </w:rPr>
              <w:t>40 000 000,00</w:t>
            </w:r>
          </w:p>
        </w:tc>
      </w:tr>
    </w:tbl>
    <w:p w14:paraId="62A23A84" w14:textId="77777777" w:rsidR="00197FF3" w:rsidRPr="004D4A14" w:rsidRDefault="00197FF3" w:rsidP="00197FF3">
      <w:pPr>
        <w:spacing w:after="0"/>
      </w:pPr>
    </w:p>
    <w:tbl>
      <w:tblPr>
        <w:tblStyle w:val="Lentelstinklelis30"/>
        <w:tblW w:w="9624" w:type="dxa"/>
        <w:tblLook w:val="04A0" w:firstRow="1" w:lastRow="0" w:firstColumn="1" w:lastColumn="0" w:noHBand="0" w:noVBand="1"/>
      </w:tblPr>
      <w:tblGrid>
        <w:gridCol w:w="1095"/>
        <w:gridCol w:w="849"/>
        <w:gridCol w:w="1642"/>
        <w:gridCol w:w="1128"/>
        <w:gridCol w:w="3351"/>
        <w:gridCol w:w="1559"/>
      </w:tblGrid>
      <w:tr w:rsidR="00197FF3" w:rsidRPr="004D4A14" w14:paraId="4C7EA900" w14:textId="77777777" w:rsidTr="007A4608">
        <w:tc>
          <w:tcPr>
            <w:tcW w:w="962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4ABC3AE" w14:textId="77777777" w:rsidR="00197FF3" w:rsidRPr="004D4A14" w:rsidRDefault="00197FF3" w:rsidP="007A4608">
            <w:pPr>
              <w:rPr>
                <w:b/>
                <w:iCs/>
                <w:noProof/>
                <w:sz w:val="20"/>
                <w:szCs w:val="20"/>
              </w:rPr>
            </w:pPr>
            <w:r w:rsidRPr="004D4A14">
              <w:rPr>
                <w:b/>
                <w:noProof/>
                <w:sz w:val="20"/>
                <w:szCs w:val="20"/>
              </w:rPr>
              <w:t xml:space="preserve">7 lentelė. 7 matmuo. </w:t>
            </w:r>
            <w:r w:rsidRPr="004D4A14">
              <w:rPr>
                <w:b/>
                <w:sz w:val="20"/>
                <w:szCs w:val="20"/>
              </w:rPr>
              <w:t xml:space="preserve">ESF+, ERPF, </w:t>
            </w:r>
            <w:proofErr w:type="spellStart"/>
            <w:r w:rsidRPr="004D4A14">
              <w:rPr>
                <w:b/>
                <w:sz w:val="20"/>
                <w:szCs w:val="20"/>
              </w:rPr>
              <w:t>SaF</w:t>
            </w:r>
            <w:proofErr w:type="spellEnd"/>
            <w:r w:rsidRPr="004D4A14">
              <w:rPr>
                <w:b/>
                <w:sz w:val="20"/>
                <w:szCs w:val="20"/>
              </w:rPr>
              <w:t xml:space="preserve"> ir TPF lyčių lygybės matmuo</w:t>
            </w:r>
          </w:p>
        </w:tc>
      </w:tr>
      <w:tr w:rsidR="00197FF3" w:rsidRPr="004D4A14" w14:paraId="6956753E" w14:textId="77777777" w:rsidTr="007A4608">
        <w:tc>
          <w:tcPr>
            <w:tcW w:w="109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2264715" w14:textId="77777777" w:rsidR="00197FF3" w:rsidRPr="004D4A14" w:rsidRDefault="00197FF3" w:rsidP="007A4608">
            <w:pPr>
              <w:jc w:val="center"/>
              <w:rPr>
                <w:b/>
                <w:iCs/>
                <w:noProof/>
                <w:sz w:val="20"/>
              </w:rPr>
            </w:pPr>
            <w:r w:rsidRPr="004D4A14">
              <w:rPr>
                <w:b/>
                <w:noProof/>
                <w:sz w:val="20"/>
              </w:rPr>
              <w:t>Prioriteto Nr.</w:t>
            </w:r>
          </w:p>
        </w:tc>
        <w:tc>
          <w:tcPr>
            <w:tcW w:w="8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181C18E" w14:textId="77777777" w:rsidR="00197FF3" w:rsidRPr="004D4A14" w:rsidRDefault="00197FF3" w:rsidP="007A4608">
            <w:pPr>
              <w:jc w:val="center"/>
              <w:rPr>
                <w:b/>
                <w:iCs/>
                <w:noProof/>
                <w:sz w:val="20"/>
              </w:rPr>
            </w:pPr>
            <w:r w:rsidRPr="004D4A14">
              <w:rPr>
                <w:b/>
                <w:noProof/>
                <w:sz w:val="20"/>
              </w:rPr>
              <w:t>Fondas</w:t>
            </w:r>
          </w:p>
        </w:tc>
        <w:tc>
          <w:tcPr>
            <w:tcW w:w="164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9EB1EA7" w14:textId="77777777" w:rsidR="00197FF3" w:rsidRPr="004D4A14" w:rsidRDefault="00197FF3" w:rsidP="007A4608">
            <w:pPr>
              <w:jc w:val="center"/>
              <w:rPr>
                <w:b/>
                <w:iCs/>
                <w:noProof/>
                <w:sz w:val="20"/>
              </w:rPr>
            </w:pPr>
            <w:r w:rsidRPr="004D4A14">
              <w:rPr>
                <w:b/>
                <w:noProof/>
                <w:sz w:val="20"/>
              </w:rPr>
              <w:t>Regiono kategorija</w:t>
            </w:r>
          </w:p>
        </w:tc>
        <w:tc>
          <w:tcPr>
            <w:tcW w:w="112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C03E41A" w14:textId="77777777" w:rsidR="00197FF3" w:rsidRPr="004D4A14" w:rsidRDefault="00197FF3" w:rsidP="007A4608">
            <w:pPr>
              <w:jc w:val="center"/>
              <w:rPr>
                <w:b/>
                <w:iCs/>
                <w:noProof/>
                <w:sz w:val="20"/>
              </w:rPr>
            </w:pPr>
            <w:r w:rsidRPr="004D4A14">
              <w:rPr>
                <w:b/>
                <w:noProof/>
                <w:sz w:val="20"/>
              </w:rPr>
              <w:t>Konkretus uždavinys</w:t>
            </w:r>
          </w:p>
        </w:tc>
        <w:tc>
          <w:tcPr>
            <w:tcW w:w="335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52B347" w14:textId="77777777" w:rsidR="00197FF3" w:rsidRPr="004D4A14" w:rsidRDefault="00197FF3" w:rsidP="007A4608">
            <w:pPr>
              <w:jc w:val="center"/>
              <w:rPr>
                <w:b/>
                <w:iCs/>
                <w:noProof/>
                <w:sz w:val="20"/>
              </w:rPr>
            </w:pPr>
            <w:r w:rsidRPr="004D4A14">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BB4921E" w14:textId="77777777" w:rsidR="00197FF3" w:rsidRPr="004D4A14" w:rsidRDefault="00197FF3" w:rsidP="007A4608">
            <w:pPr>
              <w:jc w:val="center"/>
              <w:rPr>
                <w:b/>
                <w:iCs/>
                <w:noProof/>
                <w:sz w:val="20"/>
              </w:rPr>
            </w:pPr>
            <w:r w:rsidRPr="004D4A14">
              <w:rPr>
                <w:b/>
                <w:noProof/>
                <w:sz w:val="20"/>
              </w:rPr>
              <w:t>Suma (EUR)</w:t>
            </w:r>
          </w:p>
        </w:tc>
      </w:tr>
      <w:tr w:rsidR="00197FF3" w:rsidRPr="004D4A14" w14:paraId="361E71EB" w14:textId="77777777" w:rsidTr="007A4608">
        <w:trPr>
          <w:trHeight w:val="521"/>
        </w:trPr>
        <w:tc>
          <w:tcPr>
            <w:tcW w:w="1095" w:type="dxa"/>
            <w:tcBorders>
              <w:top w:val="single" w:sz="12" w:space="0" w:color="auto"/>
            </w:tcBorders>
          </w:tcPr>
          <w:p w14:paraId="34DCBE64" w14:textId="77777777" w:rsidR="00197FF3" w:rsidRPr="004D4A14" w:rsidRDefault="00197FF3" w:rsidP="007A4608">
            <w:pPr>
              <w:jc w:val="center"/>
              <w:rPr>
                <w:iCs/>
                <w:noProof/>
                <w:sz w:val="16"/>
                <w:szCs w:val="16"/>
              </w:rPr>
            </w:pPr>
            <w:r w:rsidRPr="004D4A14">
              <w:rPr>
                <w:iCs/>
                <w:noProof/>
                <w:sz w:val="20"/>
              </w:rPr>
              <w:t>13.</w:t>
            </w:r>
          </w:p>
        </w:tc>
        <w:tc>
          <w:tcPr>
            <w:tcW w:w="849" w:type="dxa"/>
            <w:tcBorders>
              <w:top w:val="single" w:sz="12" w:space="0" w:color="auto"/>
            </w:tcBorders>
          </w:tcPr>
          <w:p w14:paraId="1380C744" w14:textId="77777777" w:rsidR="00197FF3" w:rsidRPr="004D4A14" w:rsidRDefault="00197FF3" w:rsidP="007A4608">
            <w:pPr>
              <w:jc w:val="center"/>
              <w:rPr>
                <w:iCs/>
                <w:noProof/>
                <w:sz w:val="16"/>
                <w:szCs w:val="16"/>
              </w:rPr>
            </w:pPr>
            <w:r w:rsidRPr="004D4A14">
              <w:rPr>
                <w:noProof/>
                <w:sz w:val="16"/>
                <w:szCs w:val="16"/>
              </w:rPr>
              <w:t>SaF</w:t>
            </w:r>
          </w:p>
        </w:tc>
        <w:tc>
          <w:tcPr>
            <w:tcW w:w="1642" w:type="dxa"/>
            <w:tcBorders>
              <w:top w:val="single" w:sz="12" w:space="0" w:color="auto"/>
            </w:tcBorders>
          </w:tcPr>
          <w:p w14:paraId="4E693360" w14:textId="77777777" w:rsidR="00197FF3" w:rsidRPr="004D4A14" w:rsidRDefault="00197FF3" w:rsidP="007A4608">
            <w:pPr>
              <w:rPr>
                <w:iCs/>
                <w:noProof/>
                <w:sz w:val="16"/>
                <w:szCs w:val="16"/>
              </w:rPr>
            </w:pPr>
            <w:r w:rsidRPr="004D4A14">
              <w:rPr>
                <w:noProof/>
                <w:sz w:val="16"/>
                <w:szCs w:val="16"/>
              </w:rPr>
              <w:t>Visa Lietuva</w:t>
            </w:r>
          </w:p>
        </w:tc>
        <w:tc>
          <w:tcPr>
            <w:tcW w:w="1128" w:type="dxa"/>
            <w:tcBorders>
              <w:top w:val="single" w:sz="12" w:space="0" w:color="auto"/>
            </w:tcBorders>
          </w:tcPr>
          <w:p w14:paraId="34E4C224" w14:textId="77777777" w:rsidR="00197FF3" w:rsidRPr="004D4A14" w:rsidRDefault="00197FF3" w:rsidP="007A4608">
            <w:pPr>
              <w:jc w:val="center"/>
              <w:rPr>
                <w:iCs/>
                <w:noProof/>
                <w:sz w:val="16"/>
                <w:szCs w:val="16"/>
              </w:rPr>
            </w:pPr>
            <w:r w:rsidRPr="004D4A14">
              <w:rPr>
                <w:iCs/>
                <w:noProof/>
                <w:sz w:val="16"/>
                <w:szCs w:val="16"/>
              </w:rPr>
              <w:t>13.1</w:t>
            </w:r>
          </w:p>
        </w:tc>
        <w:tc>
          <w:tcPr>
            <w:tcW w:w="3351" w:type="dxa"/>
            <w:tcBorders>
              <w:top w:val="single" w:sz="12" w:space="0" w:color="auto"/>
            </w:tcBorders>
          </w:tcPr>
          <w:p w14:paraId="46F8B7DE" w14:textId="77777777" w:rsidR="00197FF3" w:rsidRPr="004D4A14" w:rsidRDefault="00197FF3" w:rsidP="007A4608">
            <w:pPr>
              <w:rPr>
                <w:iCs/>
                <w:noProof/>
                <w:sz w:val="16"/>
                <w:szCs w:val="16"/>
              </w:rPr>
            </w:pPr>
            <w:r w:rsidRPr="004D4A14">
              <w:rPr>
                <w:iCs/>
                <w:noProof/>
                <w:sz w:val="16"/>
                <w:szCs w:val="16"/>
              </w:rPr>
              <w:t>03 – Neutralumas lyties požiūriu</w:t>
            </w:r>
          </w:p>
        </w:tc>
        <w:tc>
          <w:tcPr>
            <w:tcW w:w="1559" w:type="dxa"/>
            <w:tcBorders>
              <w:top w:val="single" w:sz="12" w:space="0" w:color="auto"/>
            </w:tcBorders>
          </w:tcPr>
          <w:p w14:paraId="4EB2A2DA" w14:textId="77777777" w:rsidR="00197FF3" w:rsidRPr="004D4A14" w:rsidRDefault="00197FF3" w:rsidP="007A4608">
            <w:pPr>
              <w:jc w:val="right"/>
              <w:rPr>
                <w:iCs/>
                <w:noProof/>
                <w:sz w:val="16"/>
                <w:szCs w:val="16"/>
              </w:rPr>
            </w:pPr>
            <w:r w:rsidRPr="004D4A14">
              <w:rPr>
                <w:iCs/>
                <w:noProof/>
                <w:sz w:val="16"/>
                <w:szCs w:val="16"/>
              </w:rPr>
              <w:t>40 000 000,00</w:t>
            </w:r>
          </w:p>
        </w:tc>
      </w:tr>
    </w:tbl>
    <w:p w14:paraId="3996DAEF" w14:textId="77777777" w:rsidR="00197FF3" w:rsidRPr="004D4A14" w:rsidRDefault="00197FF3" w:rsidP="00197FF3">
      <w:pPr>
        <w:rPr>
          <w:lang w:bidi="lt-LT"/>
        </w:rPr>
      </w:pPr>
    </w:p>
    <w:p w14:paraId="2F1EA731" w14:textId="28B0B381" w:rsidR="009C14FB" w:rsidRPr="004D4A14" w:rsidRDefault="009C14FB">
      <w:pPr>
        <w:rPr>
          <w:lang w:bidi="lt-LT"/>
        </w:rPr>
      </w:pPr>
      <w:r w:rsidRPr="004D4A14">
        <w:rPr>
          <w:lang w:bidi="lt-LT"/>
        </w:rPr>
        <w:br w:type="page"/>
      </w:r>
    </w:p>
    <w:p w14:paraId="054AD26B" w14:textId="77777777" w:rsidR="009C14FB" w:rsidRPr="004D4A14" w:rsidRDefault="009C14FB" w:rsidP="009C14FB">
      <w:pPr>
        <w:pStyle w:val="Antrat1"/>
        <w:jc w:val="both"/>
        <w:rPr>
          <w:rFonts w:ascii="Times New Roman" w:hAnsi="Times New Roman" w:cs="Times New Roman"/>
        </w:rPr>
      </w:pPr>
      <w:bookmarkStart w:id="8" w:name="_Hlk215490918"/>
      <w:r w:rsidRPr="004D4A14">
        <w:rPr>
          <w:rFonts w:ascii="Times New Roman" w:hAnsi="Times New Roman" w:cs="Times New Roman"/>
        </w:rPr>
        <w:lastRenderedPageBreak/>
        <w:t>14. specialus prioritetas. Karinio mobilumo stiprinimas</w:t>
      </w:r>
    </w:p>
    <w:p w14:paraId="22770779" w14:textId="718F3544" w:rsidR="009C14FB" w:rsidRPr="004D4A14" w:rsidRDefault="009C14FB" w:rsidP="009C14FB">
      <w:pPr>
        <w:pStyle w:val="Antrat2"/>
        <w:spacing w:after="240"/>
        <w:jc w:val="both"/>
        <w:rPr>
          <w:rFonts w:cs="Times New Roman"/>
        </w:rPr>
      </w:pPr>
      <w:r w:rsidRPr="004D4A14">
        <w:t xml:space="preserve">Konkretus uždavinys – 14.1 </w:t>
      </w:r>
      <w:bookmarkEnd w:id="8"/>
      <w:r w:rsidR="00EF3014" w:rsidRPr="004D4A14">
        <w:t>Sukurti atsparią gynybos infrastruktūrą, pirmenybę teikiant dvejopo naudojimo infrastruktūrai, taip pat, siekti skatinti karinį mobilumą ES ir gerinti civilinę parengtį</w:t>
      </w:r>
    </w:p>
    <w:p w14:paraId="4B667410" w14:textId="77777777" w:rsidR="009C14FB" w:rsidRPr="004D4A14" w:rsidRDefault="009C14FB" w:rsidP="009C14FB">
      <w:pPr>
        <w:pStyle w:val="Stilius1"/>
        <w:rPr>
          <w:rFonts w:eastAsia="Times New Roman"/>
          <w:iCs/>
          <w:noProof/>
          <w:szCs w:val="24"/>
          <w:lang w:eastAsia="lt-LT" w:bidi="lt-LT"/>
        </w:rPr>
      </w:pPr>
      <w:r w:rsidRPr="004D4A14">
        <w:rPr>
          <w:noProof/>
          <w:lang w:eastAsia="lt-LT" w:bidi="lt-LT"/>
        </w:rPr>
        <w:t>Įgyvendinamos veiklos</w:t>
      </w:r>
    </w:p>
    <w:tbl>
      <w:tblPr>
        <w:tblStyle w:val="Lentelstinklelis2"/>
        <w:tblW w:w="9634" w:type="dxa"/>
        <w:tblLook w:val="04A0" w:firstRow="1" w:lastRow="0" w:firstColumn="1" w:lastColumn="0" w:noHBand="0" w:noVBand="1"/>
      </w:tblPr>
      <w:tblGrid>
        <w:gridCol w:w="9634"/>
      </w:tblGrid>
      <w:tr w:rsidR="009C14FB" w:rsidRPr="004D4A14" w14:paraId="3C144B8E" w14:textId="77777777" w:rsidTr="007A4608">
        <w:tc>
          <w:tcPr>
            <w:tcW w:w="9634" w:type="dxa"/>
          </w:tcPr>
          <w:p w14:paraId="347F721D" w14:textId="77777777" w:rsidR="009C14FB" w:rsidRPr="004D4A14" w:rsidRDefault="009C14FB" w:rsidP="007A4608">
            <w:pPr>
              <w:jc w:val="both"/>
              <w:rPr>
                <w:rStyle w:val="Bodytext1"/>
                <w:rFonts w:ascii="Times New Roman" w:hAnsi="Times New Roman" w:cs="Times New Roman"/>
              </w:rPr>
            </w:pPr>
            <w:r w:rsidRPr="004D4A14">
              <w:rPr>
                <w:rFonts w:ascii="Times New Roman" w:eastAsia="Calibri" w:hAnsi="Times New Roman" w:cs="Times New Roman"/>
                <w:lang w:bidi="lt-LT"/>
              </w:rPr>
              <w:t>Šio uždavinio investicijos projektams, kuriuos įgyvendinant kuriama transporto infrastruktūra, atitinkanti dvejopo naudojimo standartus, apibrėžtus 2021 m. rugpjūčio 10 d. Komisijos įgyvendinimo reglamente (ES) 2021/1328, esanti karinio mobilumo koridorių dalis (pagal 2025 m. kovo 18 d. ES Tarybos išvadų II priedą) ir įtraukta į jų „karštųjų taškų“ sąrašą, prisidės prie</w:t>
            </w:r>
            <w:r w:rsidRPr="004D4A14">
              <w:rPr>
                <w:rFonts w:ascii="Times New Roman" w:hAnsi="Times New Roman" w:cs="Times New Roman"/>
              </w:rPr>
              <w:t xml:space="preserve"> </w:t>
            </w:r>
            <w:r w:rsidRPr="004D4A14">
              <w:rPr>
                <w:rFonts w:ascii="Times New Roman" w:eastAsia="Calibri" w:hAnsi="Times New Roman" w:cs="Times New Roman"/>
                <w:lang w:bidi="lt-LT"/>
              </w:rPr>
              <w:t>transporto infrastruktūros pritaikymo dvejopo naudojimo (civilinės ir karinės) reikmėms plėtros ir karinio mobilumo didinimo</w:t>
            </w:r>
            <w:r w:rsidRPr="004D4A14">
              <w:rPr>
                <w:rStyle w:val="Bodytext1"/>
                <w:rFonts w:ascii="Times New Roman" w:hAnsi="Times New Roman" w:cs="Times New Roman"/>
              </w:rPr>
              <w:t>. Investicijomis bus prisidedama prie Karinio mobilumo veiksmų plano 2.0, įgyvendinamo</w:t>
            </w:r>
            <w:r w:rsidRPr="004D4A14">
              <w:rPr>
                <w:rStyle w:val="Bodytext1"/>
                <w:rFonts w:cs="Times New Roman"/>
              </w:rPr>
              <w:t xml:space="preserve"> </w:t>
            </w:r>
            <w:r w:rsidRPr="004D4A14">
              <w:rPr>
                <w:rStyle w:val="Bodytext1"/>
                <w:rFonts w:ascii="Times New Roman" w:hAnsi="Times New Roman" w:cs="Times New Roman"/>
              </w:rPr>
              <w:t>kartu su kitomis už šio plano įgyvendinimą atsakingomis šalies institucijomis, vykdymo – juo siekiama, kad būtų sustiprintas ES pajėgumas padėti valstybėms narėms ir partneriams karinių pajėgų ir jų įrangos transportavimo srityje bei kad infrastruktūra būtų geriau sujungta ir apsaugota.</w:t>
            </w:r>
          </w:p>
          <w:p w14:paraId="18499662" w14:textId="77777777" w:rsidR="009C14FB" w:rsidRPr="004D4A14" w:rsidRDefault="009C14FB" w:rsidP="007A4608">
            <w:pPr>
              <w:spacing w:after="60"/>
              <w:jc w:val="both"/>
              <w:rPr>
                <w:rFonts w:ascii="Times New Roman" w:eastAsia="Times New Roman" w:hAnsi="Times New Roman" w:cs="Times New Roman"/>
              </w:rPr>
            </w:pPr>
            <w:r w:rsidRPr="004D4A14">
              <w:rPr>
                <w:rStyle w:val="Bodytext1"/>
                <w:rFonts w:ascii="Times New Roman" w:hAnsi="Times New Roman" w:cs="Times New Roman"/>
              </w:rPr>
              <w:t>2022 m. Rusijai pradėjus karo veiksmus Ukrainoje pasikeitė tiek Lietuvos, tiek ir visos ES saugumo situacija. A</w:t>
            </w:r>
            <w:r w:rsidRPr="004D4A14">
              <w:rPr>
                <w:rFonts w:ascii="Times New Roman" w:eastAsia="Times New Roman" w:hAnsi="Times New Roman" w:cs="Times New Roman"/>
                <w:bCs/>
              </w:rPr>
              <w:t>tsižvelgiant į tokį geopolitinį nestabilumą, poreikis užtikrinti savo gynybą ir parengtį reaguoti į įvairias su tuos susijusias situacijas yra itin aktualus, ypač</w:t>
            </w:r>
            <w:r w:rsidRPr="004D4A14">
              <w:rPr>
                <w:rFonts w:ascii="Times New Roman" w:hAnsi="Times New Roman" w:cs="Times New Roman"/>
              </w:rPr>
              <w:t xml:space="preserve"> </w:t>
            </w:r>
            <w:r w:rsidRPr="004D4A14">
              <w:rPr>
                <w:rFonts w:ascii="Times New Roman" w:eastAsia="Times New Roman" w:hAnsi="Times New Roman" w:cs="Times New Roman"/>
                <w:bCs/>
              </w:rPr>
              <w:t xml:space="preserve">pasienio regionams, besiribojantiems su Rusija, Baltarusija ir Ukraina. </w:t>
            </w:r>
            <w:r w:rsidRPr="004D4A14">
              <w:rPr>
                <w:rFonts w:ascii="Times New Roman" w:eastAsia="Times New Roman" w:hAnsi="Times New Roman" w:cs="Times New Roman"/>
              </w:rPr>
              <w:t xml:space="preserve">Baltijos šalių ir platesnio regiono transporto jungčių pritaikymas kariniams poreikiams bei infrastruktūros stiprinimas leistų Lietuvai aktyviau prisidėti prie NATO rytinio flango saugumo užtikrinimo. Investicijos į </w:t>
            </w:r>
            <w:r w:rsidRPr="004D4A14">
              <w:rPr>
                <w:rFonts w:ascii="Times New Roman" w:eastAsia="Times New Roman" w:hAnsi="Times New Roman" w:cs="Times New Roman"/>
                <w:bCs/>
              </w:rPr>
              <w:t>transporto infrastruktūros</w:t>
            </w:r>
            <w:r w:rsidRPr="004D4A14">
              <w:rPr>
                <w:rFonts w:ascii="Times New Roman" w:eastAsia="Times New Roman" w:hAnsi="Times New Roman" w:cs="Times New Roman"/>
              </w:rPr>
              <w:t xml:space="preserve"> modernizavimą, užtikrinant </w:t>
            </w:r>
            <w:r w:rsidRPr="004D4A14">
              <w:rPr>
                <w:rFonts w:ascii="Times New Roman" w:eastAsia="Times New Roman" w:hAnsi="Times New Roman" w:cs="Times New Roman"/>
                <w:bCs/>
              </w:rPr>
              <w:t>jos</w:t>
            </w:r>
            <w:r w:rsidRPr="004D4A14">
              <w:rPr>
                <w:rFonts w:ascii="Times New Roman" w:eastAsia="Times New Roman" w:hAnsi="Times New Roman" w:cs="Times New Roman"/>
              </w:rPr>
              <w:t xml:space="preserve"> tinkamumą tiek kariniams, tiek civiliniams poreikiams</w:t>
            </w:r>
            <w:r w:rsidRPr="004D4A14">
              <w:rPr>
                <w:rFonts w:ascii="Times New Roman" w:eastAsia="Times New Roman" w:hAnsi="Times New Roman" w:cs="Times New Roman"/>
                <w:bCs/>
              </w:rPr>
              <w:t xml:space="preserve"> duotų</w:t>
            </w:r>
            <w:r w:rsidRPr="004D4A14">
              <w:rPr>
                <w:rFonts w:ascii="Times New Roman" w:eastAsia="Times New Roman" w:hAnsi="Times New Roman" w:cs="Times New Roman"/>
              </w:rPr>
              <w:t xml:space="preserve"> sinerginį efektą – padidintų tiek ekonominį potencialą, tiek saugumą, </w:t>
            </w:r>
            <w:r w:rsidRPr="004D4A14">
              <w:rPr>
                <w:rFonts w:ascii="Times New Roman" w:eastAsia="Times New Roman" w:hAnsi="Times New Roman" w:cs="Times New Roman"/>
                <w:bCs/>
              </w:rPr>
              <w:t>leistų sutrumpinti karinės technikos</w:t>
            </w:r>
            <w:r w:rsidRPr="004D4A14">
              <w:rPr>
                <w:rFonts w:ascii="Times New Roman" w:eastAsia="Times New Roman" w:hAnsi="Times New Roman" w:cs="Times New Roman"/>
              </w:rPr>
              <w:t xml:space="preserve"> dislokavimo laiką ir kartu </w:t>
            </w:r>
            <w:r w:rsidRPr="004D4A14">
              <w:rPr>
                <w:rFonts w:ascii="Times New Roman" w:eastAsia="Times New Roman" w:hAnsi="Times New Roman" w:cs="Times New Roman"/>
                <w:bCs/>
              </w:rPr>
              <w:t>sustiprintų</w:t>
            </w:r>
            <w:r w:rsidRPr="004D4A14">
              <w:rPr>
                <w:rFonts w:ascii="Times New Roman" w:eastAsia="Times New Roman" w:hAnsi="Times New Roman" w:cs="Times New Roman"/>
              </w:rPr>
              <w:t xml:space="preserve"> civilinį pasirengimą ekstremalioms situacijoms. </w:t>
            </w:r>
          </w:p>
          <w:p w14:paraId="5A1AEAE4" w14:textId="77777777" w:rsidR="009C14FB" w:rsidRPr="004D4A14" w:rsidRDefault="009C14FB" w:rsidP="007A4608">
            <w:pPr>
              <w:jc w:val="both"/>
              <w:rPr>
                <w:rFonts w:ascii="Times New Roman" w:eastAsia="Times New Roman" w:hAnsi="Times New Roman" w:cs="Times New Roman"/>
                <w:bCs/>
              </w:rPr>
            </w:pPr>
            <w:r w:rsidRPr="004D4A14">
              <w:rPr>
                <w:rFonts w:ascii="Times New Roman" w:eastAsia="Times New Roman" w:hAnsi="Times New Roman" w:cs="Times New Roman"/>
                <w:b/>
              </w:rPr>
              <w:t>Investicijos į</w:t>
            </w:r>
            <w:r w:rsidRPr="004D4A14">
              <w:rPr>
                <w:rFonts w:eastAsia="Times New Roman"/>
                <w:b/>
              </w:rPr>
              <w:t xml:space="preserve"> </w:t>
            </w:r>
            <w:r w:rsidRPr="004D4A14">
              <w:rPr>
                <w:rFonts w:ascii="Times New Roman" w:eastAsia="Times New Roman" w:hAnsi="Times New Roman" w:cs="Times New Roman"/>
                <w:b/>
              </w:rPr>
              <w:t xml:space="preserve">kelių tinklą </w:t>
            </w:r>
            <w:r w:rsidRPr="004D4A14">
              <w:rPr>
                <w:rFonts w:ascii="Times New Roman" w:eastAsia="Times New Roman" w:hAnsi="Times New Roman" w:cs="Times New Roman"/>
                <w:bCs/>
              </w:rPr>
              <w:t xml:space="preserve">skiriamos siekiant užtikrinti kelių </w:t>
            </w:r>
            <w:r w:rsidRPr="004D4A14">
              <w:rPr>
                <w:rFonts w:ascii="Times New Roman" w:eastAsia="Calibri" w:hAnsi="Times New Roman" w:cs="Times New Roman"/>
                <w:bCs/>
                <w:lang w:bidi="lt-LT"/>
              </w:rPr>
              <w:t>infrastruktūros pritaikymą dvigubos paskirties (civilinės ir karinės) reikmėms,</w:t>
            </w:r>
            <w:r w:rsidRPr="004D4A14">
              <w:rPr>
                <w:rFonts w:ascii="Times New Roman" w:eastAsia="Times New Roman" w:hAnsi="Times New Roman" w:cs="Times New Roman"/>
                <w:bCs/>
              </w:rPr>
              <w:t xml:space="preserve"> tobulinti ir plėtoti kelių techninius parametrus, tenkinančius kelių transporto apkrovimo reikalavimus, taip pat užtikrinti tinkamą eismo saugumą ir pralaidumą. Kelių infrastruktūros (tiltų, viadukų, kelių, alternatyvių koridorių ir aplinkkelių) parametrų sustiprinimas ir pritaikymas dvejopo naudojimo reikmėms tiek TEN-T, tiek ne TEN-T tinkle taip pat suteikia didelės naudos civiliniam </w:t>
            </w:r>
            <w:proofErr w:type="spellStart"/>
            <w:r w:rsidRPr="004D4A14">
              <w:rPr>
                <w:rFonts w:ascii="Times New Roman" w:eastAsia="Times New Roman" w:hAnsi="Times New Roman" w:cs="Times New Roman"/>
                <w:bCs/>
              </w:rPr>
              <w:t>judumui</w:t>
            </w:r>
            <w:proofErr w:type="spellEnd"/>
            <w:r w:rsidRPr="004D4A14">
              <w:rPr>
                <w:rFonts w:ascii="Times New Roman" w:eastAsia="Times New Roman" w:hAnsi="Times New Roman" w:cs="Times New Roman"/>
                <w:bCs/>
              </w:rPr>
              <w:t xml:space="preserve">, ekonominėms jungtims ir reagavimo į krizes pajėgumams tiek šalyje, tiek ES mastu. Atitiktis ES ir NATO standartams leis užtikrinti, kad infrastruktūra būtų parengta greitam karinių, </w:t>
            </w:r>
            <w:r w:rsidRPr="004D4A14">
              <w:rPr>
                <w:rFonts w:ascii="Times New Roman" w:eastAsia="Times New Roman" w:hAnsi="Times New Roman" w:cs="Times New Roman"/>
                <w:bCs/>
                <w:color w:val="000000" w:themeColor="text1"/>
              </w:rPr>
              <w:t xml:space="preserve">skubiosios pagalbos tarnybų </w:t>
            </w:r>
            <w:r w:rsidRPr="004D4A14">
              <w:rPr>
                <w:rFonts w:ascii="Times New Roman" w:eastAsia="Times New Roman" w:hAnsi="Times New Roman" w:cs="Times New Roman"/>
                <w:bCs/>
              </w:rPr>
              <w:t xml:space="preserve">ir civilinių pajėgų dislokavimui, judėjimui ir pasirengimui atsakyti į galimas grėsmes. </w:t>
            </w:r>
          </w:p>
          <w:p w14:paraId="55B21CFF" w14:textId="77777777" w:rsidR="009C14FB" w:rsidRPr="004D4A14" w:rsidRDefault="009C14FB" w:rsidP="007A4608">
            <w:pPr>
              <w:jc w:val="both"/>
              <w:rPr>
                <w:rFonts w:ascii="Times New Roman" w:hAnsi="Times New Roman" w:cs="Times New Roman"/>
                <w:bCs/>
                <w:noProof/>
              </w:rPr>
            </w:pPr>
            <w:r w:rsidRPr="004D4A14">
              <w:rPr>
                <w:rFonts w:ascii="Times New Roman" w:hAnsi="Times New Roman" w:cs="Times New Roman"/>
                <w:bCs/>
                <w:noProof/>
              </w:rPr>
              <w:t>Stiprinant karinio mobilumo galimybes</w:t>
            </w:r>
            <w:r w:rsidRPr="004D4A14">
              <w:rPr>
                <w:rFonts w:ascii="Times New Roman" w:hAnsi="Times New Roman" w:cs="Times New Roman"/>
                <w:b/>
                <w:noProof/>
              </w:rPr>
              <w:t xml:space="preserve"> geležinkelių sektoriuje</w:t>
            </w:r>
            <w:r w:rsidRPr="004D4A14">
              <w:rPr>
                <w:rFonts w:ascii="Times New Roman" w:hAnsi="Times New Roman" w:cs="Times New Roman"/>
                <w:bCs/>
                <w:noProof/>
              </w:rPr>
              <w:t xml:space="preserve">, investicijos bus nukreiptos į infrastruktūros pritaikymą dvejopo naudojimo reikmėms – tiek civiliniam, tiek kariniam transportui. Tai apims kelias sritis, įskaitant </w:t>
            </w:r>
            <w:r w:rsidRPr="004D4A14">
              <w:rPr>
                <w:rFonts w:ascii="Times New Roman" w:hAnsi="Times New Roman" w:cs="Times New Roman"/>
                <w:bCs/>
                <w:noProof/>
                <w:color w:val="000000" w:themeColor="text1"/>
              </w:rPr>
              <w:t>pervažų modernizavimą, krovinių terminalų įrengimą, geležinkelio stočių ir kitos svarbios infrastruktūros objektų gerinimą</w:t>
            </w:r>
            <w:r w:rsidRPr="004D4A14">
              <w:rPr>
                <w:rFonts w:ascii="Times New Roman" w:hAnsi="Times New Roman" w:cs="Times New Roman"/>
                <w:bCs/>
                <w:noProof/>
              </w:rPr>
              <w:t>, prisidedančias prie greitesnio karinių ir civilinių pajėgų judėjimo,</w:t>
            </w:r>
            <w:r w:rsidRPr="004D4A14">
              <w:rPr>
                <w:rFonts w:ascii="Times New Roman" w:eastAsia="Times New Roman" w:hAnsi="Times New Roman" w:cs="Times New Roman"/>
                <w:bCs/>
                <w:color w:val="000000" w:themeColor="text1"/>
              </w:rPr>
              <w:t xml:space="preserve"> gyvybiškai svarbių funkcijų tęstinumo, nacionalinio saugumo</w:t>
            </w:r>
            <w:r w:rsidRPr="004D4A14">
              <w:rPr>
                <w:rFonts w:ascii="Times New Roman" w:hAnsi="Times New Roman" w:cs="Times New Roman"/>
                <w:bCs/>
                <w:noProof/>
              </w:rPr>
              <w:t>. Tokių geležinkelių tranporto</w:t>
            </w:r>
            <w:r w:rsidRPr="004D4A14">
              <w:rPr>
                <w:rFonts w:ascii="Times New Roman" w:eastAsia="Times New Roman" w:hAnsi="Times New Roman" w:cs="Times New Roman"/>
                <w:bCs/>
                <w:color w:val="000000" w:themeColor="text1"/>
              </w:rPr>
              <w:t xml:space="preserve"> mazgų</w:t>
            </w:r>
            <w:r w:rsidRPr="004D4A14">
              <w:rPr>
                <w:rFonts w:ascii="Times New Roman" w:hAnsi="Times New Roman" w:cs="Times New Roman"/>
                <w:bCs/>
                <w:noProof/>
                <w:color w:val="000000" w:themeColor="text1"/>
              </w:rPr>
              <w:t xml:space="preserve"> infrastruktūros atitiktis ES ir NATO standartams yra būtina siekiant užtikrinti sklandų ir greitą karinės technikos judėjimą, dislokavimą, </w:t>
            </w:r>
            <w:r w:rsidRPr="004D4A14">
              <w:rPr>
                <w:rFonts w:ascii="Times New Roman" w:eastAsia="Times New Roman" w:hAnsi="Times New Roman" w:cs="Times New Roman"/>
                <w:bCs/>
                <w:color w:val="000000" w:themeColor="text1"/>
              </w:rPr>
              <w:t>būtiniausias atsargų skirstymą</w:t>
            </w:r>
            <w:r w:rsidRPr="004D4A14">
              <w:rPr>
                <w:rFonts w:ascii="Times New Roman" w:hAnsi="Times New Roman" w:cs="Times New Roman"/>
                <w:bCs/>
                <w:noProof/>
                <w:color w:val="000000" w:themeColor="text1"/>
              </w:rPr>
              <w:t xml:space="preserve"> ir pasirengimą </w:t>
            </w:r>
            <w:r w:rsidRPr="004D4A14">
              <w:rPr>
                <w:rFonts w:ascii="Times New Roman" w:hAnsi="Times New Roman" w:cs="Times New Roman"/>
                <w:bCs/>
                <w:noProof/>
              </w:rPr>
              <w:t>atsakyti į karines grėsmes.</w:t>
            </w:r>
          </w:p>
          <w:p w14:paraId="2D0F3941" w14:textId="6F8B0AF2" w:rsidR="009C14FB" w:rsidRPr="004D4A14" w:rsidRDefault="0007460D" w:rsidP="0007460D">
            <w:pPr>
              <w:jc w:val="both"/>
              <w:rPr>
                <w:rFonts w:ascii="Times New Roman" w:eastAsia="Times New Roman" w:hAnsi="Times New Roman" w:cs="Times New Roman"/>
                <w:sz w:val="24"/>
                <w:szCs w:val="24"/>
              </w:rPr>
            </w:pPr>
            <w:r w:rsidRPr="004D4A14">
              <w:rPr>
                <w:rFonts w:ascii="Times New Roman" w:hAnsi="Times New Roman" w:cs="Times New Roman"/>
                <w:color w:val="000000" w:themeColor="text1"/>
              </w:rPr>
              <w:t>Uždavinio veiklos (veiksmų rūšys) įvertintos vadovaujantis EGADP NRŽ gairėmis, todėl laikoma, kad atitinka NRŽ principą.</w:t>
            </w:r>
          </w:p>
        </w:tc>
      </w:tr>
    </w:tbl>
    <w:p w14:paraId="71A3515D" w14:textId="77777777" w:rsidR="009C14FB" w:rsidRPr="004D4A14" w:rsidRDefault="009C14FB" w:rsidP="009C14FB">
      <w:pPr>
        <w:pStyle w:val="Stilius1"/>
        <w:rPr>
          <w:rFonts w:cs="Times New Roman"/>
        </w:rPr>
      </w:pPr>
      <w:r w:rsidRPr="004D4A14">
        <w:rPr>
          <w:rFonts w:cs="Times New Roman"/>
        </w:rPr>
        <w:t>Pagrindinės tikslinės grupės</w:t>
      </w:r>
    </w:p>
    <w:tbl>
      <w:tblPr>
        <w:tblStyle w:val="Lentelstinklelis2"/>
        <w:tblW w:w="0" w:type="auto"/>
        <w:tblLook w:val="04A0" w:firstRow="1" w:lastRow="0" w:firstColumn="1" w:lastColumn="0" w:noHBand="0" w:noVBand="1"/>
      </w:tblPr>
      <w:tblGrid>
        <w:gridCol w:w="9628"/>
      </w:tblGrid>
      <w:tr w:rsidR="009C14FB" w:rsidRPr="004D4A14" w14:paraId="2A559782" w14:textId="77777777" w:rsidTr="007A4608">
        <w:tc>
          <w:tcPr>
            <w:tcW w:w="9854" w:type="dxa"/>
          </w:tcPr>
          <w:p w14:paraId="21754144" w14:textId="77777777" w:rsidR="009C14FB" w:rsidRPr="004D4A14" w:rsidRDefault="009C14FB" w:rsidP="007A4608">
            <w:pPr>
              <w:pStyle w:val="Default"/>
              <w:jc w:val="both"/>
              <w:rPr>
                <w:rFonts w:ascii="Times New Roman" w:hAnsi="Times New Roman"/>
              </w:rPr>
            </w:pPr>
            <w:r w:rsidRPr="004D4A14">
              <w:rPr>
                <w:rFonts w:ascii="Times New Roman" w:eastAsia="Calibri" w:hAnsi="Times New Roman"/>
                <w:bCs/>
                <w:color w:val="000000" w:themeColor="text1"/>
              </w:rPr>
              <w:t>Civilinės ir karinės paskirties</w:t>
            </w:r>
            <w:r w:rsidRPr="004D4A14">
              <w:rPr>
                <w:rFonts w:ascii="Times New Roman" w:eastAsia="Calibri" w:hAnsi="Times New Roman"/>
                <w:color w:val="000000" w:themeColor="text1"/>
              </w:rPr>
              <w:t xml:space="preserve"> </w:t>
            </w:r>
            <w:r w:rsidRPr="004D4A14">
              <w:rPr>
                <w:rFonts w:ascii="Times New Roman" w:eastAsia="Calibri" w:hAnsi="Times New Roman"/>
                <w:bCs/>
                <w:color w:val="000000" w:themeColor="text1"/>
              </w:rPr>
              <w:t>t</w:t>
            </w:r>
            <w:r w:rsidRPr="004D4A14">
              <w:rPr>
                <w:rFonts w:ascii="Times New Roman" w:hAnsi="Times New Roman"/>
                <w:color w:val="000000" w:themeColor="text1"/>
              </w:rPr>
              <w:t>ransporto infrastruktūros naudotojai, kuriems bus užtikrinta galimybė judėti tvariau, greičiau ir saugiau.</w:t>
            </w:r>
          </w:p>
        </w:tc>
      </w:tr>
    </w:tbl>
    <w:p w14:paraId="30A22CD8" w14:textId="77777777" w:rsidR="009C14FB" w:rsidRPr="004D4A14" w:rsidRDefault="009C14FB" w:rsidP="009C14FB">
      <w:pPr>
        <w:pStyle w:val="Stilius1"/>
        <w:rPr>
          <w:rFonts w:eastAsia="Times New Roman" w:cs="Times New Roman"/>
          <w:lang w:eastAsia="lt-LT" w:bidi="lt-LT"/>
        </w:rPr>
      </w:pPr>
      <w:r w:rsidRPr="004D4A14">
        <w:rPr>
          <w:rFonts w:cs="Times New Roman"/>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9C14FB" w:rsidRPr="004D4A14" w14:paraId="6E840DEC" w14:textId="77777777" w:rsidTr="007A4608">
        <w:trPr>
          <w:trHeight w:val="82"/>
        </w:trPr>
        <w:tc>
          <w:tcPr>
            <w:tcW w:w="9854" w:type="dxa"/>
          </w:tcPr>
          <w:p w14:paraId="589F3368" w14:textId="77777777" w:rsidR="009C14FB" w:rsidRPr="004D4A14" w:rsidRDefault="009C14FB" w:rsidP="007A4608">
            <w:pPr>
              <w:pStyle w:val="Stilius1"/>
              <w:jc w:val="both"/>
              <w:rPr>
                <w:rFonts w:cs="Times New Roman"/>
                <w:b w:val="0"/>
                <w:i w:val="0"/>
                <w:color w:val="auto"/>
                <w:sz w:val="22"/>
              </w:rPr>
            </w:pPr>
            <w:r w:rsidRPr="004D4A14">
              <w:rPr>
                <w:rFonts w:eastAsia="Calibri" w:cs="Times New Roman"/>
                <w:b w:val="0"/>
                <w:i w:val="0"/>
                <w:noProof/>
                <w:color w:val="auto"/>
                <w:sz w:val="22"/>
                <w:lang w:eastAsia="lt-LT" w:bidi="lt-LT"/>
              </w:rPr>
              <w:t>Vykdant numatytas veiklas bus siekiama užtikrinti lygybės, įtraukties ir nediskriminavimo principus.</w:t>
            </w:r>
            <w:r w:rsidRPr="004D4A14">
              <w:rPr>
                <w:rFonts w:eastAsia="Calibri" w:cs="Times New Roman"/>
                <w:b w:val="0"/>
                <w:i w:val="0"/>
                <w:color w:val="auto"/>
                <w:sz w:val="22"/>
              </w:rPr>
              <w:t xml:space="preserve"> Transporto infrastruktūra bus kuriama ir plėtojama laikantis universalaus dizaino principų ir pritaikyta naudotis žmonėms, turintiems specialiųjų poreikių.</w:t>
            </w:r>
          </w:p>
        </w:tc>
      </w:tr>
    </w:tbl>
    <w:p w14:paraId="5B16FB36" w14:textId="77777777" w:rsidR="009C14FB" w:rsidRPr="004D4A14" w:rsidRDefault="009C14FB" w:rsidP="009C14FB">
      <w:pPr>
        <w:pStyle w:val="Stilius1"/>
        <w:rPr>
          <w:rFonts w:cs="Times New Roman"/>
        </w:rPr>
      </w:pPr>
      <w:r w:rsidRPr="004D4A14">
        <w:rPr>
          <w:rFonts w:cs="Times New Roman"/>
        </w:rPr>
        <w:t>Konkrečios tikslinės teritorijos, įskaitant planuojamą teritorinių priemonių panaudojimą</w:t>
      </w:r>
    </w:p>
    <w:tbl>
      <w:tblPr>
        <w:tblStyle w:val="Lentelstinklelis2"/>
        <w:tblW w:w="0" w:type="auto"/>
        <w:tblLook w:val="04A0" w:firstRow="1" w:lastRow="0" w:firstColumn="1" w:lastColumn="0" w:noHBand="0" w:noVBand="1"/>
      </w:tblPr>
      <w:tblGrid>
        <w:gridCol w:w="9628"/>
      </w:tblGrid>
      <w:tr w:rsidR="009C14FB" w:rsidRPr="004D4A14" w14:paraId="523293A3" w14:textId="77777777" w:rsidTr="007A4608">
        <w:tc>
          <w:tcPr>
            <w:tcW w:w="9854" w:type="dxa"/>
          </w:tcPr>
          <w:p w14:paraId="1BB036CA" w14:textId="77777777" w:rsidR="009C14FB" w:rsidRPr="004D4A14" w:rsidRDefault="009C14FB" w:rsidP="007A4608">
            <w:pPr>
              <w:spacing w:before="120" w:after="120"/>
              <w:jc w:val="both"/>
              <w:rPr>
                <w:rFonts w:ascii="Times New Roman" w:hAnsi="Times New Roman" w:cs="Times New Roman"/>
                <w:iCs/>
                <w:spacing w:val="-4"/>
              </w:rPr>
            </w:pPr>
            <w:r w:rsidRPr="004D4A14">
              <w:rPr>
                <w:rFonts w:ascii="Times New Roman" w:hAnsi="Times New Roman" w:cs="Times New Roman"/>
                <w:bCs/>
              </w:rPr>
              <w:lastRenderedPageBreak/>
              <w:t>Visa Lietuva</w:t>
            </w:r>
          </w:p>
        </w:tc>
      </w:tr>
    </w:tbl>
    <w:p w14:paraId="7956AD27" w14:textId="77777777" w:rsidR="009C14FB" w:rsidRPr="004D4A14" w:rsidRDefault="009C14FB" w:rsidP="009C14FB">
      <w:pPr>
        <w:pStyle w:val="Stilius1"/>
        <w:rPr>
          <w:rFonts w:cs="Times New Roman"/>
        </w:rPr>
      </w:pPr>
      <w:r w:rsidRPr="004D4A14">
        <w:rPr>
          <w:rFonts w:cs="Times New Roman"/>
        </w:rPr>
        <w:t>Tarpregioniniai, tarp sienų ir tarpvalstybiniai veiksmai</w:t>
      </w:r>
    </w:p>
    <w:tbl>
      <w:tblPr>
        <w:tblStyle w:val="Lentelstinklelis2"/>
        <w:tblW w:w="0" w:type="auto"/>
        <w:tblLook w:val="04A0" w:firstRow="1" w:lastRow="0" w:firstColumn="1" w:lastColumn="0" w:noHBand="0" w:noVBand="1"/>
      </w:tblPr>
      <w:tblGrid>
        <w:gridCol w:w="9628"/>
      </w:tblGrid>
      <w:tr w:rsidR="009C14FB" w:rsidRPr="004D4A14" w14:paraId="62D58F2E" w14:textId="77777777" w:rsidTr="007A4608">
        <w:tc>
          <w:tcPr>
            <w:tcW w:w="9854" w:type="dxa"/>
          </w:tcPr>
          <w:p w14:paraId="0D3DA250" w14:textId="77777777" w:rsidR="009C14FB" w:rsidRPr="004D4A14" w:rsidRDefault="009C14FB" w:rsidP="007A4608">
            <w:pPr>
              <w:spacing w:before="60" w:after="60"/>
              <w:jc w:val="both"/>
              <w:rPr>
                <w:rFonts w:ascii="Times New Roman" w:eastAsia="Calibri" w:hAnsi="Times New Roman" w:cs="Times New Roman"/>
                <w:bCs/>
                <w:color w:val="000000" w:themeColor="text1"/>
              </w:rPr>
            </w:pPr>
            <w:r w:rsidRPr="004D4A14">
              <w:rPr>
                <w:rFonts w:ascii="Times New Roman" w:eastAsia="Calibri" w:hAnsi="Times New Roman" w:cs="Times New Roman"/>
                <w:bCs/>
                <w:color w:val="000000" w:themeColor="text1"/>
              </w:rPr>
              <w:t>Numatoma sudaryti visas galimybes prireikus juos atlikti.</w:t>
            </w:r>
          </w:p>
          <w:p w14:paraId="10889555" w14:textId="77777777" w:rsidR="009C14FB" w:rsidRPr="004D4A14" w:rsidRDefault="009C14FB" w:rsidP="007A4608">
            <w:pPr>
              <w:spacing w:before="60" w:after="60"/>
              <w:jc w:val="both"/>
              <w:rPr>
                <w:rFonts w:ascii="Times New Roman" w:eastAsia="Calibri" w:hAnsi="Times New Roman" w:cs="Times New Roman"/>
              </w:rPr>
            </w:pPr>
            <w:r w:rsidRPr="004D4A14">
              <w:rPr>
                <w:rFonts w:ascii="Times New Roman" w:eastAsia="Calibri" w:hAnsi="Times New Roman" w:cs="Times New Roman"/>
                <w:color w:val="000000" w:themeColor="text1"/>
              </w:rPr>
              <w:t xml:space="preserve">„Via </w:t>
            </w:r>
            <w:proofErr w:type="spellStart"/>
            <w:r w:rsidRPr="004D4A14">
              <w:rPr>
                <w:rFonts w:ascii="Times New Roman" w:eastAsia="Calibri" w:hAnsi="Times New Roman" w:cs="Times New Roman"/>
                <w:color w:val="000000" w:themeColor="text1"/>
              </w:rPr>
              <w:t>Baltica</w:t>
            </w:r>
            <w:proofErr w:type="spellEnd"/>
            <w:r w:rsidRPr="004D4A14">
              <w:rPr>
                <w:rFonts w:ascii="Times New Roman" w:eastAsia="Calibri" w:hAnsi="Times New Roman" w:cs="Times New Roman"/>
                <w:color w:val="000000" w:themeColor="text1"/>
              </w:rPr>
              <w:t>“ transporto koridorius, kurį numatoma plėtoti bendradarbiaujant su kaimyninėmis valstybėmis, sutampa su Europos kelio E67 ruožu nuo Varšuvos iki Talino.</w:t>
            </w:r>
          </w:p>
        </w:tc>
      </w:tr>
    </w:tbl>
    <w:p w14:paraId="35E2C57B" w14:textId="77777777" w:rsidR="009C14FB" w:rsidRPr="004D4A14" w:rsidRDefault="009C14FB" w:rsidP="009C14FB">
      <w:pPr>
        <w:pStyle w:val="Stilius1"/>
        <w:rPr>
          <w:rFonts w:cs="Times New Roman"/>
        </w:rPr>
      </w:pPr>
      <w:r w:rsidRPr="004D4A14">
        <w:rPr>
          <w:rFonts w:cs="Times New Roman"/>
        </w:rPr>
        <w:t>Planuojamas finansinių priemonių naudojimas</w:t>
      </w:r>
    </w:p>
    <w:tbl>
      <w:tblPr>
        <w:tblStyle w:val="Lentelstinklelis2"/>
        <w:tblW w:w="0" w:type="auto"/>
        <w:tblLook w:val="04A0" w:firstRow="1" w:lastRow="0" w:firstColumn="1" w:lastColumn="0" w:noHBand="0" w:noVBand="1"/>
      </w:tblPr>
      <w:tblGrid>
        <w:gridCol w:w="9628"/>
      </w:tblGrid>
      <w:tr w:rsidR="009C14FB" w:rsidRPr="004D4A14" w14:paraId="5044147F" w14:textId="77777777" w:rsidTr="007A4608">
        <w:tc>
          <w:tcPr>
            <w:tcW w:w="9854" w:type="dxa"/>
          </w:tcPr>
          <w:p w14:paraId="57BEDD7E" w14:textId="77777777" w:rsidR="009C14FB" w:rsidRPr="004D4A14" w:rsidRDefault="009C14FB" w:rsidP="007A4608">
            <w:pPr>
              <w:spacing w:before="120" w:after="120"/>
              <w:jc w:val="both"/>
              <w:rPr>
                <w:rFonts w:ascii="Times New Roman" w:eastAsia="Calibri" w:hAnsi="Times New Roman" w:cs="Times New Roman"/>
                <w:lang w:eastAsia="lt-LT"/>
              </w:rPr>
            </w:pPr>
            <w:r w:rsidRPr="004D4A14">
              <w:rPr>
                <w:rFonts w:ascii="Times New Roman" w:eastAsia="Calibri" w:hAnsi="Times New Roman" w:cs="Times New Roman"/>
                <w:lang w:eastAsia="lt-LT"/>
              </w:rPr>
              <w:t>-</w:t>
            </w:r>
          </w:p>
        </w:tc>
      </w:tr>
    </w:tbl>
    <w:p w14:paraId="5ED3314A" w14:textId="77777777" w:rsidR="009C14FB" w:rsidRPr="004D4A14" w:rsidRDefault="009C14FB" w:rsidP="009C14FB">
      <w:pPr>
        <w:pStyle w:val="Stilius1"/>
        <w:rPr>
          <w:rFonts w:cs="Times New Roman"/>
        </w:rPr>
      </w:pPr>
      <w:r w:rsidRPr="004D4A14">
        <w:rPr>
          <w:rFonts w:cs="Times New Roman"/>
        </w:rPr>
        <w:t>Rodikliai</w:t>
      </w:r>
    </w:p>
    <w:p w14:paraId="6716C5F6" w14:textId="77777777" w:rsidR="009C14FB" w:rsidRPr="004D4A14" w:rsidRDefault="009C14FB" w:rsidP="009C14FB">
      <w:pPr>
        <w:spacing w:before="240" w:after="0" w:line="240" w:lineRule="auto"/>
        <w:jc w:val="both"/>
        <w:rPr>
          <w:rFonts w:cs="Times New Roman"/>
          <w:b/>
          <w:sz w:val="22"/>
        </w:rPr>
      </w:pPr>
      <w:r w:rsidRPr="004D4A14">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1019"/>
        <w:gridCol w:w="708"/>
        <w:gridCol w:w="1096"/>
        <w:gridCol w:w="1173"/>
        <w:gridCol w:w="1843"/>
        <w:gridCol w:w="849"/>
        <w:gridCol w:w="992"/>
        <w:gridCol w:w="976"/>
      </w:tblGrid>
      <w:tr w:rsidR="009C14FB" w:rsidRPr="004D4A14" w14:paraId="4305A250" w14:textId="77777777" w:rsidTr="007A4608">
        <w:trPr>
          <w:trHeight w:val="698"/>
          <w:tblHeader/>
        </w:trPr>
        <w:tc>
          <w:tcPr>
            <w:tcW w:w="49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FB565A7" w14:textId="77777777" w:rsidR="009C14FB" w:rsidRPr="004D4A14" w:rsidRDefault="009C14FB" w:rsidP="007A4608">
            <w:pPr>
              <w:spacing w:after="0" w:line="240" w:lineRule="auto"/>
              <w:jc w:val="center"/>
              <w:rPr>
                <w:rFonts w:eastAsia="Calibri" w:cs="Times New Roman"/>
                <w:b/>
                <w:sz w:val="16"/>
                <w:szCs w:val="16"/>
              </w:rPr>
            </w:pPr>
            <w:r w:rsidRPr="004D4A14">
              <w:rPr>
                <w:rFonts w:eastAsia="Calibri" w:cs="Times New Roman"/>
                <w:b/>
                <w:sz w:val="16"/>
                <w:szCs w:val="16"/>
              </w:rPr>
              <w:t>Prioritetas</w:t>
            </w:r>
          </w:p>
        </w:tc>
        <w:tc>
          <w:tcPr>
            <w:tcW w:w="53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09981A" w14:textId="77777777" w:rsidR="009C14FB" w:rsidRPr="004D4A14" w:rsidRDefault="009C14FB" w:rsidP="007A4608">
            <w:pPr>
              <w:spacing w:after="0" w:line="240" w:lineRule="auto"/>
              <w:jc w:val="center"/>
              <w:rPr>
                <w:rFonts w:eastAsia="Calibri" w:cs="Times New Roman"/>
                <w:b/>
                <w:sz w:val="16"/>
                <w:szCs w:val="16"/>
              </w:rPr>
            </w:pPr>
            <w:r w:rsidRPr="004D4A14">
              <w:rPr>
                <w:rFonts w:eastAsia="Calibri" w:cs="Times New Roman"/>
                <w:b/>
                <w:sz w:val="16"/>
                <w:szCs w:val="16"/>
              </w:rPr>
              <w:t>Konkretus uždavinys</w:t>
            </w:r>
          </w:p>
        </w:tc>
        <w:tc>
          <w:tcPr>
            <w:tcW w:w="36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1CEE98" w14:textId="77777777" w:rsidR="009C14FB" w:rsidRPr="004D4A14" w:rsidRDefault="009C14FB" w:rsidP="007A4608">
            <w:pPr>
              <w:spacing w:after="0" w:line="240" w:lineRule="auto"/>
              <w:ind w:left="-112" w:right="-109"/>
              <w:jc w:val="center"/>
              <w:rPr>
                <w:rFonts w:eastAsia="Calibri" w:cs="Times New Roman"/>
                <w:b/>
                <w:sz w:val="16"/>
                <w:szCs w:val="16"/>
              </w:rPr>
            </w:pPr>
            <w:r w:rsidRPr="004D4A14">
              <w:rPr>
                <w:rFonts w:eastAsia="Calibri" w:cs="Times New Roman"/>
                <w:b/>
                <w:sz w:val="16"/>
                <w:szCs w:val="16"/>
              </w:rPr>
              <w:t>Fondas</w:t>
            </w:r>
          </w:p>
        </w:tc>
        <w:tc>
          <w:tcPr>
            <w:tcW w:w="57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4FA0C32" w14:textId="77777777" w:rsidR="009C14FB" w:rsidRPr="004D4A14" w:rsidRDefault="009C14FB" w:rsidP="007A4608">
            <w:pPr>
              <w:spacing w:after="0" w:line="240" w:lineRule="auto"/>
              <w:jc w:val="center"/>
              <w:rPr>
                <w:rFonts w:eastAsia="Calibri" w:cs="Times New Roman"/>
                <w:b/>
                <w:sz w:val="16"/>
                <w:szCs w:val="16"/>
              </w:rPr>
            </w:pPr>
            <w:r w:rsidRPr="004D4A14">
              <w:rPr>
                <w:rFonts w:eastAsia="Calibri" w:cs="Times New Roman"/>
                <w:b/>
                <w:sz w:val="16"/>
                <w:szCs w:val="16"/>
              </w:rPr>
              <w:t>Regiono kategorija</w:t>
            </w:r>
          </w:p>
        </w:tc>
        <w:tc>
          <w:tcPr>
            <w:tcW w:w="61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B29EDF" w14:textId="77777777" w:rsidR="009C14FB" w:rsidRPr="004D4A14" w:rsidRDefault="009C14FB" w:rsidP="007A4608">
            <w:pPr>
              <w:spacing w:after="0" w:line="240" w:lineRule="auto"/>
              <w:ind w:left="-72" w:right="-109"/>
              <w:jc w:val="center"/>
              <w:rPr>
                <w:rFonts w:eastAsia="Calibri" w:cs="Times New Roman"/>
                <w:b/>
                <w:sz w:val="16"/>
                <w:szCs w:val="16"/>
              </w:rPr>
            </w:pPr>
            <w:r w:rsidRPr="004D4A14">
              <w:rPr>
                <w:rFonts w:eastAsia="Calibri" w:cs="Times New Roman"/>
                <w:b/>
                <w:sz w:val="16"/>
                <w:szCs w:val="16"/>
              </w:rPr>
              <w:t>Identifikavimo numeris</w:t>
            </w:r>
          </w:p>
        </w:tc>
        <w:tc>
          <w:tcPr>
            <w:tcW w:w="95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A85C082" w14:textId="77777777" w:rsidR="009C14FB" w:rsidRPr="004D4A14" w:rsidRDefault="009C14FB" w:rsidP="007A4608">
            <w:pPr>
              <w:spacing w:after="0" w:line="240" w:lineRule="auto"/>
              <w:jc w:val="center"/>
              <w:rPr>
                <w:rFonts w:eastAsia="Calibri" w:cs="Times New Roman"/>
                <w:b/>
                <w:sz w:val="16"/>
                <w:szCs w:val="16"/>
              </w:rPr>
            </w:pPr>
            <w:r w:rsidRPr="004D4A14">
              <w:rPr>
                <w:rFonts w:eastAsia="Calibri" w:cs="Times New Roman"/>
                <w:b/>
                <w:sz w:val="16"/>
                <w:szCs w:val="16"/>
              </w:rPr>
              <w:t>Rodiklis</w:t>
            </w:r>
          </w:p>
        </w:tc>
        <w:tc>
          <w:tcPr>
            <w:tcW w:w="44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36F97F" w14:textId="77777777" w:rsidR="009C14FB" w:rsidRPr="004D4A14" w:rsidRDefault="009C14FB" w:rsidP="007A4608">
            <w:pPr>
              <w:spacing w:after="0" w:line="240" w:lineRule="auto"/>
              <w:ind w:left="-112" w:right="-104"/>
              <w:jc w:val="center"/>
              <w:rPr>
                <w:rFonts w:eastAsia="Calibri" w:cs="Times New Roman"/>
                <w:b/>
                <w:sz w:val="16"/>
                <w:szCs w:val="16"/>
              </w:rPr>
            </w:pPr>
            <w:r w:rsidRPr="004D4A14">
              <w:rPr>
                <w:rFonts w:eastAsia="Calibri" w:cs="Times New Roman"/>
                <w:b/>
                <w:sz w:val="16"/>
                <w:szCs w:val="16"/>
              </w:rPr>
              <w:t>Matavimo vienetas</w:t>
            </w:r>
          </w:p>
        </w:tc>
        <w:tc>
          <w:tcPr>
            <w:tcW w:w="51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00E2E71" w14:textId="77777777" w:rsidR="009C14FB" w:rsidRPr="004D4A14" w:rsidRDefault="009C14FB" w:rsidP="007A4608">
            <w:pPr>
              <w:spacing w:after="0" w:line="240" w:lineRule="auto"/>
              <w:jc w:val="center"/>
              <w:rPr>
                <w:rFonts w:eastAsia="Calibri" w:cs="Times New Roman"/>
                <w:b/>
                <w:sz w:val="16"/>
                <w:szCs w:val="16"/>
              </w:rPr>
            </w:pPr>
            <w:r w:rsidRPr="004D4A14">
              <w:rPr>
                <w:rFonts w:eastAsia="Calibri" w:cs="Times New Roman"/>
                <w:b/>
                <w:sz w:val="16"/>
                <w:szCs w:val="16"/>
              </w:rPr>
              <w:t>Tarpinė reikšmė (2024 m.)</w:t>
            </w:r>
          </w:p>
        </w:tc>
        <w:tc>
          <w:tcPr>
            <w:tcW w:w="50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B186C76" w14:textId="77777777" w:rsidR="009C14FB" w:rsidRPr="004D4A14" w:rsidRDefault="009C14FB" w:rsidP="007A4608">
            <w:pPr>
              <w:spacing w:after="0" w:line="240" w:lineRule="auto"/>
              <w:jc w:val="center"/>
              <w:rPr>
                <w:rFonts w:eastAsia="Calibri" w:cs="Times New Roman"/>
                <w:b/>
                <w:sz w:val="16"/>
                <w:szCs w:val="16"/>
              </w:rPr>
            </w:pPr>
            <w:r w:rsidRPr="004D4A14">
              <w:rPr>
                <w:rFonts w:eastAsia="Calibri" w:cs="Times New Roman"/>
                <w:b/>
                <w:sz w:val="16"/>
                <w:szCs w:val="16"/>
              </w:rPr>
              <w:t>Siektina reikšmė (2029 m.)</w:t>
            </w:r>
          </w:p>
        </w:tc>
      </w:tr>
      <w:tr w:rsidR="009C14FB" w:rsidRPr="004D4A14" w14:paraId="3FB8D2A9" w14:textId="77777777" w:rsidTr="007A4608">
        <w:trPr>
          <w:trHeight w:val="340"/>
        </w:trPr>
        <w:tc>
          <w:tcPr>
            <w:tcW w:w="495" w:type="pct"/>
            <w:vMerge w:val="restart"/>
          </w:tcPr>
          <w:p w14:paraId="4A30C0C9" w14:textId="77777777" w:rsidR="009C14FB" w:rsidRPr="004D4A14" w:rsidRDefault="009C14FB" w:rsidP="007A4608">
            <w:pPr>
              <w:spacing w:after="0" w:line="240" w:lineRule="auto"/>
              <w:rPr>
                <w:rFonts w:eastAsia="Calibri" w:cs="Times New Roman"/>
                <w:sz w:val="16"/>
                <w:szCs w:val="16"/>
              </w:rPr>
            </w:pPr>
            <w:r w:rsidRPr="004D4A14">
              <w:rPr>
                <w:rFonts w:eastAsia="Calibri" w:cs="Times New Roman"/>
                <w:sz w:val="16"/>
                <w:szCs w:val="16"/>
              </w:rPr>
              <w:t>14. Karinio mobilumo, gynybos infrastruktūros atsparumo ir civilinės parengties stiprinimas</w:t>
            </w:r>
          </w:p>
        </w:tc>
        <w:tc>
          <w:tcPr>
            <w:tcW w:w="530" w:type="pct"/>
            <w:vMerge w:val="restart"/>
          </w:tcPr>
          <w:p w14:paraId="4B60C42C" w14:textId="77777777" w:rsidR="009C14FB" w:rsidRPr="004D4A14" w:rsidRDefault="009C14FB" w:rsidP="007A4608">
            <w:pPr>
              <w:spacing w:after="0" w:line="240" w:lineRule="auto"/>
              <w:rPr>
                <w:rFonts w:eastAsia="Calibri" w:cs="Times New Roman"/>
                <w:sz w:val="16"/>
                <w:szCs w:val="16"/>
              </w:rPr>
            </w:pPr>
            <w:r w:rsidRPr="004D4A14">
              <w:rPr>
                <w:rFonts w:eastAsia="Calibri" w:cs="Times New Roman"/>
                <w:sz w:val="16"/>
                <w:szCs w:val="16"/>
              </w:rPr>
              <w:t>14.1</w:t>
            </w:r>
          </w:p>
        </w:tc>
        <w:tc>
          <w:tcPr>
            <w:tcW w:w="368" w:type="pct"/>
          </w:tcPr>
          <w:p w14:paraId="5A52AE10" w14:textId="77777777" w:rsidR="009C14FB" w:rsidRPr="004D4A14" w:rsidRDefault="009C14FB" w:rsidP="007A4608">
            <w:pPr>
              <w:spacing w:after="0" w:line="240" w:lineRule="auto"/>
              <w:rPr>
                <w:rFonts w:eastAsia="Calibri" w:cs="Times New Roman"/>
                <w:sz w:val="16"/>
                <w:szCs w:val="16"/>
              </w:rPr>
            </w:pPr>
            <w:proofErr w:type="spellStart"/>
            <w:r w:rsidRPr="004D4A14">
              <w:rPr>
                <w:rFonts w:eastAsia="Calibri" w:cs="Times New Roman"/>
                <w:sz w:val="16"/>
                <w:szCs w:val="16"/>
              </w:rPr>
              <w:t>SaF</w:t>
            </w:r>
            <w:proofErr w:type="spellEnd"/>
          </w:p>
        </w:tc>
        <w:tc>
          <w:tcPr>
            <w:tcW w:w="570" w:type="pct"/>
          </w:tcPr>
          <w:p w14:paraId="30EC9319" w14:textId="77777777" w:rsidR="009C14FB" w:rsidRPr="004D4A14" w:rsidRDefault="009C14FB" w:rsidP="007A4608">
            <w:pPr>
              <w:spacing w:after="0" w:line="240" w:lineRule="auto"/>
              <w:rPr>
                <w:rFonts w:eastAsia="Calibri" w:cs="Times New Roman"/>
                <w:sz w:val="16"/>
                <w:szCs w:val="16"/>
              </w:rPr>
            </w:pPr>
            <w:r w:rsidRPr="004D4A14">
              <w:rPr>
                <w:rFonts w:eastAsia="Calibri" w:cs="Times New Roman"/>
                <w:sz w:val="16"/>
                <w:szCs w:val="16"/>
              </w:rPr>
              <w:t>Visa Lietuva</w:t>
            </w:r>
          </w:p>
        </w:tc>
        <w:tc>
          <w:tcPr>
            <w:tcW w:w="610" w:type="pct"/>
          </w:tcPr>
          <w:p w14:paraId="7ED40683" w14:textId="77777777" w:rsidR="009C14FB" w:rsidRPr="004D4A14" w:rsidRDefault="009C14FB" w:rsidP="007A4608">
            <w:pPr>
              <w:spacing w:after="0" w:line="240" w:lineRule="auto"/>
              <w:rPr>
                <w:rFonts w:eastAsia="Calibri" w:cs="Times New Roman"/>
                <w:noProof/>
                <w:sz w:val="16"/>
                <w:szCs w:val="16"/>
                <w:lang w:eastAsia="lt-LT" w:bidi="lt-LT"/>
              </w:rPr>
            </w:pPr>
            <w:r w:rsidRPr="004D4A14">
              <w:rPr>
                <w:rFonts w:eastAsia="Calibri" w:cs="Times New Roman"/>
                <w:noProof/>
                <w:sz w:val="16"/>
                <w:szCs w:val="16"/>
                <w:lang w:eastAsia="lt-LT" w:bidi="lt-LT"/>
              </w:rPr>
              <w:t>RCO45</w:t>
            </w:r>
          </w:p>
        </w:tc>
        <w:tc>
          <w:tcPr>
            <w:tcW w:w="959" w:type="pct"/>
          </w:tcPr>
          <w:p w14:paraId="270AC707" w14:textId="77777777" w:rsidR="009C14FB" w:rsidRPr="004D4A14" w:rsidRDefault="009C14FB" w:rsidP="007A4608">
            <w:pPr>
              <w:spacing w:after="40" w:line="240" w:lineRule="auto"/>
              <w:rPr>
                <w:rFonts w:eastAsia="Calibri" w:cs="Times New Roman"/>
                <w:noProof/>
                <w:sz w:val="16"/>
                <w:szCs w:val="16"/>
                <w:lang w:eastAsia="lt-LT" w:bidi="lt-LT"/>
              </w:rPr>
            </w:pPr>
            <w:r w:rsidRPr="004D4A14">
              <w:rPr>
                <w:rFonts w:eastAsia="Calibri" w:cs="Times New Roman"/>
                <w:noProof/>
                <w:sz w:val="16"/>
                <w:szCs w:val="16"/>
                <w:lang w:eastAsia="lt-LT" w:bidi="lt-LT"/>
              </w:rPr>
              <w:t>Rekonstruotų arba modernizuotų kelių ilgis – TEN-T</w:t>
            </w:r>
          </w:p>
        </w:tc>
        <w:tc>
          <w:tcPr>
            <w:tcW w:w="442" w:type="pct"/>
          </w:tcPr>
          <w:p w14:paraId="63821FB2" w14:textId="77777777" w:rsidR="009C14FB" w:rsidRPr="004D4A14" w:rsidRDefault="009C14FB" w:rsidP="007A4608">
            <w:pPr>
              <w:spacing w:after="0" w:line="240" w:lineRule="auto"/>
              <w:rPr>
                <w:rFonts w:eastAsia="Calibri" w:cs="Times New Roman"/>
                <w:sz w:val="16"/>
                <w:szCs w:val="16"/>
              </w:rPr>
            </w:pPr>
            <w:r w:rsidRPr="004D4A14">
              <w:rPr>
                <w:rFonts w:eastAsia="Calibri" w:cs="Times New Roman"/>
                <w:sz w:val="16"/>
                <w:szCs w:val="16"/>
              </w:rPr>
              <w:t>Km</w:t>
            </w:r>
          </w:p>
        </w:tc>
        <w:tc>
          <w:tcPr>
            <w:tcW w:w="516" w:type="pct"/>
          </w:tcPr>
          <w:p w14:paraId="1206ECCC" w14:textId="77777777" w:rsidR="009C14FB" w:rsidRPr="004D4A14" w:rsidRDefault="009C14FB" w:rsidP="007A4608">
            <w:pPr>
              <w:spacing w:after="0" w:line="240" w:lineRule="auto"/>
              <w:jc w:val="center"/>
              <w:rPr>
                <w:rFonts w:eastAsia="Calibri" w:cs="Times New Roman"/>
                <w:sz w:val="16"/>
                <w:szCs w:val="16"/>
              </w:rPr>
            </w:pPr>
            <w:r w:rsidRPr="004D4A14">
              <w:rPr>
                <w:rFonts w:eastAsia="Calibri" w:cs="Times New Roman"/>
                <w:sz w:val="16"/>
                <w:szCs w:val="16"/>
              </w:rPr>
              <w:t>0</w:t>
            </w:r>
          </w:p>
        </w:tc>
        <w:tc>
          <w:tcPr>
            <w:tcW w:w="508" w:type="pct"/>
          </w:tcPr>
          <w:p w14:paraId="2EB70EA0" w14:textId="77777777" w:rsidR="009C14FB" w:rsidRPr="004D4A14" w:rsidRDefault="009C14FB" w:rsidP="007A4608">
            <w:pPr>
              <w:spacing w:after="0" w:line="240" w:lineRule="auto"/>
              <w:jc w:val="center"/>
              <w:rPr>
                <w:rFonts w:eastAsia="Times New Roman" w:cs="Times New Roman"/>
                <w:bCs/>
                <w:iCs/>
                <w:noProof/>
                <w:color w:val="0070C0"/>
                <w:sz w:val="16"/>
                <w:szCs w:val="16"/>
              </w:rPr>
            </w:pPr>
            <w:r w:rsidRPr="004D4A14">
              <w:rPr>
                <w:rFonts w:eastAsia="Times New Roman" w:cs="Times New Roman"/>
                <w:sz w:val="16"/>
                <w:szCs w:val="16"/>
              </w:rPr>
              <w:t>1,44</w:t>
            </w:r>
          </w:p>
        </w:tc>
      </w:tr>
      <w:tr w:rsidR="009C14FB" w:rsidRPr="004D4A14" w14:paraId="25596836" w14:textId="77777777" w:rsidTr="007A4608">
        <w:trPr>
          <w:trHeight w:val="553"/>
        </w:trPr>
        <w:tc>
          <w:tcPr>
            <w:tcW w:w="495" w:type="pct"/>
            <w:vMerge/>
          </w:tcPr>
          <w:p w14:paraId="307682A0" w14:textId="77777777" w:rsidR="009C14FB" w:rsidRPr="004D4A14" w:rsidRDefault="009C14FB" w:rsidP="007A4608"/>
        </w:tc>
        <w:tc>
          <w:tcPr>
            <w:tcW w:w="530" w:type="pct"/>
            <w:vMerge/>
          </w:tcPr>
          <w:p w14:paraId="4D7DF6D0" w14:textId="77777777" w:rsidR="009C14FB" w:rsidRPr="004D4A14" w:rsidRDefault="009C14FB" w:rsidP="007A4608"/>
        </w:tc>
        <w:tc>
          <w:tcPr>
            <w:tcW w:w="368" w:type="pct"/>
            <w:tcBorders>
              <w:top w:val="nil"/>
              <w:left w:val="single" w:sz="4" w:space="0" w:color="auto"/>
              <w:bottom w:val="single" w:sz="4" w:space="0" w:color="auto"/>
              <w:right w:val="single" w:sz="4" w:space="0" w:color="auto"/>
            </w:tcBorders>
          </w:tcPr>
          <w:p w14:paraId="7472565C" w14:textId="77777777" w:rsidR="009C14FB" w:rsidRPr="004D4A14" w:rsidRDefault="009C14FB" w:rsidP="007A4608">
            <w:pPr>
              <w:spacing w:line="240" w:lineRule="auto"/>
              <w:rPr>
                <w:rFonts w:eastAsia="Calibri" w:cs="Times New Roman"/>
                <w:sz w:val="16"/>
                <w:szCs w:val="16"/>
              </w:rPr>
            </w:pPr>
          </w:p>
        </w:tc>
        <w:tc>
          <w:tcPr>
            <w:tcW w:w="570" w:type="pct"/>
            <w:tcBorders>
              <w:top w:val="nil"/>
              <w:left w:val="single" w:sz="4" w:space="0" w:color="auto"/>
              <w:bottom w:val="single" w:sz="4" w:space="0" w:color="auto"/>
              <w:right w:val="single" w:sz="4" w:space="0" w:color="auto"/>
            </w:tcBorders>
          </w:tcPr>
          <w:p w14:paraId="61680E97" w14:textId="77777777" w:rsidR="009C14FB" w:rsidRPr="004D4A14" w:rsidRDefault="009C14FB" w:rsidP="007A4608">
            <w:pPr>
              <w:spacing w:line="240" w:lineRule="auto"/>
              <w:rPr>
                <w:rFonts w:eastAsia="Calibri" w:cs="Times New Roman"/>
                <w:sz w:val="16"/>
                <w:szCs w:val="16"/>
              </w:rPr>
            </w:pPr>
          </w:p>
        </w:tc>
        <w:tc>
          <w:tcPr>
            <w:tcW w:w="610" w:type="pct"/>
          </w:tcPr>
          <w:p w14:paraId="7004AAC4" w14:textId="77777777" w:rsidR="009C14FB" w:rsidRPr="004D4A14" w:rsidRDefault="009C14FB" w:rsidP="007A4608">
            <w:pPr>
              <w:spacing w:after="0" w:line="240" w:lineRule="auto"/>
              <w:rPr>
                <w:rFonts w:eastAsia="Calibri" w:cs="Times New Roman"/>
                <w:noProof/>
                <w:sz w:val="16"/>
                <w:szCs w:val="16"/>
                <w:lang w:eastAsia="lt-LT" w:bidi="lt-LT"/>
              </w:rPr>
            </w:pPr>
            <w:r w:rsidRPr="004D4A14">
              <w:rPr>
                <w:rFonts w:eastAsia="Calibri" w:cs="Times New Roman"/>
                <w:noProof/>
                <w:sz w:val="16"/>
                <w:szCs w:val="16"/>
                <w:lang w:eastAsia="lt-LT" w:bidi="lt-LT"/>
              </w:rPr>
              <w:t xml:space="preserve">RCO129 </w:t>
            </w:r>
          </w:p>
          <w:p w14:paraId="7E182154" w14:textId="77777777" w:rsidR="009C14FB" w:rsidRPr="004D4A14" w:rsidRDefault="009C14FB" w:rsidP="007A4608">
            <w:pPr>
              <w:spacing w:after="0" w:line="240" w:lineRule="auto"/>
              <w:rPr>
                <w:rFonts w:eastAsia="Calibri" w:cs="Times New Roman"/>
                <w:i/>
                <w:iCs/>
                <w:noProof/>
                <w:sz w:val="16"/>
                <w:szCs w:val="16"/>
                <w:lang w:eastAsia="lt-LT" w:bidi="lt-LT"/>
              </w:rPr>
            </w:pPr>
          </w:p>
        </w:tc>
        <w:tc>
          <w:tcPr>
            <w:tcW w:w="959" w:type="pct"/>
          </w:tcPr>
          <w:p w14:paraId="7EC384BB" w14:textId="77777777" w:rsidR="009C14FB" w:rsidRPr="004D4A14" w:rsidRDefault="009C14FB" w:rsidP="007A4608">
            <w:pPr>
              <w:widowControl w:val="0"/>
              <w:spacing w:after="0" w:line="240" w:lineRule="auto"/>
              <w:rPr>
                <w:rFonts w:eastAsia="Calibri" w:cs="Times New Roman"/>
                <w:noProof/>
                <w:sz w:val="16"/>
                <w:szCs w:val="16"/>
                <w:lang w:eastAsia="lt-LT" w:bidi="lt-LT"/>
              </w:rPr>
            </w:pPr>
            <w:r w:rsidRPr="004D4A14">
              <w:rPr>
                <w:rFonts w:eastAsia="Calibri" w:cs="Times New Roman"/>
                <w:sz w:val="16"/>
                <w:szCs w:val="16"/>
                <w:lang w:eastAsia="lt-LT" w:bidi="lt-LT"/>
              </w:rPr>
              <w:t xml:space="preserve">Infrastruktūra, pritaikyta prie karinio mobilumo reikalavimų  </w:t>
            </w:r>
          </w:p>
        </w:tc>
        <w:tc>
          <w:tcPr>
            <w:tcW w:w="442" w:type="pct"/>
          </w:tcPr>
          <w:p w14:paraId="2DC7E575" w14:textId="77777777" w:rsidR="009C14FB" w:rsidRPr="004D4A14" w:rsidRDefault="009C14FB" w:rsidP="007A4608">
            <w:pPr>
              <w:spacing w:line="240" w:lineRule="auto"/>
              <w:rPr>
                <w:rFonts w:eastAsia="Calibri" w:cs="Times New Roman"/>
                <w:sz w:val="16"/>
                <w:szCs w:val="16"/>
              </w:rPr>
            </w:pPr>
            <w:r w:rsidRPr="004D4A14">
              <w:rPr>
                <w:rFonts w:eastAsia="Calibri" w:cs="Times New Roman"/>
                <w:sz w:val="16"/>
                <w:szCs w:val="16"/>
              </w:rPr>
              <w:t>Projektai</w:t>
            </w:r>
          </w:p>
        </w:tc>
        <w:tc>
          <w:tcPr>
            <w:tcW w:w="516" w:type="pct"/>
          </w:tcPr>
          <w:p w14:paraId="68BA8627" w14:textId="77777777" w:rsidR="009C14FB" w:rsidRPr="004D4A14" w:rsidRDefault="009C14FB" w:rsidP="007A4608">
            <w:pPr>
              <w:spacing w:line="240" w:lineRule="auto"/>
              <w:jc w:val="center"/>
              <w:rPr>
                <w:rFonts w:eastAsia="Calibri" w:cs="Times New Roman"/>
                <w:sz w:val="16"/>
                <w:szCs w:val="16"/>
              </w:rPr>
            </w:pPr>
            <w:r w:rsidRPr="004D4A14">
              <w:rPr>
                <w:rFonts w:eastAsia="Calibri" w:cs="Times New Roman"/>
                <w:sz w:val="16"/>
                <w:szCs w:val="16"/>
              </w:rPr>
              <w:t>0</w:t>
            </w:r>
          </w:p>
        </w:tc>
        <w:tc>
          <w:tcPr>
            <w:tcW w:w="508" w:type="pct"/>
          </w:tcPr>
          <w:p w14:paraId="56B97F67" w14:textId="77777777" w:rsidR="009C14FB" w:rsidRPr="004D4A14" w:rsidRDefault="009C14FB" w:rsidP="007A4608">
            <w:pPr>
              <w:spacing w:after="0" w:line="240" w:lineRule="auto"/>
              <w:jc w:val="center"/>
              <w:rPr>
                <w:rFonts w:eastAsia="Calibri" w:cs="Times New Roman"/>
                <w:sz w:val="16"/>
                <w:szCs w:val="16"/>
              </w:rPr>
            </w:pPr>
            <w:r w:rsidRPr="004D4A14">
              <w:rPr>
                <w:rFonts w:eastAsia="Calibri" w:cs="Times New Roman"/>
                <w:sz w:val="16"/>
                <w:szCs w:val="16"/>
              </w:rPr>
              <w:t>10</w:t>
            </w:r>
            <w:r w:rsidRPr="004D4A14">
              <w:rPr>
                <w:rFonts w:eastAsia="Calibri" w:cs="Times New Roman"/>
                <w:i/>
                <w:iCs/>
                <w:noProof/>
                <w:color w:val="0070C0"/>
                <w:sz w:val="16"/>
                <w:szCs w:val="16"/>
                <w:lang w:eastAsia="lt-LT" w:bidi="lt-LT"/>
              </w:rPr>
              <w:t xml:space="preserve"> </w:t>
            </w:r>
          </w:p>
        </w:tc>
      </w:tr>
      <w:tr w:rsidR="009C14FB" w:rsidRPr="004D4A14" w14:paraId="50402A7A" w14:textId="77777777" w:rsidTr="007A4608">
        <w:trPr>
          <w:trHeight w:val="340"/>
        </w:trPr>
        <w:tc>
          <w:tcPr>
            <w:tcW w:w="495" w:type="pct"/>
            <w:vMerge/>
          </w:tcPr>
          <w:p w14:paraId="71FFB8A1" w14:textId="77777777" w:rsidR="009C14FB" w:rsidRPr="004D4A14" w:rsidRDefault="009C14FB" w:rsidP="007A4608">
            <w:pPr>
              <w:spacing w:after="0" w:line="240" w:lineRule="auto"/>
              <w:rPr>
                <w:rFonts w:eastAsia="Calibri" w:cs="Times New Roman"/>
                <w:sz w:val="16"/>
                <w:szCs w:val="16"/>
              </w:rPr>
            </w:pPr>
          </w:p>
        </w:tc>
        <w:tc>
          <w:tcPr>
            <w:tcW w:w="530" w:type="pct"/>
            <w:vMerge/>
          </w:tcPr>
          <w:p w14:paraId="7A5AF098" w14:textId="77777777" w:rsidR="009C14FB" w:rsidRPr="004D4A14" w:rsidRDefault="009C14FB" w:rsidP="007A4608">
            <w:pPr>
              <w:spacing w:after="0" w:line="240" w:lineRule="auto"/>
              <w:rPr>
                <w:rFonts w:eastAsia="Calibri" w:cs="Times New Roman"/>
                <w:sz w:val="16"/>
                <w:szCs w:val="16"/>
              </w:rPr>
            </w:pPr>
          </w:p>
        </w:tc>
        <w:tc>
          <w:tcPr>
            <w:tcW w:w="368" w:type="pct"/>
            <w:vMerge w:val="restart"/>
            <w:tcBorders>
              <w:top w:val="single" w:sz="4" w:space="0" w:color="auto"/>
            </w:tcBorders>
          </w:tcPr>
          <w:p w14:paraId="0DCCFE05" w14:textId="77777777" w:rsidR="009C14FB" w:rsidRPr="004D4A14" w:rsidRDefault="009C14FB" w:rsidP="007A4608">
            <w:pPr>
              <w:spacing w:after="0" w:line="240" w:lineRule="auto"/>
              <w:rPr>
                <w:rFonts w:eastAsia="Calibri" w:cs="Times New Roman"/>
                <w:sz w:val="16"/>
                <w:szCs w:val="16"/>
              </w:rPr>
            </w:pPr>
            <w:r w:rsidRPr="004D4A14">
              <w:rPr>
                <w:rFonts w:eastAsia="Calibri" w:cs="Times New Roman"/>
                <w:sz w:val="16"/>
                <w:szCs w:val="16"/>
              </w:rPr>
              <w:t>ERPF</w:t>
            </w:r>
          </w:p>
        </w:tc>
        <w:tc>
          <w:tcPr>
            <w:tcW w:w="570" w:type="pct"/>
            <w:vMerge w:val="restart"/>
            <w:tcBorders>
              <w:top w:val="single" w:sz="4" w:space="0" w:color="auto"/>
            </w:tcBorders>
          </w:tcPr>
          <w:p w14:paraId="0C39B09B" w14:textId="77777777" w:rsidR="009C14FB" w:rsidRPr="004D4A14" w:rsidRDefault="009C14FB" w:rsidP="007A4608">
            <w:pPr>
              <w:spacing w:after="40" w:line="240" w:lineRule="auto"/>
              <w:rPr>
                <w:rFonts w:eastAsia="Calibri" w:cs="Times New Roman"/>
                <w:sz w:val="16"/>
                <w:szCs w:val="16"/>
              </w:rPr>
            </w:pPr>
            <w:r w:rsidRPr="004D4A14">
              <w:rPr>
                <w:rFonts w:eastAsia="Calibri" w:cs="Times New Roman"/>
                <w:sz w:val="16"/>
                <w:szCs w:val="16"/>
              </w:rPr>
              <w:t>VVL regionas</w:t>
            </w:r>
          </w:p>
        </w:tc>
        <w:tc>
          <w:tcPr>
            <w:tcW w:w="610" w:type="pct"/>
          </w:tcPr>
          <w:p w14:paraId="1C38D2EC" w14:textId="77777777" w:rsidR="009C14FB" w:rsidRPr="004D4A14" w:rsidRDefault="009C14FB" w:rsidP="007A4608">
            <w:pPr>
              <w:spacing w:after="0" w:line="240" w:lineRule="auto"/>
              <w:rPr>
                <w:rFonts w:eastAsia="Calibri" w:cs="Times New Roman"/>
                <w:noProof/>
                <w:color w:val="000000"/>
                <w:sz w:val="16"/>
                <w:szCs w:val="16"/>
                <w:lang w:eastAsia="lt-LT" w:bidi="lt-LT"/>
              </w:rPr>
            </w:pPr>
            <w:r w:rsidRPr="004D4A14">
              <w:rPr>
                <w:rFonts w:eastAsia="Calibri" w:cs="Times New Roman"/>
                <w:noProof/>
                <w:color w:val="000000"/>
                <w:sz w:val="16"/>
                <w:szCs w:val="16"/>
                <w:lang w:eastAsia="lt-LT" w:bidi="lt-LT"/>
              </w:rPr>
              <w:t>RCO45</w:t>
            </w:r>
          </w:p>
        </w:tc>
        <w:tc>
          <w:tcPr>
            <w:tcW w:w="959" w:type="pct"/>
          </w:tcPr>
          <w:p w14:paraId="4B006C71" w14:textId="77777777" w:rsidR="009C14FB" w:rsidRPr="004D4A14" w:rsidRDefault="009C14FB" w:rsidP="007A4608">
            <w:pPr>
              <w:spacing w:after="40" w:line="240" w:lineRule="auto"/>
              <w:rPr>
                <w:rFonts w:eastAsia="Calibri" w:cs="Times New Roman"/>
                <w:noProof/>
                <w:color w:val="000000"/>
                <w:sz w:val="16"/>
                <w:szCs w:val="16"/>
                <w:lang w:eastAsia="lt-LT" w:bidi="lt-LT"/>
              </w:rPr>
            </w:pPr>
            <w:r w:rsidRPr="004D4A14">
              <w:rPr>
                <w:rFonts w:eastAsia="Calibri" w:cs="Times New Roman"/>
                <w:noProof/>
                <w:color w:val="000000"/>
                <w:sz w:val="16"/>
                <w:szCs w:val="16"/>
                <w:lang w:eastAsia="lt-LT" w:bidi="lt-LT"/>
              </w:rPr>
              <w:t xml:space="preserve">Rekonstruotų arba modernizuotų kelių ilgis – TEN-T </w:t>
            </w:r>
          </w:p>
        </w:tc>
        <w:tc>
          <w:tcPr>
            <w:tcW w:w="442" w:type="pct"/>
          </w:tcPr>
          <w:p w14:paraId="6A4D1A8B" w14:textId="77777777" w:rsidR="009C14FB" w:rsidRPr="004D4A14" w:rsidRDefault="009C14FB" w:rsidP="007A4608">
            <w:pPr>
              <w:spacing w:after="0" w:line="240" w:lineRule="auto"/>
              <w:rPr>
                <w:rFonts w:eastAsia="Calibri" w:cs="Times New Roman"/>
                <w:sz w:val="16"/>
                <w:szCs w:val="16"/>
              </w:rPr>
            </w:pPr>
            <w:r w:rsidRPr="004D4A14">
              <w:rPr>
                <w:rFonts w:eastAsia="Calibri" w:cs="Times New Roman"/>
                <w:sz w:val="16"/>
                <w:szCs w:val="16"/>
              </w:rPr>
              <w:t>Km</w:t>
            </w:r>
          </w:p>
        </w:tc>
        <w:tc>
          <w:tcPr>
            <w:tcW w:w="516" w:type="pct"/>
          </w:tcPr>
          <w:p w14:paraId="2B002B20" w14:textId="77777777" w:rsidR="009C14FB" w:rsidRPr="004D4A14" w:rsidRDefault="009C14FB" w:rsidP="007A4608">
            <w:pPr>
              <w:spacing w:after="0" w:line="240" w:lineRule="auto"/>
              <w:jc w:val="center"/>
              <w:rPr>
                <w:rFonts w:eastAsia="Calibri" w:cs="Times New Roman"/>
                <w:sz w:val="16"/>
                <w:szCs w:val="16"/>
                <w:lang w:val="en-US"/>
              </w:rPr>
            </w:pPr>
            <w:r w:rsidRPr="004D4A14">
              <w:rPr>
                <w:rFonts w:eastAsia="Calibri" w:cs="Times New Roman"/>
                <w:sz w:val="16"/>
                <w:szCs w:val="16"/>
                <w:lang w:val="en-US"/>
              </w:rPr>
              <w:t>0</w:t>
            </w:r>
          </w:p>
        </w:tc>
        <w:tc>
          <w:tcPr>
            <w:tcW w:w="508" w:type="pct"/>
          </w:tcPr>
          <w:p w14:paraId="4083424B" w14:textId="77777777" w:rsidR="009C14FB" w:rsidRPr="004D4A14" w:rsidRDefault="009C14FB" w:rsidP="007A4608">
            <w:pPr>
              <w:spacing w:after="0" w:line="240" w:lineRule="auto"/>
              <w:jc w:val="center"/>
              <w:rPr>
                <w:rFonts w:eastAsia="Calibri" w:cs="Times New Roman"/>
                <w:noProof/>
                <w:color w:val="000000" w:themeColor="text1"/>
                <w:sz w:val="16"/>
                <w:szCs w:val="16"/>
              </w:rPr>
            </w:pPr>
            <w:r w:rsidRPr="004D4A14">
              <w:rPr>
                <w:rFonts w:eastAsia="Calibri" w:cs="Times New Roman"/>
                <w:noProof/>
                <w:color w:val="000000" w:themeColor="text1"/>
                <w:sz w:val="16"/>
                <w:szCs w:val="16"/>
              </w:rPr>
              <w:t>17,57</w:t>
            </w:r>
          </w:p>
          <w:p w14:paraId="0692FEA8" w14:textId="77777777" w:rsidR="009C14FB" w:rsidRPr="004D4A14" w:rsidRDefault="009C14FB" w:rsidP="007A4608">
            <w:pPr>
              <w:spacing w:after="0" w:line="240" w:lineRule="auto"/>
              <w:jc w:val="center"/>
              <w:rPr>
                <w:rFonts w:eastAsia="Calibri" w:cs="Times New Roman"/>
                <w:b/>
                <w:sz w:val="16"/>
                <w:szCs w:val="16"/>
              </w:rPr>
            </w:pPr>
          </w:p>
        </w:tc>
      </w:tr>
      <w:tr w:rsidR="009C14FB" w:rsidRPr="004D4A14" w14:paraId="1AEA89E4" w14:textId="77777777" w:rsidTr="007A4608">
        <w:trPr>
          <w:trHeight w:val="340"/>
        </w:trPr>
        <w:tc>
          <w:tcPr>
            <w:tcW w:w="495" w:type="pct"/>
            <w:vMerge/>
          </w:tcPr>
          <w:p w14:paraId="48AA740B" w14:textId="77777777" w:rsidR="009C14FB" w:rsidRPr="004D4A14" w:rsidRDefault="009C14FB" w:rsidP="007A4608">
            <w:pPr>
              <w:spacing w:after="0" w:line="240" w:lineRule="auto"/>
              <w:rPr>
                <w:rFonts w:eastAsia="Calibri" w:cs="Times New Roman"/>
                <w:sz w:val="16"/>
                <w:szCs w:val="16"/>
              </w:rPr>
            </w:pPr>
          </w:p>
        </w:tc>
        <w:tc>
          <w:tcPr>
            <w:tcW w:w="530" w:type="pct"/>
            <w:vMerge/>
          </w:tcPr>
          <w:p w14:paraId="4E32AF26" w14:textId="77777777" w:rsidR="009C14FB" w:rsidRPr="004D4A14" w:rsidRDefault="009C14FB" w:rsidP="007A4608">
            <w:pPr>
              <w:spacing w:after="0" w:line="240" w:lineRule="auto"/>
              <w:rPr>
                <w:rFonts w:eastAsia="Calibri" w:cs="Times New Roman"/>
                <w:sz w:val="16"/>
                <w:szCs w:val="16"/>
              </w:rPr>
            </w:pPr>
          </w:p>
        </w:tc>
        <w:tc>
          <w:tcPr>
            <w:tcW w:w="368" w:type="pct"/>
            <w:vMerge/>
          </w:tcPr>
          <w:p w14:paraId="097626E4" w14:textId="77777777" w:rsidR="009C14FB" w:rsidRPr="004D4A14" w:rsidRDefault="009C14FB" w:rsidP="007A4608">
            <w:pPr>
              <w:spacing w:after="0" w:line="240" w:lineRule="auto"/>
              <w:rPr>
                <w:rFonts w:eastAsia="Calibri" w:cs="Times New Roman"/>
                <w:sz w:val="16"/>
                <w:szCs w:val="16"/>
              </w:rPr>
            </w:pPr>
          </w:p>
        </w:tc>
        <w:tc>
          <w:tcPr>
            <w:tcW w:w="570" w:type="pct"/>
            <w:vMerge/>
          </w:tcPr>
          <w:p w14:paraId="14BEA364" w14:textId="77777777" w:rsidR="009C14FB" w:rsidRPr="004D4A14" w:rsidRDefault="009C14FB" w:rsidP="007A4608">
            <w:pPr>
              <w:spacing w:after="40" w:line="240" w:lineRule="auto"/>
              <w:rPr>
                <w:rFonts w:eastAsia="Calibri" w:cs="Times New Roman"/>
                <w:sz w:val="16"/>
                <w:szCs w:val="16"/>
              </w:rPr>
            </w:pPr>
          </w:p>
        </w:tc>
        <w:tc>
          <w:tcPr>
            <w:tcW w:w="610" w:type="pct"/>
          </w:tcPr>
          <w:p w14:paraId="708EED65" w14:textId="77777777" w:rsidR="009C14FB" w:rsidRPr="004D4A14" w:rsidRDefault="009C14FB" w:rsidP="007A4608">
            <w:pPr>
              <w:spacing w:after="0" w:line="240" w:lineRule="auto"/>
              <w:rPr>
                <w:rFonts w:eastAsia="Calibri" w:cs="Times New Roman"/>
                <w:noProof/>
                <w:color w:val="000000"/>
                <w:sz w:val="16"/>
                <w:szCs w:val="16"/>
                <w:lang w:eastAsia="lt-LT" w:bidi="lt-LT"/>
              </w:rPr>
            </w:pPr>
            <w:r w:rsidRPr="004D4A14">
              <w:rPr>
                <w:rFonts w:eastAsia="Calibri" w:cs="Times New Roman"/>
                <w:noProof/>
                <w:sz w:val="16"/>
                <w:szCs w:val="16"/>
                <w:lang w:eastAsia="lt-LT" w:bidi="lt-LT"/>
              </w:rPr>
              <w:t>RCO46</w:t>
            </w:r>
          </w:p>
        </w:tc>
        <w:tc>
          <w:tcPr>
            <w:tcW w:w="959" w:type="pct"/>
          </w:tcPr>
          <w:p w14:paraId="36363321" w14:textId="77777777" w:rsidR="009C14FB" w:rsidRPr="004D4A14" w:rsidRDefault="009C14FB" w:rsidP="007A4608">
            <w:pPr>
              <w:spacing w:after="40" w:line="240" w:lineRule="auto"/>
              <w:rPr>
                <w:rFonts w:eastAsia="Calibri" w:cs="Times New Roman"/>
                <w:noProof/>
                <w:color w:val="000000"/>
                <w:sz w:val="16"/>
                <w:szCs w:val="16"/>
                <w:lang w:eastAsia="lt-LT" w:bidi="lt-LT"/>
              </w:rPr>
            </w:pPr>
            <w:r w:rsidRPr="004D4A14">
              <w:rPr>
                <w:rFonts w:eastAsia="Calibri" w:cs="Times New Roman"/>
                <w:noProof/>
                <w:sz w:val="16"/>
                <w:szCs w:val="16"/>
                <w:lang w:eastAsia="lt-LT" w:bidi="lt-LT"/>
              </w:rPr>
              <w:t>Rekonstruotų arba modernizuotų kelių ilgis – ne TEN-T</w:t>
            </w:r>
          </w:p>
        </w:tc>
        <w:tc>
          <w:tcPr>
            <w:tcW w:w="442" w:type="pct"/>
          </w:tcPr>
          <w:p w14:paraId="58544125" w14:textId="77777777" w:rsidR="009C14FB" w:rsidRPr="004D4A14" w:rsidRDefault="009C14FB" w:rsidP="007A4608">
            <w:pPr>
              <w:spacing w:after="0" w:line="240" w:lineRule="auto"/>
              <w:rPr>
                <w:rFonts w:eastAsia="Calibri" w:cs="Times New Roman"/>
                <w:sz w:val="16"/>
                <w:szCs w:val="16"/>
              </w:rPr>
            </w:pPr>
            <w:r w:rsidRPr="004D4A14">
              <w:rPr>
                <w:rFonts w:eastAsia="Calibri" w:cs="Times New Roman"/>
                <w:sz w:val="16"/>
                <w:szCs w:val="16"/>
              </w:rPr>
              <w:t>Km</w:t>
            </w:r>
          </w:p>
        </w:tc>
        <w:tc>
          <w:tcPr>
            <w:tcW w:w="516" w:type="pct"/>
          </w:tcPr>
          <w:p w14:paraId="3353FF36" w14:textId="77777777" w:rsidR="009C14FB" w:rsidRPr="004D4A14" w:rsidRDefault="009C14FB" w:rsidP="007A4608">
            <w:pPr>
              <w:spacing w:after="0" w:line="240" w:lineRule="auto"/>
              <w:jc w:val="center"/>
              <w:rPr>
                <w:rFonts w:eastAsia="Calibri" w:cs="Times New Roman"/>
                <w:sz w:val="16"/>
                <w:szCs w:val="16"/>
                <w:lang w:val="en-US"/>
              </w:rPr>
            </w:pPr>
            <w:r w:rsidRPr="004D4A14">
              <w:rPr>
                <w:rFonts w:eastAsia="Calibri" w:cs="Times New Roman"/>
                <w:sz w:val="16"/>
                <w:szCs w:val="16"/>
                <w:lang w:val="en-US"/>
              </w:rPr>
              <w:t>0</w:t>
            </w:r>
          </w:p>
        </w:tc>
        <w:tc>
          <w:tcPr>
            <w:tcW w:w="508" w:type="pct"/>
          </w:tcPr>
          <w:p w14:paraId="38727B22" w14:textId="77777777" w:rsidR="009C14FB" w:rsidRPr="004D4A14" w:rsidRDefault="009C14FB" w:rsidP="007A4608">
            <w:pPr>
              <w:spacing w:after="0" w:line="240" w:lineRule="auto"/>
              <w:jc w:val="center"/>
              <w:rPr>
                <w:rFonts w:eastAsia="Calibri" w:cs="Times New Roman"/>
                <w:noProof/>
                <w:color w:val="000000" w:themeColor="text1"/>
                <w:sz w:val="16"/>
                <w:szCs w:val="16"/>
              </w:rPr>
            </w:pPr>
            <w:r w:rsidRPr="004D4A14">
              <w:rPr>
                <w:rFonts w:eastAsia="Calibri" w:cs="Times New Roman"/>
                <w:noProof/>
                <w:color w:val="000000" w:themeColor="text1"/>
                <w:sz w:val="16"/>
                <w:szCs w:val="16"/>
              </w:rPr>
              <w:t>16,03</w:t>
            </w:r>
          </w:p>
        </w:tc>
      </w:tr>
    </w:tbl>
    <w:p w14:paraId="32B8AEB2" w14:textId="77777777" w:rsidR="009C14FB" w:rsidRPr="004D4A14" w:rsidRDefault="009C14FB" w:rsidP="009C14FB">
      <w:pPr>
        <w:spacing w:before="240" w:after="0" w:line="240" w:lineRule="auto"/>
        <w:jc w:val="both"/>
        <w:rPr>
          <w:rFonts w:cs="Times New Roman"/>
          <w:b/>
          <w:sz w:val="22"/>
        </w:rPr>
      </w:pPr>
    </w:p>
    <w:p w14:paraId="7212A559" w14:textId="77777777" w:rsidR="009C14FB" w:rsidRPr="004D4A14" w:rsidRDefault="009C14FB" w:rsidP="009C14FB">
      <w:pPr>
        <w:spacing w:after="0" w:line="240" w:lineRule="auto"/>
        <w:jc w:val="both"/>
        <w:rPr>
          <w:rFonts w:cs="Times New Roman"/>
          <w:b/>
          <w:sz w:val="22"/>
        </w:rPr>
        <w:sectPr w:rsidR="009C14FB" w:rsidRPr="004D4A14" w:rsidSect="009C14FB">
          <w:headerReference w:type="default" r:id="rId13"/>
          <w:footerReference w:type="first" r:id="rId14"/>
          <w:pgSz w:w="11906" w:h="16838"/>
          <w:pgMar w:top="1134" w:right="567" w:bottom="1134" w:left="1701" w:header="567" w:footer="567" w:gutter="0"/>
          <w:cols w:space="1296"/>
          <w:docGrid w:linePitch="360"/>
        </w:sectPr>
      </w:pPr>
    </w:p>
    <w:p w14:paraId="505E3A7F" w14:textId="77777777" w:rsidR="009C14FB" w:rsidRPr="004D4A14" w:rsidRDefault="009C14FB" w:rsidP="009C14FB">
      <w:pPr>
        <w:spacing w:after="0" w:line="240" w:lineRule="auto"/>
        <w:jc w:val="both"/>
        <w:rPr>
          <w:rFonts w:cs="Times New Roman"/>
          <w:b/>
          <w:sz w:val="22"/>
        </w:rPr>
      </w:pPr>
      <w:r w:rsidRPr="004D4A14">
        <w:rPr>
          <w:rFonts w:cs="Times New Roman"/>
          <w:b/>
          <w:sz w:val="22"/>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
        <w:gridCol w:w="993"/>
        <w:gridCol w:w="725"/>
        <w:gridCol w:w="1035"/>
        <w:gridCol w:w="1216"/>
        <w:gridCol w:w="3544"/>
        <w:gridCol w:w="1133"/>
        <w:gridCol w:w="1278"/>
        <w:gridCol w:w="1133"/>
        <w:gridCol w:w="993"/>
        <w:gridCol w:w="886"/>
        <w:gridCol w:w="951"/>
      </w:tblGrid>
      <w:tr w:rsidR="009C14FB" w:rsidRPr="004D4A14" w14:paraId="5D767E1B" w14:textId="77777777" w:rsidTr="007A4608">
        <w:trPr>
          <w:trHeight w:val="872"/>
          <w:tblHeader/>
        </w:trPr>
        <w:tc>
          <w:tcPr>
            <w:tcW w:w="32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9F6FB05" w14:textId="77777777" w:rsidR="009C14FB" w:rsidRPr="004D4A14" w:rsidRDefault="009C14FB" w:rsidP="007A4608">
            <w:pPr>
              <w:spacing w:after="0" w:line="240" w:lineRule="auto"/>
              <w:jc w:val="center"/>
              <w:rPr>
                <w:rFonts w:eastAsia="Calibri" w:cs="Times New Roman"/>
                <w:b/>
                <w:noProof/>
                <w:sz w:val="16"/>
                <w:szCs w:val="16"/>
              </w:rPr>
            </w:pPr>
            <w:r w:rsidRPr="004D4A14">
              <w:rPr>
                <w:rFonts w:eastAsia="Calibri" w:cs="Times New Roman"/>
                <w:b/>
                <w:sz w:val="16"/>
                <w:szCs w:val="16"/>
              </w:rPr>
              <w:t>Prioritetas</w:t>
            </w:r>
          </w:p>
        </w:tc>
        <w:tc>
          <w:tcPr>
            <w:tcW w:w="33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308C356" w14:textId="77777777" w:rsidR="009C14FB" w:rsidRPr="004D4A14" w:rsidRDefault="009C14FB" w:rsidP="007A4608">
            <w:pPr>
              <w:spacing w:after="0" w:line="240" w:lineRule="auto"/>
              <w:jc w:val="center"/>
              <w:rPr>
                <w:rFonts w:eastAsia="Calibri" w:cs="Times New Roman"/>
                <w:b/>
                <w:noProof/>
                <w:sz w:val="16"/>
                <w:szCs w:val="16"/>
              </w:rPr>
            </w:pPr>
            <w:r w:rsidRPr="004D4A14">
              <w:rPr>
                <w:rFonts w:eastAsia="Calibri" w:cs="Times New Roman"/>
                <w:b/>
                <w:sz w:val="16"/>
                <w:szCs w:val="16"/>
              </w:rPr>
              <w:t>Konkretus uždavinys</w:t>
            </w:r>
          </w:p>
        </w:tc>
        <w:tc>
          <w:tcPr>
            <w:tcW w:w="24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23A8FE3" w14:textId="77777777" w:rsidR="009C14FB" w:rsidRPr="004D4A14" w:rsidRDefault="009C14FB" w:rsidP="007A4608">
            <w:pPr>
              <w:spacing w:after="0" w:line="240" w:lineRule="auto"/>
              <w:jc w:val="center"/>
              <w:rPr>
                <w:rFonts w:eastAsia="Calibri" w:cs="Times New Roman"/>
                <w:b/>
                <w:noProof/>
                <w:sz w:val="16"/>
                <w:szCs w:val="16"/>
              </w:rPr>
            </w:pPr>
            <w:r w:rsidRPr="004D4A14">
              <w:rPr>
                <w:rFonts w:eastAsia="Calibri" w:cs="Times New Roman"/>
                <w:b/>
                <w:sz w:val="16"/>
                <w:szCs w:val="16"/>
              </w:rPr>
              <w:t>Fondas</w:t>
            </w:r>
          </w:p>
        </w:tc>
        <w:tc>
          <w:tcPr>
            <w:tcW w:w="34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BAEC28B" w14:textId="77777777" w:rsidR="009C14FB" w:rsidRPr="004D4A14" w:rsidRDefault="009C14FB" w:rsidP="007A4608">
            <w:pPr>
              <w:spacing w:after="0" w:line="240" w:lineRule="auto"/>
              <w:jc w:val="center"/>
              <w:rPr>
                <w:rFonts w:eastAsia="Calibri" w:cs="Times New Roman"/>
                <w:b/>
                <w:noProof/>
                <w:sz w:val="16"/>
                <w:szCs w:val="16"/>
              </w:rPr>
            </w:pPr>
            <w:r w:rsidRPr="004D4A14">
              <w:rPr>
                <w:rFonts w:eastAsia="Calibri" w:cs="Times New Roman"/>
                <w:b/>
                <w:sz w:val="16"/>
                <w:szCs w:val="16"/>
              </w:rPr>
              <w:t>Regiono kategorija</w:t>
            </w:r>
          </w:p>
        </w:tc>
        <w:tc>
          <w:tcPr>
            <w:tcW w:w="40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A6A287C" w14:textId="77777777" w:rsidR="009C14FB" w:rsidRPr="004D4A14" w:rsidRDefault="009C14FB" w:rsidP="007A4608">
            <w:pPr>
              <w:spacing w:after="0" w:line="240" w:lineRule="auto"/>
              <w:jc w:val="center"/>
              <w:rPr>
                <w:rFonts w:eastAsia="Calibri" w:cs="Times New Roman"/>
                <w:b/>
                <w:noProof/>
                <w:sz w:val="16"/>
                <w:szCs w:val="16"/>
              </w:rPr>
            </w:pPr>
            <w:r w:rsidRPr="004D4A14">
              <w:rPr>
                <w:rFonts w:eastAsia="Calibri" w:cs="Times New Roman"/>
                <w:b/>
                <w:sz w:val="16"/>
                <w:szCs w:val="16"/>
              </w:rPr>
              <w:t>Identifikavimo numeris</w:t>
            </w:r>
          </w:p>
        </w:tc>
        <w:tc>
          <w:tcPr>
            <w:tcW w:w="119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59FFCA9" w14:textId="77777777" w:rsidR="009C14FB" w:rsidRPr="004D4A14" w:rsidRDefault="009C14FB" w:rsidP="007A4608">
            <w:pPr>
              <w:spacing w:after="0" w:line="240" w:lineRule="auto"/>
              <w:jc w:val="center"/>
              <w:rPr>
                <w:rFonts w:eastAsia="Calibri" w:cs="Times New Roman"/>
                <w:b/>
                <w:noProof/>
                <w:sz w:val="16"/>
                <w:szCs w:val="16"/>
              </w:rPr>
            </w:pPr>
            <w:r w:rsidRPr="004D4A14">
              <w:rPr>
                <w:rFonts w:eastAsia="Calibri" w:cs="Times New Roman"/>
                <w:b/>
                <w:sz w:val="16"/>
                <w:szCs w:val="16"/>
              </w:rPr>
              <w:t>Rodiklis</w:t>
            </w:r>
          </w:p>
        </w:tc>
        <w:tc>
          <w:tcPr>
            <w:tcW w:w="3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5AC8A2E" w14:textId="77777777" w:rsidR="009C14FB" w:rsidRPr="004D4A14" w:rsidRDefault="009C14FB" w:rsidP="007A4608">
            <w:pPr>
              <w:spacing w:after="0" w:line="240" w:lineRule="auto"/>
              <w:jc w:val="center"/>
              <w:rPr>
                <w:rFonts w:eastAsia="Calibri" w:cs="Times New Roman"/>
                <w:b/>
                <w:noProof/>
                <w:sz w:val="16"/>
                <w:szCs w:val="16"/>
              </w:rPr>
            </w:pPr>
            <w:r w:rsidRPr="004D4A14">
              <w:rPr>
                <w:rFonts w:eastAsia="Calibri" w:cs="Times New Roman"/>
                <w:b/>
                <w:sz w:val="16"/>
                <w:szCs w:val="16"/>
              </w:rPr>
              <w:t>Matavimo vienetas</w:t>
            </w:r>
          </w:p>
        </w:tc>
        <w:tc>
          <w:tcPr>
            <w:tcW w:w="43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73DD5B0" w14:textId="77777777" w:rsidR="009C14FB" w:rsidRPr="004D4A14" w:rsidRDefault="009C14FB" w:rsidP="007A4608">
            <w:pPr>
              <w:spacing w:after="0" w:line="240" w:lineRule="auto"/>
              <w:jc w:val="center"/>
              <w:rPr>
                <w:rFonts w:eastAsia="Calibri" w:cs="Times New Roman"/>
                <w:b/>
                <w:noProof/>
                <w:sz w:val="16"/>
                <w:szCs w:val="16"/>
              </w:rPr>
            </w:pPr>
            <w:r w:rsidRPr="004D4A14">
              <w:rPr>
                <w:rFonts w:eastAsia="Calibri" w:cs="Times New Roman"/>
                <w:b/>
                <w:sz w:val="16"/>
                <w:szCs w:val="16"/>
              </w:rPr>
              <w:t>Pradinė reikšmė arba pamatinė vertė</w:t>
            </w:r>
          </w:p>
        </w:tc>
        <w:tc>
          <w:tcPr>
            <w:tcW w:w="38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A3B85A5" w14:textId="77777777" w:rsidR="009C14FB" w:rsidRPr="004D4A14" w:rsidRDefault="009C14FB" w:rsidP="007A4608">
            <w:pPr>
              <w:spacing w:after="0" w:line="240" w:lineRule="auto"/>
              <w:jc w:val="center"/>
              <w:rPr>
                <w:rFonts w:eastAsia="Calibri" w:cs="Times New Roman"/>
                <w:b/>
                <w:noProof/>
                <w:sz w:val="16"/>
                <w:szCs w:val="16"/>
              </w:rPr>
            </w:pPr>
            <w:r w:rsidRPr="004D4A14">
              <w:rPr>
                <w:rFonts w:eastAsia="Calibri" w:cs="Times New Roman"/>
                <w:b/>
                <w:sz w:val="16"/>
                <w:szCs w:val="16"/>
              </w:rPr>
              <w:t>Ataskaitiniai metai</w:t>
            </w:r>
          </w:p>
        </w:tc>
        <w:tc>
          <w:tcPr>
            <w:tcW w:w="334"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882FA6F" w14:textId="77777777" w:rsidR="009C14FB" w:rsidRPr="004D4A14" w:rsidRDefault="009C14FB" w:rsidP="007A4608">
            <w:pPr>
              <w:spacing w:after="0" w:line="240" w:lineRule="auto"/>
              <w:jc w:val="center"/>
              <w:rPr>
                <w:rFonts w:eastAsia="Calibri" w:cs="Times New Roman"/>
                <w:b/>
                <w:noProof/>
                <w:sz w:val="16"/>
                <w:szCs w:val="16"/>
              </w:rPr>
            </w:pPr>
            <w:r w:rsidRPr="004D4A14">
              <w:rPr>
                <w:rFonts w:eastAsia="Calibri" w:cs="Times New Roman"/>
                <w:b/>
                <w:sz w:val="16"/>
                <w:szCs w:val="16"/>
              </w:rPr>
              <w:t>Siektina reikšmė (2029 m.)</w:t>
            </w:r>
          </w:p>
        </w:tc>
        <w:tc>
          <w:tcPr>
            <w:tcW w:w="29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3CE58F5" w14:textId="77777777" w:rsidR="009C14FB" w:rsidRPr="004D4A14" w:rsidRDefault="009C14FB" w:rsidP="007A4608">
            <w:pPr>
              <w:spacing w:after="0" w:line="240" w:lineRule="auto"/>
              <w:jc w:val="center"/>
              <w:rPr>
                <w:rFonts w:eastAsia="Calibri" w:cs="Times New Roman"/>
                <w:b/>
                <w:noProof/>
                <w:sz w:val="16"/>
                <w:szCs w:val="16"/>
              </w:rPr>
            </w:pPr>
            <w:r w:rsidRPr="004D4A14">
              <w:rPr>
                <w:rFonts w:eastAsia="Calibri" w:cs="Times New Roman"/>
                <w:b/>
                <w:sz w:val="16"/>
                <w:szCs w:val="16"/>
              </w:rPr>
              <w:t>Duomenų šaltinis</w:t>
            </w:r>
          </w:p>
        </w:tc>
        <w:tc>
          <w:tcPr>
            <w:tcW w:w="32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E37604E" w14:textId="77777777" w:rsidR="009C14FB" w:rsidRPr="004D4A14" w:rsidRDefault="009C14FB" w:rsidP="007A4608">
            <w:pPr>
              <w:spacing w:after="0" w:line="240" w:lineRule="auto"/>
              <w:jc w:val="center"/>
              <w:rPr>
                <w:rFonts w:eastAsia="Calibri" w:cs="Times New Roman"/>
                <w:b/>
                <w:noProof/>
                <w:sz w:val="16"/>
                <w:szCs w:val="16"/>
              </w:rPr>
            </w:pPr>
            <w:r w:rsidRPr="004D4A14">
              <w:rPr>
                <w:rFonts w:eastAsia="Calibri" w:cs="Times New Roman"/>
                <w:b/>
                <w:sz w:val="16"/>
                <w:szCs w:val="16"/>
              </w:rPr>
              <w:t>Pastabos</w:t>
            </w:r>
          </w:p>
        </w:tc>
      </w:tr>
      <w:tr w:rsidR="009C14FB" w:rsidRPr="004D4A14" w14:paraId="35298552" w14:textId="77777777" w:rsidTr="007A4608">
        <w:trPr>
          <w:trHeight w:val="375"/>
        </w:trPr>
        <w:tc>
          <w:tcPr>
            <w:tcW w:w="329" w:type="pct"/>
            <w:vMerge w:val="restart"/>
            <w:tcBorders>
              <w:top w:val="single" w:sz="12" w:space="0" w:color="auto"/>
            </w:tcBorders>
          </w:tcPr>
          <w:p w14:paraId="25D0AFB2" w14:textId="77777777" w:rsidR="009C14FB" w:rsidRPr="004D4A14" w:rsidRDefault="009C14FB" w:rsidP="007A4608">
            <w:pPr>
              <w:spacing w:after="0" w:line="240" w:lineRule="auto"/>
              <w:rPr>
                <w:rFonts w:eastAsia="Calibri" w:cs="Times New Roman"/>
                <w:sz w:val="16"/>
                <w:szCs w:val="16"/>
              </w:rPr>
            </w:pPr>
            <w:r w:rsidRPr="004D4A14">
              <w:rPr>
                <w:rFonts w:eastAsia="Calibri" w:cs="Times New Roman"/>
                <w:sz w:val="16"/>
                <w:szCs w:val="16"/>
              </w:rPr>
              <w:t xml:space="preserve">14. </w:t>
            </w:r>
            <w:r w:rsidRPr="004D4A14">
              <w:rPr>
                <w:rFonts w:cs="Times New Roman"/>
                <w:noProof/>
                <w:sz w:val="16"/>
                <w:szCs w:val="16"/>
              </w:rPr>
              <w:t>Karinio mobilumo, gynybos infrastruktūros atsparumo ir civilinės parengties stiprinimas</w:t>
            </w:r>
          </w:p>
        </w:tc>
        <w:tc>
          <w:tcPr>
            <w:tcW w:w="334" w:type="pct"/>
            <w:vMerge w:val="restart"/>
            <w:tcBorders>
              <w:top w:val="single" w:sz="12" w:space="0" w:color="auto"/>
            </w:tcBorders>
          </w:tcPr>
          <w:p w14:paraId="51F109FE" w14:textId="77777777" w:rsidR="009C14FB" w:rsidRPr="004D4A14" w:rsidRDefault="009C14FB" w:rsidP="007A4608">
            <w:pPr>
              <w:spacing w:after="0" w:line="240" w:lineRule="auto"/>
              <w:rPr>
                <w:rFonts w:eastAsia="Calibri" w:cs="Times New Roman"/>
                <w:sz w:val="16"/>
                <w:szCs w:val="16"/>
              </w:rPr>
            </w:pPr>
            <w:r w:rsidRPr="004D4A14">
              <w:rPr>
                <w:rFonts w:eastAsia="Calibri" w:cs="Times New Roman"/>
                <w:sz w:val="16"/>
                <w:szCs w:val="16"/>
              </w:rPr>
              <w:t>14.1</w:t>
            </w:r>
          </w:p>
        </w:tc>
        <w:tc>
          <w:tcPr>
            <w:tcW w:w="244" w:type="pct"/>
            <w:vMerge w:val="restart"/>
            <w:tcBorders>
              <w:top w:val="single" w:sz="12" w:space="0" w:color="auto"/>
            </w:tcBorders>
          </w:tcPr>
          <w:p w14:paraId="2719364F" w14:textId="77777777" w:rsidR="009C14FB" w:rsidRPr="004D4A14" w:rsidRDefault="009C14FB" w:rsidP="007A4608">
            <w:pPr>
              <w:spacing w:after="0" w:line="240" w:lineRule="auto"/>
              <w:rPr>
                <w:rFonts w:eastAsia="Calibri" w:cs="Times New Roman"/>
                <w:sz w:val="16"/>
                <w:szCs w:val="16"/>
              </w:rPr>
            </w:pPr>
            <w:proofErr w:type="spellStart"/>
            <w:r w:rsidRPr="004D4A14">
              <w:rPr>
                <w:rFonts w:eastAsia="Calibri" w:cs="Times New Roman"/>
                <w:sz w:val="16"/>
                <w:szCs w:val="16"/>
              </w:rPr>
              <w:t>SaF</w:t>
            </w:r>
            <w:proofErr w:type="spellEnd"/>
          </w:p>
        </w:tc>
        <w:tc>
          <w:tcPr>
            <w:tcW w:w="348" w:type="pct"/>
            <w:vMerge w:val="restart"/>
            <w:tcBorders>
              <w:top w:val="single" w:sz="12" w:space="0" w:color="auto"/>
            </w:tcBorders>
          </w:tcPr>
          <w:p w14:paraId="0D4530CC" w14:textId="77777777" w:rsidR="009C14FB" w:rsidRPr="004D4A14" w:rsidRDefault="009C14FB" w:rsidP="007A4608">
            <w:pPr>
              <w:spacing w:after="0" w:line="240" w:lineRule="auto"/>
              <w:rPr>
                <w:rFonts w:eastAsia="Calibri" w:cs="Times New Roman"/>
                <w:sz w:val="16"/>
                <w:szCs w:val="16"/>
              </w:rPr>
            </w:pPr>
            <w:r w:rsidRPr="004D4A14">
              <w:rPr>
                <w:rFonts w:eastAsia="Calibri" w:cs="Times New Roman"/>
                <w:sz w:val="16"/>
                <w:szCs w:val="16"/>
              </w:rPr>
              <w:t>Visa Lietuva</w:t>
            </w:r>
          </w:p>
        </w:tc>
        <w:tc>
          <w:tcPr>
            <w:tcW w:w="409" w:type="pct"/>
            <w:tcBorders>
              <w:top w:val="single" w:sz="12" w:space="0" w:color="auto"/>
            </w:tcBorders>
          </w:tcPr>
          <w:p w14:paraId="326DA926" w14:textId="77777777" w:rsidR="009C14FB" w:rsidRPr="004D4A14" w:rsidRDefault="009C14FB" w:rsidP="007A4608">
            <w:pPr>
              <w:spacing w:after="0" w:line="240" w:lineRule="auto"/>
              <w:jc w:val="both"/>
              <w:rPr>
                <w:rFonts w:eastAsia="Calibri" w:cs="Times New Roman"/>
                <w:sz w:val="16"/>
                <w:szCs w:val="16"/>
              </w:rPr>
            </w:pPr>
            <w:r w:rsidRPr="004D4A14">
              <w:rPr>
                <w:rFonts w:eastAsia="Calibri" w:cs="Times New Roman"/>
                <w:sz w:val="16"/>
                <w:szCs w:val="16"/>
              </w:rPr>
              <w:t>RCR55</w:t>
            </w:r>
          </w:p>
        </w:tc>
        <w:tc>
          <w:tcPr>
            <w:tcW w:w="1192" w:type="pct"/>
            <w:tcBorders>
              <w:top w:val="single" w:sz="12" w:space="0" w:color="auto"/>
            </w:tcBorders>
          </w:tcPr>
          <w:p w14:paraId="33FEE2A2" w14:textId="77777777" w:rsidR="009C14FB" w:rsidRPr="004D4A14" w:rsidRDefault="009C14FB" w:rsidP="007A4608">
            <w:pPr>
              <w:spacing w:after="40" w:line="240" w:lineRule="auto"/>
              <w:rPr>
                <w:rFonts w:eastAsia="Calibri" w:cs="Times New Roman"/>
                <w:sz w:val="16"/>
                <w:szCs w:val="16"/>
              </w:rPr>
            </w:pPr>
            <w:r w:rsidRPr="004D4A14">
              <w:rPr>
                <w:rFonts w:eastAsia="Calibri" w:cs="Times New Roman"/>
                <w:sz w:val="16"/>
                <w:szCs w:val="16"/>
              </w:rPr>
              <w:t>Naujai pastatytų, rekonstruotų, atnaujintų arba modernizuotų kelių  naudotojų skaičius per metus</w:t>
            </w:r>
          </w:p>
        </w:tc>
        <w:tc>
          <w:tcPr>
            <w:tcW w:w="381" w:type="pct"/>
            <w:tcBorders>
              <w:top w:val="single" w:sz="12" w:space="0" w:color="auto"/>
            </w:tcBorders>
          </w:tcPr>
          <w:p w14:paraId="544933CC" w14:textId="77777777" w:rsidR="009C14FB" w:rsidRPr="004D4A14" w:rsidRDefault="009C14FB" w:rsidP="007A4608">
            <w:pPr>
              <w:spacing w:after="0" w:line="240" w:lineRule="auto"/>
              <w:jc w:val="both"/>
              <w:rPr>
                <w:rFonts w:eastAsia="Calibri" w:cs="Times New Roman"/>
                <w:sz w:val="16"/>
                <w:szCs w:val="16"/>
              </w:rPr>
            </w:pPr>
            <w:r w:rsidRPr="004D4A14">
              <w:rPr>
                <w:rFonts w:eastAsia="Calibri" w:cs="Times New Roman"/>
                <w:sz w:val="16"/>
                <w:szCs w:val="16"/>
              </w:rPr>
              <w:t>Keleivių km per metus</w:t>
            </w:r>
          </w:p>
        </w:tc>
        <w:tc>
          <w:tcPr>
            <w:tcW w:w="430" w:type="pct"/>
            <w:tcBorders>
              <w:top w:val="single" w:sz="12" w:space="0" w:color="auto"/>
            </w:tcBorders>
          </w:tcPr>
          <w:p w14:paraId="1754F5E0" w14:textId="77777777" w:rsidR="009C14FB" w:rsidRPr="004D4A14" w:rsidRDefault="009C14FB" w:rsidP="007A4608">
            <w:pPr>
              <w:spacing w:after="0" w:line="240" w:lineRule="auto"/>
              <w:jc w:val="center"/>
              <w:rPr>
                <w:rFonts w:eastAsia="Calibri" w:cs="Times New Roman"/>
                <w:sz w:val="16"/>
                <w:szCs w:val="16"/>
              </w:rPr>
            </w:pPr>
            <w:r w:rsidRPr="004D4A14">
              <w:rPr>
                <w:rFonts w:eastAsia="Calibri" w:cs="Times New Roman"/>
                <w:sz w:val="16"/>
                <w:szCs w:val="16"/>
              </w:rPr>
              <w:t>28 320 400</w:t>
            </w:r>
          </w:p>
        </w:tc>
        <w:tc>
          <w:tcPr>
            <w:tcW w:w="381" w:type="pct"/>
            <w:tcBorders>
              <w:top w:val="single" w:sz="12" w:space="0" w:color="auto"/>
            </w:tcBorders>
          </w:tcPr>
          <w:p w14:paraId="316940E8" w14:textId="77777777" w:rsidR="009C14FB" w:rsidRPr="004D4A14" w:rsidRDefault="009C14FB" w:rsidP="007A4608">
            <w:pPr>
              <w:spacing w:after="0" w:line="240" w:lineRule="auto"/>
              <w:jc w:val="center"/>
              <w:rPr>
                <w:rFonts w:eastAsia="Calibri" w:cs="Times New Roman"/>
                <w:sz w:val="16"/>
                <w:szCs w:val="16"/>
              </w:rPr>
            </w:pPr>
            <w:r w:rsidRPr="004D4A14">
              <w:rPr>
                <w:rFonts w:eastAsia="Calibri" w:cs="Times New Roman"/>
                <w:sz w:val="16"/>
                <w:szCs w:val="16"/>
              </w:rPr>
              <w:t>2021</w:t>
            </w:r>
          </w:p>
        </w:tc>
        <w:tc>
          <w:tcPr>
            <w:tcW w:w="334" w:type="pct"/>
            <w:tcBorders>
              <w:top w:val="single" w:sz="12" w:space="0" w:color="auto"/>
            </w:tcBorders>
          </w:tcPr>
          <w:p w14:paraId="2DEBD667" w14:textId="77777777" w:rsidR="009C14FB" w:rsidRPr="004D4A14" w:rsidRDefault="009C14FB" w:rsidP="007A4608">
            <w:pPr>
              <w:spacing w:after="0" w:line="240" w:lineRule="auto"/>
              <w:jc w:val="center"/>
              <w:rPr>
                <w:rFonts w:eastAsia="Calibri" w:cs="Times New Roman"/>
                <w:sz w:val="16"/>
                <w:szCs w:val="16"/>
              </w:rPr>
            </w:pPr>
            <w:r w:rsidRPr="004D4A14">
              <w:rPr>
                <w:rFonts w:eastAsia="Calibri" w:cs="Times New Roman"/>
                <w:sz w:val="16"/>
                <w:szCs w:val="16"/>
              </w:rPr>
              <w:t>29 767 845</w:t>
            </w:r>
          </w:p>
        </w:tc>
        <w:tc>
          <w:tcPr>
            <w:tcW w:w="298" w:type="pct"/>
            <w:tcBorders>
              <w:top w:val="single" w:sz="12" w:space="0" w:color="auto"/>
            </w:tcBorders>
          </w:tcPr>
          <w:p w14:paraId="4B8D0A41" w14:textId="77777777" w:rsidR="009C14FB" w:rsidRPr="004D4A14" w:rsidRDefault="009C14FB" w:rsidP="007A4608">
            <w:pPr>
              <w:spacing w:after="0" w:line="240" w:lineRule="auto"/>
              <w:rPr>
                <w:rFonts w:eastAsia="Calibri" w:cs="Times New Roman"/>
                <w:sz w:val="16"/>
                <w:szCs w:val="16"/>
              </w:rPr>
            </w:pPr>
            <w:r w:rsidRPr="004D4A14">
              <w:rPr>
                <w:rFonts w:eastAsia="Calibri" w:cs="Times New Roman"/>
                <w:sz w:val="16"/>
                <w:szCs w:val="16"/>
              </w:rPr>
              <w:t>Projektų duomenys</w:t>
            </w:r>
          </w:p>
        </w:tc>
        <w:tc>
          <w:tcPr>
            <w:tcW w:w="320" w:type="pct"/>
            <w:tcBorders>
              <w:top w:val="single" w:sz="12" w:space="0" w:color="auto"/>
            </w:tcBorders>
          </w:tcPr>
          <w:p w14:paraId="7CCF3B79" w14:textId="77777777" w:rsidR="009C14FB" w:rsidRPr="004D4A14" w:rsidRDefault="009C14FB" w:rsidP="007A4608">
            <w:pPr>
              <w:spacing w:after="0" w:line="240" w:lineRule="auto"/>
              <w:jc w:val="both"/>
              <w:rPr>
                <w:rFonts w:eastAsia="Calibri" w:cs="Times New Roman"/>
                <w:i/>
                <w:noProof/>
                <w:sz w:val="14"/>
                <w:szCs w:val="14"/>
                <w:lang w:eastAsia="lt-LT" w:bidi="lt-LT"/>
              </w:rPr>
            </w:pPr>
          </w:p>
        </w:tc>
      </w:tr>
      <w:tr w:rsidR="009C14FB" w:rsidRPr="004D4A14" w14:paraId="5F734AF8" w14:textId="77777777" w:rsidTr="007A4608">
        <w:trPr>
          <w:trHeight w:val="395"/>
        </w:trPr>
        <w:tc>
          <w:tcPr>
            <w:tcW w:w="329" w:type="pct"/>
            <w:vMerge/>
          </w:tcPr>
          <w:p w14:paraId="14EC7814" w14:textId="77777777" w:rsidR="009C14FB" w:rsidRPr="004D4A14" w:rsidRDefault="009C14FB" w:rsidP="007A4608">
            <w:pPr>
              <w:spacing w:after="0" w:line="240" w:lineRule="auto"/>
              <w:jc w:val="both"/>
              <w:rPr>
                <w:rFonts w:eastAsia="Calibri" w:cs="Times New Roman"/>
                <w:sz w:val="16"/>
                <w:szCs w:val="16"/>
              </w:rPr>
            </w:pPr>
          </w:p>
        </w:tc>
        <w:tc>
          <w:tcPr>
            <w:tcW w:w="334" w:type="pct"/>
            <w:vMerge/>
          </w:tcPr>
          <w:p w14:paraId="4EC75036" w14:textId="77777777" w:rsidR="009C14FB" w:rsidRPr="004D4A14" w:rsidRDefault="009C14FB" w:rsidP="007A4608">
            <w:pPr>
              <w:spacing w:after="0" w:line="240" w:lineRule="auto"/>
              <w:jc w:val="both"/>
              <w:rPr>
                <w:rFonts w:eastAsia="Calibri" w:cs="Times New Roman"/>
                <w:sz w:val="16"/>
                <w:szCs w:val="16"/>
              </w:rPr>
            </w:pPr>
          </w:p>
        </w:tc>
        <w:tc>
          <w:tcPr>
            <w:tcW w:w="244" w:type="pct"/>
            <w:vMerge/>
          </w:tcPr>
          <w:p w14:paraId="4F5D0341" w14:textId="77777777" w:rsidR="009C14FB" w:rsidRPr="004D4A14" w:rsidRDefault="009C14FB" w:rsidP="007A4608">
            <w:pPr>
              <w:spacing w:after="0" w:line="240" w:lineRule="auto"/>
              <w:jc w:val="both"/>
              <w:rPr>
                <w:rFonts w:eastAsia="Calibri" w:cs="Times New Roman"/>
                <w:sz w:val="16"/>
                <w:szCs w:val="16"/>
              </w:rPr>
            </w:pPr>
          </w:p>
        </w:tc>
        <w:tc>
          <w:tcPr>
            <w:tcW w:w="348" w:type="pct"/>
            <w:vMerge/>
          </w:tcPr>
          <w:p w14:paraId="3E52B413" w14:textId="77777777" w:rsidR="009C14FB" w:rsidRPr="004D4A14" w:rsidRDefault="009C14FB" w:rsidP="007A4608">
            <w:pPr>
              <w:spacing w:after="0" w:line="240" w:lineRule="auto"/>
              <w:jc w:val="both"/>
              <w:rPr>
                <w:rFonts w:eastAsia="Calibri" w:cs="Times New Roman"/>
                <w:sz w:val="14"/>
                <w:szCs w:val="14"/>
              </w:rPr>
            </w:pPr>
          </w:p>
        </w:tc>
        <w:tc>
          <w:tcPr>
            <w:tcW w:w="409" w:type="pct"/>
          </w:tcPr>
          <w:p w14:paraId="05D3001E" w14:textId="77777777" w:rsidR="009C14FB" w:rsidRPr="004D4A14" w:rsidRDefault="009C14FB" w:rsidP="007A4608">
            <w:pPr>
              <w:spacing w:after="0" w:line="240" w:lineRule="auto"/>
              <w:jc w:val="both"/>
              <w:rPr>
                <w:rFonts w:eastAsia="Calibri" w:cs="Times New Roman"/>
                <w:sz w:val="16"/>
                <w:szCs w:val="16"/>
              </w:rPr>
            </w:pPr>
            <w:r w:rsidRPr="004D4A14">
              <w:rPr>
                <w:rFonts w:eastAsia="Calibri" w:cs="Times New Roman"/>
                <w:noProof/>
                <w:color w:val="000000"/>
                <w:sz w:val="16"/>
                <w:szCs w:val="16"/>
                <w:lang w:eastAsia="lt-LT" w:bidi="lt-LT"/>
              </w:rPr>
              <w:t>RCR59</w:t>
            </w:r>
          </w:p>
        </w:tc>
        <w:tc>
          <w:tcPr>
            <w:tcW w:w="1192" w:type="pct"/>
          </w:tcPr>
          <w:p w14:paraId="0AB82FC1" w14:textId="77777777" w:rsidR="009C14FB" w:rsidRPr="004D4A14" w:rsidRDefault="009C14FB" w:rsidP="007A4608">
            <w:pPr>
              <w:spacing w:after="40" w:line="240" w:lineRule="auto"/>
              <w:rPr>
                <w:rFonts w:eastAsia="Times New Roman" w:cs="Times New Roman"/>
                <w:sz w:val="16"/>
                <w:szCs w:val="16"/>
                <w:lang w:eastAsia="lt-LT" w:bidi="ml-IN"/>
              </w:rPr>
            </w:pPr>
            <w:r w:rsidRPr="004D4A14">
              <w:rPr>
                <w:rFonts w:eastAsia="Times New Roman" w:cs="Times New Roman"/>
                <w:sz w:val="16"/>
                <w:szCs w:val="16"/>
                <w:lang w:eastAsia="lt-LT" w:bidi="ml-IN"/>
              </w:rPr>
              <w:t>Krovininis geležinkelių transportas</w:t>
            </w:r>
          </w:p>
        </w:tc>
        <w:tc>
          <w:tcPr>
            <w:tcW w:w="381" w:type="pct"/>
          </w:tcPr>
          <w:p w14:paraId="570CC312" w14:textId="77777777" w:rsidR="009C14FB" w:rsidRPr="004D4A14" w:rsidRDefault="009C14FB" w:rsidP="007A4608">
            <w:pPr>
              <w:spacing w:after="0" w:line="240" w:lineRule="auto"/>
              <w:jc w:val="both"/>
              <w:rPr>
                <w:rFonts w:eastAsia="Calibri" w:cs="Times New Roman"/>
                <w:sz w:val="16"/>
                <w:szCs w:val="16"/>
              </w:rPr>
            </w:pPr>
            <w:r w:rsidRPr="004D4A14">
              <w:rPr>
                <w:rFonts w:eastAsia="Calibri" w:cs="Times New Roman"/>
                <w:sz w:val="16"/>
                <w:szCs w:val="16"/>
              </w:rPr>
              <w:t>Tonkilometriai per metus</w:t>
            </w:r>
          </w:p>
        </w:tc>
        <w:tc>
          <w:tcPr>
            <w:tcW w:w="430" w:type="pct"/>
          </w:tcPr>
          <w:p w14:paraId="1FA48014" w14:textId="77777777" w:rsidR="009C14FB" w:rsidRPr="004D4A14" w:rsidRDefault="009C14FB" w:rsidP="007A4608">
            <w:pPr>
              <w:spacing w:after="0" w:line="240" w:lineRule="auto"/>
              <w:jc w:val="center"/>
              <w:rPr>
                <w:rFonts w:eastAsia="Calibri" w:cs="Times New Roman"/>
                <w:sz w:val="16"/>
                <w:szCs w:val="16"/>
              </w:rPr>
            </w:pPr>
            <w:r w:rsidRPr="004D4A14">
              <w:rPr>
                <w:rFonts w:eastAsia="Calibri" w:cs="Times New Roman"/>
                <w:sz w:val="16"/>
                <w:szCs w:val="16"/>
              </w:rPr>
              <w:t>0</w:t>
            </w:r>
          </w:p>
        </w:tc>
        <w:tc>
          <w:tcPr>
            <w:tcW w:w="381" w:type="pct"/>
          </w:tcPr>
          <w:p w14:paraId="04D24062" w14:textId="77777777" w:rsidR="009C14FB" w:rsidRPr="004D4A14" w:rsidRDefault="009C14FB" w:rsidP="007A4608">
            <w:pPr>
              <w:spacing w:after="0" w:line="240" w:lineRule="auto"/>
              <w:jc w:val="center"/>
              <w:rPr>
                <w:rFonts w:eastAsia="Calibri" w:cs="Times New Roman"/>
                <w:sz w:val="16"/>
                <w:szCs w:val="16"/>
              </w:rPr>
            </w:pPr>
            <w:r w:rsidRPr="004D4A14">
              <w:rPr>
                <w:rFonts w:eastAsia="Calibri" w:cs="Times New Roman"/>
                <w:sz w:val="16"/>
                <w:szCs w:val="16"/>
              </w:rPr>
              <w:t>2024</w:t>
            </w:r>
          </w:p>
        </w:tc>
        <w:tc>
          <w:tcPr>
            <w:tcW w:w="334" w:type="pct"/>
          </w:tcPr>
          <w:p w14:paraId="10FC9D29" w14:textId="77777777" w:rsidR="009C14FB" w:rsidRPr="004D4A14" w:rsidRDefault="009C14FB" w:rsidP="007A4608">
            <w:pPr>
              <w:spacing w:after="0" w:line="240" w:lineRule="auto"/>
              <w:jc w:val="center"/>
              <w:rPr>
                <w:rFonts w:eastAsia="Calibri" w:cs="Times New Roman"/>
                <w:sz w:val="16"/>
                <w:szCs w:val="16"/>
              </w:rPr>
            </w:pPr>
            <w:r w:rsidRPr="004D4A14">
              <w:rPr>
                <w:rFonts w:eastAsia="Calibri" w:cs="Times New Roman"/>
                <w:sz w:val="16"/>
                <w:szCs w:val="16"/>
              </w:rPr>
              <w:t>340,8</w:t>
            </w:r>
          </w:p>
        </w:tc>
        <w:tc>
          <w:tcPr>
            <w:tcW w:w="298" w:type="pct"/>
          </w:tcPr>
          <w:p w14:paraId="4625F227" w14:textId="77777777" w:rsidR="009C14FB" w:rsidRPr="004D4A14" w:rsidRDefault="009C14FB" w:rsidP="007A4608">
            <w:pPr>
              <w:spacing w:after="0" w:line="240" w:lineRule="auto"/>
              <w:rPr>
                <w:rFonts w:eastAsia="Calibri" w:cs="Times New Roman"/>
                <w:sz w:val="16"/>
                <w:szCs w:val="16"/>
              </w:rPr>
            </w:pPr>
            <w:r w:rsidRPr="004D4A14">
              <w:rPr>
                <w:rFonts w:eastAsia="Calibri" w:cs="Times New Roman"/>
                <w:sz w:val="16"/>
                <w:szCs w:val="16"/>
              </w:rPr>
              <w:t>Projektų duomenys</w:t>
            </w:r>
          </w:p>
        </w:tc>
        <w:tc>
          <w:tcPr>
            <w:tcW w:w="320" w:type="pct"/>
          </w:tcPr>
          <w:p w14:paraId="38C7AE37" w14:textId="77777777" w:rsidR="009C14FB" w:rsidRPr="004D4A14" w:rsidRDefault="009C14FB" w:rsidP="007A4608">
            <w:pPr>
              <w:spacing w:after="0" w:line="240" w:lineRule="auto"/>
              <w:jc w:val="both"/>
              <w:rPr>
                <w:rFonts w:eastAsia="Calibri" w:cs="Times New Roman"/>
                <w:i/>
                <w:noProof/>
                <w:sz w:val="14"/>
                <w:szCs w:val="14"/>
                <w:lang w:eastAsia="lt-LT" w:bidi="lt-LT"/>
              </w:rPr>
            </w:pPr>
          </w:p>
        </w:tc>
      </w:tr>
      <w:tr w:rsidR="009C14FB" w:rsidRPr="004D4A14" w14:paraId="2C5F3D77" w14:textId="77777777" w:rsidTr="007A4608">
        <w:trPr>
          <w:trHeight w:val="395"/>
        </w:trPr>
        <w:tc>
          <w:tcPr>
            <w:tcW w:w="329" w:type="pct"/>
            <w:vMerge/>
          </w:tcPr>
          <w:p w14:paraId="651007E0" w14:textId="77777777" w:rsidR="009C14FB" w:rsidRPr="004D4A14" w:rsidRDefault="009C14FB" w:rsidP="007A4608">
            <w:pPr>
              <w:spacing w:after="0" w:line="240" w:lineRule="auto"/>
              <w:jc w:val="both"/>
              <w:rPr>
                <w:rFonts w:eastAsia="Calibri" w:cs="Times New Roman"/>
                <w:sz w:val="16"/>
                <w:szCs w:val="16"/>
              </w:rPr>
            </w:pPr>
          </w:p>
        </w:tc>
        <w:tc>
          <w:tcPr>
            <w:tcW w:w="334" w:type="pct"/>
            <w:vMerge/>
          </w:tcPr>
          <w:p w14:paraId="330AF8EA" w14:textId="77777777" w:rsidR="009C14FB" w:rsidRPr="004D4A14" w:rsidRDefault="009C14FB" w:rsidP="007A4608">
            <w:pPr>
              <w:spacing w:after="0" w:line="240" w:lineRule="auto"/>
              <w:jc w:val="both"/>
              <w:rPr>
                <w:rFonts w:eastAsia="Calibri" w:cs="Times New Roman"/>
                <w:sz w:val="16"/>
                <w:szCs w:val="16"/>
              </w:rPr>
            </w:pPr>
          </w:p>
        </w:tc>
        <w:tc>
          <w:tcPr>
            <w:tcW w:w="244" w:type="pct"/>
            <w:vMerge/>
          </w:tcPr>
          <w:p w14:paraId="46FBE8FF" w14:textId="77777777" w:rsidR="009C14FB" w:rsidRPr="004D4A14" w:rsidRDefault="009C14FB" w:rsidP="007A4608">
            <w:pPr>
              <w:spacing w:after="0" w:line="240" w:lineRule="auto"/>
              <w:jc w:val="both"/>
              <w:rPr>
                <w:rFonts w:eastAsia="Calibri" w:cs="Times New Roman"/>
                <w:sz w:val="16"/>
                <w:szCs w:val="16"/>
              </w:rPr>
            </w:pPr>
          </w:p>
        </w:tc>
        <w:tc>
          <w:tcPr>
            <w:tcW w:w="348" w:type="pct"/>
            <w:vMerge/>
          </w:tcPr>
          <w:p w14:paraId="49265D1F" w14:textId="77777777" w:rsidR="009C14FB" w:rsidRPr="004D4A14" w:rsidRDefault="009C14FB" w:rsidP="007A4608">
            <w:pPr>
              <w:spacing w:after="0" w:line="240" w:lineRule="auto"/>
              <w:jc w:val="both"/>
              <w:rPr>
                <w:rFonts w:eastAsia="Calibri" w:cs="Times New Roman"/>
                <w:sz w:val="14"/>
                <w:szCs w:val="14"/>
              </w:rPr>
            </w:pPr>
          </w:p>
        </w:tc>
        <w:tc>
          <w:tcPr>
            <w:tcW w:w="409" w:type="pct"/>
          </w:tcPr>
          <w:p w14:paraId="5FCF49F9" w14:textId="77777777" w:rsidR="009C14FB" w:rsidRPr="004D4A14" w:rsidRDefault="009C14FB" w:rsidP="007A4608">
            <w:pPr>
              <w:spacing w:after="0" w:line="240" w:lineRule="auto"/>
              <w:jc w:val="both"/>
              <w:rPr>
                <w:rFonts w:eastAsia="Calibri" w:cs="Times New Roman"/>
                <w:noProof/>
                <w:color w:val="000000"/>
                <w:sz w:val="16"/>
                <w:szCs w:val="16"/>
                <w:lang w:eastAsia="lt-LT" w:bidi="lt-LT"/>
              </w:rPr>
            </w:pPr>
            <w:r w:rsidRPr="004D4A14">
              <w:rPr>
                <w:rFonts w:eastAsia="Calibri" w:cs="Times New Roman"/>
                <w:noProof/>
                <w:color w:val="000000"/>
                <w:sz w:val="16"/>
                <w:szCs w:val="16"/>
                <w:lang w:eastAsia="lt-LT" w:bidi="lt-LT"/>
              </w:rPr>
              <w:t>Specialusis</w:t>
            </w:r>
          </w:p>
        </w:tc>
        <w:tc>
          <w:tcPr>
            <w:tcW w:w="1192" w:type="pct"/>
          </w:tcPr>
          <w:p w14:paraId="2E55BBE3" w14:textId="77777777" w:rsidR="009C14FB" w:rsidRPr="004D4A14" w:rsidRDefault="009C14FB" w:rsidP="007A4608">
            <w:pPr>
              <w:spacing w:after="40" w:line="240" w:lineRule="auto"/>
              <w:rPr>
                <w:rFonts w:eastAsia="Times New Roman" w:cs="Times New Roman"/>
                <w:sz w:val="16"/>
                <w:szCs w:val="16"/>
                <w:lang w:eastAsia="lt-LT" w:bidi="ml-IN"/>
              </w:rPr>
            </w:pPr>
            <w:r w:rsidRPr="004D4A14">
              <w:rPr>
                <w:rFonts w:eastAsia="Calibri" w:cs="Times New Roman"/>
                <w:noProof/>
                <w:sz w:val="16"/>
                <w:szCs w:val="16"/>
                <w:lang w:eastAsia="lt-LT" w:bidi="lt-LT"/>
              </w:rPr>
              <w:t>Krovos apimčių techninis pajėgumas - pakraunamų, iškraunamų ir (ar) perkraunamų traukinių skaičius</w:t>
            </w:r>
          </w:p>
        </w:tc>
        <w:tc>
          <w:tcPr>
            <w:tcW w:w="381" w:type="pct"/>
          </w:tcPr>
          <w:p w14:paraId="2A15B28E" w14:textId="77777777" w:rsidR="009C14FB" w:rsidRPr="004D4A14" w:rsidRDefault="009C14FB" w:rsidP="007A4608">
            <w:pPr>
              <w:spacing w:after="0" w:line="240" w:lineRule="auto"/>
              <w:jc w:val="both"/>
              <w:rPr>
                <w:rFonts w:eastAsia="Calibri" w:cs="Times New Roman"/>
                <w:sz w:val="16"/>
                <w:szCs w:val="16"/>
              </w:rPr>
            </w:pPr>
            <w:r w:rsidRPr="004D4A14">
              <w:rPr>
                <w:rFonts w:eastAsia="Calibri" w:cs="Times New Roman"/>
                <w:sz w:val="16"/>
                <w:szCs w:val="16"/>
              </w:rPr>
              <w:t>Vienetai per metus</w:t>
            </w:r>
          </w:p>
        </w:tc>
        <w:tc>
          <w:tcPr>
            <w:tcW w:w="430" w:type="pct"/>
          </w:tcPr>
          <w:p w14:paraId="1D6FC92E" w14:textId="77777777" w:rsidR="009C14FB" w:rsidRPr="004D4A14" w:rsidRDefault="009C14FB" w:rsidP="007A4608">
            <w:pPr>
              <w:spacing w:after="0" w:line="240" w:lineRule="auto"/>
              <w:jc w:val="center"/>
              <w:rPr>
                <w:rFonts w:eastAsia="Calibri" w:cs="Times New Roman"/>
                <w:sz w:val="16"/>
                <w:szCs w:val="16"/>
              </w:rPr>
            </w:pPr>
            <w:r w:rsidRPr="004D4A14">
              <w:rPr>
                <w:rFonts w:eastAsia="Calibri" w:cs="Times New Roman"/>
                <w:sz w:val="16"/>
                <w:szCs w:val="16"/>
              </w:rPr>
              <w:t>730</w:t>
            </w:r>
          </w:p>
        </w:tc>
        <w:tc>
          <w:tcPr>
            <w:tcW w:w="381" w:type="pct"/>
          </w:tcPr>
          <w:p w14:paraId="6485AA26" w14:textId="77777777" w:rsidR="009C14FB" w:rsidRPr="004D4A14" w:rsidRDefault="009C14FB" w:rsidP="007A4608">
            <w:pPr>
              <w:spacing w:after="0" w:line="240" w:lineRule="auto"/>
              <w:jc w:val="center"/>
              <w:rPr>
                <w:rFonts w:eastAsia="Calibri" w:cs="Times New Roman"/>
                <w:sz w:val="16"/>
                <w:szCs w:val="16"/>
              </w:rPr>
            </w:pPr>
            <w:r w:rsidRPr="004D4A14">
              <w:rPr>
                <w:rFonts w:eastAsia="Calibri" w:cs="Times New Roman"/>
                <w:sz w:val="16"/>
                <w:szCs w:val="16"/>
              </w:rPr>
              <w:t>2024</w:t>
            </w:r>
          </w:p>
        </w:tc>
        <w:tc>
          <w:tcPr>
            <w:tcW w:w="334" w:type="pct"/>
          </w:tcPr>
          <w:p w14:paraId="76DD55BC" w14:textId="77777777" w:rsidR="009C14FB" w:rsidRPr="004D4A14" w:rsidRDefault="009C14FB" w:rsidP="007A4608">
            <w:pPr>
              <w:spacing w:after="0" w:line="240" w:lineRule="auto"/>
              <w:jc w:val="center"/>
              <w:rPr>
                <w:rFonts w:eastAsia="Calibri" w:cs="Times New Roman"/>
                <w:sz w:val="16"/>
                <w:szCs w:val="16"/>
              </w:rPr>
            </w:pPr>
            <w:r w:rsidRPr="004D4A14">
              <w:rPr>
                <w:rFonts w:eastAsia="Calibri" w:cs="Times New Roman"/>
                <w:sz w:val="16"/>
                <w:szCs w:val="16"/>
              </w:rPr>
              <w:t>1 825</w:t>
            </w:r>
          </w:p>
        </w:tc>
        <w:tc>
          <w:tcPr>
            <w:tcW w:w="298" w:type="pct"/>
          </w:tcPr>
          <w:p w14:paraId="242EF6A6" w14:textId="77777777" w:rsidR="009C14FB" w:rsidRPr="004D4A14" w:rsidRDefault="009C14FB" w:rsidP="007A4608">
            <w:pPr>
              <w:spacing w:after="0" w:line="240" w:lineRule="auto"/>
              <w:rPr>
                <w:rFonts w:eastAsia="Calibri" w:cs="Times New Roman"/>
                <w:sz w:val="16"/>
                <w:szCs w:val="16"/>
              </w:rPr>
            </w:pPr>
            <w:r w:rsidRPr="004D4A14">
              <w:rPr>
                <w:rFonts w:eastAsia="Calibri" w:cs="Times New Roman"/>
                <w:sz w:val="16"/>
                <w:szCs w:val="16"/>
              </w:rPr>
              <w:t>Projektų duomenys</w:t>
            </w:r>
          </w:p>
        </w:tc>
        <w:tc>
          <w:tcPr>
            <w:tcW w:w="320" w:type="pct"/>
          </w:tcPr>
          <w:p w14:paraId="38B900C4" w14:textId="77777777" w:rsidR="009C14FB" w:rsidRPr="004D4A14" w:rsidRDefault="009C14FB" w:rsidP="007A4608">
            <w:pPr>
              <w:spacing w:after="0" w:line="240" w:lineRule="auto"/>
              <w:jc w:val="both"/>
              <w:rPr>
                <w:rFonts w:eastAsia="Calibri" w:cs="Times New Roman"/>
                <w:i/>
                <w:noProof/>
                <w:sz w:val="14"/>
                <w:szCs w:val="14"/>
                <w:lang w:eastAsia="lt-LT" w:bidi="lt-LT"/>
              </w:rPr>
            </w:pPr>
          </w:p>
        </w:tc>
      </w:tr>
      <w:tr w:rsidR="009C14FB" w:rsidRPr="004D4A14" w14:paraId="655384FD" w14:textId="77777777" w:rsidTr="007A4608">
        <w:trPr>
          <w:trHeight w:val="185"/>
        </w:trPr>
        <w:tc>
          <w:tcPr>
            <w:tcW w:w="329" w:type="pct"/>
            <w:vMerge/>
          </w:tcPr>
          <w:p w14:paraId="5CC5C509" w14:textId="77777777" w:rsidR="009C14FB" w:rsidRPr="004D4A14" w:rsidRDefault="009C14FB" w:rsidP="007A4608">
            <w:pPr>
              <w:spacing w:after="0" w:line="240" w:lineRule="auto"/>
              <w:jc w:val="both"/>
              <w:rPr>
                <w:rFonts w:eastAsia="Calibri" w:cs="Times New Roman"/>
                <w:sz w:val="16"/>
                <w:szCs w:val="16"/>
              </w:rPr>
            </w:pPr>
          </w:p>
        </w:tc>
        <w:tc>
          <w:tcPr>
            <w:tcW w:w="334" w:type="pct"/>
            <w:vMerge/>
          </w:tcPr>
          <w:p w14:paraId="2A24DD10" w14:textId="77777777" w:rsidR="009C14FB" w:rsidRPr="004D4A14" w:rsidRDefault="009C14FB" w:rsidP="007A4608">
            <w:pPr>
              <w:spacing w:after="0" w:line="240" w:lineRule="auto"/>
              <w:jc w:val="both"/>
              <w:rPr>
                <w:rFonts w:eastAsia="Calibri" w:cs="Times New Roman"/>
                <w:sz w:val="16"/>
                <w:szCs w:val="16"/>
              </w:rPr>
            </w:pPr>
          </w:p>
        </w:tc>
        <w:tc>
          <w:tcPr>
            <w:tcW w:w="244" w:type="pct"/>
          </w:tcPr>
          <w:p w14:paraId="63416CC7" w14:textId="77777777" w:rsidR="009C14FB" w:rsidRPr="004D4A14" w:rsidRDefault="009C14FB" w:rsidP="007A4608">
            <w:pPr>
              <w:spacing w:after="0" w:line="240" w:lineRule="auto"/>
              <w:jc w:val="both"/>
              <w:rPr>
                <w:rFonts w:eastAsia="Calibri" w:cs="Times New Roman"/>
                <w:sz w:val="16"/>
                <w:szCs w:val="16"/>
              </w:rPr>
            </w:pPr>
            <w:r w:rsidRPr="004D4A14">
              <w:rPr>
                <w:rFonts w:eastAsia="Calibri" w:cs="Times New Roman"/>
                <w:sz w:val="16"/>
                <w:szCs w:val="16"/>
              </w:rPr>
              <w:t>ERPF</w:t>
            </w:r>
          </w:p>
        </w:tc>
        <w:tc>
          <w:tcPr>
            <w:tcW w:w="348" w:type="pct"/>
          </w:tcPr>
          <w:p w14:paraId="5FF6F073" w14:textId="77777777" w:rsidR="009C14FB" w:rsidRPr="004D4A14" w:rsidRDefault="009C14FB" w:rsidP="007A4608">
            <w:pPr>
              <w:spacing w:after="0" w:line="240" w:lineRule="auto"/>
              <w:jc w:val="both"/>
              <w:rPr>
                <w:rFonts w:eastAsia="Calibri" w:cs="Times New Roman"/>
                <w:sz w:val="16"/>
                <w:szCs w:val="16"/>
              </w:rPr>
            </w:pPr>
            <w:r w:rsidRPr="004D4A14">
              <w:rPr>
                <w:rFonts w:eastAsia="Calibri" w:cs="Times New Roman"/>
                <w:sz w:val="16"/>
                <w:szCs w:val="16"/>
              </w:rPr>
              <w:t>VVL regionas</w:t>
            </w:r>
          </w:p>
        </w:tc>
        <w:tc>
          <w:tcPr>
            <w:tcW w:w="409" w:type="pct"/>
            <w:shd w:val="clear" w:color="auto" w:fill="FFFFFF" w:themeFill="background1"/>
          </w:tcPr>
          <w:p w14:paraId="1F7343AC" w14:textId="77777777" w:rsidR="009C14FB" w:rsidRPr="004D4A14" w:rsidRDefault="009C14FB" w:rsidP="007A4608">
            <w:pPr>
              <w:spacing w:after="0" w:line="240" w:lineRule="auto"/>
              <w:jc w:val="both"/>
              <w:rPr>
                <w:rFonts w:eastAsia="Calibri" w:cs="Times New Roman"/>
                <w:noProof/>
                <w:color w:val="000000"/>
                <w:sz w:val="16"/>
                <w:szCs w:val="16"/>
                <w:lang w:eastAsia="lt-LT" w:bidi="lt-LT"/>
              </w:rPr>
            </w:pPr>
            <w:r w:rsidRPr="004D4A14">
              <w:rPr>
                <w:rFonts w:eastAsia="Calibri" w:cs="Times New Roman"/>
                <w:noProof/>
                <w:color w:val="000000"/>
                <w:sz w:val="16"/>
                <w:szCs w:val="16"/>
                <w:lang w:eastAsia="lt-LT" w:bidi="lt-LT"/>
              </w:rPr>
              <w:t>RCR55</w:t>
            </w:r>
          </w:p>
        </w:tc>
        <w:tc>
          <w:tcPr>
            <w:tcW w:w="1192" w:type="pct"/>
            <w:shd w:val="clear" w:color="auto" w:fill="FFFFFF" w:themeFill="background1"/>
          </w:tcPr>
          <w:p w14:paraId="23F7D36F" w14:textId="77777777" w:rsidR="009C14FB" w:rsidRPr="004D4A14" w:rsidRDefault="009C14FB" w:rsidP="007A4608">
            <w:pPr>
              <w:spacing w:after="40" w:line="240" w:lineRule="auto"/>
              <w:rPr>
                <w:rFonts w:eastAsia="Calibri" w:cs="Times New Roman"/>
                <w:noProof/>
                <w:sz w:val="16"/>
                <w:szCs w:val="16"/>
                <w:lang w:eastAsia="lt-LT" w:bidi="lt-LT"/>
              </w:rPr>
            </w:pPr>
            <w:r w:rsidRPr="004D4A14">
              <w:rPr>
                <w:rFonts w:eastAsia="Calibri" w:cs="Times New Roman"/>
                <w:sz w:val="16"/>
                <w:szCs w:val="16"/>
              </w:rPr>
              <w:t>Naujai pastatytų, rekonstruotų, atnaujintų arba modernizuotų kelių naudotojų skaičius per metus</w:t>
            </w:r>
          </w:p>
        </w:tc>
        <w:tc>
          <w:tcPr>
            <w:tcW w:w="381" w:type="pct"/>
            <w:shd w:val="clear" w:color="auto" w:fill="FFFFFF" w:themeFill="background1"/>
          </w:tcPr>
          <w:p w14:paraId="75771AC5" w14:textId="77777777" w:rsidR="009C14FB" w:rsidRPr="004D4A14" w:rsidRDefault="009C14FB" w:rsidP="007A4608">
            <w:pPr>
              <w:spacing w:after="0" w:line="240" w:lineRule="auto"/>
              <w:jc w:val="both"/>
              <w:rPr>
                <w:rFonts w:eastAsia="Calibri" w:cs="Times New Roman"/>
                <w:sz w:val="16"/>
                <w:szCs w:val="16"/>
              </w:rPr>
            </w:pPr>
            <w:r w:rsidRPr="004D4A14">
              <w:rPr>
                <w:rFonts w:eastAsia="Calibri" w:cs="Times New Roman"/>
                <w:sz w:val="16"/>
                <w:szCs w:val="16"/>
              </w:rPr>
              <w:t>Keleivių km per metus</w:t>
            </w:r>
          </w:p>
        </w:tc>
        <w:tc>
          <w:tcPr>
            <w:tcW w:w="430" w:type="pct"/>
            <w:shd w:val="clear" w:color="auto" w:fill="FFFFFF" w:themeFill="background1"/>
          </w:tcPr>
          <w:p w14:paraId="754AE269" w14:textId="77777777" w:rsidR="009C14FB" w:rsidRPr="004D4A14" w:rsidRDefault="009C14FB" w:rsidP="007A4608">
            <w:pPr>
              <w:spacing w:after="0" w:line="240" w:lineRule="auto"/>
              <w:jc w:val="center"/>
              <w:rPr>
                <w:rFonts w:eastAsia="Calibri" w:cs="Times New Roman"/>
                <w:sz w:val="16"/>
                <w:szCs w:val="16"/>
              </w:rPr>
            </w:pPr>
            <w:r w:rsidRPr="004D4A14">
              <w:rPr>
                <w:rFonts w:eastAsia="Calibri" w:cs="Times New Roman"/>
                <w:sz w:val="16"/>
                <w:szCs w:val="16"/>
              </w:rPr>
              <w:t>108 591 409</w:t>
            </w:r>
          </w:p>
        </w:tc>
        <w:tc>
          <w:tcPr>
            <w:tcW w:w="381" w:type="pct"/>
            <w:shd w:val="clear" w:color="auto" w:fill="FFFFFF" w:themeFill="background1"/>
          </w:tcPr>
          <w:p w14:paraId="54DCD73F" w14:textId="77777777" w:rsidR="009C14FB" w:rsidRPr="004D4A14" w:rsidRDefault="009C14FB" w:rsidP="007A4608">
            <w:pPr>
              <w:spacing w:after="0" w:line="240" w:lineRule="auto"/>
              <w:jc w:val="center"/>
              <w:rPr>
                <w:rFonts w:eastAsia="Calibri" w:cs="Times New Roman"/>
                <w:sz w:val="16"/>
                <w:szCs w:val="16"/>
              </w:rPr>
            </w:pPr>
            <w:r w:rsidRPr="004D4A14">
              <w:rPr>
                <w:rFonts w:eastAsia="Calibri" w:cs="Times New Roman"/>
                <w:sz w:val="16"/>
                <w:szCs w:val="16"/>
              </w:rPr>
              <w:t>2021</w:t>
            </w:r>
          </w:p>
        </w:tc>
        <w:tc>
          <w:tcPr>
            <w:tcW w:w="334" w:type="pct"/>
            <w:shd w:val="clear" w:color="auto" w:fill="FFFFFF" w:themeFill="background1"/>
          </w:tcPr>
          <w:p w14:paraId="373A6487" w14:textId="77777777" w:rsidR="009C14FB" w:rsidRPr="004D4A14" w:rsidRDefault="009C14FB" w:rsidP="007A4608">
            <w:pPr>
              <w:spacing w:after="0" w:line="240" w:lineRule="auto"/>
              <w:jc w:val="center"/>
              <w:rPr>
                <w:rFonts w:eastAsia="Calibri" w:cs="Times New Roman"/>
                <w:sz w:val="16"/>
                <w:szCs w:val="16"/>
              </w:rPr>
            </w:pPr>
            <w:r w:rsidRPr="004D4A14">
              <w:rPr>
                <w:rFonts w:eastAsia="Calibri" w:cs="Times New Roman"/>
                <w:sz w:val="16"/>
                <w:szCs w:val="16"/>
              </w:rPr>
              <w:t>131 868 523</w:t>
            </w:r>
          </w:p>
        </w:tc>
        <w:tc>
          <w:tcPr>
            <w:tcW w:w="298" w:type="pct"/>
            <w:shd w:val="clear" w:color="auto" w:fill="FFFFFF" w:themeFill="background1"/>
          </w:tcPr>
          <w:p w14:paraId="562F644F" w14:textId="77777777" w:rsidR="009C14FB" w:rsidRPr="004D4A14" w:rsidRDefault="009C14FB" w:rsidP="007A4608">
            <w:pPr>
              <w:spacing w:after="0" w:line="240" w:lineRule="auto"/>
              <w:jc w:val="both"/>
              <w:rPr>
                <w:rFonts w:eastAsia="Calibri" w:cs="Times New Roman"/>
                <w:sz w:val="16"/>
                <w:szCs w:val="16"/>
              </w:rPr>
            </w:pPr>
            <w:r w:rsidRPr="004D4A14">
              <w:rPr>
                <w:rFonts w:eastAsia="Calibri" w:cs="Times New Roman"/>
                <w:sz w:val="16"/>
                <w:szCs w:val="16"/>
              </w:rPr>
              <w:t>Projektų duomenys</w:t>
            </w:r>
          </w:p>
        </w:tc>
        <w:tc>
          <w:tcPr>
            <w:tcW w:w="320" w:type="pct"/>
            <w:shd w:val="clear" w:color="auto" w:fill="FFFFFF" w:themeFill="background1"/>
          </w:tcPr>
          <w:p w14:paraId="73281FA9" w14:textId="77777777" w:rsidR="009C14FB" w:rsidRPr="004D4A14" w:rsidRDefault="009C14FB" w:rsidP="007A4608">
            <w:pPr>
              <w:spacing w:after="0" w:line="240" w:lineRule="auto"/>
              <w:jc w:val="both"/>
              <w:rPr>
                <w:rFonts w:eastAsia="Calibri" w:cs="Times New Roman"/>
                <w:i/>
                <w:noProof/>
                <w:sz w:val="14"/>
                <w:szCs w:val="14"/>
                <w:lang w:eastAsia="lt-LT" w:bidi="lt-LT"/>
              </w:rPr>
            </w:pPr>
          </w:p>
        </w:tc>
      </w:tr>
    </w:tbl>
    <w:p w14:paraId="5021BBA5" w14:textId="77777777" w:rsidR="009C14FB" w:rsidRPr="004D4A14" w:rsidRDefault="009C14FB" w:rsidP="009C14FB">
      <w:pPr>
        <w:spacing w:after="0" w:line="240" w:lineRule="auto"/>
        <w:jc w:val="both"/>
        <w:rPr>
          <w:rFonts w:cs="Times New Roman"/>
          <w:sz w:val="16"/>
          <w:szCs w:val="16"/>
          <w:lang w:val="en-US"/>
        </w:rPr>
        <w:sectPr w:rsidR="009C14FB" w:rsidRPr="004D4A14" w:rsidSect="009C14FB">
          <w:pgSz w:w="16838" w:h="11906" w:orient="landscape"/>
          <w:pgMar w:top="1701" w:right="1276" w:bottom="567" w:left="1134" w:header="567" w:footer="567" w:gutter="0"/>
          <w:cols w:space="1296"/>
          <w:docGrid w:linePitch="360"/>
        </w:sectPr>
      </w:pPr>
    </w:p>
    <w:p w14:paraId="39288BB3" w14:textId="77777777" w:rsidR="009C14FB" w:rsidRPr="004D4A14" w:rsidRDefault="009C14FB" w:rsidP="009C14FB">
      <w:pPr>
        <w:pStyle w:val="Stilius1"/>
        <w:rPr>
          <w:rFonts w:cs="Times New Roman"/>
          <w:lang w:eastAsia="lt-LT" w:bidi="lt-LT"/>
        </w:rPr>
      </w:pPr>
      <w:r w:rsidRPr="004D4A14">
        <w:rPr>
          <w:rFonts w:cs="Times New Roman"/>
          <w:lang w:eastAsia="lt-LT" w:bidi="lt-LT"/>
        </w:rPr>
        <w:lastRenderedPageBreak/>
        <w:t>Preliminarus Programos išteklių suskirstymas pagal intervencinių priemonių rūšį</w:t>
      </w:r>
    </w:p>
    <w:tbl>
      <w:tblPr>
        <w:tblStyle w:val="Lentelstinklelis"/>
        <w:tblW w:w="9766" w:type="dxa"/>
        <w:tblLayout w:type="fixed"/>
        <w:tblLook w:val="04A0" w:firstRow="1" w:lastRow="0" w:firstColumn="1" w:lastColumn="0" w:noHBand="0" w:noVBand="1"/>
      </w:tblPr>
      <w:tblGrid>
        <w:gridCol w:w="1069"/>
        <w:gridCol w:w="843"/>
        <w:gridCol w:w="1475"/>
        <w:gridCol w:w="1134"/>
        <w:gridCol w:w="3544"/>
        <w:gridCol w:w="1701"/>
      </w:tblGrid>
      <w:tr w:rsidR="009C14FB" w:rsidRPr="004D4A14" w14:paraId="5D241CE4" w14:textId="77777777" w:rsidTr="007A4608">
        <w:tc>
          <w:tcPr>
            <w:tcW w:w="9766"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38414F0" w14:textId="77777777" w:rsidR="009C14FB" w:rsidRPr="004D4A14" w:rsidRDefault="009C14FB" w:rsidP="007A4608">
            <w:pPr>
              <w:rPr>
                <w:rFonts w:cs="Times New Roman"/>
                <w:b/>
                <w:noProof/>
                <w:sz w:val="20"/>
              </w:rPr>
            </w:pPr>
            <w:r w:rsidRPr="004D4A14">
              <w:rPr>
                <w:rFonts w:cs="Times New Roman"/>
                <w:b/>
                <w:noProof/>
                <w:sz w:val="20"/>
              </w:rPr>
              <w:t>4 lentelė. 1 matmuo. Intervencinių priemonių sritis</w:t>
            </w:r>
          </w:p>
        </w:tc>
      </w:tr>
      <w:tr w:rsidR="009C14FB" w:rsidRPr="004D4A14" w14:paraId="0C50FCE9" w14:textId="77777777" w:rsidTr="007A4608">
        <w:tc>
          <w:tcPr>
            <w:tcW w:w="10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D7551A3" w14:textId="77777777" w:rsidR="009C14FB" w:rsidRPr="004D4A14" w:rsidRDefault="009C14FB" w:rsidP="007A4608">
            <w:pPr>
              <w:jc w:val="center"/>
              <w:rPr>
                <w:rFonts w:eastAsia="Times New Roman" w:cs="Times New Roman"/>
                <w:b/>
                <w:iCs/>
                <w:noProof/>
                <w:sz w:val="20"/>
              </w:rPr>
            </w:pPr>
            <w:r w:rsidRPr="004D4A14">
              <w:rPr>
                <w:rFonts w:cs="Times New Roman"/>
                <w:b/>
                <w:noProof/>
                <w:sz w:val="20"/>
              </w:rPr>
              <w:t>Prioriteto Nr.</w:t>
            </w:r>
          </w:p>
        </w:tc>
        <w:tc>
          <w:tcPr>
            <w:tcW w:w="84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8C9A8E4" w14:textId="77777777" w:rsidR="009C14FB" w:rsidRPr="004D4A14" w:rsidRDefault="009C14FB" w:rsidP="007A4608">
            <w:pPr>
              <w:jc w:val="center"/>
              <w:rPr>
                <w:rFonts w:eastAsia="Times New Roman" w:cs="Times New Roman"/>
                <w:b/>
                <w:iCs/>
                <w:noProof/>
                <w:sz w:val="20"/>
              </w:rPr>
            </w:pPr>
            <w:r w:rsidRPr="004D4A14">
              <w:rPr>
                <w:rFonts w:cs="Times New Roman"/>
                <w:b/>
                <w:noProof/>
                <w:sz w:val="20"/>
              </w:rPr>
              <w:t>Fondas</w:t>
            </w:r>
          </w:p>
        </w:tc>
        <w:tc>
          <w:tcPr>
            <w:tcW w:w="147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B610207" w14:textId="77777777" w:rsidR="009C14FB" w:rsidRPr="004D4A14" w:rsidRDefault="009C14FB" w:rsidP="007A4608">
            <w:pPr>
              <w:jc w:val="center"/>
              <w:rPr>
                <w:rFonts w:eastAsia="Times New Roman" w:cs="Times New Roman"/>
                <w:b/>
                <w:iCs/>
                <w:noProof/>
                <w:sz w:val="20"/>
              </w:rPr>
            </w:pPr>
            <w:r w:rsidRPr="004D4A14">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97A029" w14:textId="77777777" w:rsidR="009C14FB" w:rsidRPr="004D4A14" w:rsidRDefault="009C14FB" w:rsidP="007A4608">
            <w:pPr>
              <w:jc w:val="center"/>
              <w:rPr>
                <w:rFonts w:eastAsia="Times New Roman" w:cs="Times New Roman"/>
                <w:b/>
                <w:iCs/>
                <w:noProof/>
                <w:sz w:val="20"/>
              </w:rPr>
            </w:pPr>
            <w:r w:rsidRPr="004D4A14">
              <w:rPr>
                <w:rFonts w:cs="Times New Roman"/>
                <w:b/>
                <w:noProof/>
                <w:sz w:val="20"/>
              </w:rPr>
              <w:t>Konkretus uždavinys</w:t>
            </w:r>
          </w:p>
        </w:tc>
        <w:tc>
          <w:tcPr>
            <w:tcW w:w="354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AE801A9" w14:textId="77777777" w:rsidR="009C14FB" w:rsidRPr="004D4A14" w:rsidRDefault="009C14FB" w:rsidP="007A4608">
            <w:pPr>
              <w:jc w:val="center"/>
              <w:rPr>
                <w:rFonts w:eastAsia="Times New Roman" w:cs="Times New Roman"/>
                <w:b/>
                <w:iCs/>
                <w:noProof/>
                <w:sz w:val="20"/>
              </w:rPr>
            </w:pPr>
            <w:r w:rsidRPr="004D4A14">
              <w:rPr>
                <w:rFonts w:cs="Times New Roman"/>
                <w:b/>
                <w:noProof/>
                <w:sz w:val="20"/>
              </w:rPr>
              <w:t>Kodas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949626" w14:textId="77777777" w:rsidR="009C14FB" w:rsidRPr="004D4A14" w:rsidRDefault="009C14FB" w:rsidP="007A4608">
            <w:pPr>
              <w:jc w:val="center"/>
              <w:rPr>
                <w:rFonts w:eastAsia="Times New Roman" w:cs="Times New Roman"/>
                <w:b/>
                <w:iCs/>
                <w:noProof/>
                <w:sz w:val="20"/>
              </w:rPr>
            </w:pPr>
            <w:r w:rsidRPr="004D4A14">
              <w:rPr>
                <w:rFonts w:cs="Times New Roman"/>
                <w:b/>
                <w:noProof/>
                <w:sz w:val="20"/>
              </w:rPr>
              <w:t>Suma (EUR)</w:t>
            </w:r>
          </w:p>
        </w:tc>
      </w:tr>
      <w:tr w:rsidR="009C14FB" w:rsidRPr="004D4A14" w14:paraId="087E47AC" w14:textId="77777777" w:rsidTr="007A4608">
        <w:tc>
          <w:tcPr>
            <w:tcW w:w="1069" w:type="dxa"/>
            <w:vMerge w:val="restart"/>
            <w:tcBorders>
              <w:top w:val="single" w:sz="12" w:space="0" w:color="auto"/>
            </w:tcBorders>
          </w:tcPr>
          <w:p w14:paraId="1A03269A" w14:textId="77777777" w:rsidR="009C14FB" w:rsidRPr="004D4A14" w:rsidRDefault="009C14FB" w:rsidP="007A4608">
            <w:pPr>
              <w:jc w:val="center"/>
              <w:rPr>
                <w:rFonts w:eastAsia="Times New Roman" w:cs="Times New Roman"/>
                <w:iCs/>
                <w:noProof/>
                <w:sz w:val="20"/>
              </w:rPr>
            </w:pPr>
            <w:r w:rsidRPr="004D4A14">
              <w:rPr>
                <w:rFonts w:eastAsia="Times New Roman" w:cs="Times New Roman"/>
                <w:iCs/>
                <w:noProof/>
                <w:sz w:val="20"/>
              </w:rPr>
              <w:t>14</w:t>
            </w:r>
          </w:p>
        </w:tc>
        <w:tc>
          <w:tcPr>
            <w:tcW w:w="843" w:type="dxa"/>
            <w:vMerge w:val="restart"/>
            <w:tcBorders>
              <w:top w:val="single" w:sz="12" w:space="0" w:color="auto"/>
            </w:tcBorders>
          </w:tcPr>
          <w:p w14:paraId="05EC9F04" w14:textId="77777777" w:rsidR="009C14FB" w:rsidRPr="004D4A14" w:rsidRDefault="009C14FB" w:rsidP="007A4608">
            <w:pPr>
              <w:jc w:val="center"/>
              <w:rPr>
                <w:rFonts w:eastAsia="Times New Roman" w:cs="Times New Roman"/>
                <w:sz w:val="20"/>
              </w:rPr>
            </w:pPr>
            <w:proofErr w:type="spellStart"/>
            <w:r w:rsidRPr="004D4A14">
              <w:rPr>
                <w:rFonts w:eastAsia="Times New Roman" w:cs="Times New Roman"/>
                <w:sz w:val="20"/>
                <w:szCs w:val="20"/>
              </w:rPr>
              <w:t>SaF</w:t>
            </w:r>
            <w:proofErr w:type="spellEnd"/>
          </w:p>
        </w:tc>
        <w:tc>
          <w:tcPr>
            <w:tcW w:w="1475" w:type="dxa"/>
            <w:vMerge w:val="restart"/>
            <w:tcBorders>
              <w:top w:val="single" w:sz="12" w:space="0" w:color="auto"/>
            </w:tcBorders>
          </w:tcPr>
          <w:p w14:paraId="619D115A" w14:textId="77777777" w:rsidR="009C14FB" w:rsidRPr="004D4A14" w:rsidRDefault="009C14FB" w:rsidP="007A4608">
            <w:pPr>
              <w:rPr>
                <w:rFonts w:eastAsia="Times New Roman" w:cs="Times New Roman"/>
                <w:iCs/>
                <w:noProof/>
                <w:sz w:val="20"/>
                <w:szCs w:val="20"/>
              </w:rPr>
            </w:pPr>
            <w:r w:rsidRPr="004D4A14">
              <w:rPr>
                <w:rFonts w:eastAsia="Times New Roman" w:cs="Times New Roman"/>
                <w:sz w:val="20"/>
                <w:szCs w:val="20"/>
              </w:rPr>
              <w:t>Visa Lietuva</w:t>
            </w:r>
          </w:p>
          <w:p w14:paraId="61AF8CAD" w14:textId="77777777" w:rsidR="009C14FB" w:rsidRPr="004D4A14" w:rsidRDefault="009C14FB" w:rsidP="007A4608">
            <w:pPr>
              <w:rPr>
                <w:rFonts w:eastAsia="Times New Roman" w:cs="Times New Roman"/>
                <w:iCs/>
                <w:noProof/>
                <w:sz w:val="20"/>
                <w:szCs w:val="20"/>
              </w:rPr>
            </w:pPr>
          </w:p>
          <w:p w14:paraId="26B4A0AA" w14:textId="77777777" w:rsidR="009C14FB" w:rsidRPr="004D4A14" w:rsidRDefault="009C14FB" w:rsidP="007A4608">
            <w:pPr>
              <w:rPr>
                <w:rFonts w:eastAsia="Times New Roman" w:cs="Times New Roman"/>
                <w:iCs/>
                <w:noProof/>
                <w:sz w:val="20"/>
                <w:szCs w:val="20"/>
              </w:rPr>
            </w:pPr>
          </w:p>
          <w:p w14:paraId="7A846F19" w14:textId="77777777" w:rsidR="009C14FB" w:rsidRPr="004D4A14" w:rsidRDefault="009C14FB" w:rsidP="007A4608">
            <w:pPr>
              <w:rPr>
                <w:rFonts w:eastAsia="Times New Roman" w:cs="Times New Roman"/>
                <w:b/>
                <w:sz w:val="20"/>
              </w:rPr>
            </w:pPr>
          </w:p>
        </w:tc>
        <w:tc>
          <w:tcPr>
            <w:tcW w:w="1134" w:type="dxa"/>
            <w:vMerge w:val="restart"/>
            <w:tcBorders>
              <w:top w:val="single" w:sz="12" w:space="0" w:color="auto"/>
            </w:tcBorders>
          </w:tcPr>
          <w:p w14:paraId="45A70E03" w14:textId="77777777" w:rsidR="009C14FB" w:rsidRPr="004D4A14" w:rsidRDefault="009C14FB" w:rsidP="007A4608">
            <w:pPr>
              <w:jc w:val="center"/>
              <w:rPr>
                <w:rFonts w:eastAsia="Times New Roman" w:cs="Times New Roman"/>
                <w:sz w:val="20"/>
              </w:rPr>
            </w:pPr>
            <w:r w:rsidRPr="004D4A14">
              <w:rPr>
                <w:rFonts w:eastAsia="Times New Roman" w:cs="Times New Roman"/>
                <w:iCs/>
                <w:noProof/>
                <w:sz w:val="20"/>
              </w:rPr>
              <w:t>14.1</w:t>
            </w:r>
          </w:p>
          <w:p w14:paraId="34D173B7" w14:textId="77777777" w:rsidR="009C14FB" w:rsidRPr="004D4A14" w:rsidRDefault="009C14FB" w:rsidP="007A4608">
            <w:pPr>
              <w:jc w:val="center"/>
              <w:rPr>
                <w:rFonts w:eastAsia="Times New Roman" w:cs="Times New Roman"/>
                <w:sz w:val="20"/>
              </w:rPr>
            </w:pPr>
          </w:p>
        </w:tc>
        <w:tc>
          <w:tcPr>
            <w:tcW w:w="3544" w:type="dxa"/>
            <w:tcBorders>
              <w:top w:val="single" w:sz="12" w:space="0" w:color="auto"/>
              <w:bottom w:val="single" w:sz="4" w:space="0" w:color="auto"/>
            </w:tcBorders>
          </w:tcPr>
          <w:p w14:paraId="6250F929" w14:textId="77777777" w:rsidR="009C14FB" w:rsidRPr="004D4A14" w:rsidRDefault="009C14FB" w:rsidP="007A4608">
            <w:pPr>
              <w:jc w:val="both"/>
              <w:rPr>
                <w:rFonts w:eastAsia="Times New Roman" w:cs="Times New Roman"/>
                <w:sz w:val="16"/>
                <w:szCs w:val="16"/>
              </w:rPr>
            </w:pPr>
            <w:r w:rsidRPr="004D4A14">
              <w:rPr>
                <w:rFonts w:eastAsia="Times New Roman" w:cs="Times New Roman"/>
                <w:sz w:val="20"/>
              </w:rPr>
              <w:t>091 – Rekonstruoti ar modernizuoti greitkeliai ir keliai – TEN-T pagrindinis tinklas</w:t>
            </w:r>
          </w:p>
        </w:tc>
        <w:tc>
          <w:tcPr>
            <w:tcW w:w="1701" w:type="dxa"/>
            <w:tcBorders>
              <w:top w:val="single" w:sz="12" w:space="0" w:color="auto"/>
              <w:bottom w:val="single" w:sz="4" w:space="0" w:color="auto"/>
            </w:tcBorders>
          </w:tcPr>
          <w:p w14:paraId="57739740" w14:textId="77777777" w:rsidR="009C14FB" w:rsidRPr="004D4A14" w:rsidRDefault="009C14FB" w:rsidP="007A4608">
            <w:pPr>
              <w:jc w:val="right"/>
              <w:rPr>
                <w:rFonts w:eastAsia="Times New Roman" w:cs="Times New Roman"/>
                <w:sz w:val="20"/>
                <w:szCs w:val="20"/>
              </w:rPr>
            </w:pPr>
            <w:r w:rsidRPr="004D4A14">
              <w:rPr>
                <w:rFonts w:cs="Times New Roman"/>
                <w:sz w:val="20"/>
                <w:szCs w:val="20"/>
              </w:rPr>
              <w:t>37 000 000,00</w:t>
            </w:r>
          </w:p>
        </w:tc>
      </w:tr>
      <w:tr w:rsidR="009C14FB" w:rsidRPr="004D4A14" w14:paraId="00EC5892" w14:textId="77777777" w:rsidTr="007A4608">
        <w:tc>
          <w:tcPr>
            <w:tcW w:w="1069" w:type="dxa"/>
            <w:vMerge/>
          </w:tcPr>
          <w:p w14:paraId="6F9047A8" w14:textId="77777777" w:rsidR="009C14FB" w:rsidRPr="004D4A14" w:rsidRDefault="009C14FB" w:rsidP="007A4608">
            <w:pPr>
              <w:jc w:val="center"/>
              <w:rPr>
                <w:rFonts w:eastAsia="Times New Roman" w:cs="Times New Roman"/>
                <w:iCs/>
                <w:noProof/>
                <w:sz w:val="20"/>
              </w:rPr>
            </w:pPr>
          </w:p>
        </w:tc>
        <w:tc>
          <w:tcPr>
            <w:tcW w:w="843" w:type="dxa"/>
            <w:vMerge/>
          </w:tcPr>
          <w:p w14:paraId="0D19DE63" w14:textId="77777777" w:rsidR="009C14FB" w:rsidRPr="004D4A14" w:rsidRDefault="009C14FB" w:rsidP="007A4608">
            <w:pPr>
              <w:jc w:val="center"/>
              <w:rPr>
                <w:rFonts w:eastAsia="Times New Roman" w:cs="Times New Roman"/>
                <w:iCs/>
                <w:noProof/>
                <w:sz w:val="20"/>
                <w:szCs w:val="20"/>
              </w:rPr>
            </w:pPr>
          </w:p>
        </w:tc>
        <w:tc>
          <w:tcPr>
            <w:tcW w:w="1475" w:type="dxa"/>
            <w:vMerge/>
          </w:tcPr>
          <w:p w14:paraId="3475343D" w14:textId="77777777" w:rsidR="009C14FB" w:rsidRPr="004D4A14" w:rsidRDefault="009C14FB" w:rsidP="007A4608">
            <w:pPr>
              <w:rPr>
                <w:rFonts w:eastAsia="Times New Roman" w:cs="Times New Roman"/>
                <w:iCs/>
                <w:noProof/>
                <w:sz w:val="20"/>
                <w:szCs w:val="20"/>
              </w:rPr>
            </w:pPr>
          </w:p>
        </w:tc>
        <w:tc>
          <w:tcPr>
            <w:tcW w:w="1134" w:type="dxa"/>
            <w:vMerge/>
          </w:tcPr>
          <w:p w14:paraId="0F61CB73" w14:textId="77777777" w:rsidR="009C14FB" w:rsidRPr="004D4A14" w:rsidRDefault="009C14FB" w:rsidP="007A4608">
            <w:pPr>
              <w:jc w:val="center"/>
              <w:rPr>
                <w:rFonts w:eastAsia="Times New Roman" w:cs="Times New Roman"/>
                <w:iCs/>
                <w:noProof/>
                <w:sz w:val="20"/>
              </w:rPr>
            </w:pPr>
          </w:p>
        </w:tc>
        <w:tc>
          <w:tcPr>
            <w:tcW w:w="3544" w:type="dxa"/>
            <w:tcBorders>
              <w:top w:val="single" w:sz="4" w:space="0" w:color="auto"/>
              <w:bottom w:val="single" w:sz="4" w:space="0" w:color="auto"/>
            </w:tcBorders>
          </w:tcPr>
          <w:p w14:paraId="35C6B29A" w14:textId="77777777" w:rsidR="009C14FB" w:rsidRPr="004D4A14" w:rsidRDefault="009C14FB" w:rsidP="007A4608">
            <w:pPr>
              <w:jc w:val="both"/>
              <w:rPr>
                <w:rFonts w:eastAsia="Times New Roman" w:cs="Times New Roman"/>
                <w:bCs/>
                <w:iCs/>
                <w:noProof/>
                <w:sz w:val="20"/>
              </w:rPr>
            </w:pPr>
            <w:r w:rsidRPr="004D4A14">
              <w:rPr>
                <w:rFonts w:eastAsia="Times New Roman"/>
                <w:bCs/>
                <w:iCs/>
                <w:noProof/>
                <w:sz w:val="20"/>
              </w:rPr>
              <w:t>092 – Rekonstruoti ar modernizuoti greitkeliai ir keliai – TEN-T visuotinis tinklas</w:t>
            </w:r>
          </w:p>
        </w:tc>
        <w:tc>
          <w:tcPr>
            <w:tcW w:w="1701" w:type="dxa"/>
            <w:tcBorders>
              <w:top w:val="single" w:sz="4" w:space="0" w:color="auto"/>
              <w:bottom w:val="single" w:sz="4" w:space="0" w:color="auto"/>
            </w:tcBorders>
          </w:tcPr>
          <w:p w14:paraId="22BE7DC9" w14:textId="77777777" w:rsidR="009C14FB" w:rsidRPr="004D4A14" w:rsidRDefault="009C14FB" w:rsidP="007A4608">
            <w:pPr>
              <w:jc w:val="right"/>
              <w:rPr>
                <w:rFonts w:cs="Times New Roman"/>
                <w:sz w:val="20"/>
                <w:szCs w:val="20"/>
              </w:rPr>
            </w:pPr>
            <w:r w:rsidRPr="004D4A14">
              <w:rPr>
                <w:rFonts w:cs="Times New Roman"/>
                <w:sz w:val="20"/>
                <w:szCs w:val="20"/>
              </w:rPr>
              <w:t>28 171 398,00</w:t>
            </w:r>
          </w:p>
        </w:tc>
      </w:tr>
      <w:tr w:rsidR="009C14FB" w:rsidRPr="004D4A14" w14:paraId="7FFE44BA" w14:textId="77777777" w:rsidTr="007A4608">
        <w:tc>
          <w:tcPr>
            <w:tcW w:w="1069" w:type="dxa"/>
            <w:vMerge/>
          </w:tcPr>
          <w:p w14:paraId="060E96A2" w14:textId="77777777" w:rsidR="009C14FB" w:rsidRPr="004D4A14" w:rsidRDefault="009C14FB" w:rsidP="007A4608">
            <w:pPr>
              <w:jc w:val="center"/>
              <w:rPr>
                <w:rFonts w:eastAsia="Times New Roman" w:cs="Times New Roman"/>
                <w:iCs/>
                <w:noProof/>
                <w:sz w:val="20"/>
              </w:rPr>
            </w:pPr>
          </w:p>
        </w:tc>
        <w:tc>
          <w:tcPr>
            <w:tcW w:w="843" w:type="dxa"/>
            <w:vMerge/>
          </w:tcPr>
          <w:p w14:paraId="78B5842A" w14:textId="77777777" w:rsidR="009C14FB" w:rsidRPr="004D4A14" w:rsidRDefault="009C14FB" w:rsidP="007A4608">
            <w:pPr>
              <w:jc w:val="center"/>
              <w:rPr>
                <w:rFonts w:eastAsia="Times New Roman" w:cs="Times New Roman"/>
                <w:iCs/>
                <w:noProof/>
                <w:sz w:val="20"/>
                <w:szCs w:val="20"/>
              </w:rPr>
            </w:pPr>
          </w:p>
        </w:tc>
        <w:tc>
          <w:tcPr>
            <w:tcW w:w="1475" w:type="dxa"/>
            <w:vMerge/>
          </w:tcPr>
          <w:p w14:paraId="669C3740" w14:textId="77777777" w:rsidR="009C14FB" w:rsidRPr="004D4A14" w:rsidRDefault="009C14FB" w:rsidP="007A4608">
            <w:pPr>
              <w:rPr>
                <w:rFonts w:eastAsia="Times New Roman" w:cs="Times New Roman"/>
                <w:iCs/>
                <w:noProof/>
                <w:sz w:val="20"/>
                <w:szCs w:val="20"/>
              </w:rPr>
            </w:pPr>
          </w:p>
        </w:tc>
        <w:tc>
          <w:tcPr>
            <w:tcW w:w="1134" w:type="dxa"/>
            <w:vMerge/>
          </w:tcPr>
          <w:p w14:paraId="120073BC" w14:textId="77777777" w:rsidR="009C14FB" w:rsidRPr="004D4A14" w:rsidRDefault="009C14FB" w:rsidP="007A4608">
            <w:pPr>
              <w:jc w:val="center"/>
              <w:rPr>
                <w:rFonts w:eastAsia="Times New Roman" w:cs="Times New Roman"/>
                <w:iCs/>
                <w:noProof/>
                <w:sz w:val="20"/>
              </w:rPr>
            </w:pPr>
          </w:p>
        </w:tc>
        <w:tc>
          <w:tcPr>
            <w:tcW w:w="3544" w:type="dxa"/>
            <w:tcBorders>
              <w:top w:val="single" w:sz="4" w:space="0" w:color="auto"/>
              <w:bottom w:val="single" w:sz="12" w:space="0" w:color="auto"/>
            </w:tcBorders>
          </w:tcPr>
          <w:p w14:paraId="3664B2D6" w14:textId="77777777" w:rsidR="009C14FB" w:rsidRPr="004D4A14" w:rsidRDefault="009C14FB" w:rsidP="007A4608">
            <w:pPr>
              <w:jc w:val="both"/>
              <w:rPr>
                <w:rFonts w:eastAsia="Times New Roman"/>
                <w:bCs/>
                <w:iCs/>
                <w:noProof/>
                <w:sz w:val="20"/>
              </w:rPr>
            </w:pPr>
            <w:r w:rsidRPr="004D4A14">
              <w:rPr>
                <w:rFonts w:eastAsia="Times New Roman"/>
                <w:bCs/>
                <w:iCs/>
                <w:noProof/>
                <w:sz w:val="20"/>
              </w:rPr>
              <w:t>108 – Daugiarūšis transportas (TEN-T)</w:t>
            </w:r>
          </w:p>
        </w:tc>
        <w:tc>
          <w:tcPr>
            <w:tcW w:w="1701" w:type="dxa"/>
            <w:tcBorders>
              <w:top w:val="single" w:sz="4" w:space="0" w:color="auto"/>
              <w:bottom w:val="single" w:sz="12" w:space="0" w:color="auto"/>
            </w:tcBorders>
          </w:tcPr>
          <w:p w14:paraId="502D96C8" w14:textId="77777777" w:rsidR="009C14FB" w:rsidRPr="004D4A14" w:rsidRDefault="009C14FB" w:rsidP="007A4608">
            <w:pPr>
              <w:jc w:val="right"/>
              <w:rPr>
                <w:rFonts w:cs="Times New Roman"/>
                <w:sz w:val="20"/>
                <w:szCs w:val="20"/>
              </w:rPr>
            </w:pPr>
            <w:r w:rsidRPr="004D4A14">
              <w:rPr>
                <w:rFonts w:cs="Times New Roman"/>
                <w:sz w:val="20"/>
                <w:szCs w:val="20"/>
              </w:rPr>
              <w:t>15 000 000,00</w:t>
            </w:r>
          </w:p>
        </w:tc>
      </w:tr>
      <w:tr w:rsidR="009C14FB" w:rsidRPr="004D4A14" w14:paraId="07962FC3" w14:textId="77777777" w:rsidTr="007A4608">
        <w:tc>
          <w:tcPr>
            <w:tcW w:w="1069" w:type="dxa"/>
            <w:vMerge/>
          </w:tcPr>
          <w:p w14:paraId="589F9E1D" w14:textId="77777777" w:rsidR="009C14FB" w:rsidRPr="004D4A14" w:rsidRDefault="009C14FB" w:rsidP="007A4608">
            <w:pPr>
              <w:jc w:val="center"/>
              <w:rPr>
                <w:rFonts w:cs="Times New Roman"/>
                <w:noProof/>
                <w:sz w:val="16"/>
                <w:szCs w:val="16"/>
              </w:rPr>
            </w:pPr>
          </w:p>
        </w:tc>
        <w:tc>
          <w:tcPr>
            <w:tcW w:w="843" w:type="dxa"/>
            <w:vMerge w:val="restart"/>
            <w:tcBorders>
              <w:top w:val="single" w:sz="12" w:space="0" w:color="auto"/>
            </w:tcBorders>
          </w:tcPr>
          <w:p w14:paraId="7E8192D3" w14:textId="77777777" w:rsidR="009C14FB" w:rsidRPr="004D4A14" w:rsidRDefault="009C14FB" w:rsidP="007A4608">
            <w:pPr>
              <w:jc w:val="center"/>
              <w:rPr>
                <w:rFonts w:eastAsia="Times New Roman" w:cs="Times New Roman"/>
                <w:iCs/>
                <w:noProof/>
                <w:sz w:val="20"/>
                <w:szCs w:val="20"/>
              </w:rPr>
            </w:pPr>
            <w:r w:rsidRPr="004D4A14">
              <w:rPr>
                <w:rFonts w:eastAsia="Times New Roman" w:cs="Times New Roman"/>
                <w:sz w:val="20"/>
                <w:szCs w:val="20"/>
              </w:rPr>
              <w:t>ERPF</w:t>
            </w:r>
          </w:p>
          <w:p w14:paraId="4BEAB61E" w14:textId="77777777" w:rsidR="009C14FB" w:rsidRPr="004D4A14" w:rsidRDefault="009C14FB" w:rsidP="007A4608">
            <w:pPr>
              <w:jc w:val="center"/>
              <w:rPr>
                <w:rFonts w:eastAsia="Times New Roman" w:cs="Times New Roman"/>
                <w:iCs/>
                <w:noProof/>
                <w:sz w:val="20"/>
                <w:szCs w:val="20"/>
              </w:rPr>
            </w:pPr>
          </w:p>
          <w:p w14:paraId="06597458" w14:textId="77777777" w:rsidR="009C14FB" w:rsidRPr="004D4A14" w:rsidRDefault="009C14FB" w:rsidP="007A4608">
            <w:pPr>
              <w:jc w:val="center"/>
              <w:rPr>
                <w:rFonts w:cs="Times New Roman"/>
                <w:sz w:val="16"/>
                <w:szCs w:val="16"/>
              </w:rPr>
            </w:pPr>
          </w:p>
        </w:tc>
        <w:tc>
          <w:tcPr>
            <w:tcW w:w="1475" w:type="dxa"/>
            <w:vMerge w:val="restart"/>
            <w:tcBorders>
              <w:top w:val="single" w:sz="12" w:space="0" w:color="auto"/>
            </w:tcBorders>
          </w:tcPr>
          <w:p w14:paraId="30D10679" w14:textId="77777777" w:rsidR="009C14FB" w:rsidRPr="004D4A14" w:rsidRDefault="009C14FB" w:rsidP="007A4608">
            <w:pPr>
              <w:rPr>
                <w:rFonts w:eastAsia="Times New Roman" w:cs="Times New Roman"/>
                <w:iCs/>
                <w:noProof/>
                <w:sz w:val="20"/>
                <w:szCs w:val="20"/>
              </w:rPr>
            </w:pPr>
            <w:r w:rsidRPr="004D4A14">
              <w:rPr>
                <w:rFonts w:eastAsia="Times New Roman" w:cs="Times New Roman"/>
                <w:sz w:val="20"/>
                <w:szCs w:val="20"/>
              </w:rPr>
              <w:t>VVL regionas</w:t>
            </w:r>
          </w:p>
          <w:p w14:paraId="5DF213C4" w14:textId="77777777" w:rsidR="009C14FB" w:rsidRPr="004D4A14" w:rsidRDefault="009C14FB" w:rsidP="007A4608">
            <w:pPr>
              <w:rPr>
                <w:rFonts w:eastAsia="Times New Roman" w:cs="Times New Roman"/>
                <w:iCs/>
                <w:noProof/>
                <w:sz w:val="20"/>
                <w:szCs w:val="20"/>
              </w:rPr>
            </w:pPr>
          </w:p>
          <w:p w14:paraId="2AED2ECE" w14:textId="77777777" w:rsidR="009C14FB" w:rsidRPr="004D4A14" w:rsidRDefault="009C14FB" w:rsidP="007A4608">
            <w:pPr>
              <w:rPr>
                <w:rFonts w:eastAsia="Times New Roman" w:cs="Times New Roman"/>
                <w:iCs/>
                <w:noProof/>
                <w:sz w:val="20"/>
                <w:szCs w:val="20"/>
              </w:rPr>
            </w:pPr>
          </w:p>
          <w:p w14:paraId="68295E30" w14:textId="77777777" w:rsidR="009C14FB" w:rsidRPr="004D4A14" w:rsidRDefault="009C14FB" w:rsidP="007A4608">
            <w:pPr>
              <w:rPr>
                <w:rFonts w:cs="Times New Roman"/>
                <w:b/>
                <w:sz w:val="16"/>
                <w:szCs w:val="16"/>
              </w:rPr>
            </w:pPr>
          </w:p>
        </w:tc>
        <w:tc>
          <w:tcPr>
            <w:tcW w:w="1134" w:type="dxa"/>
            <w:vMerge/>
          </w:tcPr>
          <w:p w14:paraId="160F50F9" w14:textId="77777777" w:rsidR="009C14FB" w:rsidRPr="004D4A14" w:rsidRDefault="009C14FB" w:rsidP="007A4608">
            <w:pPr>
              <w:jc w:val="center"/>
              <w:rPr>
                <w:rFonts w:cs="Times New Roman"/>
                <w:sz w:val="16"/>
                <w:szCs w:val="16"/>
              </w:rPr>
            </w:pPr>
          </w:p>
        </w:tc>
        <w:tc>
          <w:tcPr>
            <w:tcW w:w="3544" w:type="dxa"/>
            <w:tcBorders>
              <w:top w:val="single" w:sz="12" w:space="0" w:color="auto"/>
              <w:bottom w:val="single" w:sz="4" w:space="0" w:color="auto"/>
            </w:tcBorders>
          </w:tcPr>
          <w:p w14:paraId="64A22BC2" w14:textId="77777777" w:rsidR="009C14FB" w:rsidRPr="004D4A14" w:rsidDel="00AA781F" w:rsidRDefault="009C14FB" w:rsidP="007A4608">
            <w:pPr>
              <w:jc w:val="both"/>
              <w:rPr>
                <w:rFonts w:eastAsia="Times New Roman" w:cs="Times New Roman"/>
                <w:sz w:val="16"/>
                <w:szCs w:val="16"/>
                <w:lang w:val="nl-BE"/>
              </w:rPr>
            </w:pPr>
            <w:r w:rsidRPr="004D4A14">
              <w:rPr>
                <w:rFonts w:eastAsia="Times New Roman" w:cs="Times New Roman"/>
                <w:sz w:val="20"/>
              </w:rPr>
              <w:t>091 – Rekonstruoti ar modernizuoti greitkeliai ir keliai – TEN-T pagrindinis tinklas</w:t>
            </w:r>
          </w:p>
        </w:tc>
        <w:tc>
          <w:tcPr>
            <w:tcW w:w="1701" w:type="dxa"/>
            <w:tcBorders>
              <w:top w:val="single" w:sz="12" w:space="0" w:color="auto"/>
              <w:bottom w:val="single" w:sz="4" w:space="0" w:color="auto"/>
            </w:tcBorders>
          </w:tcPr>
          <w:p w14:paraId="3C75A05F" w14:textId="77777777" w:rsidR="009C14FB" w:rsidRPr="004D4A14" w:rsidDel="00A949B6" w:rsidRDefault="009C14FB" w:rsidP="007A4608">
            <w:pPr>
              <w:jc w:val="right"/>
              <w:rPr>
                <w:rFonts w:eastAsia="Times New Roman" w:cs="Times New Roman"/>
                <w:sz w:val="20"/>
                <w:szCs w:val="20"/>
              </w:rPr>
            </w:pPr>
            <w:r w:rsidRPr="004D4A14">
              <w:rPr>
                <w:rFonts w:cs="Times New Roman"/>
                <w:sz w:val="20"/>
                <w:szCs w:val="20"/>
              </w:rPr>
              <w:t>25 000 000,00</w:t>
            </w:r>
          </w:p>
        </w:tc>
      </w:tr>
      <w:tr w:rsidR="009C14FB" w:rsidRPr="004D4A14" w14:paraId="5CB9E4D1" w14:textId="77777777" w:rsidTr="007A4608">
        <w:tc>
          <w:tcPr>
            <w:tcW w:w="1069" w:type="dxa"/>
            <w:vMerge/>
          </w:tcPr>
          <w:p w14:paraId="27B2F7C0" w14:textId="77777777" w:rsidR="009C14FB" w:rsidRPr="004D4A14" w:rsidRDefault="009C14FB" w:rsidP="007A4608">
            <w:pPr>
              <w:jc w:val="center"/>
              <w:rPr>
                <w:rFonts w:cs="Times New Roman"/>
                <w:noProof/>
                <w:sz w:val="16"/>
                <w:szCs w:val="16"/>
              </w:rPr>
            </w:pPr>
          </w:p>
        </w:tc>
        <w:tc>
          <w:tcPr>
            <w:tcW w:w="843" w:type="dxa"/>
            <w:vMerge/>
          </w:tcPr>
          <w:p w14:paraId="17D7452A" w14:textId="77777777" w:rsidR="009C14FB" w:rsidRPr="004D4A14" w:rsidRDefault="009C14FB" w:rsidP="007A4608">
            <w:pPr>
              <w:jc w:val="center"/>
              <w:rPr>
                <w:rFonts w:eastAsia="Times New Roman" w:cs="Times New Roman"/>
                <w:iCs/>
                <w:noProof/>
                <w:sz w:val="20"/>
                <w:szCs w:val="20"/>
              </w:rPr>
            </w:pPr>
          </w:p>
        </w:tc>
        <w:tc>
          <w:tcPr>
            <w:tcW w:w="1475" w:type="dxa"/>
            <w:vMerge/>
          </w:tcPr>
          <w:p w14:paraId="38850984" w14:textId="77777777" w:rsidR="009C14FB" w:rsidRPr="004D4A14" w:rsidRDefault="009C14FB" w:rsidP="007A4608">
            <w:pPr>
              <w:rPr>
                <w:rFonts w:eastAsia="Times New Roman" w:cs="Times New Roman"/>
                <w:iCs/>
                <w:noProof/>
                <w:sz w:val="20"/>
                <w:szCs w:val="20"/>
              </w:rPr>
            </w:pPr>
          </w:p>
        </w:tc>
        <w:tc>
          <w:tcPr>
            <w:tcW w:w="1134" w:type="dxa"/>
            <w:vMerge/>
          </w:tcPr>
          <w:p w14:paraId="62CADBB3" w14:textId="77777777" w:rsidR="009C14FB" w:rsidRPr="004D4A14" w:rsidRDefault="009C14FB" w:rsidP="007A4608">
            <w:pPr>
              <w:jc w:val="center"/>
              <w:rPr>
                <w:rFonts w:cs="Times New Roman"/>
                <w:noProof/>
                <w:sz w:val="16"/>
                <w:szCs w:val="16"/>
              </w:rPr>
            </w:pPr>
          </w:p>
        </w:tc>
        <w:tc>
          <w:tcPr>
            <w:tcW w:w="3544" w:type="dxa"/>
            <w:tcBorders>
              <w:top w:val="single" w:sz="4" w:space="0" w:color="auto"/>
              <w:bottom w:val="single" w:sz="4" w:space="0" w:color="auto"/>
            </w:tcBorders>
          </w:tcPr>
          <w:p w14:paraId="1B5B5E90" w14:textId="77777777" w:rsidR="009C14FB" w:rsidRPr="004D4A14" w:rsidRDefault="009C14FB" w:rsidP="007A4608">
            <w:pPr>
              <w:jc w:val="both"/>
              <w:rPr>
                <w:rFonts w:eastAsia="Times New Roman" w:cs="Times New Roman"/>
                <w:bCs/>
                <w:iCs/>
                <w:noProof/>
                <w:sz w:val="20"/>
              </w:rPr>
            </w:pPr>
            <w:r w:rsidRPr="004D4A14">
              <w:rPr>
                <w:rFonts w:eastAsia="Times New Roman"/>
                <w:bCs/>
                <w:iCs/>
                <w:noProof/>
                <w:sz w:val="20"/>
              </w:rPr>
              <w:t>092 – Rekonstruoti ar modernizuoti greitkeliai ir keliai – TEN-T visuotinis tinklas</w:t>
            </w:r>
          </w:p>
        </w:tc>
        <w:tc>
          <w:tcPr>
            <w:tcW w:w="1701" w:type="dxa"/>
            <w:tcBorders>
              <w:top w:val="single" w:sz="4" w:space="0" w:color="auto"/>
              <w:bottom w:val="single" w:sz="4" w:space="0" w:color="auto"/>
            </w:tcBorders>
          </w:tcPr>
          <w:p w14:paraId="1B476972" w14:textId="77777777" w:rsidR="009C14FB" w:rsidRPr="004D4A14" w:rsidRDefault="009C14FB" w:rsidP="007A4608">
            <w:pPr>
              <w:jc w:val="right"/>
              <w:rPr>
                <w:rFonts w:cs="Times New Roman"/>
                <w:sz w:val="20"/>
                <w:szCs w:val="20"/>
              </w:rPr>
            </w:pPr>
            <w:r w:rsidRPr="004D4A14">
              <w:rPr>
                <w:rFonts w:cs="Times New Roman"/>
                <w:sz w:val="20"/>
                <w:szCs w:val="20"/>
              </w:rPr>
              <w:t>32 000 000,00</w:t>
            </w:r>
          </w:p>
          <w:p w14:paraId="1DA4F78F" w14:textId="77777777" w:rsidR="009C14FB" w:rsidRPr="004D4A14" w:rsidRDefault="009C14FB" w:rsidP="007A4608">
            <w:pPr>
              <w:jc w:val="right"/>
              <w:rPr>
                <w:rFonts w:cs="Times New Roman"/>
                <w:sz w:val="20"/>
                <w:szCs w:val="20"/>
              </w:rPr>
            </w:pPr>
          </w:p>
        </w:tc>
      </w:tr>
      <w:tr w:rsidR="009C14FB" w:rsidRPr="004D4A14" w14:paraId="52964C7A" w14:textId="77777777" w:rsidTr="007A4608">
        <w:tc>
          <w:tcPr>
            <w:tcW w:w="1069" w:type="dxa"/>
            <w:vMerge/>
          </w:tcPr>
          <w:p w14:paraId="628C04C9" w14:textId="77777777" w:rsidR="009C14FB" w:rsidRPr="004D4A14" w:rsidRDefault="009C14FB" w:rsidP="007A4608">
            <w:pPr>
              <w:jc w:val="center"/>
              <w:rPr>
                <w:rFonts w:cs="Times New Roman"/>
                <w:noProof/>
                <w:sz w:val="16"/>
                <w:szCs w:val="16"/>
              </w:rPr>
            </w:pPr>
          </w:p>
        </w:tc>
        <w:tc>
          <w:tcPr>
            <w:tcW w:w="843" w:type="dxa"/>
            <w:vMerge/>
          </w:tcPr>
          <w:p w14:paraId="30A06B36" w14:textId="77777777" w:rsidR="009C14FB" w:rsidRPr="004D4A14" w:rsidRDefault="009C14FB" w:rsidP="007A4608">
            <w:pPr>
              <w:jc w:val="center"/>
              <w:rPr>
                <w:rFonts w:eastAsia="Times New Roman" w:cs="Times New Roman"/>
                <w:iCs/>
                <w:noProof/>
                <w:sz w:val="20"/>
                <w:szCs w:val="20"/>
              </w:rPr>
            </w:pPr>
          </w:p>
        </w:tc>
        <w:tc>
          <w:tcPr>
            <w:tcW w:w="1475" w:type="dxa"/>
            <w:vMerge/>
          </w:tcPr>
          <w:p w14:paraId="153DC871" w14:textId="77777777" w:rsidR="009C14FB" w:rsidRPr="004D4A14" w:rsidRDefault="009C14FB" w:rsidP="007A4608">
            <w:pPr>
              <w:rPr>
                <w:rFonts w:eastAsia="Times New Roman" w:cs="Times New Roman"/>
                <w:iCs/>
                <w:noProof/>
                <w:sz w:val="20"/>
                <w:szCs w:val="20"/>
              </w:rPr>
            </w:pPr>
          </w:p>
        </w:tc>
        <w:tc>
          <w:tcPr>
            <w:tcW w:w="1134" w:type="dxa"/>
            <w:vMerge/>
          </w:tcPr>
          <w:p w14:paraId="7E3F5803" w14:textId="77777777" w:rsidR="009C14FB" w:rsidRPr="004D4A14" w:rsidRDefault="009C14FB" w:rsidP="007A4608">
            <w:pPr>
              <w:jc w:val="center"/>
              <w:rPr>
                <w:rFonts w:cs="Times New Roman"/>
                <w:noProof/>
                <w:sz w:val="16"/>
                <w:szCs w:val="16"/>
              </w:rPr>
            </w:pPr>
          </w:p>
        </w:tc>
        <w:tc>
          <w:tcPr>
            <w:tcW w:w="3544" w:type="dxa"/>
            <w:tcBorders>
              <w:top w:val="single" w:sz="4" w:space="0" w:color="auto"/>
              <w:bottom w:val="single" w:sz="4" w:space="0" w:color="auto"/>
            </w:tcBorders>
          </w:tcPr>
          <w:p w14:paraId="5F20576F" w14:textId="77777777" w:rsidR="009C14FB" w:rsidRPr="004D4A14" w:rsidRDefault="009C14FB" w:rsidP="007A4608">
            <w:pPr>
              <w:jc w:val="both"/>
              <w:rPr>
                <w:rFonts w:eastAsia="Times New Roman" w:cs="Times New Roman"/>
                <w:bCs/>
                <w:iCs/>
                <w:noProof/>
                <w:sz w:val="20"/>
              </w:rPr>
            </w:pPr>
            <w:r w:rsidRPr="004D4A14">
              <w:rPr>
                <w:rFonts w:eastAsia="Times New Roman"/>
                <w:iCs/>
                <w:noProof/>
                <w:sz w:val="20"/>
              </w:rPr>
              <w:t>093 – Kiti rekonstruoti ar modernizuoti keliai (greitkeliai, nacionaliniai, regioniniai ar vietos keliai)</w:t>
            </w:r>
          </w:p>
        </w:tc>
        <w:tc>
          <w:tcPr>
            <w:tcW w:w="1701" w:type="dxa"/>
            <w:tcBorders>
              <w:top w:val="single" w:sz="4" w:space="0" w:color="auto"/>
              <w:bottom w:val="single" w:sz="4" w:space="0" w:color="auto"/>
            </w:tcBorders>
          </w:tcPr>
          <w:p w14:paraId="76C73056" w14:textId="77777777" w:rsidR="009C14FB" w:rsidRPr="004D4A14" w:rsidRDefault="009C14FB" w:rsidP="007A4608">
            <w:pPr>
              <w:jc w:val="right"/>
              <w:rPr>
                <w:rFonts w:cs="Times New Roman"/>
                <w:sz w:val="20"/>
                <w:szCs w:val="20"/>
              </w:rPr>
            </w:pPr>
            <w:r w:rsidRPr="004D4A14">
              <w:rPr>
                <w:rFonts w:cs="Times New Roman"/>
                <w:sz w:val="20"/>
                <w:szCs w:val="20"/>
              </w:rPr>
              <w:t>23 466 680,00</w:t>
            </w:r>
          </w:p>
        </w:tc>
      </w:tr>
      <w:tr w:rsidR="009C14FB" w:rsidRPr="004D4A14" w14:paraId="3DC170E7" w14:textId="77777777" w:rsidTr="007A4608">
        <w:tc>
          <w:tcPr>
            <w:tcW w:w="1069" w:type="dxa"/>
            <w:vMerge/>
            <w:tcBorders>
              <w:bottom w:val="single" w:sz="12" w:space="0" w:color="auto"/>
            </w:tcBorders>
          </w:tcPr>
          <w:p w14:paraId="6B00BA43" w14:textId="77777777" w:rsidR="009C14FB" w:rsidRPr="004D4A14" w:rsidRDefault="009C14FB" w:rsidP="007A4608">
            <w:pPr>
              <w:jc w:val="center"/>
              <w:rPr>
                <w:rFonts w:cs="Times New Roman"/>
                <w:noProof/>
                <w:sz w:val="16"/>
                <w:szCs w:val="16"/>
              </w:rPr>
            </w:pPr>
          </w:p>
        </w:tc>
        <w:tc>
          <w:tcPr>
            <w:tcW w:w="843" w:type="dxa"/>
            <w:vMerge/>
            <w:tcBorders>
              <w:bottom w:val="single" w:sz="12" w:space="0" w:color="auto"/>
            </w:tcBorders>
          </w:tcPr>
          <w:p w14:paraId="15F6834B" w14:textId="77777777" w:rsidR="009C14FB" w:rsidRPr="004D4A14" w:rsidRDefault="009C14FB" w:rsidP="007A4608">
            <w:pPr>
              <w:jc w:val="center"/>
              <w:rPr>
                <w:rFonts w:eastAsia="Times New Roman" w:cs="Times New Roman"/>
                <w:iCs/>
                <w:noProof/>
                <w:sz w:val="20"/>
                <w:szCs w:val="20"/>
              </w:rPr>
            </w:pPr>
          </w:p>
        </w:tc>
        <w:tc>
          <w:tcPr>
            <w:tcW w:w="1475" w:type="dxa"/>
            <w:vMerge/>
            <w:tcBorders>
              <w:bottom w:val="single" w:sz="12" w:space="0" w:color="auto"/>
            </w:tcBorders>
          </w:tcPr>
          <w:p w14:paraId="2D179DE7" w14:textId="77777777" w:rsidR="009C14FB" w:rsidRPr="004D4A14" w:rsidRDefault="009C14FB" w:rsidP="007A4608">
            <w:pPr>
              <w:rPr>
                <w:rFonts w:eastAsia="Times New Roman" w:cs="Times New Roman"/>
                <w:iCs/>
                <w:noProof/>
                <w:sz w:val="20"/>
                <w:szCs w:val="20"/>
              </w:rPr>
            </w:pPr>
          </w:p>
        </w:tc>
        <w:tc>
          <w:tcPr>
            <w:tcW w:w="1134" w:type="dxa"/>
            <w:vMerge/>
            <w:tcBorders>
              <w:bottom w:val="single" w:sz="12" w:space="0" w:color="auto"/>
            </w:tcBorders>
          </w:tcPr>
          <w:p w14:paraId="7E116F98" w14:textId="77777777" w:rsidR="009C14FB" w:rsidRPr="004D4A14" w:rsidRDefault="009C14FB" w:rsidP="007A4608">
            <w:pPr>
              <w:jc w:val="center"/>
              <w:rPr>
                <w:rFonts w:cs="Times New Roman"/>
                <w:noProof/>
                <w:sz w:val="16"/>
                <w:szCs w:val="16"/>
              </w:rPr>
            </w:pPr>
          </w:p>
        </w:tc>
        <w:tc>
          <w:tcPr>
            <w:tcW w:w="3544" w:type="dxa"/>
            <w:tcBorders>
              <w:top w:val="single" w:sz="4" w:space="0" w:color="auto"/>
              <w:bottom w:val="single" w:sz="12" w:space="0" w:color="auto"/>
            </w:tcBorders>
          </w:tcPr>
          <w:p w14:paraId="7DF321C3" w14:textId="77777777" w:rsidR="009C14FB" w:rsidRPr="004D4A14" w:rsidRDefault="009C14FB" w:rsidP="007A4608">
            <w:pPr>
              <w:jc w:val="both"/>
              <w:rPr>
                <w:rFonts w:eastAsia="Times New Roman"/>
                <w:iCs/>
                <w:noProof/>
                <w:sz w:val="20"/>
              </w:rPr>
            </w:pPr>
            <w:r w:rsidRPr="004D4A14">
              <w:rPr>
                <w:rFonts w:eastAsia="Times New Roman"/>
                <w:bCs/>
                <w:iCs/>
                <w:noProof/>
                <w:sz w:val="20"/>
              </w:rPr>
              <w:t>102 – Kiti rekonstruoti ar modernizuoti geležinkeliai</w:t>
            </w:r>
          </w:p>
        </w:tc>
        <w:tc>
          <w:tcPr>
            <w:tcW w:w="1701" w:type="dxa"/>
            <w:tcBorders>
              <w:top w:val="single" w:sz="4" w:space="0" w:color="auto"/>
              <w:bottom w:val="single" w:sz="12" w:space="0" w:color="auto"/>
            </w:tcBorders>
          </w:tcPr>
          <w:p w14:paraId="7363264E" w14:textId="77777777" w:rsidR="009C14FB" w:rsidRPr="004D4A14" w:rsidRDefault="009C14FB" w:rsidP="007A4608">
            <w:pPr>
              <w:jc w:val="right"/>
              <w:rPr>
                <w:rFonts w:cs="Times New Roman"/>
                <w:sz w:val="20"/>
                <w:szCs w:val="20"/>
              </w:rPr>
            </w:pPr>
            <w:r w:rsidRPr="004D4A14">
              <w:rPr>
                <w:rFonts w:cs="Times New Roman"/>
                <w:color w:val="000000" w:themeColor="text1"/>
                <w:sz w:val="20"/>
                <w:szCs w:val="20"/>
              </w:rPr>
              <w:t>961 923,00</w:t>
            </w:r>
          </w:p>
        </w:tc>
      </w:tr>
    </w:tbl>
    <w:p w14:paraId="41151D6B" w14:textId="77777777" w:rsidR="009C14FB" w:rsidRPr="004D4A14" w:rsidRDefault="009C14FB" w:rsidP="009C14FB">
      <w:pPr>
        <w:spacing w:after="0" w:line="240" w:lineRule="auto"/>
        <w:rPr>
          <w:rFonts w:eastAsia="Times New Roman" w:cs="Times New Roman"/>
          <w:sz w:val="20"/>
          <w:szCs w:val="20"/>
        </w:rPr>
      </w:pPr>
    </w:p>
    <w:tbl>
      <w:tblPr>
        <w:tblStyle w:val="Lentelstinklelis"/>
        <w:tblW w:w="9747" w:type="dxa"/>
        <w:tblLayout w:type="fixed"/>
        <w:tblLook w:val="04A0" w:firstRow="1" w:lastRow="0" w:firstColumn="1" w:lastColumn="0" w:noHBand="0" w:noVBand="1"/>
      </w:tblPr>
      <w:tblGrid>
        <w:gridCol w:w="1101"/>
        <w:gridCol w:w="850"/>
        <w:gridCol w:w="1436"/>
        <w:gridCol w:w="1134"/>
        <w:gridCol w:w="3601"/>
        <w:gridCol w:w="1625"/>
      </w:tblGrid>
      <w:tr w:rsidR="009C14FB" w:rsidRPr="004D4A14" w14:paraId="0F93E949" w14:textId="77777777" w:rsidTr="007A4608">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621660FE" w14:textId="77777777" w:rsidR="009C14FB" w:rsidRPr="004D4A14" w:rsidRDefault="009C14FB" w:rsidP="007A4608">
            <w:pPr>
              <w:rPr>
                <w:rFonts w:eastAsia="Times New Roman" w:cs="Times New Roman"/>
                <w:b/>
                <w:iCs/>
                <w:noProof/>
                <w:sz w:val="20"/>
              </w:rPr>
            </w:pPr>
            <w:r w:rsidRPr="004D4A14">
              <w:rPr>
                <w:rFonts w:cs="Times New Roman"/>
                <w:b/>
                <w:noProof/>
                <w:sz w:val="20"/>
              </w:rPr>
              <w:t>5 lentelė. 2 matmuo. Finansavimo forma</w:t>
            </w:r>
          </w:p>
        </w:tc>
      </w:tr>
      <w:tr w:rsidR="009C14FB" w:rsidRPr="004D4A14" w14:paraId="6967B4CB" w14:textId="77777777" w:rsidTr="007A4608">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8695669" w14:textId="77777777" w:rsidR="009C14FB" w:rsidRPr="004D4A14" w:rsidRDefault="009C14FB" w:rsidP="007A4608">
            <w:pPr>
              <w:jc w:val="center"/>
              <w:rPr>
                <w:rFonts w:eastAsia="Times New Roman" w:cs="Times New Roman"/>
                <w:b/>
                <w:iCs/>
                <w:noProof/>
                <w:sz w:val="20"/>
              </w:rPr>
            </w:pPr>
            <w:r w:rsidRPr="004D4A14">
              <w:rPr>
                <w:rFonts w:cs="Times New Roman"/>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C24B929" w14:textId="77777777" w:rsidR="009C14FB" w:rsidRPr="004D4A14" w:rsidRDefault="009C14FB" w:rsidP="007A4608">
            <w:pPr>
              <w:jc w:val="center"/>
              <w:rPr>
                <w:rFonts w:eastAsia="Times New Roman" w:cs="Times New Roman"/>
                <w:b/>
                <w:iCs/>
                <w:noProof/>
                <w:sz w:val="20"/>
              </w:rPr>
            </w:pPr>
            <w:r w:rsidRPr="004D4A14">
              <w:rPr>
                <w:rFonts w:cs="Times New Roman"/>
                <w:b/>
                <w:noProof/>
                <w:sz w:val="20"/>
              </w:rPr>
              <w:t>Fondas</w:t>
            </w:r>
          </w:p>
        </w:tc>
        <w:tc>
          <w:tcPr>
            <w:tcW w:w="143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7E02A84" w14:textId="77777777" w:rsidR="009C14FB" w:rsidRPr="004D4A14" w:rsidRDefault="009C14FB" w:rsidP="007A4608">
            <w:pPr>
              <w:jc w:val="center"/>
              <w:rPr>
                <w:rFonts w:eastAsia="Times New Roman" w:cs="Times New Roman"/>
                <w:b/>
                <w:iCs/>
                <w:noProof/>
                <w:sz w:val="20"/>
              </w:rPr>
            </w:pPr>
            <w:r w:rsidRPr="004D4A14">
              <w:rPr>
                <w:rFonts w:cs="Times New Roman"/>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CBF4E1" w14:textId="77777777" w:rsidR="009C14FB" w:rsidRPr="004D4A14" w:rsidRDefault="009C14FB" w:rsidP="007A4608">
            <w:pPr>
              <w:jc w:val="center"/>
              <w:rPr>
                <w:rFonts w:eastAsia="Times New Roman" w:cs="Times New Roman"/>
                <w:b/>
                <w:iCs/>
                <w:noProof/>
                <w:sz w:val="20"/>
              </w:rPr>
            </w:pPr>
            <w:r w:rsidRPr="004D4A14">
              <w:rPr>
                <w:rFonts w:cs="Times New Roman"/>
                <w:b/>
                <w:noProof/>
                <w:sz w:val="20"/>
              </w:rPr>
              <w:t>Konkretus uždavinys</w:t>
            </w:r>
          </w:p>
        </w:tc>
        <w:tc>
          <w:tcPr>
            <w:tcW w:w="36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47E16EF" w14:textId="77777777" w:rsidR="009C14FB" w:rsidRPr="004D4A14" w:rsidRDefault="009C14FB" w:rsidP="007A4608">
            <w:pPr>
              <w:jc w:val="center"/>
              <w:rPr>
                <w:rFonts w:eastAsia="Times New Roman" w:cs="Times New Roman"/>
                <w:b/>
                <w:iCs/>
                <w:noProof/>
                <w:sz w:val="20"/>
              </w:rPr>
            </w:pPr>
            <w:r w:rsidRPr="004D4A14">
              <w:rPr>
                <w:rFonts w:cs="Times New Roman"/>
                <w:b/>
                <w:noProof/>
                <w:sz w:val="20"/>
              </w:rPr>
              <w:t>Kodas</w:t>
            </w:r>
          </w:p>
        </w:tc>
        <w:tc>
          <w:tcPr>
            <w:tcW w:w="162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4429554" w14:textId="77777777" w:rsidR="009C14FB" w:rsidRPr="004D4A14" w:rsidRDefault="009C14FB" w:rsidP="007A4608">
            <w:pPr>
              <w:jc w:val="center"/>
              <w:rPr>
                <w:rFonts w:eastAsia="Times New Roman" w:cs="Times New Roman"/>
                <w:b/>
                <w:iCs/>
                <w:noProof/>
                <w:sz w:val="20"/>
              </w:rPr>
            </w:pPr>
            <w:r w:rsidRPr="004D4A14">
              <w:rPr>
                <w:rFonts w:cs="Times New Roman"/>
                <w:b/>
                <w:noProof/>
                <w:sz w:val="20"/>
              </w:rPr>
              <w:t>Suma (EUR)</w:t>
            </w:r>
          </w:p>
        </w:tc>
      </w:tr>
      <w:tr w:rsidR="009C14FB" w:rsidRPr="004D4A14" w14:paraId="1A5FF6EC" w14:textId="77777777" w:rsidTr="007A4608">
        <w:tc>
          <w:tcPr>
            <w:tcW w:w="1101" w:type="dxa"/>
            <w:vMerge w:val="restart"/>
            <w:tcBorders>
              <w:top w:val="single" w:sz="12" w:space="0" w:color="auto"/>
            </w:tcBorders>
          </w:tcPr>
          <w:p w14:paraId="4A8FC48F" w14:textId="77777777" w:rsidR="009C14FB" w:rsidRPr="004D4A14" w:rsidRDefault="009C14FB" w:rsidP="007A4608">
            <w:pPr>
              <w:jc w:val="center"/>
              <w:rPr>
                <w:rFonts w:eastAsia="Times New Roman" w:cs="Times New Roman"/>
                <w:iCs/>
                <w:noProof/>
                <w:sz w:val="20"/>
                <w:szCs w:val="20"/>
              </w:rPr>
            </w:pPr>
            <w:r w:rsidRPr="004D4A14">
              <w:rPr>
                <w:rFonts w:eastAsia="Times New Roman" w:cs="Times New Roman"/>
                <w:iCs/>
                <w:noProof/>
                <w:sz w:val="20"/>
                <w:szCs w:val="20"/>
              </w:rPr>
              <w:t>14</w:t>
            </w:r>
          </w:p>
          <w:p w14:paraId="0874829C" w14:textId="77777777" w:rsidR="009C14FB" w:rsidRPr="004D4A14" w:rsidRDefault="009C14FB" w:rsidP="007A4608">
            <w:pPr>
              <w:jc w:val="center"/>
              <w:rPr>
                <w:rFonts w:eastAsia="Times New Roman" w:cs="Times New Roman"/>
                <w:iCs/>
                <w:noProof/>
                <w:sz w:val="20"/>
                <w:szCs w:val="20"/>
              </w:rPr>
            </w:pPr>
          </w:p>
        </w:tc>
        <w:tc>
          <w:tcPr>
            <w:tcW w:w="850" w:type="dxa"/>
            <w:tcBorders>
              <w:top w:val="single" w:sz="12" w:space="0" w:color="auto"/>
              <w:bottom w:val="single" w:sz="4" w:space="0" w:color="auto"/>
            </w:tcBorders>
          </w:tcPr>
          <w:p w14:paraId="78C35A48" w14:textId="77777777" w:rsidR="009C14FB" w:rsidRPr="004D4A14" w:rsidRDefault="009C14FB" w:rsidP="007A4608">
            <w:pPr>
              <w:jc w:val="center"/>
              <w:rPr>
                <w:rFonts w:eastAsia="Times New Roman" w:cs="Times New Roman"/>
                <w:iCs/>
                <w:noProof/>
                <w:sz w:val="20"/>
                <w:szCs w:val="20"/>
              </w:rPr>
            </w:pPr>
            <w:r w:rsidRPr="004D4A14">
              <w:rPr>
                <w:rFonts w:eastAsia="Times New Roman" w:cs="Times New Roman"/>
                <w:iCs/>
                <w:noProof/>
                <w:sz w:val="20"/>
                <w:szCs w:val="20"/>
              </w:rPr>
              <w:t>SaF</w:t>
            </w:r>
          </w:p>
        </w:tc>
        <w:tc>
          <w:tcPr>
            <w:tcW w:w="1436" w:type="dxa"/>
            <w:tcBorders>
              <w:top w:val="single" w:sz="12" w:space="0" w:color="auto"/>
              <w:bottom w:val="single" w:sz="4" w:space="0" w:color="auto"/>
            </w:tcBorders>
          </w:tcPr>
          <w:p w14:paraId="796B8486" w14:textId="77777777" w:rsidR="009C14FB" w:rsidRPr="004D4A14" w:rsidRDefault="009C14FB" w:rsidP="007A4608">
            <w:pPr>
              <w:rPr>
                <w:rFonts w:eastAsia="Times New Roman" w:cs="Times New Roman"/>
                <w:iCs/>
                <w:noProof/>
                <w:sz w:val="20"/>
                <w:szCs w:val="20"/>
              </w:rPr>
            </w:pPr>
            <w:r w:rsidRPr="004D4A14">
              <w:rPr>
                <w:rFonts w:eastAsia="Times New Roman" w:cs="Times New Roman"/>
                <w:iCs/>
                <w:noProof/>
                <w:sz w:val="20"/>
                <w:szCs w:val="20"/>
              </w:rPr>
              <w:t>Visa Lietuva</w:t>
            </w:r>
          </w:p>
        </w:tc>
        <w:tc>
          <w:tcPr>
            <w:tcW w:w="1134" w:type="dxa"/>
            <w:vMerge w:val="restart"/>
            <w:tcBorders>
              <w:top w:val="single" w:sz="12" w:space="0" w:color="auto"/>
            </w:tcBorders>
          </w:tcPr>
          <w:p w14:paraId="2CC7F900" w14:textId="77777777" w:rsidR="009C14FB" w:rsidRPr="004D4A14" w:rsidRDefault="009C14FB" w:rsidP="007A4608">
            <w:pPr>
              <w:jc w:val="center"/>
              <w:rPr>
                <w:rFonts w:eastAsia="Times New Roman" w:cs="Times New Roman"/>
                <w:noProof/>
                <w:sz w:val="20"/>
                <w:szCs w:val="20"/>
              </w:rPr>
            </w:pPr>
            <w:r w:rsidRPr="004D4A14">
              <w:rPr>
                <w:rFonts w:eastAsia="Times New Roman" w:cs="Times New Roman"/>
                <w:noProof/>
                <w:sz w:val="20"/>
                <w:szCs w:val="20"/>
              </w:rPr>
              <w:t>14.1</w:t>
            </w:r>
          </w:p>
        </w:tc>
        <w:tc>
          <w:tcPr>
            <w:tcW w:w="3601" w:type="dxa"/>
            <w:tcBorders>
              <w:top w:val="single" w:sz="12" w:space="0" w:color="auto"/>
              <w:bottom w:val="single" w:sz="4" w:space="0" w:color="auto"/>
            </w:tcBorders>
          </w:tcPr>
          <w:p w14:paraId="0EA83345" w14:textId="77777777" w:rsidR="009C14FB" w:rsidRPr="004D4A14" w:rsidRDefault="009C14FB" w:rsidP="007A4608">
            <w:pPr>
              <w:rPr>
                <w:rFonts w:eastAsia="Times New Roman" w:cs="Times New Roman"/>
                <w:bCs/>
                <w:iCs/>
                <w:noProof/>
                <w:sz w:val="20"/>
                <w:szCs w:val="20"/>
              </w:rPr>
            </w:pPr>
            <w:r w:rsidRPr="004D4A14">
              <w:rPr>
                <w:rFonts w:eastAsia="Times New Roman" w:cs="Times New Roman"/>
                <w:bCs/>
                <w:iCs/>
                <w:noProof/>
                <w:sz w:val="20"/>
                <w:szCs w:val="20"/>
              </w:rPr>
              <w:t>01 - Dotacija</w:t>
            </w:r>
          </w:p>
        </w:tc>
        <w:tc>
          <w:tcPr>
            <w:tcW w:w="1625" w:type="dxa"/>
            <w:tcBorders>
              <w:top w:val="single" w:sz="12" w:space="0" w:color="auto"/>
              <w:bottom w:val="single" w:sz="4" w:space="0" w:color="auto"/>
            </w:tcBorders>
          </w:tcPr>
          <w:p w14:paraId="65C38F5E" w14:textId="77777777" w:rsidR="009C14FB" w:rsidRPr="004D4A14" w:rsidRDefault="009C14FB" w:rsidP="007A4608">
            <w:pPr>
              <w:jc w:val="right"/>
              <w:rPr>
                <w:rFonts w:cs="Times New Roman"/>
                <w:sz w:val="20"/>
                <w:szCs w:val="20"/>
              </w:rPr>
            </w:pPr>
            <w:r w:rsidRPr="004D4A14">
              <w:rPr>
                <w:rFonts w:cs="Times New Roman"/>
                <w:sz w:val="20"/>
                <w:szCs w:val="20"/>
              </w:rPr>
              <w:t>80 171 398,00</w:t>
            </w:r>
          </w:p>
        </w:tc>
      </w:tr>
      <w:tr w:rsidR="009C14FB" w:rsidRPr="004D4A14" w14:paraId="23446414" w14:textId="77777777" w:rsidTr="007A4608">
        <w:tc>
          <w:tcPr>
            <w:tcW w:w="1101" w:type="dxa"/>
            <w:vMerge/>
          </w:tcPr>
          <w:p w14:paraId="6E90732E" w14:textId="77777777" w:rsidR="009C14FB" w:rsidRPr="004D4A14" w:rsidRDefault="009C14FB" w:rsidP="007A4608">
            <w:pPr>
              <w:jc w:val="center"/>
              <w:rPr>
                <w:rFonts w:eastAsia="Times New Roman" w:cs="Times New Roman"/>
                <w:iCs/>
                <w:noProof/>
                <w:sz w:val="20"/>
                <w:szCs w:val="20"/>
              </w:rPr>
            </w:pPr>
          </w:p>
        </w:tc>
        <w:tc>
          <w:tcPr>
            <w:tcW w:w="850" w:type="dxa"/>
            <w:tcBorders>
              <w:top w:val="single" w:sz="4" w:space="0" w:color="auto"/>
              <w:bottom w:val="single" w:sz="4" w:space="0" w:color="auto"/>
            </w:tcBorders>
          </w:tcPr>
          <w:p w14:paraId="369F9570" w14:textId="77777777" w:rsidR="009C14FB" w:rsidRPr="004D4A14" w:rsidRDefault="009C14FB" w:rsidP="007A4608">
            <w:pPr>
              <w:jc w:val="center"/>
              <w:rPr>
                <w:rFonts w:eastAsia="Times New Roman" w:cs="Times New Roman"/>
                <w:iCs/>
                <w:noProof/>
                <w:sz w:val="20"/>
                <w:szCs w:val="20"/>
              </w:rPr>
            </w:pPr>
            <w:r w:rsidRPr="004D4A14">
              <w:rPr>
                <w:rFonts w:eastAsia="Times New Roman" w:cs="Times New Roman"/>
                <w:iCs/>
                <w:noProof/>
                <w:sz w:val="20"/>
                <w:szCs w:val="20"/>
              </w:rPr>
              <w:t>ERPF</w:t>
            </w:r>
          </w:p>
        </w:tc>
        <w:tc>
          <w:tcPr>
            <w:tcW w:w="1436" w:type="dxa"/>
            <w:tcBorders>
              <w:top w:val="single" w:sz="4" w:space="0" w:color="auto"/>
              <w:bottom w:val="single" w:sz="4" w:space="0" w:color="auto"/>
            </w:tcBorders>
          </w:tcPr>
          <w:p w14:paraId="2334A88E" w14:textId="77777777" w:rsidR="009C14FB" w:rsidRPr="004D4A14" w:rsidRDefault="009C14FB" w:rsidP="007A4608">
            <w:pPr>
              <w:rPr>
                <w:rFonts w:eastAsia="Times New Roman" w:cs="Times New Roman"/>
                <w:iCs/>
                <w:noProof/>
                <w:sz w:val="20"/>
                <w:szCs w:val="20"/>
              </w:rPr>
            </w:pPr>
            <w:r w:rsidRPr="004D4A14">
              <w:rPr>
                <w:rFonts w:eastAsia="Times New Roman" w:cs="Times New Roman"/>
                <w:iCs/>
                <w:noProof/>
                <w:sz w:val="20"/>
                <w:szCs w:val="20"/>
              </w:rPr>
              <w:t>VVL regionas</w:t>
            </w:r>
          </w:p>
        </w:tc>
        <w:tc>
          <w:tcPr>
            <w:tcW w:w="1134" w:type="dxa"/>
            <w:vMerge/>
          </w:tcPr>
          <w:p w14:paraId="36331246" w14:textId="77777777" w:rsidR="009C14FB" w:rsidRPr="004D4A14" w:rsidRDefault="009C14FB" w:rsidP="007A4608">
            <w:pPr>
              <w:jc w:val="center"/>
              <w:rPr>
                <w:rFonts w:eastAsia="Times New Roman" w:cs="Times New Roman"/>
                <w:b/>
                <w:iCs/>
                <w:noProof/>
                <w:sz w:val="20"/>
                <w:szCs w:val="20"/>
              </w:rPr>
            </w:pPr>
          </w:p>
        </w:tc>
        <w:tc>
          <w:tcPr>
            <w:tcW w:w="3601" w:type="dxa"/>
            <w:tcBorders>
              <w:top w:val="single" w:sz="4" w:space="0" w:color="auto"/>
              <w:bottom w:val="single" w:sz="4" w:space="0" w:color="auto"/>
            </w:tcBorders>
          </w:tcPr>
          <w:p w14:paraId="6050D43B" w14:textId="77777777" w:rsidR="009C14FB" w:rsidRPr="004D4A14" w:rsidRDefault="009C14FB" w:rsidP="007A4608">
            <w:pPr>
              <w:rPr>
                <w:rFonts w:eastAsia="Times New Roman" w:cs="Times New Roman"/>
                <w:bCs/>
                <w:iCs/>
                <w:noProof/>
                <w:sz w:val="20"/>
                <w:szCs w:val="20"/>
              </w:rPr>
            </w:pPr>
            <w:r w:rsidRPr="004D4A14">
              <w:rPr>
                <w:rFonts w:eastAsia="Times New Roman" w:cs="Times New Roman"/>
                <w:bCs/>
                <w:iCs/>
                <w:noProof/>
                <w:sz w:val="20"/>
                <w:szCs w:val="20"/>
              </w:rPr>
              <w:t>01 - Dotacija</w:t>
            </w:r>
          </w:p>
        </w:tc>
        <w:tc>
          <w:tcPr>
            <w:tcW w:w="1625" w:type="dxa"/>
            <w:tcBorders>
              <w:top w:val="single" w:sz="4" w:space="0" w:color="auto"/>
              <w:bottom w:val="single" w:sz="4" w:space="0" w:color="auto"/>
            </w:tcBorders>
          </w:tcPr>
          <w:p w14:paraId="17EABC3E" w14:textId="77777777" w:rsidR="009C14FB" w:rsidRPr="004D4A14" w:rsidRDefault="009C14FB" w:rsidP="007A4608">
            <w:pPr>
              <w:jc w:val="right"/>
              <w:rPr>
                <w:rFonts w:cs="Times New Roman"/>
                <w:sz w:val="20"/>
                <w:szCs w:val="20"/>
              </w:rPr>
            </w:pPr>
            <w:r w:rsidRPr="004D4A14">
              <w:rPr>
                <w:rFonts w:cs="Times New Roman"/>
                <w:sz w:val="20"/>
                <w:szCs w:val="20"/>
              </w:rPr>
              <w:t>81 428 603,00</w:t>
            </w:r>
          </w:p>
        </w:tc>
      </w:tr>
    </w:tbl>
    <w:p w14:paraId="11C006AB" w14:textId="77777777" w:rsidR="009C14FB" w:rsidRPr="004D4A14" w:rsidRDefault="009C14FB" w:rsidP="009C14FB">
      <w:pPr>
        <w:spacing w:after="0" w:line="240" w:lineRule="auto"/>
        <w:rPr>
          <w:rFonts w:eastAsia="Times New Roman" w:cs="Times New Roman"/>
          <w:sz w:val="20"/>
          <w:szCs w:val="20"/>
        </w:rPr>
      </w:pPr>
    </w:p>
    <w:tbl>
      <w:tblPr>
        <w:tblStyle w:val="Lentelstinklelis"/>
        <w:tblW w:w="9766" w:type="dxa"/>
        <w:tblLook w:val="04A0" w:firstRow="1" w:lastRow="0" w:firstColumn="1" w:lastColumn="0" w:noHBand="0" w:noVBand="1"/>
      </w:tblPr>
      <w:tblGrid>
        <w:gridCol w:w="1093"/>
        <w:gridCol w:w="849"/>
        <w:gridCol w:w="1443"/>
        <w:gridCol w:w="1133"/>
        <w:gridCol w:w="3497"/>
        <w:gridCol w:w="1751"/>
      </w:tblGrid>
      <w:tr w:rsidR="009C14FB" w:rsidRPr="004D4A14" w14:paraId="5A0FB429" w14:textId="77777777" w:rsidTr="007A4608">
        <w:tc>
          <w:tcPr>
            <w:tcW w:w="9766"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ECC98D4" w14:textId="77777777" w:rsidR="009C14FB" w:rsidRPr="004D4A14" w:rsidRDefault="009C14FB" w:rsidP="007A4608">
            <w:pPr>
              <w:rPr>
                <w:rFonts w:eastAsia="Times New Roman" w:cs="Times New Roman"/>
                <w:b/>
                <w:iCs/>
                <w:noProof/>
                <w:sz w:val="20"/>
              </w:rPr>
            </w:pPr>
            <w:r w:rsidRPr="004D4A14">
              <w:rPr>
                <w:rFonts w:cs="Times New Roman"/>
                <w:b/>
                <w:noProof/>
                <w:sz w:val="20"/>
              </w:rPr>
              <w:t>6 lentelė. 3 matmuo. Teritorinis įgyvendinimo mechanizmas ir pagrindinė teritorinė sritis</w:t>
            </w:r>
          </w:p>
        </w:tc>
      </w:tr>
      <w:tr w:rsidR="009C14FB" w:rsidRPr="004D4A14" w14:paraId="5FB0A2F9" w14:textId="77777777" w:rsidTr="007A4608">
        <w:tc>
          <w:tcPr>
            <w:tcW w:w="109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77F7D1C" w14:textId="77777777" w:rsidR="009C14FB" w:rsidRPr="004D4A14" w:rsidRDefault="009C14FB" w:rsidP="007A4608">
            <w:pPr>
              <w:jc w:val="center"/>
              <w:rPr>
                <w:rFonts w:eastAsia="Times New Roman" w:cs="Times New Roman"/>
                <w:b/>
                <w:iCs/>
                <w:noProof/>
                <w:sz w:val="20"/>
              </w:rPr>
            </w:pPr>
            <w:r w:rsidRPr="004D4A14">
              <w:rPr>
                <w:rFonts w:cs="Times New Roman"/>
                <w:b/>
                <w:noProof/>
                <w:sz w:val="20"/>
              </w:rPr>
              <w:t>Prioriteto Nr.</w:t>
            </w:r>
          </w:p>
        </w:tc>
        <w:tc>
          <w:tcPr>
            <w:tcW w:w="8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0EF6A72" w14:textId="77777777" w:rsidR="009C14FB" w:rsidRPr="004D4A14" w:rsidRDefault="009C14FB" w:rsidP="007A4608">
            <w:pPr>
              <w:jc w:val="center"/>
              <w:rPr>
                <w:rFonts w:eastAsia="Times New Roman" w:cs="Times New Roman"/>
                <w:b/>
                <w:iCs/>
                <w:noProof/>
                <w:sz w:val="20"/>
              </w:rPr>
            </w:pPr>
            <w:r w:rsidRPr="004D4A14">
              <w:rPr>
                <w:rFonts w:cs="Times New Roman"/>
                <w:b/>
                <w:noProof/>
                <w:sz w:val="20"/>
              </w:rPr>
              <w:t>Fondas</w:t>
            </w:r>
          </w:p>
        </w:tc>
        <w:tc>
          <w:tcPr>
            <w:tcW w:w="144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BD377FF" w14:textId="77777777" w:rsidR="009C14FB" w:rsidRPr="004D4A14" w:rsidRDefault="009C14FB" w:rsidP="007A4608">
            <w:pPr>
              <w:jc w:val="center"/>
              <w:rPr>
                <w:rFonts w:eastAsia="Times New Roman" w:cs="Times New Roman"/>
                <w:b/>
                <w:iCs/>
                <w:noProof/>
                <w:sz w:val="20"/>
              </w:rPr>
            </w:pPr>
            <w:r w:rsidRPr="004D4A14">
              <w:rPr>
                <w:rFonts w:cs="Times New Roman"/>
                <w:b/>
                <w:noProof/>
                <w:sz w:val="20"/>
              </w:rPr>
              <w:t>Regiono kategorija</w:t>
            </w:r>
          </w:p>
        </w:tc>
        <w:tc>
          <w:tcPr>
            <w:tcW w:w="113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AAF50A5" w14:textId="77777777" w:rsidR="009C14FB" w:rsidRPr="004D4A14" w:rsidRDefault="009C14FB" w:rsidP="007A4608">
            <w:pPr>
              <w:jc w:val="center"/>
              <w:rPr>
                <w:rFonts w:eastAsia="Times New Roman" w:cs="Times New Roman"/>
                <w:b/>
                <w:iCs/>
                <w:noProof/>
                <w:sz w:val="20"/>
              </w:rPr>
            </w:pPr>
            <w:r w:rsidRPr="004D4A14">
              <w:rPr>
                <w:rFonts w:cs="Times New Roman"/>
                <w:b/>
                <w:noProof/>
                <w:sz w:val="20"/>
              </w:rPr>
              <w:t>Konkretus uždavinys</w:t>
            </w:r>
          </w:p>
        </w:tc>
        <w:tc>
          <w:tcPr>
            <w:tcW w:w="349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B5B012" w14:textId="77777777" w:rsidR="009C14FB" w:rsidRPr="004D4A14" w:rsidRDefault="009C14FB" w:rsidP="007A4608">
            <w:pPr>
              <w:jc w:val="center"/>
              <w:rPr>
                <w:rFonts w:eastAsia="Times New Roman" w:cs="Times New Roman"/>
                <w:b/>
                <w:iCs/>
                <w:noProof/>
                <w:sz w:val="20"/>
              </w:rPr>
            </w:pPr>
            <w:r w:rsidRPr="004D4A14">
              <w:rPr>
                <w:rFonts w:cs="Times New Roman"/>
                <w:b/>
                <w:noProof/>
                <w:sz w:val="20"/>
              </w:rPr>
              <w:t>Kodas</w:t>
            </w:r>
          </w:p>
        </w:tc>
        <w:tc>
          <w:tcPr>
            <w:tcW w:w="175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F306C1E" w14:textId="77777777" w:rsidR="009C14FB" w:rsidRPr="004D4A14" w:rsidRDefault="009C14FB" w:rsidP="007A4608">
            <w:pPr>
              <w:jc w:val="center"/>
              <w:rPr>
                <w:rFonts w:eastAsia="Times New Roman" w:cs="Times New Roman"/>
                <w:b/>
                <w:iCs/>
                <w:noProof/>
                <w:sz w:val="20"/>
              </w:rPr>
            </w:pPr>
            <w:r w:rsidRPr="004D4A14">
              <w:rPr>
                <w:rFonts w:cs="Times New Roman"/>
                <w:b/>
                <w:noProof/>
                <w:sz w:val="20"/>
              </w:rPr>
              <w:t>Suma (EUR)</w:t>
            </w:r>
          </w:p>
        </w:tc>
      </w:tr>
      <w:tr w:rsidR="009C14FB" w:rsidRPr="004D4A14" w14:paraId="474234BF" w14:textId="77777777" w:rsidTr="007A4608">
        <w:trPr>
          <w:trHeight w:val="303"/>
        </w:trPr>
        <w:tc>
          <w:tcPr>
            <w:tcW w:w="1093" w:type="dxa"/>
            <w:vMerge w:val="restart"/>
          </w:tcPr>
          <w:p w14:paraId="16690FC3" w14:textId="77777777" w:rsidR="009C14FB" w:rsidRPr="004D4A14" w:rsidRDefault="009C14FB" w:rsidP="007A4608">
            <w:pPr>
              <w:jc w:val="center"/>
              <w:rPr>
                <w:rFonts w:eastAsia="Times New Roman" w:cs="Times New Roman"/>
                <w:iCs/>
                <w:noProof/>
                <w:sz w:val="20"/>
                <w:szCs w:val="20"/>
              </w:rPr>
            </w:pPr>
            <w:r w:rsidRPr="004D4A14">
              <w:rPr>
                <w:rFonts w:eastAsia="Times New Roman" w:cs="Times New Roman"/>
                <w:iCs/>
                <w:noProof/>
                <w:sz w:val="20"/>
                <w:szCs w:val="20"/>
              </w:rPr>
              <w:t>14</w:t>
            </w:r>
          </w:p>
        </w:tc>
        <w:tc>
          <w:tcPr>
            <w:tcW w:w="849" w:type="dxa"/>
          </w:tcPr>
          <w:p w14:paraId="578E757E" w14:textId="77777777" w:rsidR="009C14FB" w:rsidRPr="004D4A14" w:rsidRDefault="009C14FB" w:rsidP="007A4608">
            <w:pPr>
              <w:jc w:val="center"/>
              <w:rPr>
                <w:rFonts w:eastAsia="Times New Roman" w:cs="Times New Roman"/>
                <w:iCs/>
                <w:noProof/>
                <w:sz w:val="20"/>
                <w:szCs w:val="20"/>
              </w:rPr>
            </w:pPr>
            <w:r w:rsidRPr="004D4A14">
              <w:rPr>
                <w:rFonts w:eastAsia="Times New Roman" w:cs="Times New Roman"/>
                <w:iCs/>
                <w:noProof/>
                <w:sz w:val="20"/>
                <w:szCs w:val="20"/>
              </w:rPr>
              <w:t>SaF</w:t>
            </w:r>
          </w:p>
        </w:tc>
        <w:tc>
          <w:tcPr>
            <w:tcW w:w="1443" w:type="dxa"/>
          </w:tcPr>
          <w:p w14:paraId="0F3E51D2" w14:textId="77777777" w:rsidR="009C14FB" w:rsidRPr="004D4A14" w:rsidRDefault="009C14FB" w:rsidP="007A4608">
            <w:pPr>
              <w:rPr>
                <w:rFonts w:eastAsia="Times New Roman" w:cs="Times New Roman"/>
                <w:iCs/>
                <w:noProof/>
                <w:sz w:val="20"/>
                <w:szCs w:val="20"/>
              </w:rPr>
            </w:pPr>
            <w:r w:rsidRPr="004D4A14">
              <w:rPr>
                <w:rFonts w:eastAsia="Times New Roman" w:cs="Times New Roman"/>
                <w:iCs/>
                <w:noProof/>
                <w:sz w:val="20"/>
                <w:szCs w:val="20"/>
              </w:rPr>
              <w:t>Visa Lietuva</w:t>
            </w:r>
          </w:p>
        </w:tc>
        <w:tc>
          <w:tcPr>
            <w:tcW w:w="1133" w:type="dxa"/>
            <w:vMerge w:val="restart"/>
          </w:tcPr>
          <w:p w14:paraId="64D5A01B" w14:textId="77777777" w:rsidR="009C14FB" w:rsidRPr="004D4A14" w:rsidRDefault="009C14FB" w:rsidP="007A4608">
            <w:pPr>
              <w:jc w:val="center"/>
              <w:rPr>
                <w:rFonts w:eastAsia="Times New Roman" w:cs="Times New Roman"/>
                <w:b/>
                <w:bCs/>
                <w:noProof/>
                <w:sz w:val="20"/>
                <w:szCs w:val="20"/>
              </w:rPr>
            </w:pPr>
            <w:r w:rsidRPr="004D4A14">
              <w:rPr>
                <w:rFonts w:eastAsia="Times New Roman" w:cs="Times New Roman"/>
                <w:noProof/>
                <w:sz w:val="20"/>
                <w:szCs w:val="20"/>
              </w:rPr>
              <w:t>14.1</w:t>
            </w:r>
          </w:p>
          <w:p w14:paraId="726C1C33" w14:textId="77777777" w:rsidR="009C14FB" w:rsidRPr="004D4A14" w:rsidRDefault="009C14FB" w:rsidP="007A4608">
            <w:pPr>
              <w:jc w:val="center"/>
              <w:rPr>
                <w:rFonts w:eastAsia="Times New Roman" w:cs="Times New Roman"/>
                <w:b/>
                <w:iCs/>
                <w:noProof/>
                <w:sz w:val="20"/>
                <w:szCs w:val="20"/>
              </w:rPr>
            </w:pPr>
          </w:p>
        </w:tc>
        <w:tc>
          <w:tcPr>
            <w:tcW w:w="3497" w:type="dxa"/>
          </w:tcPr>
          <w:p w14:paraId="3882BC0D" w14:textId="77777777" w:rsidR="009C14FB" w:rsidRPr="004D4A14" w:rsidRDefault="009C14FB" w:rsidP="007A4608">
            <w:pPr>
              <w:rPr>
                <w:rFonts w:eastAsia="Times New Roman" w:cs="Times New Roman"/>
                <w:bCs/>
                <w:iCs/>
                <w:noProof/>
                <w:sz w:val="20"/>
                <w:szCs w:val="20"/>
              </w:rPr>
            </w:pPr>
            <w:r w:rsidRPr="004D4A14">
              <w:rPr>
                <w:rFonts w:eastAsia="Times New Roman" w:cs="Times New Roman"/>
                <w:bCs/>
                <w:iCs/>
                <w:noProof/>
                <w:sz w:val="20"/>
                <w:szCs w:val="20"/>
              </w:rPr>
              <w:t>33 – Nesiorientuojant į teritoriškumą</w:t>
            </w:r>
          </w:p>
        </w:tc>
        <w:tc>
          <w:tcPr>
            <w:tcW w:w="1751" w:type="dxa"/>
          </w:tcPr>
          <w:p w14:paraId="0A750B61" w14:textId="77777777" w:rsidR="009C14FB" w:rsidRPr="004D4A14" w:rsidRDefault="009C14FB" w:rsidP="007A4608">
            <w:pPr>
              <w:jc w:val="right"/>
              <w:rPr>
                <w:rFonts w:cs="Times New Roman"/>
                <w:sz w:val="16"/>
                <w:szCs w:val="16"/>
              </w:rPr>
            </w:pPr>
            <w:r w:rsidRPr="004D4A14">
              <w:rPr>
                <w:rFonts w:cs="Times New Roman"/>
                <w:sz w:val="20"/>
                <w:szCs w:val="20"/>
              </w:rPr>
              <w:t>80 171 398,00</w:t>
            </w:r>
          </w:p>
        </w:tc>
      </w:tr>
      <w:tr w:rsidR="009C14FB" w:rsidRPr="004D4A14" w14:paraId="089ABA93" w14:textId="77777777" w:rsidTr="007A4608">
        <w:trPr>
          <w:trHeight w:val="303"/>
        </w:trPr>
        <w:tc>
          <w:tcPr>
            <w:tcW w:w="1093" w:type="dxa"/>
            <w:vMerge/>
          </w:tcPr>
          <w:p w14:paraId="51EE592E" w14:textId="77777777" w:rsidR="009C14FB" w:rsidRPr="004D4A14" w:rsidRDefault="009C14FB" w:rsidP="007A4608">
            <w:pPr>
              <w:jc w:val="center"/>
              <w:rPr>
                <w:rFonts w:eastAsia="Times New Roman" w:cs="Times New Roman"/>
                <w:iCs/>
                <w:noProof/>
                <w:sz w:val="20"/>
                <w:szCs w:val="20"/>
              </w:rPr>
            </w:pPr>
          </w:p>
        </w:tc>
        <w:tc>
          <w:tcPr>
            <w:tcW w:w="849" w:type="dxa"/>
          </w:tcPr>
          <w:p w14:paraId="3FE012BA" w14:textId="77777777" w:rsidR="009C14FB" w:rsidRPr="004D4A14" w:rsidRDefault="009C14FB" w:rsidP="007A4608">
            <w:pPr>
              <w:jc w:val="center"/>
              <w:rPr>
                <w:rFonts w:eastAsia="Times New Roman" w:cs="Times New Roman"/>
                <w:iCs/>
                <w:noProof/>
                <w:sz w:val="20"/>
                <w:szCs w:val="20"/>
              </w:rPr>
            </w:pPr>
            <w:r w:rsidRPr="004D4A14">
              <w:rPr>
                <w:rFonts w:eastAsia="Times New Roman" w:cs="Times New Roman"/>
                <w:iCs/>
                <w:noProof/>
                <w:sz w:val="20"/>
                <w:szCs w:val="20"/>
              </w:rPr>
              <w:t>ERPF</w:t>
            </w:r>
          </w:p>
        </w:tc>
        <w:tc>
          <w:tcPr>
            <w:tcW w:w="1443" w:type="dxa"/>
          </w:tcPr>
          <w:p w14:paraId="123B3B52" w14:textId="77777777" w:rsidR="009C14FB" w:rsidRPr="004D4A14" w:rsidRDefault="009C14FB" w:rsidP="007A4608">
            <w:pPr>
              <w:rPr>
                <w:rFonts w:eastAsia="Times New Roman" w:cs="Times New Roman"/>
                <w:iCs/>
                <w:noProof/>
                <w:sz w:val="20"/>
                <w:szCs w:val="20"/>
              </w:rPr>
            </w:pPr>
            <w:r w:rsidRPr="004D4A14">
              <w:rPr>
                <w:rFonts w:eastAsia="Times New Roman" w:cs="Times New Roman"/>
                <w:iCs/>
                <w:noProof/>
                <w:sz w:val="20"/>
                <w:szCs w:val="20"/>
              </w:rPr>
              <w:t>VVL regionas</w:t>
            </w:r>
          </w:p>
        </w:tc>
        <w:tc>
          <w:tcPr>
            <w:tcW w:w="1133" w:type="dxa"/>
            <w:vMerge/>
          </w:tcPr>
          <w:p w14:paraId="055F72CA" w14:textId="77777777" w:rsidR="009C14FB" w:rsidRPr="004D4A14" w:rsidRDefault="009C14FB" w:rsidP="007A4608">
            <w:pPr>
              <w:jc w:val="center"/>
              <w:rPr>
                <w:rFonts w:eastAsia="Times New Roman" w:cs="Times New Roman"/>
                <w:b/>
                <w:iCs/>
                <w:noProof/>
                <w:sz w:val="20"/>
                <w:szCs w:val="20"/>
              </w:rPr>
            </w:pPr>
          </w:p>
        </w:tc>
        <w:tc>
          <w:tcPr>
            <w:tcW w:w="3497" w:type="dxa"/>
          </w:tcPr>
          <w:p w14:paraId="39C35320" w14:textId="77777777" w:rsidR="009C14FB" w:rsidRPr="004D4A14" w:rsidRDefault="009C14FB" w:rsidP="007A4608">
            <w:pPr>
              <w:rPr>
                <w:rFonts w:eastAsia="Times New Roman" w:cs="Times New Roman"/>
                <w:bCs/>
                <w:iCs/>
                <w:noProof/>
                <w:sz w:val="20"/>
                <w:szCs w:val="20"/>
              </w:rPr>
            </w:pPr>
            <w:r w:rsidRPr="004D4A14">
              <w:rPr>
                <w:rFonts w:eastAsia="Times New Roman" w:cs="Times New Roman"/>
                <w:bCs/>
                <w:iCs/>
                <w:noProof/>
                <w:sz w:val="20"/>
                <w:szCs w:val="20"/>
              </w:rPr>
              <w:t>33 – Nesiorientuojant į teritoriškumą</w:t>
            </w:r>
          </w:p>
        </w:tc>
        <w:tc>
          <w:tcPr>
            <w:tcW w:w="1751" w:type="dxa"/>
          </w:tcPr>
          <w:p w14:paraId="1558BEC1" w14:textId="77777777" w:rsidR="009C14FB" w:rsidRPr="004D4A14" w:rsidRDefault="009C14FB" w:rsidP="007A4608">
            <w:pPr>
              <w:jc w:val="right"/>
              <w:rPr>
                <w:rFonts w:cs="Times New Roman"/>
                <w:sz w:val="16"/>
                <w:szCs w:val="16"/>
              </w:rPr>
            </w:pPr>
            <w:r w:rsidRPr="004D4A14">
              <w:rPr>
                <w:rFonts w:cs="Times New Roman"/>
                <w:sz w:val="20"/>
                <w:szCs w:val="20"/>
              </w:rPr>
              <w:t>81 428 603,00</w:t>
            </w:r>
          </w:p>
        </w:tc>
      </w:tr>
    </w:tbl>
    <w:p w14:paraId="32F43F51" w14:textId="77777777" w:rsidR="009C14FB" w:rsidRPr="004D4A14" w:rsidRDefault="009C14FB" w:rsidP="009C14FB">
      <w:pPr>
        <w:rPr>
          <w:rFonts w:cs="Times New Roman"/>
        </w:rPr>
      </w:pPr>
    </w:p>
    <w:tbl>
      <w:tblPr>
        <w:tblStyle w:val="Lentelstinklelis30"/>
        <w:tblW w:w="9747" w:type="dxa"/>
        <w:tblLayout w:type="fixed"/>
        <w:tblLook w:val="04A0" w:firstRow="1" w:lastRow="0" w:firstColumn="1" w:lastColumn="0" w:noHBand="0" w:noVBand="1"/>
      </w:tblPr>
      <w:tblGrid>
        <w:gridCol w:w="1101"/>
        <w:gridCol w:w="850"/>
        <w:gridCol w:w="1436"/>
        <w:gridCol w:w="1134"/>
        <w:gridCol w:w="3719"/>
        <w:gridCol w:w="1507"/>
      </w:tblGrid>
      <w:tr w:rsidR="009C14FB" w:rsidRPr="004D4A14" w14:paraId="7D7D2852" w14:textId="77777777" w:rsidTr="007A4608">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5F2DDCD1" w14:textId="77777777" w:rsidR="009C14FB" w:rsidRPr="004D4A14" w:rsidRDefault="009C14FB" w:rsidP="007A4608">
            <w:pPr>
              <w:rPr>
                <w:b/>
                <w:iCs/>
                <w:noProof/>
                <w:sz w:val="20"/>
                <w:szCs w:val="20"/>
              </w:rPr>
            </w:pPr>
            <w:r w:rsidRPr="004D4A14">
              <w:rPr>
                <w:b/>
                <w:noProof/>
                <w:sz w:val="20"/>
                <w:szCs w:val="20"/>
              </w:rPr>
              <w:t xml:space="preserve">7 lentelė. 7 matmuo. </w:t>
            </w:r>
            <w:r w:rsidRPr="004D4A14">
              <w:rPr>
                <w:b/>
                <w:sz w:val="20"/>
                <w:szCs w:val="20"/>
              </w:rPr>
              <w:t xml:space="preserve">ESF+, ERPF, </w:t>
            </w:r>
            <w:proofErr w:type="spellStart"/>
            <w:r w:rsidRPr="004D4A14">
              <w:rPr>
                <w:b/>
                <w:sz w:val="20"/>
                <w:szCs w:val="20"/>
              </w:rPr>
              <w:t>SaF</w:t>
            </w:r>
            <w:proofErr w:type="spellEnd"/>
            <w:r w:rsidRPr="004D4A14">
              <w:rPr>
                <w:b/>
                <w:sz w:val="20"/>
                <w:szCs w:val="20"/>
              </w:rPr>
              <w:t xml:space="preserve"> ir TPF lyčių lygybės matmuo</w:t>
            </w:r>
          </w:p>
        </w:tc>
      </w:tr>
      <w:tr w:rsidR="009C14FB" w:rsidRPr="004D4A14" w14:paraId="210FC7CE" w14:textId="77777777" w:rsidTr="007A4608">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580CF4B" w14:textId="77777777" w:rsidR="009C14FB" w:rsidRPr="004D4A14" w:rsidRDefault="009C14FB" w:rsidP="007A4608">
            <w:pPr>
              <w:jc w:val="center"/>
              <w:rPr>
                <w:b/>
                <w:iCs/>
                <w:noProof/>
                <w:sz w:val="20"/>
              </w:rPr>
            </w:pPr>
            <w:r w:rsidRPr="004D4A14">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99D53AC" w14:textId="77777777" w:rsidR="009C14FB" w:rsidRPr="004D4A14" w:rsidRDefault="009C14FB" w:rsidP="007A4608">
            <w:pPr>
              <w:jc w:val="center"/>
              <w:rPr>
                <w:b/>
                <w:iCs/>
                <w:noProof/>
                <w:sz w:val="20"/>
              </w:rPr>
            </w:pPr>
            <w:r w:rsidRPr="004D4A14">
              <w:rPr>
                <w:b/>
                <w:noProof/>
                <w:sz w:val="20"/>
              </w:rPr>
              <w:t>Fondas</w:t>
            </w:r>
          </w:p>
        </w:tc>
        <w:tc>
          <w:tcPr>
            <w:tcW w:w="1436"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39FEF1D" w14:textId="77777777" w:rsidR="009C14FB" w:rsidRPr="004D4A14" w:rsidRDefault="009C14FB" w:rsidP="007A4608">
            <w:pPr>
              <w:jc w:val="center"/>
              <w:rPr>
                <w:b/>
                <w:iCs/>
                <w:noProof/>
                <w:sz w:val="20"/>
              </w:rPr>
            </w:pPr>
            <w:r w:rsidRPr="004D4A14">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9A4E84D" w14:textId="77777777" w:rsidR="009C14FB" w:rsidRPr="004D4A14" w:rsidRDefault="009C14FB" w:rsidP="007A4608">
            <w:pPr>
              <w:jc w:val="center"/>
              <w:rPr>
                <w:b/>
                <w:iCs/>
                <w:noProof/>
                <w:sz w:val="20"/>
              </w:rPr>
            </w:pPr>
            <w:r w:rsidRPr="004D4A14">
              <w:rPr>
                <w:b/>
                <w:noProof/>
                <w:sz w:val="20"/>
              </w:rPr>
              <w:t>Konkretus uždavinys</w:t>
            </w:r>
          </w:p>
        </w:tc>
        <w:tc>
          <w:tcPr>
            <w:tcW w:w="371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670B7B9" w14:textId="77777777" w:rsidR="009C14FB" w:rsidRPr="004D4A14" w:rsidRDefault="009C14FB" w:rsidP="007A4608">
            <w:pPr>
              <w:jc w:val="center"/>
              <w:rPr>
                <w:b/>
                <w:iCs/>
                <w:noProof/>
                <w:sz w:val="20"/>
              </w:rPr>
            </w:pPr>
            <w:r w:rsidRPr="004D4A14">
              <w:rPr>
                <w:b/>
                <w:noProof/>
                <w:sz w:val="20"/>
              </w:rPr>
              <w:t>Kodas</w:t>
            </w:r>
          </w:p>
        </w:tc>
        <w:tc>
          <w:tcPr>
            <w:tcW w:w="150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D4527AC" w14:textId="77777777" w:rsidR="009C14FB" w:rsidRPr="004D4A14" w:rsidRDefault="009C14FB" w:rsidP="007A4608">
            <w:pPr>
              <w:jc w:val="center"/>
              <w:rPr>
                <w:b/>
                <w:iCs/>
                <w:noProof/>
                <w:sz w:val="20"/>
              </w:rPr>
            </w:pPr>
            <w:r w:rsidRPr="004D4A14">
              <w:rPr>
                <w:b/>
                <w:noProof/>
                <w:sz w:val="20"/>
              </w:rPr>
              <w:t>Suma (EUR)</w:t>
            </w:r>
          </w:p>
        </w:tc>
      </w:tr>
      <w:tr w:rsidR="009C14FB" w:rsidRPr="004D4A14" w14:paraId="29DB6791" w14:textId="77777777" w:rsidTr="007A4608">
        <w:trPr>
          <w:trHeight w:val="72"/>
        </w:trPr>
        <w:tc>
          <w:tcPr>
            <w:tcW w:w="1101" w:type="dxa"/>
            <w:vMerge w:val="restart"/>
          </w:tcPr>
          <w:p w14:paraId="7570E6E6" w14:textId="77777777" w:rsidR="009C14FB" w:rsidRPr="004D4A14" w:rsidRDefault="009C14FB" w:rsidP="007A4608">
            <w:pPr>
              <w:jc w:val="center"/>
              <w:rPr>
                <w:iCs/>
                <w:noProof/>
                <w:sz w:val="16"/>
                <w:szCs w:val="16"/>
              </w:rPr>
            </w:pPr>
            <w:r w:rsidRPr="004D4A14">
              <w:rPr>
                <w:iCs/>
                <w:noProof/>
                <w:sz w:val="20"/>
                <w:szCs w:val="20"/>
              </w:rPr>
              <w:t>14</w:t>
            </w:r>
          </w:p>
        </w:tc>
        <w:tc>
          <w:tcPr>
            <w:tcW w:w="850" w:type="dxa"/>
            <w:tcBorders>
              <w:top w:val="single" w:sz="12" w:space="0" w:color="auto"/>
              <w:bottom w:val="single" w:sz="4" w:space="0" w:color="auto"/>
            </w:tcBorders>
          </w:tcPr>
          <w:p w14:paraId="0757072F" w14:textId="77777777" w:rsidR="009C14FB" w:rsidRPr="004D4A14" w:rsidRDefault="009C14FB" w:rsidP="007A4608">
            <w:pPr>
              <w:jc w:val="center"/>
              <w:rPr>
                <w:iCs/>
                <w:noProof/>
                <w:sz w:val="16"/>
                <w:szCs w:val="16"/>
              </w:rPr>
            </w:pPr>
            <w:r w:rsidRPr="004D4A14">
              <w:rPr>
                <w:iCs/>
                <w:noProof/>
                <w:sz w:val="20"/>
                <w:szCs w:val="20"/>
              </w:rPr>
              <w:t>SaF</w:t>
            </w:r>
          </w:p>
        </w:tc>
        <w:tc>
          <w:tcPr>
            <w:tcW w:w="1436" w:type="dxa"/>
            <w:tcBorders>
              <w:top w:val="single" w:sz="12" w:space="0" w:color="auto"/>
              <w:bottom w:val="single" w:sz="4" w:space="0" w:color="auto"/>
            </w:tcBorders>
          </w:tcPr>
          <w:p w14:paraId="30BB52D8" w14:textId="77777777" w:rsidR="009C14FB" w:rsidRPr="004D4A14" w:rsidRDefault="009C14FB" w:rsidP="007A4608">
            <w:pPr>
              <w:rPr>
                <w:iCs/>
                <w:noProof/>
                <w:sz w:val="16"/>
                <w:szCs w:val="16"/>
              </w:rPr>
            </w:pPr>
            <w:r w:rsidRPr="004D4A14">
              <w:rPr>
                <w:iCs/>
                <w:noProof/>
                <w:sz w:val="20"/>
                <w:szCs w:val="20"/>
              </w:rPr>
              <w:t>Visa Lietuva</w:t>
            </w:r>
          </w:p>
        </w:tc>
        <w:tc>
          <w:tcPr>
            <w:tcW w:w="1134" w:type="dxa"/>
            <w:vMerge w:val="restart"/>
            <w:tcBorders>
              <w:top w:val="single" w:sz="12" w:space="0" w:color="auto"/>
            </w:tcBorders>
          </w:tcPr>
          <w:p w14:paraId="1D65E7DC" w14:textId="77777777" w:rsidR="009C14FB" w:rsidRPr="004D4A14" w:rsidRDefault="009C14FB" w:rsidP="007A4608">
            <w:pPr>
              <w:jc w:val="center"/>
              <w:rPr>
                <w:noProof/>
                <w:sz w:val="20"/>
                <w:szCs w:val="20"/>
              </w:rPr>
            </w:pPr>
            <w:r w:rsidRPr="004D4A14">
              <w:rPr>
                <w:noProof/>
                <w:sz w:val="20"/>
                <w:szCs w:val="20"/>
              </w:rPr>
              <w:t>14.1</w:t>
            </w:r>
          </w:p>
        </w:tc>
        <w:tc>
          <w:tcPr>
            <w:tcW w:w="3719" w:type="dxa"/>
            <w:tcBorders>
              <w:top w:val="single" w:sz="12" w:space="0" w:color="auto"/>
              <w:bottom w:val="single" w:sz="4" w:space="0" w:color="auto"/>
            </w:tcBorders>
          </w:tcPr>
          <w:p w14:paraId="697CB005" w14:textId="77777777" w:rsidR="009C14FB" w:rsidRPr="004D4A14" w:rsidRDefault="009C14FB" w:rsidP="007A4608">
            <w:pPr>
              <w:rPr>
                <w:iCs/>
                <w:noProof/>
                <w:sz w:val="20"/>
                <w:szCs w:val="20"/>
              </w:rPr>
            </w:pPr>
            <w:r w:rsidRPr="004D4A14">
              <w:rPr>
                <w:bCs/>
                <w:iCs/>
                <w:noProof/>
                <w:sz w:val="20"/>
                <w:szCs w:val="20"/>
              </w:rPr>
              <w:t>03 – Neutralumas lyties požiūriu</w:t>
            </w:r>
          </w:p>
        </w:tc>
        <w:tc>
          <w:tcPr>
            <w:tcW w:w="1507" w:type="dxa"/>
          </w:tcPr>
          <w:p w14:paraId="6F79AC7F" w14:textId="77777777" w:rsidR="009C14FB" w:rsidRPr="004D4A14" w:rsidRDefault="009C14FB" w:rsidP="007A4608">
            <w:pPr>
              <w:jc w:val="right"/>
              <w:rPr>
                <w:iCs/>
                <w:noProof/>
                <w:sz w:val="16"/>
                <w:szCs w:val="16"/>
              </w:rPr>
            </w:pPr>
            <w:r w:rsidRPr="004D4A14">
              <w:rPr>
                <w:sz w:val="20"/>
                <w:szCs w:val="20"/>
              </w:rPr>
              <w:t>80 171 398,00</w:t>
            </w:r>
          </w:p>
        </w:tc>
      </w:tr>
      <w:tr w:rsidR="009C14FB" w:rsidRPr="004D4A14" w14:paraId="04DA3F3B" w14:textId="77777777" w:rsidTr="007A4608">
        <w:tc>
          <w:tcPr>
            <w:tcW w:w="1101" w:type="dxa"/>
            <w:vMerge/>
          </w:tcPr>
          <w:p w14:paraId="61210103" w14:textId="77777777" w:rsidR="009C14FB" w:rsidRPr="004D4A14" w:rsidRDefault="009C14FB" w:rsidP="007A4608">
            <w:pPr>
              <w:jc w:val="center"/>
              <w:rPr>
                <w:iCs/>
                <w:noProof/>
                <w:sz w:val="16"/>
                <w:szCs w:val="16"/>
              </w:rPr>
            </w:pPr>
          </w:p>
        </w:tc>
        <w:tc>
          <w:tcPr>
            <w:tcW w:w="850" w:type="dxa"/>
            <w:tcBorders>
              <w:top w:val="single" w:sz="4" w:space="0" w:color="auto"/>
              <w:bottom w:val="single" w:sz="4" w:space="0" w:color="auto"/>
            </w:tcBorders>
          </w:tcPr>
          <w:p w14:paraId="4A30BA0A" w14:textId="77777777" w:rsidR="009C14FB" w:rsidRPr="004D4A14" w:rsidRDefault="009C14FB" w:rsidP="007A4608">
            <w:pPr>
              <w:jc w:val="center"/>
              <w:rPr>
                <w:iCs/>
                <w:noProof/>
                <w:sz w:val="16"/>
                <w:szCs w:val="16"/>
              </w:rPr>
            </w:pPr>
            <w:r w:rsidRPr="004D4A14">
              <w:rPr>
                <w:iCs/>
                <w:noProof/>
                <w:sz w:val="20"/>
                <w:szCs w:val="20"/>
              </w:rPr>
              <w:t>ERPF</w:t>
            </w:r>
          </w:p>
        </w:tc>
        <w:tc>
          <w:tcPr>
            <w:tcW w:w="1436" w:type="dxa"/>
            <w:tcBorders>
              <w:top w:val="single" w:sz="4" w:space="0" w:color="auto"/>
              <w:bottom w:val="single" w:sz="4" w:space="0" w:color="auto"/>
            </w:tcBorders>
          </w:tcPr>
          <w:p w14:paraId="4A5DE554" w14:textId="77777777" w:rsidR="009C14FB" w:rsidRPr="004D4A14" w:rsidRDefault="009C14FB" w:rsidP="007A4608">
            <w:pPr>
              <w:rPr>
                <w:iCs/>
                <w:noProof/>
                <w:sz w:val="16"/>
                <w:szCs w:val="16"/>
              </w:rPr>
            </w:pPr>
            <w:r w:rsidRPr="004D4A14">
              <w:rPr>
                <w:iCs/>
                <w:noProof/>
                <w:sz w:val="20"/>
                <w:szCs w:val="20"/>
              </w:rPr>
              <w:t>VVL regionas</w:t>
            </w:r>
          </w:p>
        </w:tc>
        <w:tc>
          <w:tcPr>
            <w:tcW w:w="1134" w:type="dxa"/>
            <w:vMerge/>
          </w:tcPr>
          <w:p w14:paraId="0F339D3D" w14:textId="77777777" w:rsidR="009C14FB" w:rsidRPr="004D4A14" w:rsidRDefault="009C14FB" w:rsidP="007A4608">
            <w:pPr>
              <w:jc w:val="center"/>
              <w:rPr>
                <w:iCs/>
                <w:noProof/>
                <w:sz w:val="16"/>
                <w:szCs w:val="16"/>
              </w:rPr>
            </w:pPr>
          </w:p>
        </w:tc>
        <w:tc>
          <w:tcPr>
            <w:tcW w:w="3719" w:type="dxa"/>
            <w:tcBorders>
              <w:top w:val="single" w:sz="4" w:space="0" w:color="auto"/>
              <w:bottom w:val="single" w:sz="4" w:space="0" w:color="auto"/>
            </w:tcBorders>
          </w:tcPr>
          <w:p w14:paraId="4A23D8D8" w14:textId="77777777" w:rsidR="009C14FB" w:rsidRPr="004D4A14" w:rsidRDefault="009C14FB" w:rsidP="007A4608">
            <w:pPr>
              <w:rPr>
                <w:iCs/>
                <w:noProof/>
                <w:sz w:val="20"/>
                <w:szCs w:val="20"/>
              </w:rPr>
            </w:pPr>
            <w:r w:rsidRPr="004D4A14">
              <w:rPr>
                <w:bCs/>
                <w:iCs/>
                <w:noProof/>
                <w:sz w:val="20"/>
                <w:szCs w:val="20"/>
              </w:rPr>
              <w:t>03 – Neutralumas lyties požiūriu</w:t>
            </w:r>
          </w:p>
        </w:tc>
        <w:tc>
          <w:tcPr>
            <w:tcW w:w="1507" w:type="dxa"/>
          </w:tcPr>
          <w:p w14:paraId="5C42AC56" w14:textId="77777777" w:rsidR="009C14FB" w:rsidRPr="004D4A14" w:rsidRDefault="009C14FB" w:rsidP="007A4608">
            <w:pPr>
              <w:jc w:val="right"/>
              <w:rPr>
                <w:iCs/>
                <w:noProof/>
                <w:sz w:val="16"/>
                <w:szCs w:val="16"/>
              </w:rPr>
            </w:pPr>
            <w:r w:rsidRPr="004D4A14">
              <w:rPr>
                <w:sz w:val="20"/>
                <w:szCs w:val="20"/>
              </w:rPr>
              <w:t>81 428 603,00</w:t>
            </w:r>
          </w:p>
        </w:tc>
      </w:tr>
    </w:tbl>
    <w:p w14:paraId="43B861B2" w14:textId="77777777" w:rsidR="009C14FB" w:rsidRPr="004D4A14" w:rsidRDefault="009C14FB" w:rsidP="009C14FB">
      <w:pPr>
        <w:rPr>
          <w:lang w:bidi="lt-LT"/>
        </w:rPr>
      </w:pPr>
    </w:p>
    <w:p w14:paraId="1DE3364E" w14:textId="19B70D30" w:rsidR="009C14FB" w:rsidRPr="004D4A14" w:rsidRDefault="009C14FB">
      <w:pPr>
        <w:rPr>
          <w:lang w:bidi="lt-LT"/>
        </w:rPr>
      </w:pPr>
      <w:r w:rsidRPr="004D4A14">
        <w:rPr>
          <w:lang w:bidi="lt-LT"/>
        </w:rPr>
        <w:br w:type="page"/>
      </w:r>
    </w:p>
    <w:p w14:paraId="7CBD359E" w14:textId="77777777" w:rsidR="00B47068" w:rsidRPr="004D4A14" w:rsidRDefault="00B47068" w:rsidP="00B47068">
      <w:pPr>
        <w:keepNext/>
        <w:keepLines/>
        <w:spacing w:before="480" w:after="0"/>
        <w:jc w:val="both"/>
        <w:outlineLvl w:val="0"/>
        <w:rPr>
          <w:rFonts w:eastAsiaTheme="majorEastAsia" w:cs="Times New Roman"/>
          <w:b/>
          <w:bCs/>
          <w:caps/>
          <w:color w:val="365F91" w:themeColor="accent1" w:themeShade="BF"/>
          <w:sz w:val="28"/>
          <w:szCs w:val="28"/>
        </w:rPr>
      </w:pPr>
      <w:bookmarkStart w:id="9" w:name="_Hlk215679827"/>
      <w:r w:rsidRPr="004D4A14">
        <w:rPr>
          <w:rFonts w:eastAsiaTheme="majorEastAsia" w:cs="Times New Roman"/>
          <w:b/>
          <w:bCs/>
          <w:caps/>
          <w:color w:val="365F91" w:themeColor="accent1" w:themeShade="BF"/>
          <w:sz w:val="28"/>
          <w:szCs w:val="28"/>
        </w:rPr>
        <w:lastRenderedPageBreak/>
        <w:t>15. specialus prioritetas. gynybos infrastruktūros atsparumo ir civilinės parengties stiprinimas</w:t>
      </w:r>
    </w:p>
    <w:bookmarkEnd w:id="9"/>
    <w:p w14:paraId="01BEDC66" w14:textId="4B04BB6B" w:rsidR="00B47068" w:rsidRPr="004D4A14" w:rsidRDefault="00B47068" w:rsidP="00B47068">
      <w:pPr>
        <w:keepNext/>
        <w:keepLines/>
        <w:spacing w:before="200" w:after="0"/>
        <w:jc w:val="both"/>
        <w:outlineLvl w:val="1"/>
        <w:rPr>
          <w:rFonts w:asciiTheme="majorHAnsi" w:eastAsiaTheme="majorEastAsia" w:hAnsiTheme="majorHAnsi" w:cs="Times New Roman"/>
          <w:b/>
          <w:bCs/>
          <w:color w:val="4F81BD" w:themeColor="accent1"/>
          <w:sz w:val="26"/>
          <w:szCs w:val="26"/>
        </w:rPr>
      </w:pPr>
      <w:r w:rsidRPr="004D4A14">
        <w:rPr>
          <w:rFonts w:asciiTheme="majorHAnsi" w:eastAsiaTheme="majorEastAsia" w:hAnsiTheme="majorHAnsi" w:cs="Times New Roman"/>
          <w:b/>
          <w:bCs/>
          <w:color w:val="4F81BD" w:themeColor="accent1"/>
          <w:sz w:val="26"/>
          <w:szCs w:val="26"/>
        </w:rPr>
        <w:t xml:space="preserve">Konkretus uždavinys – 15.1 </w:t>
      </w:r>
      <w:r w:rsidR="00EF3014" w:rsidRPr="004D4A14">
        <w:rPr>
          <w:rFonts w:asciiTheme="majorHAnsi" w:eastAsiaTheme="majorEastAsia" w:hAnsiTheme="majorHAnsi" w:cs="Times New Roman"/>
          <w:b/>
          <w:bCs/>
          <w:color w:val="4F81BD" w:themeColor="accent1"/>
          <w:sz w:val="26"/>
          <w:szCs w:val="26"/>
        </w:rPr>
        <w:t>Sukurti atsparią gynybos infrastruktūrą, pirmenybę teikiant dvejopo naudojimo infrastruktūrai, taip pat, siekti skatinti karinį mobilumą ES ir gerinti civilinę parengtį</w:t>
      </w:r>
    </w:p>
    <w:p w14:paraId="1219DB0C" w14:textId="77777777" w:rsidR="00B47068" w:rsidRPr="004D4A14" w:rsidRDefault="00B47068" w:rsidP="00B47068">
      <w:pPr>
        <w:tabs>
          <w:tab w:val="center" w:pos="4819"/>
          <w:tab w:val="right" w:pos="9638"/>
        </w:tabs>
        <w:spacing w:before="120" w:after="120" w:line="240" w:lineRule="auto"/>
        <w:rPr>
          <w:rFonts w:eastAsia="Times New Roman" w:cs="Arial"/>
          <w:b/>
          <w:i/>
          <w:color w:val="1F497D" w:themeColor="text2"/>
        </w:rPr>
      </w:pPr>
      <w:r w:rsidRPr="004D4A14">
        <w:rPr>
          <w:rFonts w:eastAsia="Times New Roman" w:cs="Arial"/>
          <w:b/>
          <w:i/>
          <w:color w:val="1F497D" w:themeColor="text2"/>
        </w:rPr>
        <w:t>Įgyvendinamos veiklos</w:t>
      </w:r>
    </w:p>
    <w:tbl>
      <w:tblPr>
        <w:tblStyle w:val="Lentelstinklelis210"/>
        <w:tblW w:w="9634" w:type="dxa"/>
        <w:tblLook w:val="04A0" w:firstRow="1" w:lastRow="0" w:firstColumn="1" w:lastColumn="0" w:noHBand="0" w:noVBand="1"/>
      </w:tblPr>
      <w:tblGrid>
        <w:gridCol w:w="9634"/>
      </w:tblGrid>
      <w:tr w:rsidR="00B47068" w:rsidRPr="004D4A14" w14:paraId="465487F4" w14:textId="77777777" w:rsidTr="008E427B">
        <w:trPr>
          <w:trHeight w:val="283"/>
        </w:trPr>
        <w:tc>
          <w:tcPr>
            <w:tcW w:w="9634" w:type="dxa"/>
          </w:tcPr>
          <w:p w14:paraId="04F5125D" w14:textId="77777777" w:rsidR="00B47068" w:rsidRPr="004D4A14" w:rsidRDefault="00B47068" w:rsidP="00B47068">
            <w:pPr>
              <w:spacing w:before="120" w:after="120"/>
              <w:jc w:val="both"/>
              <w:rPr>
                <w:rFonts w:ascii="Times New Roman" w:hAnsi="Times New Roman" w:cs="Times New Roman"/>
                <w:color w:val="000000" w:themeColor="text1"/>
              </w:rPr>
            </w:pPr>
            <w:r w:rsidRPr="004D4A14">
              <w:rPr>
                <w:rFonts w:ascii="Times New Roman" w:hAnsi="Times New Roman" w:cs="Times New Roman"/>
              </w:rPr>
              <w:t>Atsižvelgiant į pasikeitusią regiono saugumo situaciją po Rusijos pradėto karo prieš Ukrainą ir išaugusias hibridines bei karines grėsmes Lietuvos Respublikai ir visai ES, būtina kompleksiškai stiprinti valstybės atsparumą. Šiuolaikinės grėsmės pasižymi mažėjančiomis ribomis tarp karo ir taikos, karinių ir nekarinių veiksmų, kas lemia didesnį hibridinių grėsmių, tokių kaip priešiška informacinė, kibernetinė, diversinė veikla, tyčiniai infrastruktūros pažeidimai ir kt., pasireiškimo intensyvumą ir pavojų.</w:t>
            </w:r>
          </w:p>
          <w:p w14:paraId="48CE2A57" w14:textId="7DB84619" w:rsidR="00B47068" w:rsidRPr="004D4A14" w:rsidRDefault="00B47068" w:rsidP="00B47068">
            <w:pPr>
              <w:spacing w:before="120" w:after="120"/>
              <w:jc w:val="both"/>
              <w:rPr>
                <w:rFonts w:ascii="Times New Roman" w:hAnsi="Times New Roman" w:cs="Times New Roman"/>
              </w:rPr>
            </w:pPr>
            <w:r w:rsidRPr="004D4A14">
              <w:rPr>
                <w:rFonts w:ascii="Times New Roman" w:hAnsi="Times New Roman" w:cs="Times New Roman"/>
              </w:rPr>
              <w:t xml:space="preserve">Siekiant </w:t>
            </w:r>
            <w:r w:rsidR="00522263" w:rsidRPr="004D4A14">
              <w:rPr>
                <w:rFonts w:ascii="Times New Roman" w:hAnsi="Times New Roman" w:cs="Times New Roman"/>
              </w:rPr>
              <w:t>didinti</w:t>
            </w:r>
            <w:r w:rsidRPr="004D4A14">
              <w:rPr>
                <w:rFonts w:ascii="Times New Roman" w:hAnsi="Times New Roman" w:cs="Times New Roman"/>
              </w:rPr>
              <w:t xml:space="preserve"> sveikatos apsaugos sistemos atsparumą grėsmėms būtina stiprinti sveikatos priežiūros įstaigų infrastruktūros pritaikymą ekstremaliosioms situacijoms, krizėms ir </w:t>
            </w:r>
            <w:r w:rsidR="00522263" w:rsidRPr="004D4A14">
              <w:rPr>
                <w:rFonts w:ascii="Times New Roman" w:hAnsi="Times New Roman" w:cs="Times New Roman"/>
              </w:rPr>
              <w:t>konflikto</w:t>
            </w:r>
            <w:r w:rsidRPr="004D4A14">
              <w:rPr>
                <w:rFonts w:ascii="Times New Roman" w:hAnsi="Times New Roman" w:cs="Times New Roman"/>
              </w:rPr>
              <w:t xml:space="preserve"> grėsmėms. Remiantis kitų Europos šalių patirtimi ir praktika investicijas numatoma skirti modernios, šiuolaikinius standartus atitinkančios sveikatos priežiūros infrastruktūros, įskaitant požeminę bei dvejopos paskirties panaudojimo infrastruktūrą, sukūrimui. Tokia infrastruktūra užtikrins nenutrūkstamą sveikatos priežiūros paslaugų teikimą, medicinos personalo saugumą. </w:t>
            </w:r>
            <w:r w:rsidRPr="004D4A14">
              <w:rPr>
                <w:rFonts w:ascii="Times New Roman" w:hAnsi="Times New Roman" w:cs="Times New Roman"/>
                <w:b/>
                <w:bCs/>
              </w:rPr>
              <w:t>Dvejopos paskirties infrastruktūra</w:t>
            </w:r>
            <w:r w:rsidRPr="004D4A14">
              <w:rPr>
                <w:rFonts w:ascii="Times New Roman" w:hAnsi="Times New Roman" w:cs="Times New Roman"/>
              </w:rPr>
              <w:t xml:space="preserve">, esant krizinei situacijai būtų pertvarkoma taip, kad sudarytų sąlygas personalui saugiai teikti pacientams būtinas sveikatos priežiūros paslaugas. Taip pat numatoma modernizuoti turimą sveikatos priežiūros infrastruktūrą, ją pritaikant veikti ekstremaliųjų situacijų, krizių ar </w:t>
            </w:r>
            <w:r w:rsidR="00522263" w:rsidRPr="004D4A14">
              <w:rPr>
                <w:rFonts w:ascii="Times New Roman" w:hAnsi="Times New Roman" w:cs="Times New Roman"/>
              </w:rPr>
              <w:t>konflikto</w:t>
            </w:r>
            <w:r w:rsidRPr="004D4A14">
              <w:rPr>
                <w:rFonts w:ascii="Times New Roman" w:hAnsi="Times New Roman" w:cs="Times New Roman"/>
              </w:rPr>
              <w:t xml:space="preserve"> atveju.</w:t>
            </w:r>
          </w:p>
          <w:p w14:paraId="283B1A0F" w14:textId="41A38734" w:rsidR="00B47068" w:rsidRPr="004D4A14" w:rsidRDefault="00B47068" w:rsidP="00B47068">
            <w:pPr>
              <w:spacing w:after="120"/>
              <w:jc w:val="both"/>
              <w:rPr>
                <w:rFonts w:ascii="Times New Roman" w:hAnsi="Times New Roman" w:cs="Times New Roman"/>
                <w:color w:val="5F497A" w:themeColor="accent4" w:themeShade="BF"/>
              </w:rPr>
            </w:pPr>
            <w:r w:rsidRPr="004D4A14">
              <w:rPr>
                <w:rFonts w:ascii="Times New Roman" w:hAnsi="Times New Roman" w:cs="Times New Roman"/>
              </w:rPr>
              <w:t>Neteisėtas bepiločių orlaivių panaudojimas tapo naujo tipo hibridinio karo elementu, nutaikytu į civilinę visuomenę ir jos atsparumą. Didėjant šiai grėsmei, viešojo saugumo institucijoms būtina turėti įrangą, kuri leidžia aptikti ir neutralizuoti pavojingus bepiločius orlaivius. Kritinės infrastruktūros objektų fizinei apsaugai ir kitoms funkcijoms vykdyti viešojo saugumo institucijoms būtinos ir  priemonės, skirtos grėsmių stebėsenai, operatyviam reagavimui, patikimam ryšiui ir lanksčiai logistikai užtikrinti. Be to, reikalingos individualios pareigūnų apsaugos priemonės, užtikrinančios jų saugumą ir gebėjimus vykdyti užduotis hibridinių ir karinių grėsmių akivaizdoje.</w:t>
            </w:r>
          </w:p>
          <w:p w14:paraId="0BC7FC07" w14:textId="77777777" w:rsidR="00F12E2C" w:rsidRPr="004D4A14" w:rsidRDefault="00B47068" w:rsidP="00B47068">
            <w:pPr>
              <w:spacing w:after="160"/>
              <w:jc w:val="both"/>
              <w:rPr>
                <w:rFonts w:ascii="Times New Roman" w:hAnsi="Times New Roman" w:cs="Times New Roman"/>
              </w:rPr>
            </w:pPr>
            <w:r w:rsidRPr="004D4A14">
              <w:rPr>
                <w:rFonts w:ascii="Times New Roman" w:hAnsi="Times New Roman" w:cs="Times New Roman"/>
              </w:rPr>
              <w:t xml:space="preserve">Savivaldybių institucijų civilinės saugos infrastruktūros būklė leidžia užtikrinti tik minimalią apsaugą, o savivaldybių ekstremaliųjų situacijų operacijų centrai aprūpinti netolygiai. 2024 m. gruodžio duomenimis tik iki 5 % visose savivaldybėse esamų priedangų buvo 2 lygio (galimos naudoti iki 24 val.), likusios – 3 lygio (galimos naudoti iki 4 val.). Daugelis parinktų priedangų nėra modernizuotos pagal jų projektavimui ir įrengimui keliamus reikalavimus, pvz.: 2025 m. birželį tik 9 % priedangų buvo pritaikyta riboto judumo asmenų poreikiams. </w:t>
            </w:r>
          </w:p>
          <w:p w14:paraId="7E636BBD" w14:textId="26BBC02B" w:rsidR="00B47068" w:rsidRPr="004D4A14" w:rsidRDefault="00B47068" w:rsidP="00B47068">
            <w:pPr>
              <w:spacing w:after="160"/>
              <w:jc w:val="both"/>
              <w:rPr>
                <w:rFonts w:ascii="Times New Roman" w:hAnsi="Times New Roman" w:cs="Times New Roman"/>
                <w:color w:val="000000" w:themeColor="text1"/>
              </w:rPr>
            </w:pPr>
            <w:r w:rsidRPr="004D4A14">
              <w:rPr>
                <w:rFonts w:ascii="Times New Roman" w:hAnsi="Times New Roman" w:cs="Times New Roman"/>
              </w:rPr>
              <w:t xml:space="preserve">Siekiant spręsti kylančius iššūkius, būtina modernizuoti sveikatos priežiūros infrastruktūrą, kuri yra viena iš esminių nacionalinio saugumo aspektų, siekiant užtikrinti gyventojų sveikatos apsaugą krizės, ekstremaliosios situacijos ar </w:t>
            </w:r>
            <w:r w:rsidR="00522263" w:rsidRPr="004D4A14">
              <w:rPr>
                <w:rFonts w:ascii="Times New Roman" w:hAnsi="Times New Roman" w:cs="Times New Roman"/>
              </w:rPr>
              <w:t>konflikto</w:t>
            </w:r>
            <w:r w:rsidRPr="004D4A14">
              <w:rPr>
                <w:rFonts w:ascii="Times New Roman" w:hAnsi="Times New Roman" w:cs="Times New Roman"/>
              </w:rPr>
              <w:t xml:space="preserve"> metu. Taip pat būtina stiprinti civilinę parengtį, didinti viešojo saugumo institucijų pajėgumus atremti hibridines grėsmes, užtikrinti kritinės infrastruktūros apsaugą bei tinkamą gyventojų perspėjimą ir apsaugą. Augant rizikoms ir visuomenės lūkesčiams, taip pat būtina plėsti priedangų tinklą, modernizuoti savivaldybių ekstremaliųjų situacijų operacijų centrus. Siekiant visų šių tikslų </w:t>
            </w:r>
            <w:r w:rsidRPr="004D4A14">
              <w:rPr>
                <w:rFonts w:ascii="Times New Roman" w:hAnsi="Times New Roman" w:cs="Times New Roman"/>
                <w:b/>
                <w:bCs/>
              </w:rPr>
              <w:t>numatomi šie veiksmai</w:t>
            </w:r>
            <w:r w:rsidRPr="004D4A14">
              <w:rPr>
                <w:rFonts w:ascii="Times New Roman" w:hAnsi="Times New Roman" w:cs="Times New Roman"/>
              </w:rPr>
              <w:t>:</w:t>
            </w:r>
          </w:p>
          <w:p w14:paraId="47293E00" w14:textId="3075F95B" w:rsidR="00B47068" w:rsidRPr="004D4A14" w:rsidRDefault="00B47068" w:rsidP="00B47068">
            <w:pPr>
              <w:spacing w:before="120" w:after="120"/>
              <w:jc w:val="both"/>
              <w:rPr>
                <w:rFonts w:ascii="Times New Roman" w:hAnsi="Times New Roman" w:cs="Times New Roman"/>
              </w:rPr>
            </w:pPr>
            <w:r w:rsidRPr="004D4A14">
              <w:rPr>
                <w:rFonts w:ascii="Times New Roman" w:hAnsi="Times New Roman" w:cs="Times New Roman"/>
                <w:b/>
                <w:bCs/>
              </w:rPr>
              <w:t>Stiprinti sveikatos priežiūros įstaigų infrastruktūrą: r</w:t>
            </w:r>
            <w:r w:rsidRPr="004D4A14">
              <w:rPr>
                <w:rFonts w:ascii="Times New Roman" w:hAnsi="Times New Roman" w:cs="Times New Roman"/>
              </w:rPr>
              <w:t xml:space="preserve">emiantis kitų Europos šalių patirtimi ir praktika numatoma sukurti naują modernią, šiuolaikinius standartus atitinkančią sveikatos priežiūros infrastruktūrą, skirtą nepertraukiamai ir saugiai teikti specializuotas chirurgijos, intensyviosios terapijos ir kitas būtinas sveikatos priežiūros paslaugas bei sukurti </w:t>
            </w:r>
            <w:r w:rsidRPr="004D4A14">
              <w:rPr>
                <w:rFonts w:ascii="Times New Roman" w:hAnsi="Times New Roman" w:cs="Times New Roman"/>
                <w:b/>
                <w:bCs/>
              </w:rPr>
              <w:t>dvejopos paskirties infrastruktūrą</w:t>
            </w:r>
            <w:r w:rsidRPr="004D4A14">
              <w:rPr>
                <w:rFonts w:ascii="Times New Roman" w:hAnsi="Times New Roman" w:cs="Times New Roman"/>
              </w:rPr>
              <w:t xml:space="preserve">, kuri esant ekstremaliajai situacijai, krizėms ar </w:t>
            </w:r>
            <w:r w:rsidR="00522263" w:rsidRPr="004D4A14">
              <w:rPr>
                <w:rFonts w:ascii="Times New Roman" w:hAnsi="Times New Roman" w:cs="Times New Roman"/>
              </w:rPr>
              <w:t>konflikto</w:t>
            </w:r>
            <w:r w:rsidRPr="004D4A14">
              <w:rPr>
                <w:rFonts w:ascii="Times New Roman" w:hAnsi="Times New Roman" w:cs="Times New Roman"/>
              </w:rPr>
              <w:t xml:space="preserve"> atveju būtų pertvarkoma ir užtikrintų galimybę saugiai personalui teikti būtinas skubiosios medicinos pagalbos ir stacionarines paslaugas pacientams. Taip pat numatoma modernizuoti regioninio traumų centro operacinių korpuso infrastruktūrą, siekiant užtikrinant kokybišką ir saugų chirurgijos paslaugų teikimą pacientams.</w:t>
            </w:r>
            <w:r w:rsidR="00522263" w:rsidRPr="004D4A14">
              <w:rPr>
                <w:rFonts w:ascii="Times New Roman" w:hAnsi="Times New Roman" w:cs="Times New Roman"/>
              </w:rPr>
              <w:t xml:space="preserve"> Veikla bus įgyvendinama sostinės ir VVL regionuose.</w:t>
            </w:r>
          </w:p>
          <w:p w14:paraId="143C6816" w14:textId="77777777" w:rsidR="00B47068" w:rsidRPr="004D4A14" w:rsidRDefault="00B47068" w:rsidP="00B47068">
            <w:pPr>
              <w:spacing w:after="120"/>
              <w:jc w:val="both"/>
              <w:rPr>
                <w:rFonts w:ascii="Times New Roman" w:hAnsi="Times New Roman" w:cs="Times New Roman"/>
                <w:color w:val="5F497A" w:themeColor="accent4" w:themeShade="BF"/>
              </w:rPr>
            </w:pPr>
            <w:r w:rsidRPr="004D4A14">
              <w:rPr>
                <w:rFonts w:ascii="Times New Roman" w:hAnsi="Times New Roman" w:cs="Times New Roman"/>
                <w:b/>
                <w:bCs/>
              </w:rPr>
              <w:lastRenderedPageBreak/>
              <w:t xml:space="preserve">Plėsti gyventojų perspėjimo sirenomis infrastruktūrą: </w:t>
            </w:r>
            <w:r w:rsidRPr="004D4A14">
              <w:rPr>
                <w:rFonts w:ascii="Times New Roman" w:hAnsi="Times New Roman" w:cs="Times New Roman"/>
              </w:rPr>
              <w:t xml:space="preserve">Tęsiant 2014–2020 m. investicijas į perspėjimo apie pavojus sirenas, numatoma įrengti 275 elektronines sirenas 43 VVL regiono savivaldybėse. Šiuo metu 78 proc. iš 1144 esamų sirenų dar yra nesujungtos į vieningą sirenų valdymo sistemą ir yra valdomos savivaldybių lygiu, todėl didėja rizika, kad ne visos sirenos bus aktyvuotos vienu metu. Esamomis sirenomis (1144) gali būti perspėta beveik 70 proc. šalies gyventojų, o įsigijus ir VVL regione įrengus naujas 275 elektronines sirenas, šalies lygiu numatoma pasiekti 75 proc. gyventojų </w:t>
            </w:r>
            <w:proofErr w:type="spellStart"/>
            <w:r w:rsidRPr="004D4A14">
              <w:rPr>
                <w:rFonts w:ascii="Times New Roman" w:hAnsi="Times New Roman" w:cs="Times New Roman"/>
              </w:rPr>
              <w:t>perspėjamumą</w:t>
            </w:r>
            <w:proofErr w:type="spellEnd"/>
            <w:r w:rsidRPr="004D4A14">
              <w:rPr>
                <w:rFonts w:ascii="Times New Roman" w:hAnsi="Times New Roman" w:cs="Times New Roman"/>
              </w:rPr>
              <w:t xml:space="preserve"> sirenomis. Taip pat ne mažiau kaip 600 esamų sirenų bus prijungtos prie vieningos sirenų valdymo sistemos. Veikla bus įgyvendinama VVL regione.</w:t>
            </w:r>
          </w:p>
          <w:p w14:paraId="6C71BE8D" w14:textId="77777777" w:rsidR="00B47068" w:rsidRPr="004D4A14" w:rsidRDefault="00B47068" w:rsidP="00B47068">
            <w:pPr>
              <w:spacing w:after="120"/>
              <w:jc w:val="both"/>
              <w:rPr>
                <w:rFonts w:ascii="Times New Roman" w:hAnsi="Times New Roman" w:cs="Times New Roman"/>
                <w:color w:val="5F497A" w:themeColor="accent4" w:themeShade="BF"/>
              </w:rPr>
            </w:pPr>
            <w:r w:rsidRPr="004D4A14">
              <w:rPr>
                <w:rFonts w:ascii="Times New Roman" w:hAnsi="Times New Roman" w:cs="Times New Roman"/>
                <w:b/>
                <w:bCs/>
              </w:rPr>
              <w:t>Sukurti daugiakanalę perspėjimo platformą.</w:t>
            </w:r>
            <w:r w:rsidRPr="004D4A14">
              <w:rPr>
                <w:rFonts w:ascii="Times New Roman" w:hAnsi="Times New Roman" w:cs="Times New Roman"/>
              </w:rPr>
              <w:t xml:space="preserve"> Gresiant ar susidarius krizei ar ekstremaliajai situacijai operatyvus ir daugiakanalis gyventojų perspėjimas yra kritiškai svarbus. Naudojant keletą perspėjimo priemonių (sirenos, trumpųjų perspėjimo pranešimų į mobiliuosius telefonus sistema, mobilioji programėlė, soc. tinklai ir kt.) su skirtingomis valdymo sistemomis gyventojų perspėjimo procesas pailgėja ir nėra toks efektyvus. Sprendžiant šią problemą, bus siekiama sukurti bei įdiegti Lietuvos gyventojų perspėjimui skirtą daugiakanalę perspėjimo platformą, kuri leidžia per vieną valdymo sistemą vienu metu aktyvuoti pagrindines perspėjimo priemones.  Kartu bus atnaujinta Lietuvoje dar 2012 m. įdiegta trumpųjų perspėjimo pranešimų į mobiliuosius telefonus sistema (angl. </w:t>
            </w:r>
            <w:proofErr w:type="spellStart"/>
            <w:r w:rsidRPr="004D4A14">
              <w:rPr>
                <w:rFonts w:ascii="Times New Roman" w:hAnsi="Times New Roman" w:cs="Times New Roman"/>
                <w:i/>
                <w:iCs/>
              </w:rPr>
              <w:t>cell</w:t>
            </w:r>
            <w:proofErr w:type="spellEnd"/>
            <w:r w:rsidRPr="004D4A14">
              <w:rPr>
                <w:rFonts w:ascii="Times New Roman" w:hAnsi="Times New Roman" w:cs="Times New Roman"/>
                <w:i/>
                <w:iCs/>
              </w:rPr>
              <w:t xml:space="preserve"> </w:t>
            </w:r>
            <w:proofErr w:type="spellStart"/>
            <w:r w:rsidRPr="004D4A14">
              <w:rPr>
                <w:rFonts w:ascii="Times New Roman" w:hAnsi="Times New Roman" w:cs="Times New Roman"/>
                <w:i/>
                <w:iCs/>
              </w:rPr>
              <w:t>broadcas</w:t>
            </w:r>
            <w:r w:rsidRPr="004D4A14">
              <w:rPr>
                <w:rFonts w:ascii="Times New Roman" w:hAnsi="Times New Roman" w:cs="Times New Roman"/>
              </w:rPr>
              <w:t>t</w:t>
            </w:r>
            <w:proofErr w:type="spellEnd"/>
            <w:r w:rsidRPr="004D4A14">
              <w:rPr>
                <w:rFonts w:ascii="Times New Roman" w:hAnsi="Times New Roman" w:cs="Times New Roman"/>
              </w:rPr>
              <w:t>), kuri šiuo metu jau yra pasenusi bei neatitinka esamų poreikių ir saugumo standartų. Veikla bus įgyvendinama sostinės ir VVL regionuose.</w:t>
            </w:r>
          </w:p>
          <w:p w14:paraId="62A807A7" w14:textId="77777777" w:rsidR="00B47068" w:rsidRPr="004D4A14" w:rsidRDefault="00B47068" w:rsidP="00B47068">
            <w:pPr>
              <w:spacing w:after="160"/>
              <w:jc w:val="both"/>
              <w:rPr>
                <w:rFonts w:ascii="Times New Roman" w:hAnsi="Times New Roman" w:cs="Times New Roman"/>
                <w:color w:val="5F497A" w:themeColor="accent4" w:themeShade="BF"/>
              </w:rPr>
            </w:pPr>
            <w:r w:rsidRPr="004D4A14">
              <w:rPr>
                <w:rFonts w:ascii="Times New Roman" w:hAnsi="Times New Roman" w:cs="Times New Roman"/>
                <w:b/>
                <w:bCs/>
              </w:rPr>
              <w:t xml:space="preserve">Sustiprinti viešąjį saugumą užtikrinančių institucijų pajėgumus atremti hibridines grėsmes, užtikrinti kritinės infrastruktūros objektų fizinę apsaugą ir prisidėti prie šalies gynybos. </w:t>
            </w:r>
            <w:r w:rsidRPr="004D4A14">
              <w:rPr>
                <w:rFonts w:ascii="Times New Roman" w:hAnsi="Times New Roman" w:cs="Times New Roman"/>
              </w:rPr>
              <w:t xml:space="preserve">Pakitus saugumo situacijai, būtina </w:t>
            </w:r>
            <w:r w:rsidRPr="004D4A14">
              <w:rPr>
                <w:rFonts w:ascii="Times New Roman" w:eastAsia="PMingLiU" w:hAnsi="Times New Roman" w:cs="Times New Roman"/>
              </w:rPr>
              <w:t xml:space="preserve">užtikrinti viešojo saugumo institucijų ir jų pareigūnų aprūpinimą priemonėmis, atitinkančiomis dabartinį saugumo kontekstą. </w:t>
            </w:r>
            <w:r w:rsidRPr="004D4A14">
              <w:rPr>
                <w:rFonts w:ascii="Times New Roman" w:hAnsi="Times New Roman" w:cs="Times New Roman"/>
              </w:rPr>
              <w:t xml:space="preserve">Įgyvendinant veiklą planuojama viešojo saugumo institucijas aprūpinti: individualiomis pareigūnų apsaugos priemonėmis (šalmais, liemenėmis, pirmosios medicininės pagalbos rinkiniais ir kitomis priemonėmis); bepiločių orlaivių aptikimo ir neutralizavimo įranga; šarvuotais visureigiais ir specialiomis lengvosiomis transporto priemonėmis; palydovinėmis mobiliojo ryšio ir duomenų perdavimo sistemomis; įranga, reikalinga sustiprinti Klaipėdos suskystintų gamtinių dujų terminalo fizinę apsaugą. Vystomi pajėgumai turės </w:t>
            </w:r>
            <w:r w:rsidRPr="004D4A14">
              <w:rPr>
                <w:rFonts w:ascii="Times New Roman" w:hAnsi="Times New Roman" w:cs="Times New Roman"/>
                <w:b/>
                <w:bCs/>
              </w:rPr>
              <w:t>dvejopą paskirtį</w:t>
            </w:r>
            <w:r w:rsidRPr="004D4A14">
              <w:rPr>
                <w:rFonts w:ascii="Times New Roman" w:hAnsi="Times New Roman" w:cs="Times New Roman"/>
              </w:rPr>
              <w:t xml:space="preserve"> – padės užtikrinti visuomenės saugumą ir kritinės infrastruktūros apsaugą tiek taikos metu, tiek karinės grėsmės atveju. Veikla bus įgyvendinama sostinės ir VVL regionuose.</w:t>
            </w:r>
          </w:p>
          <w:p w14:paraId="633A892D" w14:textId="77777777" w:rsidR="00B47068" w:rsidRPr="004D4A14" w:rsidRDefault="00B47068" w:rsidP="00B47068">
            <w:pPr>
              <w:spacing w:before="120" w:after="120"/>
              <w:jc w:val="both"/>
              <w:rPr>
                <w:rFonts w:ascii="Times New Roman" w:hAnsi="Times New Roman" w:cs="Times New Roman"/>
                <w:color w:val="5F497A" w:themeColor="accent4" w:themeShade="BF"/>
              </w:rPr>
            </w:pPr>
            <w:r w:rsidRPr="004D4A14">
              <w:rPr>
                <w:rFonts w:ascii="Times New Roman" w:hAnsi="Times New Roman" w:cs="Times New Roman"/>
                <w:b/>
                <w:bCs/>
              </w:rPr>
              <w:t xml:space="preserve">Užtikrinti BIVP metodo taikymą, administruojant vietos plėtros strategijas, civilinės saugos švietimo srityje: </w:t>
            </w:r>
            <w:r w:rsidRPr="004D4A14">
              <w:rPr>
                <w:rFonts w:ascii="Times New Roman" w:hAnsi="Times New Roman" w:cs="Times New Roman"/>
              </w:rPr>
              <w:t>parama teikiama vietos plėtros strategijų keitimui, susijusiam su šio uždavinio įtraukimu, taip pat užtikrinant vietos plėtros strategijų valdymą ir stebėseną. Veiklos įgyvendinamos VVL ir Sostinės regionuose.</w:t>
            </w:r>
          </w:p>
          <w:p w14:paraId="57AD78AF" w14:textId="7800CDC3" w:rsidR="00B47068" w:rsidRPr="004D4A14" w:rsidRDefault="00B47068" w:rsidP="00B47068">
            <w:pPr>
              <w:spacing w:after="160"/>
              <w:jc w:val="both"/>
              <w:rPr>
                <w:rFonts w:ascii="Times New Roman" w:hAnsi="Times New Roman" w:cs="Times New Roman"/>
              </w:rPr>
            </w:pPr>
            <w:r w:rsidRPr="004D4A14">
              <w:rPr>
                <w:rFonts w:ascii="Times New Roman" w:hAnsi="Times New Roman" w:cs="Times New Roman"/>
                <w:b/>
                <w:bCs/>
              </w:rPr>
              <w:t>Įrengti arba modernizuoti priedangas visuomeninės paskirties pastatuose ir statiniuose ir būtinųjų atsargų saugojimui skirtą infrastruktūrą</w:t>
            </w:r>
            <w:r w:rsidRPr="004D4A14">
              <w:rPr>
                <w:rFonts w:ascii="Times New Roman" w:hAnsi="Times New Roman" w:cs="Times New Roman"/>
              </w:rPr>
              <w:t>: numatoma įrengti ar atnaujinti priedangas visuomeninės paskirties pastatuose, tame tarpe įrengiant naujas priedangas, didinant esamų priedangų atsparumą, įrengiant ar modernizuojant reikiamas inžinerines sistemas ir priedangas pritaikant riboto judumo asmenims. Taip pat numatoma įrengti ar pritaikyti infrastruktūrą veiklos vykdymui, siekiant užtikrinti būtinų priemonių ir asmeninių apsaugos priemonių atsargų saugojim</w:t>
            </w:r>
            <w:r w:rsidR="004D314E" w:rsidRPr="004D4A14">
              <w:rPr>
                <w:rFonts w:ascii="Times New Roman" w:hAnsi="Times New Roman" w:cs="Times New Roman"/>
              </w:rPr>
              <w:t>ą</w:t>
            </w:r>
            <w:r w:rsidRPr="004D4A14">
              <w:rPr>
                <w:rFonts w:ascii="Times New Roman" w:hAnsi="Times New Roman" w:cs="Times New Roman"/>
              </w:rPr>
              <w:t xml:space="preserve">. </w:t>
            </w:r>
          </w:p>
          <w:p w14:paraId="795D2418" w14:textId="77777777" w:rsidR="00B47068" w:rsidRPr="004D4A14" w:rsidRDefault="00B47068" w:rsidP="005F7B38">
            <w:pPr>
              <w:spacing w:after="160"/>
              <w:jc w:val="both"/>
              <w:rPr>
                <w:rFonts w:ascii="Times New Roman" w:hAnsi="Times New Roman" w:cs="Times New Roman"/>
              </w:rPr>
            </w:pPr>
            <w:r w:rsidRPr="004D4A14">
              <w:rPr>
                <w:rFonts w:ascii="Times New Roman" w:hAnsi="Times New Roman" w:cs="Times New Roman"/>
                <w:b/>
                <w:bCs/>
              </w:rPr>
              <w:t>Modernizuoti savivaldybių ekstremaliųjų situacijų operacijų centrus</w:t>
            </w:r>
            <w:r w:rsidRPr="004D4A14">
              <w:rPr>
                <w:rFonts w:ascii="Times New Roman" w:hAnsi="Times New Roman" w:cs="Times New Roman"/>
              </w:rPr>
              <w:t>: numatoma modernizuoti šių centrų veiklai naudojamą infrastruktūrą ir įrangą, siekiant užtikrinti jų efektyvų darbą krizių, ekstremaliųjų įvykių bei ekstremaliųjų situacijų atvejais.</w:t>
            </w:r>
          </w:p>
          <w:p w14:paraId="3880F56F" w14:textId="053E95C6" w:rsidR="0007460D" w:rsidRPr="004D4A14" w:rsidRDefault="0007460D" w:rsidP="005F7B38">
            <w:pPr>
              <w:spacing w:after="160"/>
              <w:jc w:val="both"/>
              <w:rPr>
                <w:rFonts w:ascii="Times New Roman" w:hAnsi="Times New Roman" w:cs="Times New Roman"/>
              </w:rPr>
            </w:pPr>
            <w:r w:rsidRPr="004D4A14">
              <w:rPr>
                <w:rFonts w:ascii="Times New Roman" w:hAnsi="Times New Roman" w:cs="Times New Roman"/>
                <w:color w:val="000000" w:themeColor="text1"/>
              </w:rPr>
              <w:t>Uždavinio veiklos (veiksmų rūšys) įvertintos vadovaujantis EGADP NRŽ gairėmis, todėl laikoma, kad atitinka NRŽ principą.</w:t>
            </w:r>
          </w:p>
        </w:tc>
      </w:tr>
    </w:tbl>
    <w:p w14:paraId="33F0734F" w14:textId="77777777" w:rsidR="00B47068" w:rsidRPr="004D4A14" w:rsidRDefault="00B47068" w:rsidP="00B47068">
      <w:pPr>
        <w:tabs>
          <w:tab w:val="center" w:pos="4819"/>
          <w:tab w:val="right" w:pos="9638"/>
        </w:tabs>
        <w:spacing w:before="120" w:after="120" w:line="240" w:lineRule="auto"/>
        <w:rPr>
          <w:rFonts w:eastAsia="Times New Roman" w:cs="Arial"/>
          <w:b/>
          <w:i/>
          <w:color w:val="1F497D" w:themeColor="text2"/>
        </w:rPr>
      </w:pPr>
      <w:r w:rsidRPr="004D4A14">
        <w:rPr>
          <w:rFonts w:eastAsia="Times New Roman" w:cs="Arial"/>
          <w:b/>
          <w:i/>
          <w:color w:val="1F497D" w:themeColor="text2"/>
        </w:rPr>
        <w:lastRenderedPageBreak/>
        <w:t>Pagrindinės tikslinės grupės</w:t>
      </w:r>
    </w:p>
    <w:tbl>
      <w:tblPr>
        <w:tblStyle w:val="Lentelstinklelis210"/>
        <w:tblW w:w="0" w:type="auto"/>
        <w:tblLook w:val="04A0" w:firstRow="1" w:lastRow="0" w:firstColumn="1" w:lastColumn="0" w:noHBand="0" w:noVBand="1"/>
      </w:tblPr>
      <w:tblGrid>
        <w:gridCol w:w="9628"/>
      </w:tblGrid>
      <w:tr w:rsidR="00B47068" w:rsidRPr="004D4A14" w14:paraId="6E63891F" w14:textId="77777777" w:rsidTr="008E427B">
        <w:tc>
          <w:tcPr>
            <w:tcW w:w="9854" w:type="dxa"/>
          </w:tcPr>
          <w:p w14:paraId="2A84651C" w14:textId="77777777" w:rsidR="00B47068" w:rsidRPr="004D4A14" w:rsidRDefault="00B47068" w:rsidP="000421C0">
            <w:pPr>
              <w:autoSpaceDE w:val="0"/>
              <w:autoSpaceDN w:val="0"/>
              <w:adjustRightInd w:val="0"/>
              <w:jc w:val="both"/>
              <w:rPr>
                <w:rFonts w:ascii="Times New Roman" w:hAnsi="Times New Roman" w:cs="Times New Roman"/>
              </w:rPr>
            </w:pPr>
            <w:r w:rsidRPr="004D4A14">
              <w:rPr>
                <w:rFonts w:ascii="Times New Roman" w:hAnsi="Times New Roman" w:cs="Times New Roman"/>
              </w:rPr>
              <w:t>Visi Lietuvos gyventojai</w:t>
            </w:r>
            <w:r w:rsidRPr="004D4A14">
              <w:rPr>
                <w:rFonts w:ascii="Times New Roman" w:hAnsi="Times New Roman" w:cs="Times New Roman"/>
                <w:spacing w:val="-4"/>
              </w:rPr>
              <w:t xml:space="preserve">, </w:t>
            </w:r>
            <w:r w:rsidRPr="004D4A14">
              <w:rPr>
                <w:rFonts w:ascii="Times New Roman" w:hAnsi="Times New Roman" w:cs="Times New Roman"/>
              </w:rPr>
              <w:t>išskyrus įgyvendinant BIVP metodą, sveikatos priežiūros specialistai.</w:t>
            </w:r>
          </w:p>
          <w:p w14:paraId="34279A9F" w14:textId="77777777" w:rsidR="00B47068" w:rsidRPr="004D4A14" w:rsidRDefault="00B47068" w:rsidP="000421C0">
            <w:pPr>
              <w:autoSpaceDE w:val="0"/>
              <w:autoSpaceDN w:val="0"/>
              <w:adjustRightInd w:val="0"/>
              <w:spacing w:before="240"/>
              <w:jc w:val="both"/>
              <w:rPr>
                <w:rFonts w:cs="Times New Roman"/>
              </w:rPr>
            </w:pPr>
            <w:r w:rsidRPr="004D4A14">
              <w:rPr>
                <w:rFonts w:ascii="Times New Roman" w:hAnsi="Times New Roman" w:cs="Times New Roman"/>
              </w:rPr>
              <w:t>Įgyvendinant BIVP metodą tikslinė grupė yra miestų VVG darbuotojai, valdymo organai ir valdymo organų nariai, vietos plėtros projektų rengėjų ir (ar) vykdytojų atstovai ir vietos plėtros strategijos įgyvendinimo teritorijos bendruomenė. Gyventojai, savivaldybės, viešojo sektoriaus institucijos ir įstaigos, valstybės ir savivaldybių valdomos įmonės, viešąsias paslaugas teikiančios NVO.</w:t>
            </w:r>
          </w:p>
        </w:tc>
      </w:tr>
    </w:tbl>
    <w:p w14:paraId="7B904F69" w14:textId="77777777" w:rsidR="00B47068" w:rsidRPr="004D4A14" w:rsidRDefault="00B47068" w:rsidP="00B47068">
      <w:pPr>
        <w:tabs>
          <w:tab w:val="center" w:pos="4819"/>
          <w:tab w:val="right" w:pos="9638"/>
        </w:tabs>
        <w:spacing w:before="120" w:after="120" w:line="240" w:lineRule="auto"/>
        <w:rPr>
          <w:rFonts w:eastAsia="Times New Roman" w:cs="Arial"/>
          <w:b/>
          <w:i/>
          <w:iCs/>
          <w:noProof/>
          <w:color w:val="1F497D" w:themeColor="text2"/>
          <w:lang w:eastAsia="lt-LT"/>
        </w:rPr>
      </w:pPr>
      <w:r w:rsidRPr="004D4A14">
        <w:rPr>
          <w:rFonts w:eastAsia="Times New Roman" w:cs="Arial"/>
          <w:b/>
          <w:i/>
          <w:noProof/>
          <w:color w:val="1F497D" w:themeColor="text2"/>
          <w:lang w:eastAsia="lt-LT"/>
        </w:rPr>
        <w:t xml:space="preserve">Veiksmai, užtikrinantys lygybę, įtrauktį ir nediskriminavimą </w:t>
      </w:r>
    </w:p>
    <w:tbl>
      <w:tblPr>
        <w:tblStyle w:val="Lentelstinklelis45"/>
        <w:tblW w:w="0" w:type="auto"/>
        <w:tblLook w:val="04A0" w:firstRow="1" w:lastRow="0" w:firstColumn="1" w:lastColumn="0" w:noHBand="0" w:noVBand="1"/>
      </w:tblPr>
      <w:tblGrid>
        <w:gridCol w:w="9628"/>
      </w:tblGrid>
      <w:tr w:rsidR="00B47068" w:rsidRPr="004D4A14" w14:paraId="5C798EE3" w14:textId="77777777" w:rsidTr="008E427B">
        <w:trPr>
          <w:trHeight w:val="82"/>
        </w:trPr>
        <w:tc>
          <w:tcPr>
            <w:tcW w:w="9854" w:type="dxa"/>
          </w:tcPr>
          <w:p w14:paraId="6A4377BD" w14:textId="77777777" w:rsidR="00B47068" w:rsidRPr="004D4A14" w:rsidRDefault="00B47068" w:rsidP="00B47068">
            <w:pPr>
              <w:tabs>
                <w:tab w:val="center" w:pos="4819"/>
                <w:tab w:val="right" w:pos="9638"/>
              </w:tabs>
              <w:jc w:val="both"/>
              <w:rPr>
                <w:bCs/>
                <w:iCs/>
                <w:sz w:val="22"/>
              </w:rPr>
            </w:pPr>
            <w:r w:rsidRPr="004D4A14">
              <w:rPr>
                <w:bCs/>
                <w:iCs/>
                <w:sz w:val="22"/>
              </w:rPr>
              <w:lastRenderedPageBreak/>
              <w:t>Vykdant veiklas, apimančias infrastruktūros plėtojimą ar modernizavimą, bus reikalaujama ją pritaikyti pagal universalaus dizaino principus.</w:t>
            </w:r>
          </w:p>
          <w:p w14:paraId="39556C98" w14:textId="77777777" w:rsidR="00B47068" w:rsidRPr="004D4A14" w:rsidRDefault="00B47068" w:rsidP="00B47068">
            <w:pPr>
              <w:tabs>
                <w:tab w:val="center" w:pos="4819"/>
                <w:tab w:val="right" w:pos="9638"/>
              </w:tabs>
              <w:jc w:val="both"/>
              <w:rPr>
                <w:rFonts w:cs="Times New Roman"/>
                <w:bCs/>
                <w:iCs/>
                <w:sz w:val="22"/>
              </w:rPr>
            </w:pPr>
            <w:r w:rsidRPr="004D4A14">
              <w:rPr>
                <w:rFonts w:cs="Times New Roman"/>
                <w:bCs/>
                <w:iCs/>
                <w:sz w:val="22"/>
              </w:rPr>
              <w:t>Vykdant numatytas veiklas bus siekiama užtikrinti lygybės, įtraukties ir nediskriminavimo principus. Pavyzdžiui, perspėjimo sistema bus įspėjami visi teritorijoje esantys asmenys (gyventojai ir turistai). Perspėjimas bus vykdomas kompleksiškai – sirenomis, trumpaisiais pranešimais į telefonus, informacija per radiją ir televiziją ir kt., todėl ši paslauga bus prieinama ir asmenims su negalia.</w:t>
            </w:r>
          </w:p>
          <w:p w14:paraId="1D33E261" w14:textId="77777777" w:rsidR="00B47068" w:rsidRPr="004D4A14" w:rsidRDefault="00B47068" w:rsidP="00B47068">
            <w:pPr>
              <w:keepNext/>
              <w:keepLines/>
              <w:tabs>
                <w:tab w:val="center" w:pos="4819"/>
                <w:tab w:val="right" w:pos="9638"/>
              </w:tabs>
              <w:jc w:val="both"/>
              <w:outlineLvl w:val="3"/>
              <w:rPr>
                <w:rFonts w:eastAsiaTheme="majorEastAsia" w:cs="Times New Roman"/>
                <w:bCs/>
                <w:iCs/>
                <w:color w:val="000000" w:themeColor="text1"/>
                <w:sz w:val="22"/>
              </w:rPr>
            </w:pPr>
            <w:r w:rsidRPr="004D4A14">
              <w:rPr>
                <w:rFonts w:cs="Times New Roman"/>
                <w:bCs/>
                <w:iCs/>
                <w:noProof/>
                <w:sz w:val="22"/>
                <w:lang w:eastAsia="lt-LT"/>
              </w:rPr>
              <w:t xml:space="preserve">Taikant BIVP metodą, papildomai bus </w:t>
            </w:r>
            <w:r w:rsidRPr="004D4A14">
              <w:rPr>
                <w:rFonts w:eastAsiaTheme="majorEastAsia" w:cs="Times New Roman"/>
                <w:bCs/>
                <w:iCs/>
                <w:noProof/>
                <w:sz w:val="22"/>
                <w:lang w:eastAsia="lt-LT"/>
              </w:rPr>
              <w:t>užtikrinama, kad</w:t>
            </w:r>
            <w:r w:rsidRPr="004D4A14">
              <w:rPr>
                <w:rFonts w:eastAsiaTheme="majorEastAsia" w:cs="Times New Roman"/>
                <w:bCs/>
                <w:iCs/>
                <w:sz w:val="22"/>
              </w:rPr>
              <w:t xml:space="preserve"> projektų veiklos ir rezultatai bus prieinami įvairių specialiųjų poreikių turintiems asmenims (pvz.: projektų veiklos organizuojamos patalpose, prieinamose judėjimo, regos ar kitą negalią turintiems asmenims; vykdant projektų veiklas prireikus užtikrinamas vertimas į gestų ar kitą kalbą).</w:t>
            </w:r>
          </w:p>
          <w:p w14:paraId="6A8070F0" w14:textId="42EEA88C" w:rsidR="00B47068" w:rsidRPr="004D4A14" w:rsidRDefault="00B47068" w:rsidP="00B47068">
            <w:pPr>
              <w:tabs>
                <w:tab w:val="center" w:pos="4819"/>
                <w:tab w:val="right" w:pos="9638"/>
              </w:tabs>
              <w:spacing w:before="120" w:after="120"/>
              <w:rPr>
                <w:b/>
                <w:i/>
                <w:color w:val="1F497D" w:themeColor="text2"/>
                <w:sz w:val="22"/>
              </w:rPr>
            </w:pPr>
            <w:r w:rsidRPr="004D4A14">
              <w:rPr>
                <w:rFonts w:cs="Times New Roman"/>
                <w:bCs/>
                <w:iCs/>
                <w:sz w:val="22"/>
              </w:rPr>
              <w:t>Investuojant į priedangų visuomeninės paskirties pastatuose ir statiniuose įrengimą ar modernizavimą, jos bus pritaikomos asmenims su negalia ir riboto judumo asmenims.</w:t>
            </w:r>
          </w:p>
        </w:tc>
      </w:tr>
    </w:tbl>
    <w:p w14:paraId="3E6B834A" w14:textId="77777777" w:rsidR="00B47068" w:rsidRPr="004D4A14" w:rsidRDefault="00B47068" w:rsidP="00B47068">
      <w:pPr>
        <w:tabs>
          <w:tab w:val="center" w:pos="4819"/>
          <w:tab w:val="right" w:pos="9638"/>
        </w:tabs>
        <w:spacing w:before="120" w:after="120" w:line="240" w:lineRule="auto"/>
        <w:rPr>
          <w:rFonts w:eastAsia="Times New Roman" w:cs="Arial"/>
          <w:b/>
          <w:i/>
          <w:color w:val="1F497D" w:themeColor="text2"/>
        </w:rPr>
      </w:pPr>
      <w:r w:rsidRPr="004D4A14">
        <w:rPr>
          <w:rFonts w:eastAsia="Times New Roman" w:cs="Arial"/>
          <w:b/>
          <w:i/>
          <w:color w:val="1F497D" w:themeColor="text2"/>
        </w:rPr>
        <w:t>Konkrečios tikslinės teritorijos, įskaitant planuojamą teritorinių priemonių panaudojimą</w:t>
      </w:r>
    </w:p>
    <w:tbl>
      <w:tblPr>
        <w:tblStyle w:val="Lentelstinklelis210"/>
        <w:tblW w:w="0" w:type="auto"/>
        <w:tblLook w:val="04A0" w:firstRow="1" w:lastRow="0" w:firstColumn="1" w:lastColumn="0" w:noHBand="0" w:noVBand="1"/>
      </w:tblPr>
      <w:tblGrid>
        <w:gridCol w:w="9628"/>
      </w:tblGrid>
      <w:tr w:rsidR="00B47068" w:rsidRPr="004D4A14" w14:paraId="190C19AE" w14:textId="77777777" w:rsidTr="008E427B">
        <w:tc>
          <w:tcPr>
            <w:tcW w:w="9854" w:type="dxa"/>
          </w:tcPr>
          <w:p w14:paraId="3D988C25" w14:textId="77777777" w:rsidR="00B47068" w:rsidRPr="004D4A14" w:rsidRDefault="00B47068" w:rsidP="00B47068">
            <w:pPr>
              <w:tabs>
                <w:tab w:val="left" w:pos="3510"/>
              </w:tabs>
              <w:jc w:val="both"/>
              <w:rPr>
                <w:rFonts w:ascii="Times New Roman" w:hAnsi="Times New Roman" w:cs="Times New Roman"/>
                <w:spacing w:val="-4"/>
              </w:rPr>
            </w:pPr>
            <w:r w:rsidRPr="004D4A14">
              <w:rPr>
                <w:rFonts w:ascii="Times New Roman" w:hAnsi="Times New Roman" w:cs="Times New Roman"/>
                <w:spacing w:val="-4"/>
              </w:rPr>
              <w:t>Sostinės regionas, VVL regionas.</w:t>
            </w:r>
          </w:p>
          <w:p w14:paraId="20452E40" w14:textId="77777777" w:rsidR="00B47068" w:rsidRPr="004D4A14" w:rsidRDefault="00B47068" w:rsidP="00F854FC">
            <w:pPr>
              <w:tabs>
                <w:tab w:val="left" w:pos="3510"/>
              </w:tabs>
              <w:spacing w:before="240"/>
              <w:jc w:val="both"/>
              <w:rPr>
                <w:rFonts w:cs="Times New Roman"/>
                <w:spacing w:val="-4"/>
              </w:rPr>
            </w:pPr>
            <w:r w:rsidRPr="004D4A14">
              <w:rPr>
                <w:rFonts w:ascii="Times New Roman" w:hAnsi="Times New Roman" w:cs="Times New Roman"/>
                <w:noProof/>
                <w:lang w:eastAsia="lt-LT"/>
              </w:rPr>
              <w:t xml:space="preserve">Veikla, susijusi su BIVP metodo taikymu, bus įgyvendinama taikant integruoto teritorijų vystymo metodo BIVP formą tikslinėse teritorijose: miestuose, kurie yra savivaldybių centrai ir (arba) kuriuose gyvena daugiau nei 6 tūkst. gyventojų, ir </w:t>
            </w:r>
            <w:r w:rsidRPr="004D4A14">
              <w:rPr>
                <w:rFonts w:ascii="Times New Roman" w:hAnsi="Times New Roman" w:cs="Times New Roman"/>
                <w:lang w:eastAsia="lt-LT"/>
              </w:rPr>
              <w:t xml:space="preserve">miesto daliai, kurioje gyvena nuo 6 iki 150 tūkstančių gyventojų. Vietos plėtros strategijų administravimas, susijęs su </w:t>
            </w:r>
            <w:r w:rsidRPr="004D4A14">
              <w:rPr>
                <w:rFonts w:ascii="Times New Roman" w:hAnsi="Times New Roman" w:cs="Times New Roman"/>
              </w:rPr>
              <w:t xml:space="preserve">civilinės saugos švietimu, aktualus ir bus vykdomas </w:t>
            </w:r>
            <w:r w:rsidRPr="004D4A14">
              <w:rPr>
                <w:rFonts w:ascii="Times New Roman" w:hAnsi="Times New Roman" w:cs="Times New Roman"/>
                <w:noProof/>
                <w:lang w:eastAsia="lt-LT"/>
              </w:rPr>
              <w:t>VVL regione ir Sostinės regione.</w:t>
            </w:r>
          </w:p>
        </w:tc>
      </w:tr>
    </w:tbl>
    <w:p w14:paraId="0041E62E" w14:textId="77777777" w:rsidR="00B47068" w:rsidRPr="004D4A14" w:rsidRDefault="00B47068" w:rsidP="00B47068">
      <w:pPr>
        <w:tabs>
          <w:tab w:val="center" w:pos="4819"/>
          <w:tab w:val="right" w:pos="9638"/>
        </w:tabs>
        <w:spacing w:before="120" w:after="120" w:line="240" w:lineRule="auto"/>
        <w:rPr>
          <w:rFonts w:eastAsia="Times New Roman" w:cs="Arial"/>
          <w:b/>
          <w:i/>
          <w:color w:val="1F497D" w:themeColor="text2"/>
        </w:rPr>
      </w:pPr>
      <w:r w:rsidRPr="004D4A14">
        <w:rPr>
          <w:rFonts w:eastAsia="Times New Roman" w:cs="Arial"/>
          <w:b/>
          <w:i/>
          <w:color w:val="1F497D" w:themeColor="text2"/>
        </w:rPr>
        <w:t>Tarpregioniniai, tarp sienų ir tarpvalstybiniai veiksmai</w:t>
      </w:r>
    </w:p>
    <w:tbl>
      <w:tblPr>
        <w:tblStyle w:val="Lentelstinklelis210"/>
        <w:tblW w:w="0" w:type="auto"/>
        <w:tblLook w:val="04A0" w:firstRow="1" w:lastRow="0" w:firstColumn="1" w:lastColumn="0" w:noHBand="0" w:noVBand="1"/>
      </w:tblPr>
      <w:tblGrid>
        <w:gridCol w:w="9628"/>
      </w:tblGrid>
      <w:tr w:rsidR="00B47068" w:rsidRPr="004D4A14" w14:paraId="459D0816" w14:textId="77777777" w:rsidTr="008E427B">
        <w:tc>
          <w:tcPr>
            <w:tcW w:w="9854" w:type="dxa"/>
          </w:tcPr>
          <w:p w14:paraId="7B282E80" w14:textId="77777777" w:rsidR="00B47068" w:rsidRPr="004D4A14" w:rsidRDefault="00B47068" w:rsidP="00B47068">
            <w:pPr>
              <w:jc w:val="both"/>
              <w:rPr>
                <w:rFonts w:ascii="Times New Roman" w:hAnsi="Times New Roman" w:cs="Times New Roman"/>
              </w:rPr>
            </w:pPr>
            <w:r w:rsidRPr="004D4A14">
              <w:rPr>
                <w:rFonts w:ascii="Times New Roman" w:hAnsi="Times New Roman" w:cs="Times New Roman"/>
              </w:rPr>
              <w:t>Numatoma sudaryti visas galimybes prireikus juos atlikti.</w:t>
            </w:r>
          </w:p>
          <w:p w14:paraId="4F8CE2C1" w14:textId="77777777" w:rsidR="00B47068" w:rsidRPr="004D4A14" w:rsidRDefault="00B47068" w:rsidP="00B47068">
            <w:pPr>
              <w:jc w:val="both"/>
              <w:rPr>
                <w:rFonts w:ascii="Times New Roman" w:hAnsi="Times New Roman" w:cs="Times New Roman"/>
              </w:rPr>
            </w:pPr>
            <w:r w:rsidRPr="004D4A14">
              <w:rPr>
                <w:rFonts w:ascii="Times New Roman" w:hAnsi="Times New Roman" w:cs="Times New Roman"/>
              </w:rPr>
              <w:t>Perspėjimo sistemos aktyvavimo atveju, kai vyksta didelio masto nelaimė, o padariniai gali išplisti už šalies ribų, perspėjimas ryšio kanalais siunčiamas ir tarptautiniams partneriams, sudaromos prielaidos laiku aktyvuoti nacionalines perspėjimo sistemas užsienio valstybėse.</w:t>
            </w:r>
          </w:p>
          <w:p w14:paraId="6AE3F0E2" w14:textId="77777777" w:rsidR="00B47068" w:rsidRPr="004D4A14" w:rsidRDefault="00B47068" w:rsidP="00B47068">
            <w:pPr>
              <w:jc w:val="both"/>
              <w:rPr>
                <w:rFonts w:cs="Times New Roman"/>
              </w:rPr>
            </w:pPr>
            <w:r w:rsidRPr="004D4A14">
              <w:rPr>
                <w:rFonts w:ascii="Times New Roman" w:hAnsi="Times New Roman" w:cs="Times New Roman"/>
                <w:noProof/>
              </w:rPr>
              <w:t>Siekiant ETBT tikslo programų ir IV prioriteto, š</w:t>
            </w:r>
            <w:proofErr w:type="spellStart"/>
            <w:r w:rsidRPr="004D4A14">
              <w:rPr>
                <w:rFonts w:ascii="Times New Roman" w:hAnsi="Times New Roman" w:cs="Times New Roman"/>
                <w:szCs w:val="18"/>
              </w:rPr>
              <w:t>alies</w:t>
            </w:r>
            <w:proofErr w:type="spellEnd"/>
            <w:r w:rsidRPr="004D4A14">
              <w:rPr>
                <w:rFonts w:ascii="Times New Roman" w:hAnsi="Times New Roman" w:cs="Times New Roman"/>
                <w:szCs w:val="18"/>
              </w:rPr>
              <w:t xml:space="preserve"> pasienyje veikiančios miestų VVG bus skatinamos bendradarbiauti ir perimti patirtį iš panašiuose pasienio ruožuose veikiančių miestų civilinės saugos švietimo srityje.</w:t>
            </w:r>
          </w:p>
        </w:tc>
      </w:tr>
    </w:tbl>
    <w:p w14:paraId="344C02BE" w14:textId="77777777" w:rsidR="00B47068" w:rsidRPr="004D4A14" w:rsidRDefault="00B47068" w:rsidP="00B47068">
      <w:pPr>
        <w:tabs>
          <w:tab w:val="center" w:pos="4819"/>
          <w:tab w:val="right" w:pos="9638"/>
        </w:tabs>
        <w:spacing w:before="120" w:after="120" w:line="240" w:lineRule="auto"/>
        <w:rPr>
          <w:rFonts w:eastAsia="Times New Roman" w:cs="Arial"/>
          <w:b/>
          <w:i/>
          <w:color w:val="1F497D" w:themeColor="text2"/>
        </w:rPr>
      </w:pPr>
      <w:r w:rsidRPr="004D4A14">
        <w:rPr>
          <w:rFonts w:eastAsia="Times New Roman" w:cs="Arial"/>
          <w:b/>
          <w:i/>
          <w:color w:val="1F497D" w:themeColor="text2"/>
        </w:rPr>
        <w:t>Planuojamas finansinių priemonių naudojimas</w:t>
      </w:r>
    </w:p>
    <w:tbl>
      <w:tblPr>
        <w:tblStyle w:val="Lentelstinklelis210"/>
        <w:tblW w:w="0" w:type="auto"/>
        <w:tblLook w:val="04A0" w:firstRow="1" w:lastRow="0" w:firstColumn="1" w:lastColumn="0" w:noHBand="0" w:noVBand="1"/>
      </w:tblPr>
      <w:tblGrid>
        <w:gridCol w:w="9628"/>
      </w:tblGrid>
      <w:tr w:rsidR="00B47068" w:rsidRPr="004D4A14" w14:paraId="45F7724B" w14:textId="77777777" w:rsidTr="008E427B">
        <w:tc>
          <w:tcPr>
            <w:tcW w:w="9628" w:type="dxa"/>
          </w:tcPr>
          <w:p w14:paraId="63120930" w14:textId="77777777" w:rsidR="00B47068" w:rsidRPr="004D4A14" w:rsidRDefault="00B47068" w:rsidP="00B47068">
            <w:pPr>
              <w:spacing w:before="120" w:after="120"/>
              <w:jc w:val="both"/>
              <w:rPr>
                <w:rFonts w:cs="Times New Roman"/>
                <w:lang w:eastAsia="lt-LT"/>
              </w:rPr>
            </w:pPr>
            <w:r w:rsidRPr="004D4A14">
              <w:rPr>
                <w:rFonts w:cs="Times New Roman"/>
                <w:lang w:eastAsia="lt-LT"/>
              </w:rPr>
              <w:t>-</w:t>
            </w:r>
          </w:p>
        </w:tc>
      </w:tr>
    </w:tbl>
    <w:p w14:paraId="40E88AC0" w14:textId="77777777" w:rsidR="00B47068" w:rsidRPr="004D4A14" w:rsidRDefault="00B47068" w:rsidP="00B47068">
      <w:pPr>
        <w:tabs>
          <w:tab w:val="center" w:pos="4819"/>
          <w:tab w:val="right" w:pos="9638"/>
        </w:tabs>
        <w:spacing w:before="120" w:after="0" w:line="240" w:lineRule="auto"/>
        <w:rPr>
          <w:rFonts w:eastAsia="Times New Roman" w:cs="Arial"/>
          <w:b/>
          <w:i/>
          <w:color w:val="1F497D" w:themeColor="text2"/>
        </w:rPr>
      </w:pPr>
      <w:r w:rsidRPr="004D4A14">
        <w:rPr>
          <w:rFonts w:eastAsia="Times New Roman" w:cs="Arial"/>
          <w:b/>
          <w:i/>
          <w:color w:val="1F497D" w:themeColor="text2"/>
        </w:rPr>
        <w:t>Rodikliai</w:t>
      </w:r>
    </w:p>
    <w:p w14:paraId="341FC9FB" w14:textId="77777777" w:rsidR="00B47068" w:rsidRPr="004D4A14" w:rsidRDefault="00B47068" w:rsidP="00B47068">
      <w:pPr>
        <w:spacing w:after="0" w:line="240" w:lineRule="auto"/>
        <w:jc w:val="both"/>
        <w:rPr>
          <w:rFonts w:eastAsia="Times New Roman" w:cs="Times New Roman"/>
          <w:b/>
          <w:sz w:val="22"/>
        </w:rPr>
      </w:pPr>
      <w:r w:rsidRPr="004D4A14">
        <w:rPr>
          <w:rFonts w:eastAsia="Times New Roman"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
        <w:gridCol w:w="967"/>
        <w:gridCol w:w="830"/>
        <w:gridCol w:w="965"/>
        <w:gridCol w:w="1230"/>
        <w:gridCol w:w="1560"/>
        <w:gridCol w:w="1136"/>
        <w:gridCol w:w="992"/>
        <w:gridCol w:w="976"/>
      </w:tblGrid>
      <w:tr w:rsidR="00B47068" w:rsidRPr="004D4A14" w14:paraId="664B33F9" w14:textId="77777777" w:rsidTr="008E427B">
        <w:trPr>
          <w:trHeight w:val="1043"/>
          <w:tblHeader/>
        </w:trPr>
        <w:tc>
          <w:tcPr>
            <w:tcW w:w="49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94810B" w14:textId="77777777" w:rsidR="00B47068" w:rsidRPr="004D4A14" w:rsidRDefault="00B47068" w:rsidP="00B47068">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Prioritetas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6275B30" w14:textId="77777777" w:rsidR="00B47068" w:rsidRPr="004D4A14" w:rsidRDefault="00B47068" w:rsidP="00B47068">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Konkretus uždavinys</w:t>
            </w:r>
          </w:p>
        </w:tc>
        <w:tc>
          <w:tcPr>
            <w:tcW w:w="4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EE21242" w14:textId="77777777" w:rsidR="00B47068" w:rsidRPr="004D4A14" w:rsidRDefault="00B47068" w:rsidP="00B47068">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1E3554F" w14:textId="77777777" w:rsidR="00B47068" w:rsidRPr="004D4A14" w:rsidRDefault="00B47068" w:rsidP="00B47068">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Regiono kategorija</w:t>
            </w:r>
          </w:p>
        </w:tc>
        <w:tc>
          <w:tcPr>
            <w:tcW w:w="64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94C5753" w14:textId="77777777" w:rsidR="00B47068" w:rsidRPr="004D4A14" w:rsidRDefault="00B47068" w:rsidP="00B47068">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Identifikavimo numeris</w:t>
            </w:r>
          </w:p>
        </w:tc>
        <w:tc>
          <w:tcPr>
            <w:tcW w:w="81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0BEB14B" w14:textId="77777777" w:rsidR="00B47068" w:rsidRPr="004D4A14" w:rsidRDefault="00B47068" w:rsidP="00B47068">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Rodiklis</w:t>
            </w:r>
          </w:p>
        </w:tc>
        <w:tc>
          <w:tcPr>
            <w:tcW w:w="59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EA4662D" w14:textId="77777777" w:rsidR="00B47068" w:rsidRPr="004D4A14" w:rsidRDefault="00B47068" w:rsidP="00B47068">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Matavimo vienetas</w:t>
            </w:r>
          </w:p>
        </w:tc>
        <w:tc>
          <w:tcPr>
            <w:tcW w:w="516"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3F09208" w14:textId="77777777" w:rsidR="00B47068" w:rsidRPr="004D4A14" w:rsidRDefault="00B47068" w:rsidP="00B47068">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Tarpinė reikšmė (2025 m.)</w:t>
            </w:r>
          </w:p>
        </w:tc>
        <w:tc>
          <w:tcPr>
            <w:tcW w:w="508"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F1F13E5" w14:textId="77777777" w:rsidR="00B47068" w:rsidRPr="004D4A14" w:rsidRDefault="00B47068" w:rsidP="00B47068">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Siektina reikšmė (2029 m.)</w:t>
            </w:r>
          </w:p>
        </w:tc>
      </w:tr>
      <w:tr w:rsidR="00B47068" w:rsidRPr="004D4A14" w14:paraId="67E676D3" w14:textId="77777777" w:rsidTr="008E427B">
        <w:trPr>
          <w:trHeight w:val="332"/>
        </w:trPr>
        <w:tc>
          <w:tcPr>
            <w:tcW w:w="495" w:type="pct"/>
            <w:vMerge w:val="restart"/>
            <w:tcBorders>
              <w:top w:val="single" w:sz="12" w:space="0" w:color="auto"/>
            </w:tcBorders>
          </w:tcPr>
          <w:p w14:paraId="6E15B3FE"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15</w:t>
            </w:r>
          </w:p>
        </w:tc>
        <w:tc>
          <w:tcPr>
            <w:tcW w:w="503" w:type="pct"/>
            <w:vMerge w:val="restart"/>
            <w:tcBorders>
              <w:top w:val="single" w:sz="12" w:space="0" w:color="auto"/>
            </w:tcBorders>
          </w:tcPr>
          <w:p w14:paraId="51A6FDA0"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15.1</w:t>
            </w:r>
          </w:p>
        </w:tc>
        <w:tc>
          <w:tcPr>
            <w:tcW w:w="432" w:type="pct"/>
            <w:vMerge w:val="restart"/>
            <w:tcBorders>
              <w:top w:val="single" w:sz="12" w:space="0" w:color="auto"/>
            </w:tcBorders>
          </w:tcPr>
          <w:p w14:paraId="0E5CC1C3"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ERPF</w:t>
            </w:r>
          </w:p>
        </w:tc>
        <w:tc>
          <w:tcPr>
            <w:tcW w:w="502" w:type="pct"/>
            <w:tcBorders>
              <w:top w:val="single" w:sz="12" w:space="0" w:color="auto"/>
              <w:left w:val="single" w:sz="2" w:space="0" w:color="auto"/>
              <w:right w:val="single" w:sz="2" w:space="0" w:color="auto"/>
            </w:tcBorders>
          </w:tcPr>
          <w:p w14:paraId="17821921"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Arial"/>
                <w:sz w:val="16"/>
                <w:szCs w:val="16"/>
              </w:rPr>
              <w:t>Sostinės regionas</w:t>
            </w:r>
          </w:p>
          <w:p w14:paraId="750ABECF" w14:textId="77777777" w:rsidR="00B47068" w:rsidRPr="004D4A14" w:rsidRDefault="00B47068" w:rsidP="00B47068">
            <w:pPr>
              <w:spacing w:after="0" w:line="240" w:lineRule="auto"/>
              <w:jc w:val="both"/>
              <w:rPr>
                <w:rFonts w:eastAsia="Times New Roman" w:cs="Times New Roman"/>
                <w:noProof/>
                <w:sz w:val="16"/>
                <w:szCs w:val="16"/>
              </w:rPr>
            </w:pPr>
          </w:p>
        </w:tc>
        <w:tc>
          <w:tcPr>
            <w:tcW w:w="640" w:type="pct"/>
            <w:tcBorders>
              <w:top w:val="single" w:sz="12" w:space="0" w:color="auto"/>
            </w:tcBorders>
          </w:tcPr>
          <w:p w14:paraId="3846F167" w14:textId="5BD01D4F" w:rsidR="00B47068" w:rsidRPr="004D4A14" w:rsidRDefault="00860CFD" w:rsidP="00B47068">
            <w:pPr>
              <w:spacing w:after="0" w:line="240" w:lineRule="auto"/>
              <w:jc w:val="both"/>
              <w:rPr>
                <w:rFonts w:eastAsia="Times New Roman" w:cs="Times New Roman"/>
                <w:sz w:val="16"/>
                <w:szCs w:val="16"/>
                <w:lang w:eastAsia="en-GB"/>
              </w:rPr>
            </w:pPr>
            <w:r w:rsidRPr="004D4A14">
              <w:rPr>
                <w:rFonts w:eastAsia="Times New Roman" w:cs="Times New Roman"/>
                <w:sz w:val="16"/>
                <w:szCs w:val="16"/>
                <w:lang w:eastAsia="en-GB"/>
              </w:rPr>
              <w:t>Specialusis</w:t>
            </w:r>
          </w:p>
        </w:tc>
        <w:tc>
          <w:tcPr>
            <w:tcW w:w="812" w:type="pct"/>
            <w:tcBorders>
              <w:top w:val="single" w:sz="12" w:space="0" w:color="auto"/>
            </w:tcBorders>
          </w:tcPr>
          <w:p w14:paraId="14A7CCF8" w14:textId="77777777" w:rsidR="00B47068" w:rsidRPr="004D4A14" w:rsidRDefault="00B47068" w:rsidP="00B47068">
            <w:pPr>
              <w:tabs>
                <w:tab w:val="left" w:pos="315"/>
                <w:tab w:val="left" w:pos="457"/>
              </w:tabs>
              <w:spacing w:after="0" w:line="240" w:lineRule="auto"/>
              <w:contextualSpacing/>
              <w:jc w:val="both"/>
              <w:rPr>
                <w:rFonts w:eastAsia="Times New Roman" w:cs="Times New Roman"/>
                <w:sz w:val="16"/>
                <w:szCs w:val="16"/>
                <w:lang w:eastAsia="en-GB"/>
              </w:rPr>
            </w:pPr>
            <w:r w:rsidRPr="004D4A14">
              <w:rPr>
                <w:rFonts w:eastAsia="Times New Roman" w:cs="Times New Roman"/>
                <w:noProof/>
                <w:color w:val="000000"/>
                <w:sz w:val="16"/>
                <w:szCs w:val="16"/>
                <w:lang w:eastAsia="lt-LT"/>
              </w:rPr>
              <w:t>Naujos arba modernizuotos sveikatos priežiūros infrastruktūros talpumas</w:t>
            </w:r>
          </w:p>
        </w:tc>
        <w:tc>
          <w:tcPr>
            <w:tcW w:w="591" w:type="pct"/>
            <w:tcBorders>
              <w:top w:val="single" w:sz="12" w:space="0" w:color="auto"/>
            </w:tcBorders>
          </w:tcPr>
          <w:p w14:paraId="046F03B0" w14:textId="77777777" w:rsidR="00B47068" w:rsidRPr="004D4A14" w:rsidRDefault="00B47068" w:rsidP="00B47068">
            <w:pPr>
              <w:spacing w:after="0" w:line="240" w:lineRule="auto"/>
              <w:jc w:val="both"/>
              <w:rPr>
                <w:rFonts w:eastAsia="Times New Roman" w:cs="Times New Roman"/>
                <w:iCs/>
                <w:sz w:val="16"/>
                <w:szCs w:val="16"/>
                <w:lang w:eastAsia="lt-LT"/>
              </w:rPr>
            </w:pPr>
            <w:r w:rsidRPr="004D4A14">
              <w:rPr>
                <w:rFonts w:eastAsia="Times New Roman" w:cs="Arial"/>
                <w:sz w:val="16"/>
                <w:szCs w:val="16"/>
              </w:rPr>
              <w:t>Asmenys per metus</w:t>
            </w:r>
          </w:p>
        </w:tc>
        <w:tc>
          <w:tcPr>
            <w:tcW w:w="516" w:type="pct"/>
            <w:tcBorders>
              <w:top w:val="single" w:sz="12" w:space="0" w:color="auto"/>
            </w:tcBorders>
          </w:tcPr>
          <w:p w14:paraId="31ED3641" w14:textId="77777777" w:rsidR="00B47068" w:rsidRPr="004D4A14" w:rsidRDefault="00B47068" w:rsidP="00B47068">
            <w:pPr>
              <w:spacing w:after="0" w:line="240" w:lineRule="auto"/>
              <w:jc w:val="center"/>
              <w:rPr>
                <w:rFonts w:eastAsia="Times New Roman" w:cs="Times New Roman"/>
                <w:bCs/>
                <w:noProof/>
                <w:sz w:val="16"/>
                <w:szCs w:val="16"/>
              </w:rPr>
            </w:pPr>
            <w:r w:rsidRPr="004D4A14">
              <w:rPr>
                <w:rFonts w:eastAsia="Times New Roman" w:cs="Times New Roman"/>
                <w:bCs/>
                <w:noProof/>
                <w:sz w:val="16"/>
                <w:szCs w:val="16"/>
              </w:rPr>
              <w:t>0</w:t>
            </w:r>
          </w:p>
        </w:tc>
        <w:tc>
          <w:tcPr>
            <w:tcW w:w="508" w:type="pct"/>
            <w:tcBorders>
              <w:top w:val="single" w:sz="12" w:space="0" w:color="auto"/>
            </w:tcBorders>
          </w:tcPr>
          <w:p w14:paraId="744721BE" w14:textId="77777777" w:rsidR="00B47068" w:rsidRPr="004D4A14" w:rsidRDefault="00B47068" w:rsidP="00B47068">
            <w:pPr>
              <w:spacing w:after="0" w:line="240" w:lineRule="auto"/>
              <w:jc w:val="center"/>
              <w:rPr>
                <w:rFonts w:eastAsia="Times New Roman" w:cs="Times New Roman"/>
                <w:bCs/>
                <w:noProof/>
                <w:sz w:val="16"/>
                <w:szCs w:val="16"/>
              </w:rPr>
            </w:pPr>
            <w:r w:rsidRPr="004D4A14">
              <w:rPr>
                <w:rFonts w:eastAsia="Times New Roman" w:cs="Times New Roman"/>
                <w:bCs/>
                <w:noProof/>
                <w:sz w:val="16"/>
                <w:szCs w:val="16"/>
              </w:rPr>
              <w:t>5 550</w:t>
            </w:r>
          </w:p>
        </w:tc>
      </w:tr>
      <w:tr w:rsidR="00B47068" w:rsidRPr="004D4A14" w14:paraId="42496B26" w14:textId="77777777" w:rsidTr="008E427B">
        <w:trPr>
          <w:trHeight w:val="332"/>
        </w:trPr>
        <w:tc>
          <w:tcPr>
            <w:tcW w:w="495" w:type="pct"/>
            <w:vMerge/>
          </w:tcPr>
          <w:p w14:paraId="0F695FC9" w14:textId="77777777" w:rsidR="00B47068" w:rsidRPr="004D4A14" w:rsidRDefault="00B47068" w:rsidP="00B47068">
            <w:pPr>
              <w:spacing w:after="0" w:line="240" w:lineRule="auto"/>
              <w:jc w:val="both"/>
              <w:rPr>
                <w:rFonts w:eastAsia="Times New Roman" w:cs="Times New Roman"/>
                <w:noProof/>
                <w:sz w:val="16"/>
                <w:szCs w:val="16"/>
              </w:rPr>
            </w:pPr>
          </w:p>
        </w:tc>
        <w:tc>
          <w:tcPr>
            <w:tcW w:w="503" w:type="pct"/>
            <w:vMerge/>
          </w:tcPr>
          <w:p w14:paraId="588C6168" w14:textId="77777777" w:rsidR="00B47068" w:rsidRPr="004D4A14" w:rsidRDefault="00B47068" w:rsidP="00B47068">
            <w:pPr>
              <w:spacing w:after="0" w:line="240" w:lineRule="auto"/>
              <w:jc w:val="both"/>
              <w:rPr>
                <w:rFonts w:eastAsia="Times New Roman" w:cs="Times New Roman"/>
                <w:noProof/>
                <w:sz w:val="16"/>
                <w:szCs w:val="16"/>
              </w:rPr>
            </w:pPr>
          </w:p>
        </w:tc>
        <w:tc>
          <w:tcPr>
            <w:tcW w:w="432" w:type="pct"/>
            <w:vMerge/>
          </w:tcPr>
          <w:p w14:paraId="1C81C640" w14:textId="77777777" w:rsidR="00B47068" w:rsidRPr="004D4A14" w:rsidRDefault="00B47068" w:rsidP="00B47068">
            <w:pPr>
              <w:spacing w:after="0" w:line="240" w:lineRule="auto"/>
              <w:jc w:val="both"/>
              <w:rPr>
                <w:rFonts w:eastAsia="Times New Roman" w:cs="Times New Roman"/>
                <w:noProof/>
                <w:sz w:val="16"/>
                <w:szCs w:val="16"/>
              </w:rPr>
            </w:pPr>
          </w:p>
        </w:tc>
        <w:tc>
          <w:tcPr>
            <w:tcW w:w="502" w:type="pct"/>
          </w:tcPr>
          <w:p w14:paraId="399F3534"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VVL regionas</w:t>
            </w:r>
          </w:p>
        </w:tc>
        <w:tc>
          <w:tcPr>
            <w:tcW w:w="640" w:type="pct"/>
          </w:tcPr>
          <w:p w14:paraId="2BC8EF52" w14:textId="258ED55F" w:rsidR="00B47068" w:rsidRPr="004D4A14" w:rsidRDefault="00860CFD" w:rsidP="00B47068">
            <w:pPr>
              <w:spacing w:after="0" w:line="240" w:lineRule="auto"/>
              <w:jc w:val="both"/>
              <w:rPr>
                <w:rFonts w:eastAsia="Times New Roman" w:cs="Times New Roman"/>
                <w:sz w:val="16"/>
                <w:szCs w:val="16"/>
                <w:lang w:eastAsia="en-GB"/>
              </w:rPr>
            </w:pPr>
            <w:r w:rsidRPr="004D4A14">
              <w:rPr>
                <w:rFonts w:eastAsia="Times New Roman" w:cs="Times New Roman"/>
                <w:sz w:val="16"/>
                <w:szCs w:val="16"/>
                <w:lang w:eastAsia="en-GB"/>
              </w:rPr>
              <w:t>Specialusis</w:t>
            </w:r>
          </w:p>
        </w:tc>
        <w:tc>
          <w:tcPr>
            <w:tcW w:w="812" w:type="pct"/>
          </w:tcPr>
          <w:p w14:paraId="5691F80D" w14:textId="77777777" w:rsidR="00B47068" w:rsidRPr="004D4A14" w:rsidRDefault="00B47068" w:rsidP="00B47068">
            <w:pPr>
              <w:autoSpaceDE w:val="0"/>
              <w:autoSpaceDN w:val="0"/>
              <w:adjustRightInd w:val="0"/>
              <w:spacing w:after="0" w:line="240" w:lineRule="auto"/>
              <w:jc w:val="both"/>
              <w:rPr>
                <w:rFonts w:eastAsia="Times New Roman" w:cs="Times New Roman"/>
                <w:sz w:val="16"/>
                <w:szCs w:val="16"/>
                <w:lang w:eastAsia="en-GB"/>
              </w:rPr>
            </w:pPr>
            <w:r w:rsidRPr="004D4A14">
              <w:rPr>
                <w:rFonts w:eastAsia="Times New Roman" w:cs="Times New Roman"/>
                <w:noProof/>
                <w:color w:val="000000"/>
                <w:sz w:val="16"/>
                <w:szCs w:val="16"/>
                <w:lang w:eastAsia="lt-LT"/>
              </w:rPr>
              <w:t>Naujos arba modernizuotos sveikatos priežiūros infrastruktūros talpumas</w:t>
            </w:r>
          </w:p>
        </w:tc>
        <w:tc>
          <w:tcPr>
            <w:tcW w:w="591" w:type="pct"/>
          </w:tcPr>
          <w:p w14:paraId="38E5EDB4" w14:textId="77777777" w:rsidR="00B47068" w:rsidRPr="004D4A14" w:rsidRDefault="00B47068" w:rsidP="00B47068">
            <w:pPr>
              <w:spacing w:after="0" w:line="240" w:lineRule="auto"/>
              <w:jc w:val="both"/>
              <w:rPr>
                <w:rFonts w:eastAsia="Times New Roman" w:cs="Times New Roman"/>
                <w:iCs/>
                <w:sz w:val="16"/>
                <w:szCs w:val="16"/>
                <w:lang w:eastAsia="lt-LT"/>
              </w:rPr>
            </w:pPr>
            <w:r w:rsidRPr="004D4A14">
              <w:rPr>
                <w:rFonts w:eastAsia="Times New Roman" w:cs="Arial"/>
                <w:sz w:val="16"/>
                <w:szCs w:val="16"/>
              </w:rPr>
              <w:t>Asmenys per metus</w:t>
            </w:r>
          </w:p>
        </w:tc>
        <w:tc>
          <w:tcPr>
            <w:tcW w:w="516" w:type="pct"/>
          </w:tcPr>
          <w:p w14:paraId="67DCEA34" w14:textId="77777777" w:rsidR="00B47068" w:rsidRPr="004D4A14" w:rsidRDefault="00B47068" w:rsidP="00B47068">
            <w:pPr>
              <w:spacing w:after="0" w:line="240" w:lineRule="auto"/>
              <w:jc w:val="center"/>
              <w:rPr>
                <w:rFonts w:eastAsia="Times New Roman" w:cs="Times New Roman"/>
                <w:bCs/>
                <w:noProof/>
                <w:sz w:val="16"/>
                <w:szCs w:val="16"/>
              </w:rPr>
            </w:pPr>
            <w:r w:rsidRPr="004D4A14">
              <w:rPr>
                <w:rFonts w:eastAsia="Times New Roman" w:cs="Times New Roman"/>
                <w:bCs/>
                <w:noProof/>
                <w:sz w:val="16"/>
                <w:szCs w:val="16"/>
              </w:rPr>
              <w:t>0</w:t>
            </w:r>
          </w:p>
        </w:tc>
        <w:tc>
          <w:tcPr>
            <w:tcW w:w="508" w:type="pct"/>
          </w:tcPr>
          <w:p w14:paraId="2111C899" w14:textId="77777777" w:rsidR="00B47068" w:rsidRPr="004D4A14" w:rsidRDefault="00B47068" w:rsidP="00B47068">
            <w:pPr>
              <w:spacing w:after="0" w:line="240" w:lineRule="auto"/>
              <w:jc w:val="center"/>
              <w:rPr>
                <w:rFonts w:eastAsia="Times New Roman" w:cs="Times New Roman"/>
                <w:bCs/>
                <w:noProof/>
                <w:sz w:val="16"/>
                <w:szCs w:val="16"/>
              </w:rPr>
            </w:pPr>
            <w:r w:rsidRPr="004D4A14">
              <w:rPr>
                <w:rFonts w:eastAsia="Times New Roman" w:cs="Times New Roman"/>
                <w:bCs/>
                <w:noProof/>
                <w:sz w:val="16"/>
                <w:szCs w:val="16"/>
              </w:rPr>
              <w:t>142 500</w:t>
            </w:r>
          </w:p>
        </w:tc>
      </w:tr>
      <w:tr w:rsidR="00B47068" w:rsidRPr="004D4A14" w14:paraId="6336B0DB" w14:textId="77777777" w:rsidTr="008E427B">
        <w:trPr>
          <w:trHeight w:val="332"/>
        </w:trPr>
        <w:tc>
          <w:tcPr>
            <w:tcW w:w="495" w:type="pct"/>
            <w:vMerge/>
          </w:tcPr>
          <w:p w14:paraId="15A07B48" w14:textId="77777777" w:rsidR="00B47068" w:rsidRPr="004D4A14" w:rsidRDefault="00B47068" w:rsidP="00B47068">
            <w:pPr>
              <w:spacing w:after="0" w:line="240" w:lineRule="auto"/>
              <w:jc w:val="both"/>
              <w:rPr>
                <w:rFonts w:eastAsia="Times New Roman" w:cs="Times New Roman"/>
                <w:noProof/>
                <w:sz w:val="16"/>
                <w:szCs w:val="16"/>
              </w:rPr>
            </w:pPr>
          </w:p>
        </w:tc>
        <w:tc>
          <w:tcPr>
            <w:tcW w:w="503" w:type="pct"/>
            <w:vMerge/>
          </w:tcPr>
          <w:p w14:paraId="48A630E7" w14:textId="77777777" w:rsidR="00B47068" w:rsidRPr="004D4A14" w:rsidRDefault="00B47068" w:rsidP="00B47068">
            <w:pPr>
              <w:spacing w:after="0" w:line="240" w:lineRule="auto"/>
              <w:jc w:val="both"/>
              <w:rPr>
                <w:rFonts w:eastAsia="Times New Roman" w:cs="Times New Roman"/>
                <w:noProof/>
                <w:sz w:val="16"/>
                <w:szCs w:val="16"/>
              </w:rPr>
            </w:pPr>
          </w:p>
        </w:tc>
        <w:tc>
          <w:tcPr>
            <w:tcW w:w="432" w:type="pct"/>
            <w:vMerge/>
          </w:tcPr>
          <w:p w14:paraId="2AAEED27" w14:textId="77777777" w:rsidR="00B47068" w:rsidRPr="004D4A14" w:rsidRDefault="00B47068" w:rsidP="00B47068">
            <w:pPr>
              <w:spacing w:after="0" w:line="240" w:lineRule="auto"/>
              <w:jc w:val="both"/>
              <w:rPr>
                <w:rFonts w:eastAsia="Times New Roman" w:cs="Times New Roman"/>
                <w:noProof/>
                <w:sz w:val="16"/>
                <w:szCs w:val="16"/>
              </w:rPr>
            </w:pPr>
          </w:p>
        </w:tc>
        <w:tc>
          <w:tcPr>
            <w:tcW w:w="502" w:type="pct"/>
          </w:tcPr>
          <w:p w14:paraId="13CCC5D7"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Sostinės regionas</w:t>
            </w:r>
          </w:p>
        </w:tc>
        <w:tc>
          <w:tcPr>
            <w:tcW w:w="640" w:type="pct"/>
          </w:tcPr>
          <w:p w14:paraId="31CE8653" w14:textId="77777777" w:rsidR="00B47068" w:rsidRPr="004D4A14" w:rsidRDefault="00B47068" w:rsidP="00B47068">
            <w:pPr>
              <w:spacing w:after="0" w:line="240" w:lineRule="auto"/>
              <w:jc w:val="both"/>
              <w:rPr>
                <w:rFonts w:eastAsia="Times New Roman" w:cs="Times New Roman"/>
                <w:sz w:val="16"/>
                <w:szCs w:val="16"/>
                <w:lang w:eastAsia="en-GB"/>
              </w:rPr>
            </w:pPr>
            <w:r w:rsidRPr="004D4A14">
              <w:rPr>
                <w:rFonts w:eastAsia="Times New Roman" w:cs="Times New Roman"/>
                <w:sz w:val="16"/>
                <w:szCs w:val="16"/>
                <w:lang w:eastAsia="en-GB"/>
              </w:rPr>
              <w:t>Specialusis </w:t>
            </w:r>
          </w:p>
        </w:tc>
        <w:tc>
          <w:tcPr>
            <w:tcW w:w="812" w:type="pct"/>
          </w:tcPr>
          <w:p w14:paraId="5B03E0FD" w14:textId="77777777" w:rsidR="00B47068" w:rsidRPr="004D4A14" w:rsidRDefault="00B47068" w:rsidP="00B47068">
            <w:pPr>
              <w:autoSpaceDE w:val="0"/>
              <w:autoSpaceDN w:val="0"/>
              <w:adjustRightInd w:val="0"/>
              <w:spacing w:after="0" w:line="240" w:lineRule="auto"/>
              <w:jc w:val="both"/>
              <w:rPr>
                <w:rFonts w:eastAsia="Times New Roman" w:cs="Times New Roman"/>
                <w:noProof/>
                <w:color w:val="000000"/>
                <w:sz w:val="16"/>
                <w:szCs w:val="16"/>
                <w:lang w:eastAsia="lt-LT"/>
              </w:rPr>
            </w:pPr>
            <w:r w:rsidRPr="004D4A14">
              <w:rPr>
                <w:rFonts w:eastAsia="Times New Roman" w:cs="Times New Roman"/>
                <w:sz w:val="16"/>
                <w:szCs w:val="16"/>
                <w:lang w:eastAsia="en-GB"/>
              </w:rPr>
              <w:t>Investicijos į daugiakanalę perspėjimo platformą</w:t>
            </w:r>
          </w:p>
        </w:tc>
        <w:tc>
          <w:tcPr>
            <w:tcW w:w="591" w:type="pct"/>
          </w:tcPr>
          <w:p w14:paraId="3EDB24A6" w14:textId="77777777" w:rsidR="00B47068" w:rsidRPr="004D4A14" w:rsidRDefault="00B47068" w:rsidP="00B47068">
            <w:pPr>
              <w:spacing w:after="0" w:line="240" w:lineRule="auto"/>
              <w:jc w:val="both"/>
              <w:rPr>
                <w:rFonts w:eastAsia="Times New Roman" w:cs="Times New Roman"/>
                <w:bCs/>
                <w:iCs/>
                <w:noProof/>
                <w:sz w:val="16"/>
                <w:szCs w:val="16"/>
              </w:rPr>
            </w:pPr>
            <w:r w:rsidRPr="004D4A14">
              <w:rPr>
                <w:rFonts w:eastAsia="Times New Roman" w:cs="Times New Roman"/>
                <w:iCs/>
                <w:sz w:val="16"/>
                <w:szCs w:val="16"/>
                <w:lang w:eastAsia="lt-LT"/>
              </w:rPr>
              <w:t>Eurai</w:t>
            </w:r>
          </w:p>
        </w:tc>
        <w:tc>
          <w:tcPr>
            <w:tcW w:w="516" w:type="pct"/>
          </w:tcPr>
          <w:p w14:paraId="7819CCDE" w14:textId="77777777" w:rsidR="00B47068" w:rsidRPr="004D4A14" w:rsidRDefault="00B47068" w:rsidP="00B47068">
            <w:pPr>
              <w:spacing w:after="0" w:line="240" w:lineRule="auto"/>
              <w:jc w:val="center"/>
              <w:rPr>
                <w:rFonts w:eastAsia="Times New Roman" w:cs="Times New Roman"/>
                <w:bCs/>
                <w:noProof/>
                <w:sz w:val="16"/>
                <w:szCs w:val="16"/>
              </w:rPr>
            </w:pPr>
            <w:r w:rsidRPr="004D4A14">
              <w:rPr>
                <w:rFonts w:eastAsia="Times New Roman" w:cs="Times New Roman"/>
                <w:bCs/>
                <w:noProof/>
                <w:sz w:val="16"/>
                <w:szCs w:val="16"/>
              </w:rPr>
              <w:t>0</w:t>
            </w:r>
          </w:p>
        </w:tc>
        <w:tc>
          <w:tcPr>
            <w:tcW w:w="508" w:type="pct"/>
          </w:tcPr>
          <w:p w14:paraId="10D55551" w14:textId="77777777" w:rsidR="00B47068" w:rsidRPr="004D4A14" w:rsidRDefault="00B47068" w:rsidP="00B47068">
            <w:pPr>
              <w:spacing w:after="0" w:line="240" w:lineRule="auto"/>
              <w:jc w:val="center"/>
              <w:rPr>
                <w:rFonts w:eastAsia="Times New Roman" w:cs="Times New Roman"/>
                <w:bCs/>
                <w:noProof/>
                <w:sz w:val="16"/>
                <w:szCs w:val="16"/>
              </w:rPr>
            </w:pPr>
            <w:r w:rsidRPr="004D4A14">
              <w:rPr>
                <w:rFonts w:eastAsia="Times New Roman" w:cs="Times New Roman"/>
                <w:bCs/>
                <w:noProof/>
                <w:sz w:val="16"/>
                <w:szCs w:val="16"/>
              </w:rPr>
              <w:t>1 603 250</w:t>
            </w:r>
          </w:p>
        </w:tc>
      </w:tr>
      <w:tr w:rsidR="00B47068" w:rsidRPr="004D4A14" w14:paraId="6F3E9F48" w14:textId="77777777" w:rsidTr="008E427B">
        <w:trPr>
          <w:trHeight w:val="332"/>
        </w:trPr>
        <w:tc>
          <w:tcPr>
            <w:tcW w:w="495" w:type="pct"/>
            <w:vMerge/>
          </w:tcPr>
          <w:p w14:paraId="442BB6BF" w14:textId="77777777" w:rsidR="00B47068" w:rsidRPr="004D4A14" w:rsidRDefault="00B47068" w:rsidP="00B47068">
            <w:pPr>
              <w:spacing w:after="0" w:line="240" w:lineRule="auto"/>
              <w:jc w:val="both"/>
              <w:rPr>
                <w:rFonts w:eastAsia="Times New Roman" w:cs="Times New Roman"/>
                <w:sz w:val="16"/>
                <w:szCs w:val="16"/>
              </w:rPr>
            </w:pPr>
          </w:p>
        </w:tc>
        <w:tc>
          <w:tcPr>
            <w:tcW w:w="503" w:type="pct"/>
            <w:vMerge/>
          </w:tcPr>
          <w:p w14:paraId="5C0E9A85" w14:textId="77777777" w:rsidR="00B47068" w:rsidRPr="004D4A14" w:rsidRDefault="00B47068" w:rsidP="00B47068">
            <w:pPr>
              <w:spacing w:after="0" w:line="240" w:lineRule="auto"/>
              <w:jc w:val="both"/>
              <w:rPr>
                <w:rFonts w:eastAsia="Times New Roman" w:cs="Times New Roman"/>
                <w:noProof/>
                <w:sz w:val="16"/>
                <w:szCs w:val="16"/>
              </w:rPr>
            </w:pPr>
          </w:p>
        </w:tc>
        <w:tc>
          <w:tcPr>
            <w:tcW w:w="432" w:type="pct"/>
            <w:vMerge/>
          </w:tcPr>
          <w:p w14:paraId="374AD80D" w14:textId="77777777" w:rsidR="00B47068" w:rsidRPr="004D4A14" w:rsidRDefault="00B47068" w:rsidP="00B47068">
            <w:pPr>
              <w:spacing w:after="0" w:line="240" w:lineRule="auto"/>
              <w:jc w:val="both"/>
              <w:rPr>
                <w:rFonts w:eastAsia="Times New Roman" w:cs="Times New Roman"/>
                <w:noProof/>
                <w:sz w:val="16"/>
                <w:szCs w:val="16"/>
              </w:rPr>
            </w:pPr>
          </w:p>
        </w:tc>
        <w:tc>
          <w:tcPr>
            <w:tcW w:w="502" w:type="pct"/>
          </w:tcPr>
          <w:p w14:paraId="4D4F4E9A"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VVL regionas</w:t>
            </w:r>
          </w:p>
        </w:tc>
        <w:tc>
          <w:tcPr>
            <w:tcW w:w="640" w:type="pct"/>
          </w:tcPr>
          <w:p w14:paraId="768748A7" w14:textId="77777777" w:rsidR="00B47068" w:rsidRPr="004D4A14" w:rsidRDefault="00B47068" w:rsidP="00B47068">
            <w:pPr>
              <w:spacing w:after="0" w:line="240" w:lineRule="auto"/>
              <w:jc w:val="both"/>
              <w:rPr>
                <w:rFonts w:eastAsia="Times New Roman" w:cs="Times New Roman"/>
                <w:sz w:val="16"/>
                <w:szCs w:val="16"/>
                <w:lang w:eastAsia="en-GB"/>
              </w:rPr>
            </w:pPr>
            <w:r w:rsidRPr="004D4A14">
              <w:rPr>
                <w:rFonts w:eastAsia="Times New Roman" w:cs="Times New Roman"/>
                <w:sz w:val="16"/>
                <w:szCs w:val="16"/>
                <w:lang w:eastAsia="en-GB"/>
              </w:rPr>
              <w:t>Specialusis </w:t>
            </w:r>
          </w:p>
        </w:tc>
        <w:tc>
          <w:tcPr>
            <w:tcW w:w="812" w:type="pct"/>
          </w:tcPr>
          <w:p w14:paraId="3EFB1F49" w14:textId="77777777" w:rsidR="00B47068" w:rsidRPr="004D4A14" w:rsidRDefault="00B47068" w:rsidP="00B47068">
            <w:pPr>
              <w:autoSpaceDE w:val="0"/>
              <w:autoSpaceDN w:val="0"/>
              <w:adjustRightInd w:val="0"/>
              <w:spacing w:after="0" w:line="240" w:lineRule="auto"/>
              <w:jc w:val="both"/>
              <w:rPr>
                <w:rFonts w:eastAsia="Times New Roman" w:cs="Times New Roman"/>
                <w:sz w:val="16"/>
                <w:szCs w:val="16"/>
                <w:lang w:eastAsia="en-GB"/>
              </w:rPr>
            </w:pPr>
            <w:r w:rsidRPr="004D4A14">
              <w:rPr>
                <w:rFonts w:eastAsia="Times New Roman" w:cs="Times New Roman"/>
                <w:sz w:val="16"/>
                <w:szCs w:val="16"/>
                <w:lang w:eastAsia="en-GB"/>
              </w:rPr>
              <w:t>Investicijos į daugiakanalę perspėjimo platformą</w:t>
            </w:r>
          </w:p>
        </w:tc>
        <w:tc>
          <w:tcPr>
            <w:tcW w:w="591" w:type="pct"/>
          </w:tcPr>
          <w:p w14:paraId="42EC0DA9" w14:textId="77777777" w:rsidR="00B47068" w:rsidRPr="004D4A14" w:rsidRDefault="00B47068" w:rsidP="00B47068">
            <w:pPr>
              <w:spacing w:after="0" w:line="240" w:lineRule="auto"/>
              <w:jc w:val="both"/>
              <w:rPr>
                <w:rFonts w:eastAsia="Times New Roman" w:cs="Times New Roman"/>
                <w:iCs/>
                <w:sz w:val="16"/>
                <w:szCs w:val="16"/>
                <w:lang w:eastAsia="lt-LT"/>
              </w:rPr>
            </w:pPr>
            <w:r w:rsidRPr="004D4A14">
              <w:rPr>
                <w:rFonts w:eastAsia="Times New Roman" w:cs="Times New Roman"/>
                <w:iCs/>
                <w:sz w:val="16"/>
                <w:szCs w:val="16"/>
                <w:lang w:eastAsia="lt-LT"/>
              </w:rPr>
              <w:t>Eurai</w:t>
            </w:r>
          </w:p>
        </w:tc>
        <w:tc>
          <w:tcPr>
            <w:tcW w:w="516" w:type="pct"/>
          </w:tcPr>
          <w:p w14:paraId="74D4D393" w14:textId="77777777" w:rsidR="00B47068" w:rsidRPr="004D4A14" w:rsidRDefault="00B47068" w:rsidP="00B47068">
            <w:pPr>
              <w:spacing w:after="0" w:line="240" w:lineRule="auto"/>
              <w:jc w:val="center"/>
              <w:rPr>
                <w:rFonts w:eastAsia="Times New Roman" w:cs="Times New Roman"/>
                <w:bCs/>
                <w:noProof/>
                <w:sz w:val="16"/>
                <w:szCs w:val="16"/>
              </w:rPr>
            </w:pPr>
            <w:r w:rsidRPr="004D4A14">
              <w:rPr>
                <w:rFonts w:eastAsia="Times New Roman" w:cs="Times New Roman"/>
                <w:bCs/>
                <w:noProof/>
                <w:sz w:val="16"/>
                <w:szCs w:val="16"/>
              </w:rPr>
              <w:t>0</w:t>
            </w:r>
          </w:p>
        </w:tc>
        <w:tc>
          <w:tcPr>
            <w:tcW w:w="508" w:type="pct"/>
          </w:tcPr>
          <w:p w14:paraId="23C59DAC" w14:textId="77777777" w:rsidR="00B47068" w:rsidRPr="004D4A14" w:rsidRDefault="00B47068" w:rsidP="00B47068">
            <w:pPr>
              <w:spacing w:after="0" w:line="240" w:lineRule="auto"/>
              <w:jc w:val="center"/>
              <w:rPr>
                <w:rFonts w:eastAsia="Times New Roman" w:cs="Times New Roman"/>
                <w:bCs/>
                <w:noProof/>
                <w:sz w:val="16"/>
                <w:szCs w:val="16"/>
              </w:rPr>
            </w:pPr>
            <w:r w:rsidRPr="004D4A14">
              <w:rPr>
                <w:rFonts w:eastAsia="Times New Roman" w:cs="Times New Roman"/>
                <w:bCs/>
                <w:noProof/>
                <w:sz w:val="16"/>
                <w:szCs w:val="16"/>
              </w:rPr>
              <w:t>3 896 750</w:t>
            </w:r>
          </w:p>
        </w:tc>
      </w:tr>
      <w:tr w:rsidR="00B47068" w:rsidRPr="004D4A14" w14:paraId="517AD000" w14:textId="77777777" w:rsidTr="008E427B">
        <w:trPr>
          <w:trHeight w:val="332"/>
        </w:trPr>
        <w:tc>
          <w:tcPr>
            <w:tcW w:w="495" w:type="pct"/>
            <w:vMerge/>
          </w:tcPr>
          <w:p w14:paraId="50717827" w14:textId="77777777" w:rsidR="00B47068" w:rsidRPr="004D4A14" w:rsidRDefault="00B47068" w:rsidP="00B47068">
            <w:pPr>
              <w:spacing w:after="0" w:line="240" w:lineRule="auto"/>
              <w:jc w:val="both"/>
              <w:rPr>
                <w:rFonts w:eastAsia="Times New Roman" w:cs="Times New Roman"/>
                <w:sz w:val="16"/>
                <w:szCs w:val="16"/>
              </w:rPr>
            </w:pPr>
          </w:p>
        </w:tc>
        <w:tc>
          <w:tcPr>
            <w:tcW w:w="503" w:type="pct"/>
            <w:vMerge/>
          </w:tcPr>
          <w:p w14:paraId="2C1B58B2" w14:textId="77777777" w:rsidR="00B47068" w:rsidRPr="004D4A14" w:rsidRDefault="00B47068" w:rsidP="00B47068">
            <w:pPr>
              <w:spacing w:after="0" w:line="240" w:lineRule="auto"/>
              <w:jc w:val="both"/>
              <w:rPr>
                <w:rFonts w:eastAsia="Times New Roman" w:cs="Times New Roman"/>
                <w:noProof/>
                <w:sz w:val="16"/>
                <w:szCs w:val="16"/>
              </w:rPr>
            </w:pPr>
          </w:p>
        </w:tc>
        <w:tc>
          <w:tcPr>
            <w:tcW w:w="432" w:type="pct"/>
            <w:vMerge/>
          </w:tcPr>
          <w:p w14:paraId="3026670D" w14:textId="77777777" w:rsidR="00B47068" w:rsidRPr="004D4A14" w:rsidRDefault="00B47068" w:rsidP="00B47068">
            <w:pPr>
              <w:spacing w:after="0" w:line="240" w:lineRule="auto"/>
              <w:jc w:val="both"/>
              <w:rPr>
                <w:rFonts w:eastAsia="Times New Roman" w:cs="Times New Roman"/>
                <w:noProof/>
                <w:sz w:val="16"/>
                <w:szCs w:val="16"/>
              </w:rPr>
            </w:pPr>
          </w:p>
        </w:tc>
        <w:tc>
          <w:tcPr>
            <w:tcW w:w="502" w:type="pct"/>
          </w:tcPr>
          <w:p w14:paraId="4C4C3504"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VVL regionas</w:t>
            </w:r>
          </w:p>
        </w:tc>
        <w:tc>
          <w:tcPr>
            <w:tcW w:w="640" w:type="pct"/>
          </w:tcPr>
          <w:p w14:paraId="229AA562" w14:textId="77777777" w:rsidR="00B47068" w:rsidRPr="004D4A14" w:rsidRDefault="00B47068" w:rsidP="00B47068">
            <w:pPr>
              <w:spacing w:after="0" w:line="240" w:lineRule="auto"/>
              <w:jc w:val="both"/>
              <w:rPr>
                <w:rFonts w:eastAsia="Times New Roman" w:cs="Times New Roman"/>
                <w:sz w:val="16"/>
                <w:szCs w:val="16"/>
                <w:lang w:eastAsia="en-GB"/>
              </w:rPr>
            </w:pPr>
            <w:r w:rsidRPr="004D4A14">
              <w:rPr>
                <w:rFonts w:eastAsia="Times New Roman" w:cs="Times New Roman"/>
                <w:color w:val="000000"/>
                <w:sz w:val="16"/>
                <w:szCs w:val="16"/>
              </w:rPr>
              <w:t>RCO24</w:t>
            </w:r>
          </w:p>
        </w:tc>
        <w:tc>
          <w:tcPr>
            <w:tcW w:w="812" w:type="pct"/>
          </w:tcPr>
          <w:p w14:paraId="21C76CA8" w14:textId="77777777" w:rsidR="00B47068" w:rsidRPr="004D4A14" w:rsidRDefault="00B47068" w:rsidP="00B47068">
            <w:pPr>
              <w:autoSpaceDE w:val="0"/>
              <w:autoSpaceDN w:val="0"/>
              <w:adjustRightInd w:val="0"/>
              <w:spacing w:after="0" w:line="240" w:lineRule="auto"/>
              <w:jc w:val="both"/>
              <w:rPr>
                <w:rFonts w:eastAsia="Times New Roman" w:cs="Times New Roman"/>
                <w:sz w:val="16"/>
                <w:szCs w:val="16"/>
                <w:lang w:eastAsia="en-GB"/>
              </w:rPr>
            </w:pPr>
            <w:r w:rsidRPr="004D4A14">
              <w:rPr>
                <w:rFonts w:eastAsia="Times New Roman" w:cs="Times New Roman"/>
                <w:sz w:val="16"/>
                <w:szCs w:val="16"/>
              </w:rPr>
              <w:t xml:space="preserve">Investicijos į naujas arba atnaujintas </w:t>
            </w:r>
            <w:r w:rsidRPr="004D4A14">
              <w:rPr>
                <w:rFonts w:eastAsia="Times New Roman" w:cs="Times New Roman"/>
                <w:sz w:val="16"/>
                <w:szCs w:val="16"/>
              </w:rPr>
              <w:lastRenderedPageBreak/>
              <w:t>gaivalinių nelaimių stebėsenos, pasirengimo joms, įspėjimo apie jas ir reagavimo į jas sistemas</w:t>
            </w:r>
          </w:p>
        </w:tc>
        <w:tc>
          <w:tcPr>
            <w:tcW w:w="591" w:type="pct"/>
          </w:tcPr>
          <w:p w14:paraId="7AA02A84" w14:textId="77777777" w:rsidR="00B47068" w:rsidRPr="004D4A14" w:rsidRDefault="00B47068" w:rsidP="00B47068">
            <w:pPr>
              <w:spacing w:after="0" w:line="240" w:lineRule="auto"/>
              <w:jc w:val="both"/>
              <w:rPr>
                <w:rFonts w:eastAsia="Times New Roman" w:cs="Times New Roman"/>
                <w:iCs/>
                <w:sz w:val="16"/>
                <w:szCs w:val="16"/>
                <w:lang w:eastAsia="lt-LT"/>
              </w:rPr>
            </w:pPr>
            <w:r w:rsidRPr="004D4A14">
              <w:rPr>
                <w:rFonts w:eastAsia="Times New Roman" w:cs="Times New Roman"/>
                <w:iCs/>
                <w:sz w:val="16"/>
                <w:szCs w:val="16"/>
                <w:lang w:eastAsia="lt-LT"/>
              </w:rPr>
              <w:lastRenderedPageBreak/>
              <w:t>Eurai</w:t>
            </w:r>
          </w:p>
        </w:tc>
        <w:tc>
          <w:tcPr>
            <w:tcW w:w="516" w:type="pct"/>
          </w:tcPr>
          <w:p w14:paraId="6D8C00B6" w14:textId="77777777" w:rsidR="00B47068" w:rsidRPr="004D4A14" w:rsidRDefault="00B47068" w:rsidP="00B47068">
            <w:pPr>
              <w:spacing w:after="0" w:line="240" w:lineRule="auto"/>
              <w:jc w:val="center"/>
              <w:rPr>
                <w:rFonts w:eastAsia="Times New Roman" w:cs="Times New Roman"/>
                <w:bCs/>
                <w:noProof/>
                <w:sz w:val="16"/>
                <w:szCs w:val="16"/>
              </w:rPr>
            </w:pPr>
            <w:r w:rsidRPr="004D4A14">
              <w:rPr>
                <w:rFonts w:eastAsia="Times New Roman" w:cs="Times New Roman"/>
                <w:noProof/>
                <w:sz w:val="16"/>
                <w:szCs w:val="16"/>
              </w:rPr>
              <w:t>2 000 000</w:t>
            </w:r>
          </w:p>
        </w:tc>
        <w:tc>
          <w:tcPr>
            <w:tcW w:w="508" w:type="pct"/>
          </w:tcPr>
          <w:p w14:paraId="2F044293" w14:textId="77777777" w:rsidR="00B47068" w:rsidRPr="004D4A14" w:rsidRDefault="00B47068" w:rsidP="00B47068">
            <w:pPr>
              <w:spacing w:after="0" w:line="240" w:lineRule="auto"/>
              <w:jc w:val="center"/>
              <w:rPr>
                <w:rFonts w:eastAsia="Times New Roman" w:cs="Times New Roman"/>
                <w:bCs/>
                <w:noProof/>
                <w:sz w:val="16"/>
                <w:szCs w:val="16"/>
              </w:rPr>
            </w:pPr>
            <w:r w:rsidRPr="004D4A14">
              <w:rPr>
                <w:rFonts w:eastAsia="Times New Roman" w:cs="Times New Roman"/>
                <w:noProof/>
                <w:sz w:val="16"/>
                <w:szCs w:val="16"/>
                <w:lang w:val="en-US"/>
              </w:rPr>
              <w:t>12 680 000</w:t>
            </w:r>
          </w:p>
        </w:tc>
      </w:tr>
      <w:tr w:rsidR="00B47068" w:rsidRPr="004D4A14" w14:paraId="37EC9745" w14:textId="77777777" w:rsidTr="008E427B">
        <w:trPr>
          <w:trHeight w:val="332"/>
        </w:trPr>
        <w:tc>
          <w:tcPr>
            <w:tcW w:w="495" w:type="pct"/>
            <w:vMerge/>
          </w:tcPr>
          <w:p w14:paraId="6F8A7E97" w14:textId="77777777" w:rsidR="00B47068" w:rsidRPr="004D4A14" w:rsidRDefault="00B47068" w:rsidP="00B47068">
            <w:pPr>
              <w:spacing w:after="0" w:line="240" w:lineRule="auto"/>
              <w:jc w:val="both"/>
              <w:rPr>
                <w:rFonts w:eastAsia="Times New Roman" w:cs="Times New Roman"/>
                <w:sz w:val="16"/>
                <w:szCs w:val="16"/>
              </w:rPr>
            </w:pPr>
          </w:p>
        </w:tc>
        <w:tc>
          <w:tcPr>
            <w:tcW w:w="503" w:type="pct"/>
            <w:vMerge/>
          </w:tcPr>
          <w:p w14:paraId="2F276AF5" w14:textId="77777777" w:rsidR="00B47068" w:rsidRPr="004D4A14" w:rsidRDefault="00B47068" w:rsidP="00B47068">
            <w:pPr>
              <w:spacing w:after="0" w:line="240" w:lineRule="auto"/>
              <w:jc w:val="both"/>
              <w:rPr>
                <w:rFonts w:eastAsia="Times New Roman" w:cs="Times New Roman"/>
                <w:noProof/>
                <w:sz w:val="16"/>
                <w:szCs w:val="16"/>
              </w:rPr>
            </w:pPr>
          </w:p>
        </w:tc>
        <w:tc>
          <w:tcPr>
            <w:tcW w:w="432" w:type="pct"/>
            <w:vMerge/>
          </w:tcPr>
          <w:p w14:paraId="163EF579" w14:textId="77777777" w:rsidR="00B47068" w:rsidRPr="004D4A14" w:rsidRDefault="00B47068" w:rsidP="00B47068">
            <w:pPr>
              <w:spacing w:after="0" w:line="240" w:lineRule="auto"/>
              <w:jc w:val="both"/>
              <w:rPr>
                <w:rFonts w:eastAsia="Times New Roman" w:cs="Times New Roman"/>
                <w:noProof/>
                <w:sz w:val="16"/>
                <w:szCs w:val="16"/>
              </w:rPr>
            </w:pPr>
          </w:p>
        </w:tc>
        <w:tc>
          <w:tcPr>
            <w:tcW w:w="502" w:type="pct"/>
          </w:tcPr>
          <w:p w14:paraId="085BECD7"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Sostinės regionas</w:t>
            </w:r>
          </w:p>
        </w:tc>
        <w:tc>
          <w:tcPr>
            <w:tcW w:w="640" w:type="pct"/>
          </w:tcPr>
          <w:p w14:paraId="4999AB54" w14:textId="77777777" w:rsidR="00B47068" w:rsidRPr="004D4A14" w:rsidRDefault="00B47068" w:rsidP="00B47068">
            <w:pPr>
              <w:spacing w:after="0" w:line="240" w:lineRule="auto"/>
              <w:jc w:val="both"/>
              <w:rPr>
                <w:rFonts w:eastAsia="Times New Roman" w:cs="Times New Roman"/>
                <w:color w:val="000000"/>
                <w:sz w:val="16"/>
                <w:szCs w:val="16"/>
              </w:rPr>
            </w:pPr>
            <w:r w:rsidRPr="004D4A14">
              <w:rPr>
                <w:rFonts w:eastAsia="Times New Roman" w:cs="Times New Roman"/>
                <w:sz w:val="16"/>
                <w:szCs w:val="16"/>
                <w:lang w:eastAsia="en-GB"/>
              </w:rPr>
              <w:t>Specialusis </w:t>
            </w:r>
          </w:p>
        </w:tc>
        <w:tc>
          <w:tcPr>
            <w:tcW w:w="812" w:type="pct"/>
          </w:tcPr>
          <w:p w14:paraId="274E8A56" w14:textId="77777777" w:rsidR="00B47068" w:rsidRPr="004D4A14" w:rsidRDefault="00B47068" w:rsidP="00B47068">
            <w:pPr>
              <w:autoSpaceDE w:val="0"/>
              <w:autoSpaceDN w:val="0"/>
              <w:adjustRightInd w:val="0"/>
              <w:spacing w:after="0" w:line="240" w:lineRule="auto"/>
              <w:jc w:val="both"/>
              <w:rPr>
                <w:rFonts w:eastAsia="Times New Roman" w:cs="Times New Roman"/>
                <w:sz w:val="16"/>
                <w:szCs w:val="16"/>
              </w:rPr>
            </w:pPr>
            <w:r w:rsidRPr="004D4A14">
              <w:rPr>
                <w:rFonts w:eastAsia="Times New Roman" w:cs="Times New Roman"/>
                <w:sz w:val="16"/>
                <w:szCs w:val="16"/>
                <w:lang w:eastAsia="en-GB"/>
              </w:rPr>
              <w:t xml:space="preserve">Investicijos į viešąjį saugumą užtikrinančių institucijų parengtį </w:t>
            </w:r>
          </w:p>
        </w:tc>
        <w:tc>
          <w:tcPr>
            <w:tcW w:w="591" w:type="pct"/>
          </w:tcPr>
          <w:p w14:paraId="0B1DD066" w14:textId="77777777" w:rsidR="00B47068" w:rsidRPr="004D4A14" w:rsidRDefault="00B47068" w:rsidP="00B47068">
            <w:pPr>
              <w:spacing w:after="0" w:line="240" w:lineRule="auto"/>
              <w:jc w:val="both"/>
              <w:rPr>
                <w:rFonts w:eastAsia="Times New Roman" w:cs="Times New Roman"/>
                <w:iCs/>
                <w:sz w:val="16"/>
                <w:szCs w:val="16"/>
                <w:lang w:eastAsia="lt-LT"/>
              </w:rPr>
            </w:pPr>
            <w:r w:rsidRPr="004D4A14">
              <w:rPr>
                <w:rFonts w:eastAsia="Times New Roman" w:cs="Times New Roman"/>
                <w:iCs/>
                <w:sz w:val="16"/>
                <w:szCs w:val="16"/>
                <w:lang w:eastAsia="lt-LT"/>
              </w:rPr>
              <w:t>Eurai</w:t>
            </w:r>
          </w:p>
        </w:tc>
        <w:tc>
          <w:tcPr>
            <w:tcW w:w="516" w:type="pct"/>
          </w:tcPr>
          <w:p w14:paraId="11D093A7" w14:textId="77777777" w:rsidR="00B47068" w:rsidRPr="004D4A14" w:rsidRDefault="00B47068" w:rsidP="00B47068">
            <w:pPr>
              <w:spacing w:after="0" w:line="240" w:lineRule="auto"/>
              <w:jc w:val="center"/>
              <w:rPr>
                <w:rFonts w:eastAsia="Times New Roman" w:cs="Times New Roman"/>
                <w:noProof/>
                <w:sz w:val="16"/>
                <w:szCs w:val="16"/>
              </w:rPr>
            </w:pPr>
            <w:r w:rsidRPr="004D4A14">
              <w:rPr>
                <w:rFonts w:eastAsia="Times New Roman" w:cs="Times New Roman"/>
                <w:bCs/>
                <w:noProof/>
                <w:sz w:val="16"/>
                <w:szCs w:val="16"/>
              </w:rPr>
              <w:t>0</w:t>
            </w:r>
          </w:p>
        </w:tc>
        <w:tc>
          <w:tcPr>
            <w:tcW w:w="508" w:type="pct"/>
          </w:tcPr>
          <w:p w14:paraId="09BD22CC" w14:textId="77777777" w:rsidR="00B47068" w:rsidRPr="004D4A14" w:rsidRDefault="00B47068" w:rsidP="00B47068">
            <w:pPr>
              <w:spacing w:after="0" w:line="240" w:lineRule="auto"/>
              <w:jc w:val="center"/>
              <w:rPr>
                <w:rFonts w:eastAsia="Times New Roman" w:cs="Times New Roman"/>
                <w:noProof/>
                <w:sz w:val="16"/>
                <w:szCs w:val="16"/>
                <w:lang w:val="en-US"/>
              </w:rPr>
            </w:pPr>
            <w:r w:rsidRPr="004D4A14">
              <w:rPr>
                <w:rFonts w:eastAsia="Times New Roman" w:cs="Times New Roman"/>
                <w:noProof/>
                <w:sz w:val="16"/>
                <w:szCs w:val="16"/>
                <w:lang w:val="en-US"/>
              </w:rPr>
              <w:t>8 016 250</w:t>
            </w:r>
          </w:p>
        </w:tc>
      </w:tr>
      <w:tr w:rsidR="00B47068" w:rsidRPr="004D4A14" w14:paraId="523EF391" w14:textId="77777777" w:rsidTr="008E427B">
        <w:trPr>
          <w:trHeight w:val="332"/>
        </w:trPr>
        <w:tc>
          <w:tcPr>
            <w:tcW w:w="495" w:type="pct"/>
            <w:vMerge/>
          </w:tcPr>
          <w:p w14:paraId="0A73FD86" w14:textId="77777777" w:rsidR="00B47068" w:rsidRPr="004D4A14" w:rsidRDefault="00B47068" w:rsidP="00B47068">
            <w:pPr>
              <w:spacing w:after="0" w:line="240" w:lineRule="auto"/>
              <w:jc w:val="both"/>
              <w:rPr>
                <w:rFonts w:eastAsia="Times New Roman" w:cs="Times New Roman"/>
                <w:sz w:val="16"/>
                <w:szCs w:val="16"/>
              </w:rPr>
            </w:pPr>
          </w:p>
        </w:tc>
        <w:tc>
          <w:tcPr>
            <w:tcW w:w="503" w:type="pct"/>
            <w:vMerge/>
          </w:tcPr>
          <w:p w14:paraId="1ED1ADC9" w14:textId="77777777" w:rsidR="00B47068" w:rsidRPr="004D4A14" w:rsidRDefault="00B47068" w:rsidP="00B47068">
            <w:pPr>
              <w:spacing w:after="0" w:line="240" w:lineRule="auto"/>
              <w:jc w:val="both"/>
              <w:rPr>
                <w:rFonts w:eastAsia="Times New Roman" w:cs="Times New Roman"/>
                <w:noProof/>
                <w:sz w:val="16"/>
                <w:szCs w:val="16"/>
              </w:rPr>
            </w:pPr>
          </w:p>
        </w:tc>
        <w:tc>
          <w:tcPr>
            <w:tcW w:w="432" w:type="pct"/>
            <w:vMerge/>
          </w:tcPr>
          <w:p w14:paraId="6D04C305" w14:textId="77777777" w:rsidR="00B47068" w:rsidRPr="004D4A14" w:rsidRDefault="00B47068" w:rsidP="00B47068">
            <w:pPr>
              <w:spacing w:after="0" w:line="240" w:lineRule="auto"/>
              <w:jc w:val="both"/>
              <w:rPr>
                <w:rFonts w:eastAsia="Times New Roman" w:cs="Times New Roman"/>
                <w:noProof/>
                <w:sz w:val="16"/>
                <w:szCs w:val="16"/>
              </w:rPr>
            </w:pPr>
          </w:p>
        </w:tc>
        <w:tc>
          <w:tcPr>
            <w:tcW w:w="502" w:type="pct"/>
          </w:tcPr>
          <w:p w14:paraId="6ABA9033"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VVL regionas</w:t>
            </w:r>
          </w:p>
        </w:tc>
        <w:tc>
          <w:tcPr>
            <w:tcW w:w="640" w:type="pct"/>
          </w:tcPr>
          <w:p w14:paraId="123AD843" w14:textId="77777777" w:rsidR="00B47068" w:rsidRPr="004D4A14" w:rsidRDefault="00B47068" w:rsidP="00B47068">
            <w:pPr>
              <w:spacing w:after="0" w:line="240" w:lineRule="auto"/>
              <w:jc w:val="both"/>
              <w:rPr>
                <w:rFonts w:eastAsia="Times New Roman" w:cs="Times New Roman"/>
                <w:sz w:val="16"/>
                <w:szCs w:val="16"/>
                <w:lang w:eastAsia="en-GB"/>
              </w:rPr>
            </w:pPr>
            <w:r w:rsidRPr="004D4A14">
              <w:rPr>
                <w:rFonts w:eastAsia="Times New Roman" w:cs="Times New Roman"/>
                <w:sz w:val="16"/>
                <w:szCs w:val="16"/>
                <w:lang w:eastAsia="en-GB"/>
              </w:rPr>
              <w:t>Specialusis </w:t>
            </w:r>
          </w:p>
        </w:tc>
        <w:tc>
          <w:tcPr>
            <w:tcW w:w="812" w:type="pct"/>
          </w:tcPr>
          <w:p w14:paraId="76872CBF" w14:textId="77777777" w:rsidR="00B47068" w:rsidRPr="004D4A14" w:rsidRDefault="00B47068" w:rsidP="00B47068">
            <w:pPr>
              <w:autoSpaceDE w:val="0"/>
              <w:autoSpaceDN w:val="0"/>
              <w:adjustRightInd w:val="0"/>
              <w:spacing w:after="0" w:line="240" w:lineRule="auto"/>
              <w:jc w:val="both"/>
              <w:rPr>
                <w:rFonts w:eastAsia="Times New Roman" w:cs="Times New Roman"/>
                <w:sz w:val="16"/>
                <w:szCs w:val="16"/>
                <w:lang w:eastAsia="en-GB"/>
              </w:rPr>
            </w:pPr>
            <w:r w:rsidRPr="004D4A14">
              <w:rPr>
                <w:rFonts w:eastAsia="Times New Roman" w:cs="Times New Roman"/>
                <w:sz w:val="16"/>
                <w:szCs w:val="16"/>
                <w:lang w:eastAsia="en-GB"/>
              </w:rPr>
              <w:t>Investicijos į viešąjį saugumą užtikrinančių institucijų parengtį</w:t>
            </w:r>
          </w:p>
        </w:tc>
        <w:tc>
          <w:tcPr>
            <w:tcW w:w="591" w:type="pct"/>
          </w:tcPr>
          <w:p w14:paraId="3ACC943F" w14:textId="77777777" w:rsidR="00B47068" w:rsidRPr="004D4A14" w:rsidRDefault="00B47068" w:rsidP="00B47068">
            <w:pPr>
              <w:spacing w:after="0" w:line="240" w:lineRule="auto"/>
              <w:jc w:val="both"/>
              <w:rPr>
                <w:rFonts w:eastAsia="Times New Roman" w:cs="Times New Roman"/>
                <w:iCs/>
                <w:sz w:val="16"/>
                <w:szCs w:val="16"/>
                <w:lang w:eastAsia="lt-LT"/>
              </w:rPr>
            </w:pPr>
            <w:r w:rsidRPr="004D4A14">
              <w:rPr>
                <w:rFonts w:eastAsia="Times New Roman" w:cs="Times New Roman"/>
                <w:iCs/>
                <w:sz w:val="16"/>
                <w:szCs w:val="16"/>
                <w:lang w:eastAsia="lt-LT"/>
              </w:rPr>
              <w:t>Eurai</w:t>
            </w:r>
          </w:p>
        </w:tc>
        <w:tc>
          <w:tcPr>
            <w:tcW w:w="516" w:type="pct"/>
          </w:tcPr>
          <w:p w14:paraId="55600E46" w14:textId="77777777" w:rsidR="00B47068" w:rsidRPr="004D4A14" w:rsidRDefault="00B47068" w:rsidP="00B47068">
            <w:pPr>
              <w:spacing w:after="0" w:line="240" w:lineRule="auto"/>
              <w:jc w:val="center"/>
              <w:rPr>
                <w:rFonts w:eastAsia="Times New Roman" w:cs="Times New Roman"/>
                <w:bCs/>
                <w:noProof/>
                <w:sz w:val="16"/>
                <w:szCs w:val="16"/>
              </w:rPr>
            </w:pPr>
            <w:r w:rsidRPr="004D4A14">
              <w:rPr>
                <w:rFonts w:eastAsia="Times New Roman" w:cs="Times New Roman"/>
                <w:bCs/>
                <w:noProof/>
                <w:sz w:val="16"/>
                <w:szCs w:val="16"/>
              </w:rPr>
              <w:t>0</w:t>
            </w:r>
          </w:p>
        </w:tc>
        <w:tc>
          <w:tcPr>
            <w:tcW w:w="508" w:type="pct"/>
          </w:tcPr>
          <w:p w14:paraId="61108804" w14:textId="77777777" w:rsidR="00B47068" w:rsidRPr="004D4A14" w:rsidRDefault="00B47068" w:rsidP="00B47068">
            <w:pPr>
              <w:spacing w:after="0" w:line="240" w:lineRule="auto"/>
              <w:jc w:val="center"/>
              <w:rPr>
                <w:rFonts w:eastAsia="Times New Roman" w:cs="Times New Roman"/>
                <w:noProof/>
                <w:sz w:val="16"/>
                <w:szCs w:val="16"/>
                <w:lang w:val="en-US"/>
              </w:rPr>
            </w:pPr>
            <w:r w:rsidRPr="004D4A14">
              <w:rPr>
                <w:rFonts w:eastAsia="Times New Roman" w:cs="Times New Roman"/>
                <w:noProof/>
                <w:sz w:val="16"/>
                <w:szCs w:val="16"/>
                <w:lang w:val="en-US"/>
              </w:rPr>
              <w:t>12 305 526</w:t>
            </w:r>
          </w:p>
        </w:tc>
      </w:tr>
      <w:tr w:rsidR="00B47068" w:rsidRPr="004D4A14" w14:paraId="797E567E" w14:textId="77777777" w:rsidTr="008E427B">
        <w:trPr>
          <w:trHeight w:val="332"/>
        </w:trPr>
        <w:tc>
          <w:tcPr>
            <w:tcW w:w="495" w:type="pct"/>
            <w:vMerge/>
          </w:tcPr>
          <w:p w14:paraId="5412F404" w14:textId="77777777" w:rsidR="00B47068" w:rsidRPr="004D4A14" w:rsidRDefault="00B47068" w:rsidP="00B47068">
            <w:pPr>
              <w:spacing w:after="0" w:line="240" w:lineRule="auto"/>
              <w:jc w:val="both"/>
              <w:rPr>
                <w:rFonts w:eastAsia="Times New Roman" w:cs="Times New Roman"/>
                <w:sz w:val="16"/>
                <w:szCs w:val="16"/>
              </w:rPr>
            </w:pPr>
          </w:p>
        </w:tc>
        <w:tc>
          <w:tcPr>
            <w:tcW w:w="503" w:type="pct"/>
            <w:vMerge/>
          </w:tcPr>
          <w:p w14:paraId="76281E55" w14:textId="77777777" w:rsidR="00B47068" w:rsidRPr="004D4A14" w:rsidRDefault="00B47068" w:rsidP="00B47068">
            <w:pPr>
              <w:spacing w:after="0" w:line="240" w:lineRule="auto"/>
              <w:jc w:val="both"/>
              <w:rPr>
                <w:rFonts w:eastAsia="Times New Roman" w:cs="Times New Roman"/>
                <w:noProof/>
                <w:sz w:val="16"/>
                <w:szCs w:val="16"/>
              </w:rPr>
            </w:pPr>
          </w:p>
        </w:tc>
        <w:tc>
          <w:tcPr>
            <w:tcW w:w="432" w:type="pct"/>
            <w:vMerge/>
          </w:tcPr>
          <w:p w14:paraId="7C209DC2" w14:textId="77777777" w:rsidR="00B47068" w:rsidRPr="004D4A14" w:rsidRDefault="00B47068" w:rsidP="00B47068">
            <w:pPr>
              <w:spacing w:after="0" w:line="240" w:lineRule="auto"/>
              <w:jc w:val="both"/>
              <w:rPr>
                <w:rFonts w:eastAsia="Times New Roman" w:cs="Times New Roman"/>
                <w:noProof/>
                <w:sz w:val="16"/>
                <w:szCs w:val="16"/>
              </w:rPr>
            </w:pPr>
          </w:p>
        </w:tc>
        <w:tc>
          <w:tcPr>
            <w:tcW w:w="502" w:type="pct"/>
          </w:tcPr>
          <w:p w14:paraId="0A51177D"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Sostinės regionas</w:t>
            </w:r>
          </w:p>
        </w:tc>
        <w:tc>
          <w:tcPr>
            <w:tcW w:w="640" w:type="pct"/>
          </w:tcPr>
          <w:p w14:paraId="63FEBB33" w14:textId="77777777" w:rsidR="00B47068" w:rsidRPr="004D4A14" w:rsidRDefault="00B47068" w:rsidP="00B47068">
            <w:pPr>
              <w:spacing w:after="0" w:line="240" w:lineRule="auto"/>
              <w:jc w:val="both"/>
              <w:rPr>
                <w:rFonts w:eastAsia="Times New Roman" w:cs="Times New Roman"/>
                <w:sz w:val="16"/>
                <w:szCs w:val="16"/>
                <w:lang w:eastAsia="en-GB"/>
              </w:rPr>
            </w:pPr>
            <w:r w:rsidRPr="004D4A14">
              <w:rPr>
                <w:rFonts w:eastAsia="Times New Roman" w:cs="Times New Roman"/>
                <w:sz w:val="16"/>
                <w:szCs w:val="16"/>
                <w:lang w:eastAsia="lt-LT"/>
              </w:rPr>
              <w:t>RCO80</w:t>
            </w:r>
          </w:p>
        </w:tc>
        <w:tc>
          <w:tcPr>
            <w:tcW w:w="812" w:type="pct"/>
          </w:tcPr>
          <w:p w14:paraId="3E60747C" w14:textId="77777777" w:rsidR="00B47068" w:rsidRPr="004D4A14" w:rsidRDefault="00B47068" w:rsidP="00B47068">
            <w:pPr>
              <w:autoSpaceDE w:val="0"/>
              <w:autoSpaceDN w:val="0"/>
              <w:adjustRightInd w:val="0"/>
              <w:spacing w:after="0" w:line="240" w:lineRule="auto"/>
              <w:jc w:val="both"/>
              <w:rPr>
                <w:rFonts w:eastAsia="Times New Roman" w:cs="Times New Roman"/>
                <w:sz w:val="16"/>
                <w:szCs w:val="16"/>
                <w:lang w:eastAsia="en-GB"/>
              </w:rPr>
            </w:pPr>
            <w:r w:rsidRPr="004D4A14">
              <w:rPr>
                <w:rFonts w:eastAsia="Times New Roman" w:cs="Times New Roman"/>
                <w:noProof/>
                <w:sz w:val="16"/>
                <w:szCs w:val="16"/>
                <w:lang w:eastAsia="lt-LT"/>
              </w:rPr>
              <w:t>Bendruomenės inicijuotos vietos plėtros strategijos, kurioms suteikta parama</w:t>
            </w:r>
          </w:p>
        </w:tc>
        <w:tc>
          <w:tcPr>
            <w:tcW w:w="591" w:type="pct"/>
          </w:tcPr>
          <w:p w14:paraId="1561948A" w14:textId="77777777" w:rsidR="00B47068" w:rsidRPr="004D4A14" w:rsidRDefault="00B47068" w:rsidP="00B47068">
            <w:pPr>
              <w:spacing w:after="0" w:line="240" w:lineRule="auto"/>
              <w:jc w:val="both"/>
              <w:rPr>
                <w:rFonts w:eastAsia="Times New Roman" w:cs="Times New Roman"/>
                <w:iCs/>
                <w:sz w:val="16"/>
                <w:szCs w:val="16"/>
                <w:lang w:eastAsia="lt-LT"/>
              </w:rPr>
            </w:pPr>
            <w:r w:rsidRPr="004D4A14">
              <w:rPr>
                <w:rFonts w:eastAsia="Times New Roman" w:cs="Times New Roman"/>
                <w:noProof/>
                <w:sz w:val="16"/>
                <w:szCs w:val="16"/>
              </w:rPr>
              <w:t>Strategijos</w:t>
            </w:r>
          </w:p>
        </w:tc>
        <w:tc>
          <w:tcPr>
            <w:tcW w:w="516" w:type="pct"/>
          </w:tcPr>
          <w:p w14:paraId="5B8C1D4A" w14:textId="77777777" w:rsidR="00B47068" w:rsidRPr="004D4A14" w:rsidRDefault="00B47068" w:rsidP="00B47068">
            <w:pPr>
              <w:spacing w:after="0" w:line="240" w:lineRule="auto"/>
              <w:jc w:val="center"/>
              <w:rPr>
                <w:rFonts w:eastAsia="Times New Roman" w:cs="Times New Roman"/>
                <w:bCs/>
                <w:noProof/>
                <w:sz w:val="16"/>
                <w:szCs w:val="16"/>
              </w:rPr>
            </w:pPr>
            <w:r w:rsidRPr="004D4A14">
              <w:rPr>
                <w:rFonts w:eastAsia="Times New Roman" w:cs="Times New Roman"/>
                <w:bCs/>
                <w:noProof/>
                <w:sz w:val="16"/>
                <w:szCs w:val="16"/>
              </w:rPr>
              <w:t>0</w:t>
            </w:r>
          </w:p>
        </w:tc>
        <w:tc>
          <w:tcPr>
            <w:tcW w:w="508" w:type="pct"/>
          </w:tcPr>
          <w:p w14:paraId="294C91B3" w14:textId="77777777" w:rsidR="00B47068" w:rsidRPr="004D4A14" w:rsidRDefault="00B47068" w:rsidP="00B47068">
            <w:pPr>
              <w:spacing w:after="0" w:line="240" w:lineRule="auto"/>
              <w:jc w:val="center"/>
              <w:rPr>
                <w:rFonts w:eastAsia="Times New Roman" w:cs="Times New Roman"/>
                <w:noProof/>
                <w:sz w:val="16"/>
                <w:szCs w:val="16"/>
                <w:lang w:val="en-US"/>
              </w:rPr>
            </w:pPr>
            <w:r w:rsidRPr="004D4A14">
              <w:rPr>
                <w:rFonts w:eastAsia="Times New Roman" w:cs="Times New Roman"/>
                <w:noProof/>
                <w:sz w:val="16"/>
                <w:szCs w:val="16"/>
                <w:lang w:val="en-US"/>
              </w:rPr>
              <w:t>5</w:t>
            </w:r>
          </w:p>
        </w:tc>
      </w:tr>
      <w:tr w:rsidR="00B47068" w:rsidRPr="004D4A14" w14:paraId="009C0A9F" w14:textId="77777777" w:rsidTr="008E427B">
        <w:trPr>
          <w:trHeight w:val="332"/>
        </w:trPr>
        <w:tc>
          <w:tcPr>
            <w:tcW w:w="495" w:type="pct"/>
            <w:vMerge/>
          </w:tcPr>
          <w:p w14:paraId="7EC91123" w14:textId="77777777" w:rsidR="00B47068" w:rsidRPr="004D4A14" w:rsidRDefault="00B47068" w:rsidP="00B47068">
            <w:pPr>
              <w:spacing w:after="0" w:line="240" w:lineRule="auto"/>
              <w:jc w:val="both"/>
              <w:rPr>
                <w:rFonts w:eastAsia="Times New Roman" w:cs="Times New Roman"/>
                <w:sz w:val="16"/>
                <w:szCs w:val="16"/>
              </w:rPr>
            </w:pPr>
          </w:p>
        </w:tc>
        <w:tc>
          <w:tcPr>
            <w:tcW w:w="503" w:type="pct"/>
            <w:vMerge/>
          </w:tcPr>
          <w:p w14:paraId="02A3652D" w14:textId="77777777" w:rsidR="00B47068" w:rsidRPr="004D4A14" w:rsidRDefault="00B47068" w:rsidP="00B47068">
            <w:pPr>
              <w:spacing w:after="0" w:line="240" w:lineRule="auto"/>
              <w:jc w:val="both"/>
              <w:rPr>
                <w:rFonts w:eastAsia="Times New Roman" w:cs="Times New Roman"/>
                <w:noProof/>
                <w:sz w:val="16"/>
                <w:szCs w:val="16"/>
              </w:rPr>
            </w:pPr>
          </w:p>
        </w:tc>
        <w:tc>
          <w:tcPr>
            <w:tcW w:w="432" w:type="pct"/>
            <w:vMerge/>
          </w:tcPr>
          <w:p w14:paraId="516D33C2" w14:textId="77777777" w:rsidR="00B47068" w:rsidRPr="004D4A14" w:rsidRDefault="00B47068" w:rsidP="00B47068">
            <w:pPr>
              <w:spacing w:after="0" w:line="240" w:lineRule="auto"/>
              <w:jc w:val="both"/>
              <w:rPr>
                <w:rFonts w:eastAsia="Times New Roman" w:cs="Times New Roman"/>
                <w:noProof/>
                <w:sz w:val="16"/>
                <w:szCs w:val="16"/>
              </w:rPr>
            </w:pPr>
          </w:p>
        </w:tc>
        <w:tc>
          <w:tcPr>
            <w:tcW w:w="502" w:type="pct"/>
          </w:tcPr>
          <w:p w14:paraId="65676D19"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VVL regionas</w:t>
            </w:r>
          </w:p>
        </w:tc>
        <w:tc>
          <w:tcPr>
            <w:tcW w:w="640" w:type="pct"/>
          </w:tcPr>
          <w:p w14:paraId="4BD13DD6" w14:textId="77777777" w:rsidR="00B47068" w:rsidRPr="004D4A14" w:rsidRDefault="00B47068" w:rsidP="00B47068">
            <w:pPr>
              <w:spacing w:after="0" w:line="240" w:lineRule="auto"/>
              <w:jc w:val="both"/>
              <w:rPr>
                <w:rFonts w:eastAsia="Times New Roman" w:cs="Times New Roman"/>
                <w:sz w:val="16"/>
                <w:szCs w:val="16"/>
                <w:lang w:eastAsia="lt-LT"/>
              </w:rPr>
            </w:pPr>
            <w:r w:rsidRPr="004D4A14">
              <w:rPr>
                <w:rFonts w:eastAsia="Times New Roman" w:cs="Times New Roman"/>
                <w:sz w:val="16"/>
                <w:szCs w:val="16"/>
                <w:lang w:eastAsia="lt-LT"/>
              </w:rPr>
              <w:t>RCO80</w:t>
            </w:r>
          </w:p>
        </w:tc>
        <w:tc>
          <w:tcPr>
            <w:tcW w:w="812" w:type="pct"/>
          </w:tcPr>
          <w:p w14:paraId="353E07D8" w14:textId="77777777" w:rsidR="00B47068" w:rsidRPr="004D4A14" w:rsidRDefault="00B47068" w:rsidP="00B47068">
            <w:pPr>
              <w:autoSpaceDE w:val="0"/>
              <w:autoSpaceDN w:val="0"/>
              <w:adjustRightInd w:val="0"/>
              <w:spacing w:after="0" w:line="240" w:lineRule="auto"/>
              <w:jc w:val="both"/>
              <w:rPr>
                <w:rFonts w:eastAsia="Times New Roman" w:cs="Times New Roman"/>
                <w:noProof/>
                <w:sz w:val="16"/>
                <w:szCs w:val="16"/>
                <w:lang w:eastAsia="lt-LT"/>
              </w:rPr>
            </w:pPr>
            <w:r w:rsidRPr="004D4A14">
              <w:rPr>
                <w:rFonts w:eastAsia="Times New Roman" w:cs="Times New Roman"/>
                <w:noProof/>
                <w:sz w:val="16"/>
                <w:szCs w:val="16"/>
                <w:lang w:eastAsia="lt-LT"/>
              </w:rPr>
              <w:t>Bendruomenės inicijuotos vietos plėtros strategijos, kurioms suteikta parama</w:t>
            </w:r>
          </w:p>
        </w:tc>
        <w:tc>
          <w:tcPr>
            <w:tcW w:w="591" w:type="pct"/>
          </w:tcPr>
          <w:p w14:paraId="27BFBFCA"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iCs/>
                <w:sz w:val="16"/>
                <w:szCs w:val="16"/>
              </w:rPr>
              <w:t>Strategijos</w:t>
            </w:r>
          </w:p>
        </w:tc>
        <w:tc>
          <w:tcPr>
            <w:tcW w:w="516" w:type="pct"/>
          </w:tcPr>
          <w:p w14:paraId="022D6574" w14:textId="77777777" w:rsidR="00B47068" w:rsidRPr="004D4A14" w:rsidRDefault="00B47068" w:rsidP="00B47068">
            <w:pPr>
              <w:spacing w:after="0" w:line="240" w:lineRule="auto"/>
              <w:jc w:val="center"/>
              <w:rPr>
                <w:rFonts w:eastAsia="Times New Roman" w:cs="Times New Roman"/>
                <w:bCs/>
                <w:noProof/>
                <w:sz w:val="16"/>
                <w:szCs w:val="16"/>
              </w:rPr>
            </w:pPr>
            <w:r w:rsidRPr="004D4A14">
              <w:rPr>
                <w:rFonts w:eastAsia="Times New Roman" w:cs="Times New Roman"/>
                <w:bCs/>
                <w:noProof/>
                <w:sz w:val="16"/>
                <w:szCs w:val="16"/>
              </w:rPr>
              <w:t>0</w:t>
            </w:r>
          </w:p>
        </w:tc>
        <w:tc>
          <w:tcPr>
            <w:tcW w:w="508" w:type="pct"/>
          </w:tcPr>
          <w:p w14:paraId="2299C80B" w14:textId="77777777" w:rsidR="00B47068" w:rsidRPr="004D4A14" w:rsidRDefault="00B47068" w:rsidP="00B47068">
            <w:pPr>
              <w:spacing w:after="0" w:line="240" w:lineRule="auto"/>
              <w:jc w:val="center"/>
              <w:rPr>
                <w:rFonts w:eastAsia="Times New Roman" w:cs="Times New Roman"/>
                <w:noProof/>
                <w:sz w:val="16"/>
                <w:szCs w:val="16"/>
                <w:lang w:val="en-US"/>
              </w:rPr>
            </w:pPr>
            <w:r w:rsidRPr="004D4A14">
              <w:rPr>
                <w:rFonts w:eastAsia="Times New Roman" w:cs="Times New Roman"/>
                <w:noProof/>
                <w:sz w:val="16"/>
                <w:szCs w:val="16"/>
                <w:lang w:val="en-US"/>
              </w:rPr>
              <w:t>47</w:t>
            </w:r>
          </w:p>
        </w:tc>
      </w:tr>
      <w:tr w:rsidR="00B47068" w:rsidRPr="004D4A14" w14:paraId="3697E992" w14:textId="77777777" w:rsidTr="008E427B">
        <w:trPr>
          <w:trHeight w:val="332"/>
        </w:trPr>
        <w:tc>
          <w:tcPr>
            <w:tcW w:w="495" w:type="pct"/>
            <w:vMerge/>
          </w:tcPr>
          <w:p w14:paraId="7D5017DA" w14:textId="77777777" w:rsidR="00B47068" w:rsidRPr="004D4A14" w:rsidRDefault="00B47068" w:rsidP="00B47068">
            <w:pPr>
              <w:spacing w:after="0" w:line="240" w:lineRule="auto"/>
              <w:jc w:val="both"/>
              <w:rPr>
                <w:rFonts w:eastAsia="Times New Roman" w:cs="Times New Roman"/>
                <w:sz w:val="16"/>
                <w:szCs w:val="16"/>
              </w:rPr>
            </w:pPr>
          </w:p>
        </w:tc>
        <w:tc>
          <w:tcPr>
            <w:tcW w:w="503" w:type="pct"/>
            <w:vMerge/>
          </w:tcPr>
          <w:p w14:paraId="04AFF8D7" w14:textId="77777777" w:rsidR="00B47068" w:rsidRPr="004D4A14" w:rsidRDefault="00B47068" w:rsidP="00B47068">
            <w:pPr>
              <w:spacing w:after="0" w:line="240" w:lineRule="auto"/>
              <w:jc w:val="both"/>
              <w:rPr>
                <w:rFonts w:eastAsia="Times New Roman" w:cs="Times New Roman"/>
                <w:noProof/>
                <w:sz w:val="16"/>
                <w:szCs w:val="16"/>
              </w:rPr>
            </w:pPr>
          </w:p>
        </w:tc>
        <w:tc>
          <w:tcPr>
            <w:tcW w:w="432" w:type="pct"/>
            <w:vMerge/>
          </w:tcPr>
          <w:p w14:paraId="6DEA0BAC" w14:textId="77777777" w:rsidR="00B47068" w:rsidRPr="004D4A14" w:rsidRDefault="00B47068" w:rsidP="00B47068">
            <w:pPr>
              <w:spacing w:after="0" w:line="240" w:lineRule="auto"/>
              <w:jc w:val="both"/>
              <w:rPr>
                <w:rFonts w:eastAsia="Times New Roman" w:cs="Times New Roman"/>
                <w:noProof/>
                <w:sz w:val="16"/>
                <w:szCs w:val="16"/>
              </w:rPr>
            </w:pPr>
          </w:p>
        </w:tc>
        <w:tc>
          <w:tcPr>
            <w:tcW w:w="502" w:type="pct"/>
          </w:tcPr>
          <w:p w14:paraId="46CEAED5"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Sostinės regionas</w:t>
            </w:r>
          </w:p>
        </w:tc>
        <w:tc>
          <w:tcPr>
            <w:tcW w:w="640" w:type="pct"/>
          </w:tcPr>
          <w:p w14:paraId="02160A35" w14:textId="77777777" w:rsidR="00B47068" w:rsidRPr="004D4A14" w:rsidRDefault="00B47068" w:rsidP="00B47068">
            <w:pPr>
              <w:spacing w:after="0" w:line="240" w:lineRule="auto"/>
              <w:jc w:val="both"/>
              <w:rPr>
                <w:rFonts w:eastAsia="Times New Roman" w:cs="Times New Roman"/>
                <w:sz w:val="16"/>
                <w:szCs w:val="16"/>
                <w:lang w:eastAsia="lt-LT"/>
              </w:rPr>
            </w:pPr>
            <w:r w:rsidRPr="004D4A14">
              <w:rPr>
                <w:rFonts w:eastAsia="Times New Roman" w:cs="Times New Roman"/>
                <w:noProof/>
                <w:sz w:val="16"/>
                <w:szCs w:val="16"/>
              </w:rPr>
              <w:t>Specialusis</w:t>
            </w:r>
          </w:p>
        </w:tc>
        <w:tc>
          <w:tcPr>
            <w:tcW w:w="812" w:type="pct"/>
          </w:tcPr>
          <w:p w14:paraId="22924B27" w14:textId="77777777" w:rsidR="00B47068" w:rsidRPr="004D4A14" w:rsidRDefault="00B47068" w:rsidP="00B47068">
            <w:pPr>
              <w:autoSpaceDE w:val="0"/>
              <w:autoSpaceDN w:val="0"/>
              <w:adjustRightInd w:val="0"/>
              <w:spacing w:after="0" w:line="240" w:lineRule="auto"/>
              <w:jc w:val="both"/>
              <w:rPr>
                <w:rFonts w:eastAsia="Times New Roman" w:cs="Times New Roman"/>
                <w:noProof/>
                <w:sz w:val="16"/>
                <w:szCs w:val="16"/>
                <w:lang w:eastAsia="lt-LT"/>
              </w:rPr>
            </w:pPr>
            <w:r w:rsidRPr="004D4A14">
              <w:rPr>
                <w:rFonts w:eastAsia="Times New Roman" w:cs="Times New Roman"/>
                <w:sz w:val="16"/>
                <w:szCs w:val="16"/>
                <w:lang w:eastAsia="lt-LT"/>
              </w:rPr>
              <w:t>Naujos arba modernizuotos priedangos</w:t>
            </w:r>
          </w:p>
        </w:tc>
        <w:tc>
          <w:tcPr>
            <w:tcW w:w="591" w:type="pct"/>
          </w:tcPr>
          <w:p w14:paraId="6159DDFA" w14:textId="77777777" w:rsidR="00B47068" w:rsidRPr="004D4A14" w:rsidRDefault="00B47068" w:rsidP="00B47068">
            <w:pPr>
              <w:spacing w:after="0" w:line="240" w:lineRule="auto"/>
              <w:jc w:val="both"/>
              <w:rPr>
                <w:rFonts w:eastAsia="Times New Roman" w:cs="Times New Roman"/>
                <w:iCs/>
                <w:sz w:val="16"/>
                <w:szCs w:val="16"/>
              </w:rPr>
            </w:pPr>
            <w:r w:rsidRPr="004D4A14">
              <w:rPr>
                <w:rFonts w:eastAsia="Times New Roman" w:cs="Times New Roman"/>
                <w:noProof/>
                <w:sz w:val="16"/>
                <w:szCs w:val="16"/>
              </w:rPr>
              <w:t>Skaičius</w:t>
            </w:r>
          </w:p>
        </w:tc>
        <w:tc>
          <w:tcPr>
            <w:tcW w:w="516" w:type="pct"/>
          </w:tcPr>
          <w:p w14:paraId="4FA5A340" w14:textId="77777777" w:rsidR="00B47068" w:rsidRPr="004D4A14" w:rsidRDefault="00B47068" w:rsidP="00B47068">
            <w:pPr>
              <w:spacing w:after="0" w:line="240" w:lineRule="auto"/>
              <w:jc w:val="center"/>
              <w:rPr>
                <w:rFonts w:eastAsia="Times New Roman" w:cs="Times New Roman"/>
                <w:bCs/>
                <w:noProof/>
                <w:sz w:val="16"/>
                <w:szCs w:val="16"/>
              </w:rPr>
            </w:pPr>
            <w:r w:rsidRPr="004D4A14">
              <w:rPr>
                <w:rFonts w:eastAsia="Times New Roman" w:cs="Times New Roman"/>
                <w:noProof/>
                <w:sz w:val="16"/>
                <w:szCs w:val="16"/>
              </w:rPr>
              <w:t>0</w:t>
            </w:r>
          </w:p>
        </w:tc>
        <w:tc>
          <w:tcPr>
            <w:tcW w:w="508" w:type="pct"/>
          </w:tcPr>
          <w:p w14:paraId="2074A984" w14:textId="77777777" w:rsidR="00B47068" w:rsidRPr="004D4A14" w:rsidRDefault="00B47068" w:rsidP="00B47068">
            <w:pPr>
              <w:spacing w:after="0" w:line="240" w:lineRule="auto"/>
              <w:jc w:val="center"/>
              <w:rPr>
                <w:rFonts w:eastAsia="Times New Roman" w:cs="Times New Roman"/>
                <w:noProof/>
                <w:sz w:val="16"/>
                <w:szCs w:val="16"/>
                <w:lang w:val="en-US"/>
              </w:rPr>
            </w:pPr>
            <w:r w:rsidRPr="004D4A14">
              <w:rPr>
                <w:rFonts w:eastAsia="Times New Roman" w:cs="Times New Roman"/>
                <w:noProof/>
                <w:sz w:val="16"/>
                <w:szCs w:val="16"/>
              </w:rPr>
              <w:t>19</w:t>
            </w:r>
          </w:p>
        </w:tc>
      </w:tr>
      <w:tr w:rsidR="00B47068" w:rsidRPr="004D4A14" w14:paraId="42E399C8" w14:textId="77777777" w:rsidTr="008E427B">
        <w:trPr>
          <w:trHeight w:val="332"/>
        </w:trPr>
        <w:tc>
          <w:tcPr>
            <w:tcW w:w="495" w:type="pct"/>
            <w:vMerge/>
          </w:tcPr>
          <w:p w14:paraId="7CE85DDA" w14:textId="77777777" w:rsidR="00B47068" w:rsidRPr="004D4A14" w:rsidRDefault="00B47068" w:rsidP="00B47068">
            <w:pPr>
              <w:spacing w:after="0" w:line="240" w:lineRule="auto"/>
              <w:jc w:val="both"/>
              <w:rPr>
                <w:rFonts w:eastAsia="Times New Roman" w:cs="Times New Roman"/>
                <w:noProof/>
                <w:sz w:val="16"/>
                <w:szCs w:val="16"/>
              </w:rPr>
            </w:pPr>
          </w:p>
        </w:tc>
        <w:tc>
          <w:tcPr>
            <w:tcW w:w="503" w:type="pct"/>
            <w:vMerge/>
          </w:tcPr>
          <w:p w14:paraId="79656FE6" w14:textId="77777777" w:rsidR="00B47068" w:rsidRPr="004D4A14" w:rsidRDefault="00B47068" w:rsidP="00B47068">
            <w:pPr>
              <w:spacing w:after="0" w:line="240" w:lineRule="auto"/>
              <w:rPr>
                <w:rFonts w:eastAsia="Times New Roman" w:cs="Times New Roman"/>
                <w:noProof/>
                <w:sz w:val="16"/>
                <w:szCs w:val="16"/>
              </w:rPr>
            </w:pPr>
          </w:p>
        </w:tc>
        <w:tc>
          <w:tcPr>
            <w:tcW w:w="432" w:type="pct"/>
            <w:vMerge/>
          </w:tcPr>
          <w:p w14:paraId="4382C690" w14:textId="77777777" w:rsidR="00B47068" w:rsidRPr="004D4A14" w:rsidRDefault="00B47068" w:rsidP="00B47068">
            <w:pPr>
              <w:spacing w:after="0" w:line="240" w:lineRule="auto"/>
              <w:jc w:val="both"/>
              <w:rPr>
                <w:rFonts w:eastAsia="Times New Roman" w:cs="Times New Roman"/>
                <w:noProof/>
                <w:sz w:val="16"/>
                <w:szCs w:val="16"/>
              </w:rPr>
            </w:pPr>
          </w:p>
        </w:tc>
        <w:tc>
          <w:tcPr>
            <w:tcW w:w="502" w:type="pct"/>
          </w:tcPr>
          <w:p w14:paraId="0B084D78"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VVL regionas</w:t>
            </w:r>
          </w:p>
        </w:tc>
        <w:tc>
          <w:tcPr>
            <w:tcW w:w="640" w:type="pct"/>
          </w:tcPr>
          <w:p w14:paraId="5890AF30"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Specialusis</w:t>
            </w:r>
          </w:p>
        </w:tc>
        <w:tc>
          <w:tcPr>
            <w:tcW w:w="812" w:type="pct"/>
          </w:tcPr>
          <w:p w14:paraId="419D9FED" w14:textId="77777777" w:rsidR="00B47068" w:rsidRPr="004D4A14" w:rsidRDefault="00B47068" w:rsidP="00B47068">
            <w:pPr>
              <w:autoSpaceDE w:val="0"/>
              <w:autoSpaceDN w:val="0"/>
              <w:adjustRightInd w:val="0"/>
              <w:spacing w:after="0" w:line="240" w:lineRule="auto"/>
              <w:jc w:val="both"/>
              <w:rPr>
                <w:rFonts w:eastAsia="Times New Roman" w:cs="Times New Roman"/>
                <w:sz w:val="16"/>
                <w:szCs w:val="16"/>
                <w:lang w:eastAsia="lt-LT"/>
              </w:rPr>
            </w:pPr>
            <w:r w:rsidRPr="004D4A14">
              <w:rPr>
                <w:rFonts w:eastAsia="Times New Roman" w:cs="Times New Roman"/>
                <w:sz w:val="16"/>
                <w:szCs w:val="16"/>
                <w:lang w:eastAsia="lt-LT"/>
              </w:rPr>
              <w:t>Naujos arba modernizuotos priedangos</w:t>
            </w:r>
          </w:p>
        </w:tc>
        <w:tc>
          <w:tcPr>
            <w:tcW w:w="591" w:type="pct"/>
          </w:tcPr>
          <w:p w14:paraId="570D189E"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Skaičius</w:t>
            </w:r>
          </w:p>
        </w:tc>
        <w:tc>
          <w:tcPr>
            <w:tcW w:w="516" w:type="pct"/>
          </w:tcPr>
          <w:p w14:paraId="2C765737" w14:textId="77777777" w:rsidR="00B47068" w:rsidRPr="004D4A14" w:rsidRDefault="00B47068" w:rsidP="00B47068">
            <w:pPr>
              <w:spacing w:after="0" w:line="240" w:lineRule="auto"/>
              <w:jc w:val="center"/>
              <w:rPr>
                <w:rFonts w:eastAsia="Times New Roman" w:cs="Times New Roman"/>
                <w:noProof/>
                <w:sz w:val="16"/>
                <w:szCs w:val="16"/>
              </w:rPr>
            </w:pPr>
            <w:r w:rsidRPr="004D4A14">
              <w:rPr>
                <w:rFonts w:eastAsia="Times New Roman" w:cs="Times New Roman"/>
                <w:noProof/>
                <w:sz w:val="16"/>
                <w:szCs w:val="16"/>
              </w:rPr>
              <w:t>0</w:t>
            </w:r>
          </w:p>
        </w:tc>
        <w:tc>
          <w:tcPr>
            <w:tcW w:w="508" w:type="pct"/>
          </w:tcPr>
          <w:p w14:paraId="52FCAF72" w14:textId="77777777" w:rsidR="00B47068" w:rsidRPr="004D4A14" w:rsidRDefault="00B47068" w:rsidP="00B47068">
            <w:pPr>
              <w:spacing w:after="0" w:line="240" w:lineRule="auto"/>
              <w:jc w:val="center"/>
              <w:rPr>
                <w:rFonts w:eastAsia="Times New Roman" w:cs="Times New Roman"/>
                <w:noProof/>
                <w:sz w:val="16"/>
                <w:szCs w:val="16"/>
              </w:rPr>
            </w:pPr>
            <w:r w:rsidRPr="004D4A14">
              <w:rPr>
                <w:rFonts w:eastAsia="Times New Roman" w:cs="Times New Roman"/>
                <w:noProof/>
                <w:sz w:val="16"/>
                <w:szCs w:val="16"/>
              </w:rPr>
              <w:t>79</w:t>
            </w:r>
          </w:p>
        </w:tc>
      </w:tr>
      <w:tr w:rsidR="00B47068" w:rsidRPr="004D4A14" w14:paraId="7FB76A5A" w14:textId="77777777" w:rsidTr="008E427B">
        <w:trPr>
          <w:trHeight w:val="332"/>
        </w:trPr>
        <w:tc>
          <w:tcPr>
            <w:tcW w:w="495" w:type="pct"/>
            <w:vMerge/>
          </w:tcPr>
          <w:p w14:paraId="308F60AE" w14:textId="77777777" w:rsidR="00B47068" w:rsidRPr="004D4A14" w:rsidRDefault="00B47068" w:rsidP="00B47068">
            <w:pPr>
              <w:spacing w:after="0" w:line="240" w:lineRule="auto"/>
              <w:jc w:val="both"/>
              <w:rPr>
                <w:rFonts w:eastAsia="Times New Roman" w:cs="Times New Roman"/>
                <w:noProof/>
                <w:sz w:val="16"/>
                <w:szCs w:val="16"/>
              </w:rPr>
            </w:pPr>
          </w:p>
        </w:tc>
        <w:tc>
          <w:tcPr>
            <w:tcW w:w="503" w:type="pct"/>
            <w:vMerge/>
          </w:tcPr>
          <w:p w14:paraId="077CB095" w14:textId="77777777" w:rsidR="00B47068" w:rsidRPr="004D4A14" w:rsidRDefault="00B47068" w:rsidP="00B47068">
            <w:pPr>
              <w:spacing w:after="0" w:line="240" w:lineRule="auto"/>
              <w:rPr>
                <w:rFonts w:eastAsia="Times New Roman" w:cs="Times New Roman"/>
                <w:noProof/>
                <w:sz w:val="16"/>
                <w:szCs w:val="16"/>
              </w:rPr>
            </w:pPr>
          </w:p>
        </w:tc>
        <w:tc>
          <w:tcPr>
            <w:tcW w:w="432" w:type="pct"/>
            <w:vMerge/>
          </w:tcPr>
          <w:p w14:paraId="558EEE8A" w14:textId="77777777" w:rsidR="00B47068" w:rsidRPr="004D4A14" w:rsidRDefault="00B47068" w:rsidP="00B47068">
            <w:pPr>
              <w:spacing w:after="0" w:line="240" w:lineRule="auto"/>
              <w:jc w:val="both"/>
              <w:rPr>
                <w:rFonts w:eastAsia="Times New Roman" w:cs="Times New Roman"/>
                <w:noProof/>
                <w:sz w:val="16"/>
                <w:szCs w:val="16"/>
              </w:rPr>
            </w:pPr>
          </w:p>
        </w:tc>
        <w:tc>
          <w:tcPr>
            <w:tcW w:w="502" w:type="pct"/>
          </w:tcPr>
          <w:p w14:paraId="6761F6A0"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Sostinės regionas</w:t>
            </w:r>
          </w:p>
        </w:tc>
        <w:tc>
          <w:tcPr>
            <w:tcW w:w="640" w:type="pct"/>
          </w:tcPr>
          <w:p w14:paraId="343F57CE"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sz w:val="16"/>
                <w:szCs w:val="16"/>
                <w:lang w:eastAsia="lt-LT"/>
              </w:rPr>
              <w:t>RCO29</w:t>
            </w:r>
          </w:p>
        </w:tc>
        <w:tc>
          <w:tcPr>
            <w:tcW w:w="812" w:type="pct"/>
          </w:tcPr>
          <w:p w14:paraId="7D184117" w14:textId="77777777" w:rsidR="00B47068" w:rsidRPr="004D4A14" w:rsidRDefault="00B47068" w:rsidP="00B47068">
            <w:pPr>
              <w:autoSpaceDE w:val="0"/>
              <w:autoSpaceDN w:val="0"/>
              <w:adjustRightInd w:val="0"/>
              <w:spacing w:after="0" w:line="240" w:lineRule="auto"/>
              <w:jc w:val="both"/>
              <w:rPr>
                <w:rFonts w:eastAsia="Times New Roman" w:cs="Times New Roman"/>
                <w:sz w:val="16"/>
                <w:szCs w:val="16"/>
                <w:lang w:eastAsia="lt-LT"/>
              </w:rPr>
            </w:pPr>
            <w:r w:rsidRPr="004D4A14">
              <w:rPr>
                <w:rFonts w:eastAsia="Times New Roman" w:cs="Times New Roman"/>
                <w:sz w:val="16"/>
                <w:szCs w:val="16"/>
                <w:lang w:eastAsia="lt-LT"/>
              </w:rPr>
              <w:t>Naujų ar modernizuotų priedangų talpumas</w:t>
            </w:r>
          </w:p>
        </w:tc>
        <w:tc>
          <w:tcPr>
            <w:tcW w:w="591" w:type="pct"/>
          </w:tcPr>
          <w:p w14:paraId="26860598"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Asmenys</w:t>
            </w:r>
          </w:p>
        </w:tc>
        <w:tc>
          <w:tcPr>
            <w:tcW w:w="516" w:type="pct"/>
          </w:tcPr>
          <w:p w14:paraId="7E9163F8" w14:textId="77777777" w:rsidR="00B47068" w:rsidRPr="004D4A14" w:rsidRDefault="00B47068" w:rsidP="00B47068">
            <w:pPr>
              <w:spacing w:after="0" w:line="240" w:lineRule="auto"/>
              <w:jc w:val="center"/>
              <w:rPr>
                <w:rFonts w:eastAsia="Times New Roman" w:cs="Times New Roman"/>
                <w:noProof/>
                <w:sz w:val="16"/>
                <w:szCs w:val="16"/>
              </w:rPr>
            </w:pPr>
            <w:r w:rsidRPr="004D4A14">
              <w:rPr>
                <w:rFonts w:eastAsia="Times New Roman" w:cs="Times New Roman"/>
                <w:noProof/>
                <w:sz w:val="16"/>
                <w:szCs w:val="16"/>
              </w:rPr>
              <w:t>0</w:t>
            </w:r>
          </w:p>
        </w:tc>
        <w:tc>
          <w:tcPr>
            <w:tcW w:w="508" w:type="pct"/>
          </w:tcPr>
          <w:p w14:paraId="2AB51370" w14:textId="77777777" w:rsidR="00B47068" w:rsidRPr="004D4A14" w:rsidRDefault="00B47068" w:rsidP="00B47068">
            <w:pPr>
              <w:spacing w:after="0" w:line="240" w:lineRule="auto"/>
              <w:jc w:val="center"/>
              <w:rPr>
                <w:rFonts w:eastAsia="Times New Roman" w:cs="Times New Roman"/>
                <w:noProof/>
                <w:sz w:val="16"/>
                <w:szCs w:val="16"/>
              </w:rPr>
            </w:pPr>
            <w:r w:rsidRPr="004D4A14">
              <w:rPr>
                <w:rFonts w:eastAsia="Times New Roman" w:cs="Times New Roman"/>
                <w:noProof/>
                <w:sz w:val="16"/>
                <w:szCs w:val="16"/>
              </w:rPr>
              <w:t>7 473</w:t>
            </w:r>
          </w:p>
        </w:tc>
      </w:tr>
      <w:tr w:rsidR="00B47068" w:rsidRPr="004D4A14" w14:paraId="1CE9E11F" w14:textId="77777777" w:rsidTr="008E427B">
        <w:trPr>
          <w:trHeight w:val="332"/>
        </w:trPr>
        <w:tc>
          <w:tcPr>
            <w:tcW w:w="495" w:type="pct"/>
            <w:vMerge/>
          </w:tcPr>
          <w:p w14:paraId="3A780784" w14:textId="77777777" w:rsidR="00B47068" w:rsidRPr="004D4A14" w:rsidRDefault="00B47068" w:rsidP="00B47068">
            <w:pPr>
              <w:spacing w:after="0" w:line="240" w:lineRule="auto"/>
              <w:jc w:val="both"/>
              <w:rPr>
                <w:rFonts w:eastAsia="Times New Roman" w:cs="Times New Roman"/>
                <w:noProof/>
                <w:sz w:val="16"/>
                <w:szCs w:val="16"/>
              </w:rPr>
            </w:pPr>
          </w:p>
        </w:tc>
        <w:tc>
          <w:tcPr>
            <w:tcW w:w="503" w:type="pct"/>
            <w:vMerge/>
          </w:tcPr>
          <w:p w14:paraId="29C52081" w14:textId="77777777" w:rsidR="00B47068" w:rsidRPr="004D4A14" w:rsidRDefault="00B47068" w:rsidP="00B47068">
            <w:pPr>
              <w:spacing w:after="0" w:line="240" w:lineRule="auto"/>
              <w:rPr>
                <w:rFonts w:eastAsia="Times New Roman" w:cs="Times New Roman"/>
                <w:noProof/>
                <w:sz w:val="16"/>
                <w:szCs w:val="16"/>
              </w:rPr>
            </w:pPr>
          </w:p>
        </w:tc>
        <w:tc>
          <w:tcPr>
            <w:tcW w:w="432" w:type="pct"/>
            <w:vMerge/>
          </w:tcPr>
          <w:p w14:paraId="0A7CCEA2" w14:textId="77777777" w:rsidR="00B47068" w:rsidRPr="004D4A14" w:rsidRDefault="00B47068" w:rsidP="00B47068">
            <w:pPr>
              <w:spacing w:after="0" w:line="240" w:lineRule="auto"/>
              <w:jc w:val="both"/>
              <w:rPr>
                <w:rFonts w:eastAsia="Times New Roman" w:cs="Times New Roman"/>
                <w:noProof/>
                <w:sz w:val="16"/>
                <w:szCs w:val="16"/>
              </w:rPr>
            </w:pPr>
          </w:p>
        </w:tc>
        <w:tc>
          <w:tcPr>
            <w:tcW w:w="502" w:type="pct"/>
          </w:tcPr>
          <w:p w14:paraId="710FC130"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VVL regionas</w:t>
            </w:r>
          </w:p>
        </w:tc>
        <w:tc>
          <w:tcPr>
            <w:tcW w:w="640" w:type="pct"/>
          </w:tcPr>
          <w:p w14:paraId="04735251" w14:textId="77777777" w:rsidR="00B47068" w:rsidRPr="004D4A14" w:rsidRDefault="00B47068" w:rsidP="00B47068">
            <w:pPr>
              <w:spacing w:after="0" w:line="240" w:lineRule="auto"/>
              <w:jc w:val="both"/>
              <w:rPr>
                <w:rFonts w:eastAsia="Times New Roman" w:cs="Times New Roman"/>
                <w:sz w:val="16"/>
                <w:szCs w:val="16"/>
                <w:lang w:eastAsia="lt-LT"/>
              </w:rPr>
            </w:pPr>
            <w:r w:rsidRPr="004D4A14">
              <w:rPr>
                <w:rFonts w:eastAsia="Times New Roman" w:cs="Times New Roman"/>
                <w:noProof/>
                <w:sz w:val="16"/>
                <w:szCs w:val="16"/>
              </w:rPr>
              <w:t>RCO29</w:t>
            </w:r>
          </w:p>
        </w:tc>
        <w:tc>
          <w:tcPr>
            <w:tcW w:w="812" w:type="pct"/>
          </w:tcPr>
          <w:p w14:paraId="572994E9" w14:textId="77777777" w:rsidR="00B47068" w:rsidRPr="004D4A14" w:rsidRDefault="00B47068" w:rsidP="00B47068">
            <w:pPr>
              <w:autoSpaceDE w:val="0"/>
              <w:autoSpaceDN w:val="0"/>
              <w:adjustRightInd w:val="0"/>
              <w:spacing w:after="0" w:line="240" w:lineRule="auto"/>
              <w:jc w:val="both"/>
              <w:rPr>
                <w:rFonts w:eastAsia="Times New Roman" w:cs="Times New Roman"/>
                <w:sz w:val="16"/>
                <w:szCs w:val="16"/>
                <w:lang w:eastAsia="lt-LT"/>
              </w:rPr>
            </w:pPr>
            <w:r w:rsidRPr="004D4A14">
              <w:rPr>
                <w:rFonts w:eastAsia="Times New Roman" w:cs="Times New Roman"/>
                <w:sz w:val="16"/>
                <w:szCs w:val="16"/>
                <w:lang w:eastAsia="lt-LT"/>
              </w:rPr>
              <w:t>Naujų ar modernizuotų priedangų talpumas</w:t>
            </w:r>
          </w:p>
        </w:tc>
        <w:tc>
          <w:tcPr>
            <w:tcW w:w="591" w:type="pct"/>
          </w:tcPr>
          <w:p w14:paraId="7142A447"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Asmenys</w:t>
            </w:r>
          </w:p>
        </w:tc>
        <w:tc>
          <w:tcPr>
            <w:tcW w:w="516" w:type="pct"/>
          </w:tcPr>
          <w:p w14:paraId="24A53EBE" w14:textId="77777777" w:rsidR="00B47068" w:rsidRPr="004D4A14" w:rsidRDefault="00B47068" w:rsidP="00B47068">
            <w:pPr>
              <w:spacing w:after="0" w:line="240" w:lineRule="auto"/>
              <w:jc w:val="center"/>
              <w:rPr>
                <w:rFonts w:eastAsia="Times New Roman" w:cs="Times New Roman"/>
                <w:noProof/>
                <w:sz w:val="16"/>
                <w:szCs w:val="16"/>
              </w:rPr>
            </w:pPr>
            <w:r w:rsidRPr="004D4A14">
              <w:rPr>
                <w:rFonts w:eastAsia="Times New Roman" w:cs="Times New Roman"/>
                <w:noProof/>
                <w:sz w:val="16"/>
                <w:szCs w:val="16"/>
              </w:rPr>
              <w:t>0</w:t>
            </w:r>
          </w:p>
        </w:tc>
        <w:tc>
          <w:tcPr>
            <w:tcW w:w="508" w:type="pct"/>
          </w:tcPr>
          <w:p w14:paraId="7264B7BE" w14:textId="77777777" w:rsidR="00B47068" w:rsidRPr="004D4A14" w:rsidRDefault="00B47068" w:rsidP="00B47068">
            <w:pPr>
              <w:spacing w:after="0" w:line="240" w:lineRule="auto"/>
              <w:jc w:val="center"/>
              <w:rPr>
                <w:rFonts w:eastAsia="Times New Roman" w:cs="Times New Roman"/>
                <w:noProof/>
                <w:sz w:val="16"/>
                <w:szCs w:val="16"/>
              </w:rPr>
            </w:pPr>
            <w:r w:rsidRPr="004D4A14">
              <w:rPr>
                <w:rFonts w:eastAsia="Times New Roman" w:cs="Times New Roman"/>
                <w:noProof/>
                <w:sz w:val="16"/>
                <w:szCs w:val="16"/>
              </w:rPr>
              <w:t>31 073</w:t>
            </w:r>
          </w:p>
        </w:tc>
      </w:tr>
      <w:tr w:rsidR="00B47068" w:rsidRPr="004D4A14" w14:paraId="37B5DC0F" w14:textId="77777777" w:rsidTr="008E427B">
        <w:trPr>
          <w:trHeight w:val="332"/>
        </w:trPr>
        <w:tc>
          <w:tcPr>
            <w:tcW w:w="495" w:type="pct"/>
            <w:vMerge/>
          </w:tcPr>
          <w:p w14:paraId="536E27B8" w14:textId="77777777" w:rsidR="00B47068" w:rsidRPr="004D4A14" w:rsidRDefault="00B47068" w:rsidP="00B47068">
            <w:pPr>
              <w:spacing w:after="0" w:line="240" w:lineRule="auto"/>
              <w:jc w:val="both"/>
              <w:rPr>
                <w:rFonts w:eastAsia="Times New Roman" w:cs="Times New Roman"/>
                <w:noProof/>
                <w:sz w:val="16"/>
                <w:szCs w:val="16"/>
              </w:rPr>
            </w:pPr>
          </w:p>
        </w:tc>
        <w:tc>
          <w:tcPr>
            <w:tcW w:w="503" w:type="pct"/>
            <w:vMerge/>
          </w:tcPr>
          <w:p w14:paraId="43F6A64B" w14:textId="77777777" w:rsidR="00B47068" w:rsidRPr="004D4A14" w:rsidRDefault="00B47068" w:rsidP="00B47068">
            <w:pPr>
              <w:spacing w:after="0" w:line="240" w:lineRule="auto"/>
              <w:rPr>
                <w:rFonts w:eastAsia="Times New Roman" w:cs="Times New Roman"/>
                <w:noProof/>
                <w:sz w:val="16"/>
                <w:szCs w:val="16"/>
              </w:rPr>
            </w:pPr>
          </w:p>
        </w:tc>
        <w:tc>
          <w:tcPr>
            <w:tcW w:w="432" w:type="pct"/>
            <w:vMerge/>
          </w:tcPr>
          <w:p w14:paraId="68566D06" w14:textId="77777777" w:rsidR="00B47068" w:rsidRPr="004D4A14" w:rsidRDefault="00B47068" w:rsidP="00B47068">
            <w:pPr>
              <w:spacing w:after="0" w:line="240" w:lineRule="auto"/>
              <w:jc w:val="both"/>
              <w:rPr>
                <w:rFonts w:eastAsia="Times New Roman" w:cs="Times New Roman"/>
                <w:noProof/>
                <w:sz w:val="16"/>
                <w:szCs w:val="16"/>
              </w:rPr>
            </w:pPr>
          </w:p>
        </w:tc>
        <w:tc>
          <w:tcPr>
            <w:tcW w:w="502" w:type="pct"/>
          </w:tcPr>
          <w:p w14:paraId="56A180F4"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VVL regionas</w:t>
            </w:r>
          </w:p>
        </w:tc>
        <w:tc>
          <w:tcPr>
            <w:tcW w:w="640" w:type="pct"/>
          </w:tcPr>
          <w:p w14:paraId="0CDD0190"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Specialusis</w:t>
            </w:r>
          </w:p>
        </w:tc>
        <w:tc>
          <w:tcPr>
            <w:tcW w:w="812" w:type="pct"/>
          </w:tcPr>
          <w:p w14:paraId="15919A87" w14:textId="77777777" w:rsidR="00B47068" w:rsidRPr="004D4A14" w:rsidRDefault="00B47068" w:rsidP="00B47068">
            <w:pPr>
              <w:autoSpaceDE w:val="0"/>
              <w:autoSpaceDN w:val="0"/>
              <w:adjustRightInd w:val="0"/>
              <w:spacing w:after="0" w:line="240" w:lineRule="auto"/>
              <w:jc w:val="both"/>
              <w:rPr>
                <w:rFonts w:eastAsia="Times New Roman" w:cs="Times New Roman"/>
                <w:sz w:val="16"/>
                <w:szCs w:val="16"/>
                <w:lang w:eastAsia="lt-LT"/>
              </w:rPr>
            </w:pPr>
            <w:r w:rsidRPr="004D4A14">
              <w:rPr>
                <w:rFonts w:eastAsia="Times New Roman" w:cs="Times New Roman"/>
                <w:sz w:val="16"/>
                <w:szCs w:val="16"/>
                <w:lang w:eastAsia="lt-LT"/>
              </w:rPr>
              <w:t>Modernizuoti savivaldybių ekstremaliųjų situacijų operacijų centrai</w:t>
            </w:r>
          </w:p>
        </w:tc>
        <w:tc>
          <w:tcPr>
            <w:tcW w:w="591" w:type="pct"/>
          </w:tcPr>
          <w:p w14:paraId="0DE1DCC7"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Skaičius</w:t>
            </w:r>
          </w:p>
        </w:tc>
        <w:tc>
          <w:tcPr>
            <w:tcW w:w="516" w:type="pct"/>
          </w:tcPr>
          <w:p w14:paraId="2CDF6675" w14:textId="77777777" w:rsidR="00B47068" w:rsidRPr="004D4A14" w:rsidRDefault="00B47068" w:rsidP="00B47068">
            <w:pPr>
              <w:spacing w:after="0" w:line="240" w:lineRule="auto"/>
              <w:jc w:val="center"/>
              <w:rPr>
                <w:rFonts w:eastAsia="Times New Roman" w:cs="Times New Roman"/>
                <w:noProof/>
                <w:sz w:val="16"/>
                <w:szCs w:val="16"/>
              </w:rPr>
            </w:pPr>
            <w:r w:rsidRPr="004D4A14">
              <w:rPr>
                <w:rFonts w:eastAsia="Times New Roman" w:cs="Times New Roman"/>
                <w:noProof/>
                <w:sz w:val="16"/>
                <w:szCs w:val="16"/>
              </w:rPr>
              <w:t>0</w:t>
            </w:r>
          </w:p>
        </w:tc>
        <w:tc>
          <w:tcPr>
            <w:tcW w:w="508" w:type="pct"/>
          </w:tcPr>
          <w:p w14:paraId="116A57C5" w14:textId="77777777" w:rsidR="00B47068" w:rsidRPr="004D4A14" w:rsidRDefault="00B47068" w:rsidP="00B47068">
            <w:pPr>
              <w:spacing w:after="0" w:line="240" w:lineRule="auto"/>
              <w:jc w:val="center"/>
              <w:rPr>
                <w:rFonts w:eastAsia="Times New Roman" w:cs="Times New Roman"/>
                <w:noProof/>
                <w:sz w:val="16"/>
                <w:szCs w:val="16"/>
              </w:rPr>
            </w:pPr>
            <w:r w:rsidRPr="004D4A14">
              <w:rPr>
                <w:rFonts w:eastAsia="Times New Roman" w:cs="Times New Roman"/>
                <w:noProof/>
                <w:sz w:val="16"/>
                <w:szCs w:val="16"/>
              </w:rPr>
              <w:t>38</w:t>
            </w:r>
          </w:p>
        </w:tc>
      </w:tr>
    </w:tbl>
    <w:p w14:paraId="56C80DD4" w14:textId="77777777" w:rsidR="00B47068" w:rsidRPr="004D4A14" w:rsidRDefault="00B47068" w:rsidP="00B47068">
      <w:pPr>
        <w:spacing w:after="0" w:line="240" w:lineRule="auto"/>
        <w:jc w:val="both"/>
        <w:rPr>
          <w:rFonts w:eastAsia="Times New Roman" w:cs="Times New Roman"/>
          <w:b/>
          <w:sz w:val="22"/>
        </w:rPr>
        <w:sectPr w:rsidR="00B47068" w:rsidRPr="004D4A14" w:rsidSect="00A606E0">
          <w:footerReference w:type="first" r:id="rId15"/>
          <w:pgSz w:w="11906" w:h="16838"/>
          <w:pgMar w:top="1276" w:right="567" w:bottom="1134" w:left="1701" w:header="567" w:footer="567" w:gutter="0"/>
          <w:cols w:space="1296"/>
          <w:docGrid w:linePitch="360"/>
        </w:sectPr>
      </w:pPr>
    </w:p>
    <w:p w14:paraId="53C76AD0" w14:textId="77777777" w:rsidR="00B47068" w:rsidRPr="004D4A14" w:rsidRDefault="00B47068" w:rsidP="00B47068">
      <w:pPr>
        <w:spacing w:after="0" w:line="240" w:lineRule="auto"/>
        <w:jc w:val="both"/>
        <w:rPr>
          <w:rFonts w:eastAsia="Times New Roman" w:cs="Times New Roman"/>
          <w:b/>
          <w:sz w:val="22"/>
        </w:rPr>
      </w:pPr>
      <w:r w:rsidRPr="004D4A14">
        <w:rPr>
          <w:rFonts w:eastAsia="Times New Roman" w:cs="Times New Roman"/>
          <w:b/>
          <w:sz w:val="22"/>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976"/>
        <w:gridCol w:w="836"/>
        <w:gridCol w:w="976"/>
        <w:gridCol w:w="1255"/>
        <w:gridCol w:w="3903"/>
        <w:gridCol w:w="975"/>
        <w:gridCol w:w="975"/>
        <w:gridCol w:w="1195"/>
        <w:gridCol w:w="895"/>
        <w:gridCol w:w="948"/>
        <w:gridCol w:w="987"/>
      </w:tblGrid>
      <w:tr w:rsidR="00B47068" w:rsidRPr="004D4A14" w14:paraId="0D0D61AE" w14:textId="77777777" w:rsidTr="008E427B">
        <w:trPr>
          <w:trHeight w:val="1141"/>
          <w:tblHeader/>
        </w:trPr>
        <w:tc>
          <w:tcPr>
            <w:tcW w:w="317" w:type="pct"/>
            <w:tcBorders>
              <w:top w:val="single" w:sz="12" w:space="0" w:color="auto"/>
              <w:left w:val="single" w:sz="12" w:space="0" w:color="auto"/>
              <w:bottom w:val="single" w:sz="12" w:space="0" w:color="auto"/>
              <w:right w:val="single" w:sz="12" w:space="0" w:color="auto"/>
            </w:tcBorders>
            <w:shd w:val="clear" w:color="auto" w:fill="DBE5F1"/>
            <w:vAlign w:val="center"/>
          </w:tcPr>
          <w:p w14:paraId="24597D83" w14:textId="77777777" w:rsidR="00B47068" w:rsidRPr="004D4A14" w:rsidRDefault="00B47068" w:rsidP="00B47068">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Prioritetas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1830DD2A" w14:textId="77777777" w:rsidR="00B47068" w:rsidRPr="004D4A14" w:rsidRDefault="00B47068" w:rsidP="00B47068">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Konkretus uždavinys</w:t>
            </w:r>
          </w:p>
        </w:tc>
        <w:tc>
          <w:tcPr>
            <w:tcW w:w="281" w:type="pct"/>
            <w:tcBorders>
              <w:top w:val="single" w:sz="12" w:space="0" w:color="auto"/>
              <w:left w:val="single" w:sz="12" w:space="0" w:color="auto"/>
              <w:bottom w:val="single" w:sz="12" w:space="0" w:color="auto"/>
              <w:right w:val="single" w:sz="12" w:space="0" w:color="auto"/>
            </w:tcBorders>
            <w:shd w:val="clear" w:color="auto" w:fill="DBE5F1"/>
            <w:vAlign w:val="center"/>
          </w:tcPr>
          <w:p w14:paraId="25A14E2E" w14:textId="77777777" w:rsidR="00B47068" w:rsidRPr="004D4A14" w:rsidRDefault="00B47068" w:rsidP="00B47068">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Fondas</w:t>
            </w:r>
          </w:p>
        </w:tc>
        <w:tc>
          <w:tcPr>
            <w:tcW w:w="328" w:type="pct"/>
            <w:tcBorders>
              <w:top w:val="single" w:sz="12" w:space="0" w:color="auto"/>
              <w:left w:val="single" w:sz="12" w:space="0" w:color="auto"/>
              <w:right w:val="single" w:sz="12" w:space="0" w:color="auto"/>
            </w:tcBorders>
            <w:shd w:val="clear" w:color="auto" w:fill="DBE5F1"/>
            <w:vAlign w:val="center"/>
          </w:tcPr>
          <w:p w14:paraId="3840FDD9" w14:textId="77777777" w:rsidR="00B47068" w:rsidRPr="004D4A14" w:rsidRDefault="00B47068" w:rsidP="00B47068">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vAlign w:val="center"/>
          </w:tcPr>
          <w:p w14:paraId="30573E15" w14:textId="77777777" w:rsidR="00B47068" w:rsidRPr="004D4A14" w:rsidRDefault="00B47068" w:rsidP="00B47068">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Identifikavimo numeris</w:t>
            </w:r>
          </w:p>
        </w:tc>
        <w:tc>
          <w:tcPr>
            <w:tcW w:w="1313" w:type="pct"/>
            <w:tcBorders>
              <w:top w:val="single" w:sz="12" w:space="0" w:color="auto"/>
              <w:left w:val="single" w:sz="12" w:space="0" w:color="auto"/>
              <w:bottom w:val="single" w:sz="12" w:space="0" w:color="auto"/>
              <w:right w:val="single" w:sz="12" w:space="0" w:color="auto"/>
            </w:tcBorders>
            <w:shd w:val="clear" w:color="auto" w:fill="DBE5F1"/>
            <w:vAlign w:val="center"/>
          </w:tcPr>
          <w:p w14:paraId="1DF573B6" w14:textId="77777777" w:rsidR="00B47068" w:rsidRPr="004D4A14" w:rsidRDefault="00B47068" w:rsidP="00B47068">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6C64DCEA" w14:textId="77777777" w:rsidR="00B47068" w:rsidRPr="004D4A14" w:rsidRDefault="00B47068" w:rsidP="00B47068">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747BE801" w14:textId="77777777" w:rsidR="00B47068" w:rsidRPr="004D4A14" w:rsidRDefault="00B47068" w:rsidP="00B47068">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Pradinė reikšmė arba pamatinė vertė</w:t>
            </w:r>
          </w:p>
        </w:tc>
        <w:tc>
          <w:tcPr>
            <w:tcW w:w="402" w:type="pct"/>
            <w:tcBorders>
              <w:top w:val="single" w:sz="12" w:space="0" w:color="auto"/>
              <w:left w:val="single" w:sz="12" w:space="0" w:color="auto"/>
              <w:bottom w:val="single" w:sz="12" w:space="0" w:color="auto"/>
              <w:right w:val="single" w:sz="12" w:space="0" w:color="auto"/>
            </w:tcBorders>
            <w:shd w:val="clear" w:color="auto" w:fill="DBE5F1"/>
            <w:vAlign w:val="center"/>
          </w:tcPr>
          <w:p w14:paraId="508056E3" w14:textId="77777777" w:rsidR="00B47068" w:rsidRPr="004D4A14" w:rsidRDefault="00B47068" w:rsidP="00B47068">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Ataskaitiniai metai</w:t>
            </w:r>
          </w:p>
        </w:tc>
        <w:tc>
          <w:tcPr>
            <w:tcW w:w="301" w:type="pct"/>
            <w:tcBorders>
              <w:top w:val="single" w:sz="12" w:space="0" w:color="auto"/>
              <w:left w:val="single" w:sz="12" w:space="0" w:color="auto"/>
              <w:bottom w:val="single" w:sz="12" w:space="0" w:color="auto"/>
              <w:right w:val="single" w:sz="12" w:space="0" w:color="auto"/>
            </w:tcBorders>
            <w:shd w:val="clear" w:color="auto" w:fill="DBE5F1"/>
            <w:vAlign w:val="center"/>
          </w:tcPr>
          <w:p w14:paraId="66922B4A" w14:textId="77777777" w:rsidR="00B47068" w:rsidRPr="004D4A14" w:rsidRDefault="00B47068" w:rsidP="00B47068">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Siektina reikšmė (2029 m.)</w:t>
            </w:r>
          </w:p>
        </w:tc>
        <w:tc>
          <w:tcPr>
            <w:tcW w:w="319" w:type="pct"/>
            <w:tcBorders>
              <w:top w:val="single" w:sz="12" w:space="0" w:color="auto"/>
              <w:left w:val="single" w:sz="12" w:space="0" w:color="auto"/>
              <w:bottom w:val="single" w:sz="12" w:space="0" w:color="auto"/>
              <w:right w:val="single" w:sz="12" w:space="0" w:color="auto"/>
            </w:tcBorders>
            <w:shd w:val="clear" w:color="auto" w:fill="DBE5F1"/>
            <w:vAlign w:val="center"/>
          </w:tcPr>
          <w:p w14:paraId="10939425" w14:textId="77777777" w:rsidR="00B47068" w:rsidRPr="004D4A14" w:rsidRDefault="00B47068" w:rsidP="00B47068">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Duomenų šaltinis</w:t>
            </w:r>
          </w:p>
        </w:tc>
        <w:tc>
          <w:tcPr>
            <w:tcW w:w="332" w:type="pct"/>
            <w:tcBorders>
              <w:top w:val="single" w:sz="12" w:space="0" w:color="auto"/>
              <w:left w:val="single" w:sz="12" w:space="0" w:color="auto"/>
              <w:bottom w:val="single" w:sz="12" w:space="0" w:color="auto"/>
              <w:right w:val="single" w:sz="12" w:space="0" w:color="auto"/>
            </w:tcBorders>
            <w:shd w:val="clear" w:color="auto" w:fill="DBE5F1"/>
            <w:vAlign w:val="center"/>
          </w:tcPr>
          <w:p w14:paraId="08A71641" w14:textId="77777777" w:rsidR="00B47068" w:rsidRPr="004D4A14" w:rsidRDefault="00B47068" w:rsidP="00B47068">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Pastabos</w:t>
            </w:r>
          </w:p>
        </w:tc>
      </w:tr>
      <w:tr w:rsidR="00B47068" w:rsidRPr="004D4A14" w14:paraId="63C87260" w14:textId="77777777" w:rsidTr="008E427B">
        <w:trPr>
          <w:trHeight w:val="286"/>
        </w:trPr>
        <w:tc>
          <w:tcPr>
            <w:tcW w:w="317" w:type="pct"/>
            <w:vMerge w:val="restart"/>
            <w:tcBorders>
              <w:top w:val="single" w:sz="12" w:space="0" w:color="auto"/>
            </w:tcBorders>
          </w:tcPr>
          <w:p w14:paraId="55690E2D"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15</w:t>
            </w:r>
          </w:p>
        </w:tc>
        <w:tc>
          <w:tcPr>
            <w:tcW w:w="328" w:type="pct"/>
            <w:vMerge w:val="restart"/>
            <w:tcBorders>
              <w:top w:val="single" w:sz="12" w:space="0" w:color="auto"/>
            </w:tcBorders>
          </w:tcPr>
          <w:p w14:paraId="3A51B681"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15.1</w:t>
            </w:r>
          </w:p>
        </w:tc>
        <w:tc>
          <w:tcPr>
            <w:tcW w:w="281" w:type="pct"/>
            <w:vMerge w:val="restart"/>
            <w:tcBorders>
              <w:top w:val="single" w:sz="12" w:space="0" w:color="auto"/>
            </w:tcBorders>
          </w:tcPr>
          <w:p w14:paraId="6BD34AC0"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ERPF</w:t>
            </w:r>
          </w:p>
        </w:tc>
        <w:tc>
          <w:tcPr>
            <w:tcW w:w="328" w:type="pct"/>
          </w:tcPr>
          <w:p w14:paraId="23E7AA6D"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Arial"/>
                <w:noProof/>
                <w:sz w:val="16"/>
                <w:szCs w:val="16"/>
              </w:rPr>
              <w:t>Sostinės regionas</w:t>
            </w:r>
          </w:p>
        </w:tc>
        <w:tc>
          <w:tcPr>
            <w:tcW w:w="422" w:type="pct"/>
          </w:tcPr>
          <w:p w14:paraId="0981E90C" w14:textId="4EED0ACE" w:rsidR="00B47068" w:rsidRPr="004D4A14" w:rsidRDefault="00860CFD" w:rsidP="00B47068">
            <w:pPr>
              <w:spacing w:after="0" w:line="240" w:lineRule="auto"/>
              <w:jc w:val="both"/>
              <w:rPr>
                <w:rFonts w:eastAsia="Times New Roman" w:cs="Times New Roman"/>
                <w:sz w:val="16"/>
                <w:szCs w:val="16"/>
                <w:lang w:eastAsia="lt-LT"/>
              </w:rPr>
            </w:pPr>
            <w:r w:rsidRPr="004D4A14">
              <w:rPr>
                <w:rFonts w:eastAsia="Times New Roman" w:cs="Times New Roman"/>
                <w:sz w:val="16"/>
                <w:szCs w:val="16"/>
                <w:lang w:eastAsia="en-GB"/>
              </w:rPr>
              <w:t>Specialusis</w:t>
            </w:r>
          </w:p>
        </w:tc>
        <w:tc>
          <w:tcPr>
            <w:tcW w:w="1313" w:type="pct"/>
          </w:tcPr>
          <w:p w14:paraId="57D635D8" w14:textId="77777777" w:rsidR="00B47068" w:rsidRPr="004D4A14" w:rsidRDefault="00B47068" w:rsidP="00B47068">
            <w:pPr>
              <w:spacing w:after="0" w:line="240" w:lineRule="auto"/>
              <w:jc w:val="both"/>
              <w:rPr>
                <w:rFonts w:eastAsia="Times New Roman" w:cs="Times New Roman"/>
                <w:sz w:val="16"/>
                <w:szCs w:val="16"/>
                <w:lang w:eastAsia="lt-LT"/>
              </w:rPr>
            </w:pPr>
            <w:r w:rsidRPr="004D4A14">
              <w:rPr>
                <w:rFonts w:eastAsia="Times New Roman" w:cs="Arial"/>
                <w:bCs/>
                <w:noProof/>
                <w:sz w:val="16"/>
                <w:szCs w:val="16"/>
              </w:rPr>
              <w:t>Naujos arba modernizuotos sveikatos priežiūros infrastruktūros naudotojų skaičius per metus</w:t>
            </w:r>
            <w:r w:rsidRPr="004D4A14" w:rsidDel="00A4692A">
              <w:rPr>
                <w:rFonts w:eastAsia="Times New Roman" w:cs="Arial"/>
                <w:bCs/>
                <w:noProof/>
                <w:sz w:val="16"/>
                <w:szCs w:val="16"/>
              </w:rPr>
              <w:t xml:space="preserve"> </w:t>
            </w:r>
          </w:p>
        </w:tc>
        <w:tc>
          <w:tcPr>
            <w:tcW w:w="328" w:type="pct"/>
          </w:tcPr>
          <w:p w14:paraId="4FDC7A0E"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Arial"/>
                <w:bCs/>
                <w:noProof/>
                <w:sz w:val="16"/>
                <w:szCs w:val="16"/>
              </w:rPr>
              <w:t>Naudotojai per metus</w:t>
            </w:r>
          </w:p>
        </w:tc>
        <w:tc>
          <w:tcPr>
            <w:tcW w:w="328" w:type="pct"/>
            <w:tcBorders>
              <w:top w:val="single" w:sz="12" w:space="0" w:color="auto"/>
            </w:tcBorders>
          </w:tcPr>
          <w:p w14:paraId="58435C14" w14:textId="77777777" w:rsidR="00B47068" w:rsidRPr="004D4A14" w:rsidRDefault="00B47068" w:rsidP="00B47068">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rPr>
              <w:t>5 230</w:t>
            </w:r>
          </w:p>
        </w:tc>
        <w:tc>
          <w:tcPr>
            <w:tcW w:w="402" w:type="pct"/>
            <w:tcBorders>
              <w:top w:val="single" w:sz="12" w:space="0" w:color="auto"/>
            </w:tcBorders>
          </w:tcPr>
          <w:p w14:paraId="2B3041CF" w14:textId="77777777" w:rsidR="00B47068" w:rsidRPr="004D4A14" w:rsidRDefault="00B47068" w:rsidP="00B47068">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rPr>
              <w:t>2024</w:t>
            </w:r>
          </w:p>
        </w:tc>
        <w:tc>
          <w:tcPr>
            <w:tcW w:w="301" w:type="pct"/>
            <w:tcBorders>
              <w:top w:val="single" w:sz="12" w:space="0" w:color="auto"/>
            </w:tcBorders>
          </w:tcPr>
          <w:p w14:paraId="7559742B" w14:textId="77777777" w:rsidR="00B47068" w:rsidRPr="004D4A14" w:rsidRDefault="00B47068" w:rsidP="00B47068">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rPr>
              <w:t>5 440</w:t>
            </w:r>
          </w:p>
        </w:tc>
        <w:tc>
          <w:tcPr>
            <w:tcW w:w="319" w:type="pct"/>
            <w:tcBorders>
              <w:top w:val="single" w:sz="12" w:space="0" w:color="auto"/>
            </w:tcBorders>
          </w:tcPr>
          <w:p w14:paraId="03CA8AE3" w14:textId="77777777" w:rsidR="00B47068" w:rsidRPr="004D4A14" w:rsidRDefault="00B47068" w:rsidP="00B47068">
            <w:pPr>
              <w:spacing w:after="0" w:line="240" w:lineRule="auto"/>
              <w:jc w:val="both"/>
              <w:rPr>
                <w:rFonts w:eastAsia="Times New Roman" w:cs="Times New Roman"/>
                <w:iCs/>
                <w:noProof/>
                <w:sz w:val="16"/>
                <w:szCs w:val="16"/>
              </w:rPr>
            </w:pPr>
            <w:r w:rsidRPr="004D4A14">
              <w:rPr>
                <w:rFonts w:eastAsia="Times New Roman" w:cs="Times New Roman"/>
                <w:iCs/>
                <w:noProof/>
                <w:sz w:val="16"/>
                <w:szCs w:val="16"/>
              </w:rPr>
              <w:t>Projektų duomenys</w:t>
            </w:r>
          </w:p>
        </w:tc>
        <w:tc>
          <w:tcPr>
            <w:tcW w:w="332" w:type="pct"/>
            <w:tcBorders>
              <w:top w:val="single" w:sz="12" w:space="0" w:color="auto"/>
            </w:tcBorders>
          </w:tcPr>
          <w:p w14:paraId="0C3EE449" w14:textId="77777777" w:rsidR="00B47068" w:rsidRPr="004D4A14" w:rsidRDefault="00B47068" w:rsidP="00B47068">
            <w:pPr>
              <w:spacing w:after="0" w:line="240" w:lineRule="auto"/>
              <w:jc w:val="both"/>
              <w:rPr>
                <w:rFonts w:eastAsia="Times New Roman" w:cs="Times New Roman"/>
                <w:i/>
                <w:noProof/>
                <w:sz w:val="16"/>
                <w:szCs w:val="16"/>
                <w:lang w:eastAsia="lt-LT"/>
              </w:rPr>
            </w:pPr>
          </w:p>
        </w:tc>
      </w:tr>
      <w:tr w:rsidR="00B47068" w:rsidRPr="004D4A14" w14:paraId="60AD849A" w14:textId="77777777" w:rsidTr="008E427B">
        <w:trPr>
          <w:trHeight w:val="286"/>
        </w:trPr>
        <w:tc>
          <w:tcPr>
            <w:tcW w:w="317" w:type="pct"/>
            <w:vMerge/>
          </w:tcPr>
          <w:p w14:paraId="1BD8AD03" w14:textId="77777777" w:rsidR="00B47068" w:rsidRPr="004D4A14" w:rsidRDefault="00B47068" w:rsidP="00B47068">
            <w:pPr>
              <w:spacing w:after="0" w:line="240" w:lineRule="auto"/>
              <w:jc w:val="both"/>
              <w:rPr>
                <w:rFonts w:eastAsia="Times New Roman" w:cs="Times New Roman"/>
                <w:noProof/>
                <w:sz w:val="16"/>
                <w:szCs w:val="16"/>
              </w:rPr>
            </w:pPr>
          </w:p>
        </w:tc>
        <w:tc>
          <w:tcPr>
            <w:tcW w:w="328" w:type="pct"/>
            <w:vMerge/>
          </w:tcPr>
          <w:p w14:paraId="6272014A" w14:textId="77777777" w:rsidR="00B47068" w:rsidRPr="004D4A14" w:rsidRDefault="00B47068" w:rsidP="00B47068">
            <w:pPr>
              <w:spacing w:after="0" w:line="240" w:lineRule="auto"/>
              <w:jc w:val="both"/>
              <w:rPr>
                <w:rFonts w:eastAsia="Times New Roman" w:cs="Times New Roman"/>
                <w:noProof/>
                <w:sz w:val="16"/>
                <w:szCs w:val="16"/>
              </w:rPr>
            </w:pPr>
          </w:p>
        </w:tc>
        <w:tc>
          <w:tcPr>
            <w:tcW w:w="281" w:type="pct"/>
            <w:vMerge/>
          </w:tcPr>
          <w:p w14:paraId="4AA84C5F" w14:textId="77777777" w:rsidR="00B47068" w:rsidRPr="004D4A14" w:rsidRDefault="00B47068" w:rsidP="00B47068">
            <w:pPr>
              <w:spacing w:after="0" w:line="240" w:lineRule="auto"/>
              <w:jc w:val="both"/>
              <w:rPr>
                <w:rFonts w:eastAsia="Times New Roman" w:cs="Times New Roman"/>
                <w:noProof/>
                <w:sz w:val="16"/>
                <w:szCs w:val="16"/>
              </w:rPr>
            </w:pPr>
          </w:p>
        </w:tc>
        <w:tc>
          <w:tcPr>
            <w:tcW w:w="328" w:type="pct"/>
          </w:tcPr>
          <w:p w14:paraId="3586C635"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VVL regionas</w:t>
            </w:r>
          </w:p>
        </w:tc>
        <w:tc>
          <w:tcPr>
            <w:tcW w:w="422" w:type="pct"/>
          </w:tcPr>
          <w:p w14:paraId="0E6EB619" w14:textId="67D159C2" w:rsidR="00B47068" w:rsidRPr="004D4A14" w:rsidRDefault="00860CFD" w:rsidP="00B47068">
            <w:pPr>
              <w:spacing w:after="0" w:line="240" w:lineRule="auto"/>
              <w:jc w:val="both"/>
              <w:rPr>
                <w:rFonts w:eastAsia="Times New Roman" w:cs="Times New Roman"/>
                <w:sz w:val="16"/>
                <w:szCs w:val="16"/>
                <w:lang w:eastAsia="en-GB"/>
              </w:rPr>
            </w:pPr>
            <w:r w:rsidRPr="004D4A14">
              <w:rPr>
                <w:rFonts w:eastAsia="Times New Roman" w:cs="Times New Roman"/>
                <w:sz w:val="16"/>
                <w:szCs w:val="16"/>
                <w:lang w:eastAsia="en-GB"/>
              </w:rPr>
              <w:t>Specialusis</w:t>
            </w:r>
          </w:p>
        </w:tc>
        <w:tc>
          <w:tcPr>
            <w:tcW w:w="1313" w:type="pct"/>
          </w:tcPr>
          <w:p w14:paraId="484CA490" w14:textId="77777777" w:rsidR="00B47068" w:rsidRPr="004D4A14" w:rsidRDefault="00B47068" w:rsidP="00B47068">
            <w:pPr>
              <w:spacing w:after="0" w:line="240" w:lineRule="auto"/>
              <w:jc w:val="both"/>
              <w:rPr>
                <w:rFonts w:eastAsia="Times New Roman" w:cs="Times New Roman"/>
                <w:sz w:val="16"/>
                <w:szCs w:val="16"/>
              </w:rPr>
            </w:pPr>
            <w:r w:rsidRPr="004D4A14">
              <w:rPr>
                <w:rFonts w:eastAsia="Times New Roman" w:cs="Arial"/>
                <w:bCs/>
                <w:noProof/>
                <w:sz w:val="16"/>
                <w:szCs w:val="16"/>
              </w:rPr>
              <w:t>Naujos arba modernizuotos sveikatos priežiūros infrastruktūros naudotojų skaičius per metus</w:t>
            </w:r>
            <w:r w:rsidRPr="004D4A14" w:rsidDel="00A4692A">
              <w:rPr>
                <w:rFonts w:eastAsia="Times New Roman" w:cs="Arial"/>
                <w:bCs/>
                <w:noProof/>
                <w:sz w:val="16"/>
                <w:szCs w:val="16"/>
              </w:rPr>
              <w:t xml:space="preserve"> </w:t>
            </w:r>
          </w:p>
        </w:tc>
        <w:tc>
          <w:tcPr>
            <w:tcW w:w="328" w:type="pct"/>
          </w:tcPr>
          <w:p w14:paraId="3F520D17" w14:textId="77777777" w:rsidR="00B47068" w:rsidRPr="004D4A14" w:rsidRDefault="00B47068" w:rsidP="00B47068">
            <w:pPr>
              <w:spacing w:after="0" w:line="240" w:lineRule="auto"/>
              <w:jc w:val="both"/>
              <w:rPr>
                <w:rFonts w:eastAsia="Times New Roman" w:cs="Times New Roman"/>
                <w:color w:val="000000"/>
                <w:sz w:val="16"/>
                <w:szCs w:val="16"/>
                <w:shd w:val="clear" w:color="auto" w:fill="FFFFFF"/>
              </w:rPr>
            </w:pPr>
            <w:r w:rsidRPr="004D4A14">
              <w:rPr>
                <w:rFonts w:eastAsia="Times New Roman" w:cs="Arial"/>
                <w:bCs/>
                <w:noProof/>
                <w:sz w:val="16"/>
                <w:szCs w:val="16"/>
              </w:rPr>
              <w:t>Naudotojai per metus</w:t>
            </w:r>
          </w:p>
        </w:tc>
        <w:tc>
          <w:tcPr>
            <w:tcW w:w="328" w:type="pct"/>
          </w:tcPr>
          <w:p w14:paraId="49CD10F5" w14:textId="77777777" w:rsidR="00B47068" w:rsidRPr="004D4A14" w:rsidRDefault="00B47068" w:rsidP="00B47068">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rPr>
              <w:t>0</w:t>
            </w:r>
          </w:p>
        </w:tc>
        <w:tc>
          <w:tcPr>
            <w:tcW w:w="402" w:type="pct"/>
          </w:tcPr>
          <w:p w14:paraId="5B106C88" w14:textId="77777777" w:rsidR="00B47068" w:rsidRPr="004D4A14" w:rsidRDefault="00B47068" w:rsidP="00B47068">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rPr>
              <w:t>2024</w:t>
            </w:r>
          </w:p>
        </w:tc>
        <w:tc>
          <w:tcPr>
            <w:tcW w:w="301" w:type="pct"/>
          </w:tcPr>
          <w:p w14:paraId="20207BF8" w14:textId="77777777" w:rsidR="00B47068" w:rsidRPr="004D4A14" w:rsidRDefault="00B47068" w:rsidP="00B47068">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rPr>
              <w:t>22 500</w:t>
            </w:r>
          </w:p>
        </w:tc>
        <w:tc>
          <w:tcPr>
            <w:tcW w:w="319" w:type="pct"/>
          </w:tcPr>
          <w:p w14:paraId="1940956A"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Projektų duomenys</w:t>
            </w:r>
          </w:p>
        </w:tc>
        <w:tc>
          <w:tcPr>
            <w:tcW w:w="332" w:type="pct"/>
          </w:tcPr>
          <w:p w14:paraId="5DB0BF73" w14:textId="77777777" w:rsidR="00B47068" w:rsidRPr="004D4A14" w:rsidRDefault="00B47068" w:rsidP="00B47068">
            <w:pPr>
              <w:spacing w:after="0" w:line="240" w:lineRule="auto"/>
              <w:jc w:val="both"/>
              <w:rPr>
                <w:rFonts w:eastAsia="Times New Roman" w:cs="Times New Roman"/>
                <w:i/>
                <w:noProof/>
                <w:sz w:val="16"/>
                <w:szCs w:val="16"/>
                <w:lang w:eastAsia="lt-LT"/>
              </w:rPr>
            </w:pPr>
          </w:p>
        </w:tc>
      </w:tr>
      <w:tr w:rsidR="00B47068" w:rsidRPr="004D4A14" w14:paraId="50A6B5E3" w14:textId="77777777" w:rsidTr="008E427B">
        <w:trPr>
          <w:trHeight w:val="286"/>
        </w:trPr>
        <w:tc>
          <w:tcPr>
            <w:tcW w:w="317" w:type="pct"/>
            <w:vMerge/>
          </w:tcPr>
          <w:p w14:paraId="7BC50260" w14:textId="77777777" w:rsidR="00B47068" w:rsidRPr="004D4A14" w:rsidRDefault="00B47068" w:rsidP="00B47068">
            <w:pPr>
              <w:spacing w:after="0" w:line="240" w:lineRule="auto"/>
              <w:jc w:val="both"/>
              <w:rPr>
                <w:rFonts w:eastAsia="Times New Roman" w:cs="Times New Roman"/>
                <w:noProof/>
                <w:sz w:val="20"/>
                <w:szCs w:val="20"/>
              </w:rPr>
            </w:pPr>
          </w:p>
        </w:tc>
        <w:tc>
          <w:tcPr>
            <w:tcW w:w="328" w:type="pct"/>
            <w:vMerge/>
          </w:tcPr>
          <w:p w14:paraId="4FF9156F" w14:textId="77777777" w:rsidR="00B47068" w:rsidRPr="004D4A14" w:rsidRDefault="00B47068" w:rsidP="00B47068">
            <w:pPr>
              <w:spacing w:after="0" w:line="240" w:lineRule="auto"/>
              <w:jc w:val="both"/>
              <w:rPr>
                <w:rFonts w:eastAsia="Times New Roman" w:cs="Times New Roman"/>
                <w:noProof/>
                <w:sz w:val="20"/>
                <w:szCs w:val="20"/>
              </w:rPr>
            </w:pPr>
          </w:p>
        </w:tc>
        <w:tc>
          <w:tcPr>
            <w:tcW w:w="281" w:type="pct"/>
            <w:vMerge/>
          </w:tcPr>
          <w:p w14:paraId="21B82735" w14:textId="77777777" w:rsidR="00B47068" w:rsidRPr="004D4A14" w:rsidRDefault="00B47068" w:rsidP="00B47068">
            <w:pPr>
              <w:spacing w:after="0" w:line="240" w:lineRule="auto"/>
              <w:jc w:val="both"/>
              <w:rPr>
                <w:rFonts w:eastAsia="Times New Roman" w:cs="Times New Roman"/>
                <w:noProof/>
                <w:sz w:val="20"/>
                <w:szCs w:val="20"/>
              </w:rPr>
            </w:pPr>
          </w:p>
        </w:tc>
        <w:tc>
          <w:tcPr>
            <w:tcW w:w="328" w:type="pct"/>
          </w:tcPr>
          <w:p w14:paraId="30C4D49A" w14:textId="77777777" w:rsidR="00B47068" w:rsidRPr="004D4A14" w:rsidRDefault="00B47068" w:rsidP="00B47068">
            <w:pPr>
              <w:spacing w:after="0" w:line="240" w:lineRule="auto"/>
              <w:jc w:val="both"/>
              <w:rPr>
                <w:rFonts w:eastAsia="Times New Roman" w:cs="Times New Roman"/>
                <w:noProof/>
                <w:sz w:val="20"/>
                <w:szCs w:val="20"/>
              </w:rPr>
            </w:pPr>
            <w:r w:rsidRPr="004D4A14">
              <w:rPr>
                <w:rFonts w:eastAsia="Times New Roman" w:cs="Times New Roman"/>
                <w:noProof/>
                <w:sz w:val="16"/>
                <w:szCs w:val="16"/>
              </w:rPr>
              <w:t>Sostinės regionas</w:t>
            </w:r>
          </w:p>
        </w:tc>
        <w:tc>
          <w:tcPr>
            <w:tcW w:w="422" w:type="pct"/>
          </w:tcPr>
          <w:p w14:paraId="0A1CE234" w14:textId="77777777" w:rsidR="00B47068" w:rsidRPr="004D4A14" w:rsidRDefault="00B47068" w:rsidP="00B47068">
            <w:pPr>
              <w:spacing w:after="0" w:line="240" w:lineRule="auto"/>
              <w:jc w:val="both"/>
              <w:rPr>
                <w:rFonts w:eastAsia="Times New Roman" w:cs="Arial"/>
                <w:bCs/>
                <w:noProof/>
                <w:sz w:val="20"/>
                <w:szCs w:val="20"/>
              </w:rPr>
            </w:pPr>
            <w:r w:rsidRPr="004D4A14">
              <w:rPr>
                <w:rFonts w:eastAsia="Times New Roman" w:cs="Times New Roman"/>
                <w:sz w:val="16"/>
                <w:szCs w:val="16"/>
              </w:rPr>
              <w:t>Specialusis</w:t>
            </w:r>
          </w:p>
        </w:tc>
        <w:tc>
          <w:tcPr>
            <w:tcW w:w="1313" w:type="pct"/>
          </w:tcPr>
          <w:p w14:paraId="111E9898" w14:textId="77777777" w:rsidR="00B47068" w:rsidRPr="004D4A14" w:rsidRDefault="00B47068" w:rsidP="00B47068">
            <w:pPr>
              <w:spacing w:after="0" w:line="240" w:lineRule="auto"/>
              <w:jc w:val="both"/>
              <w:rPr>
                <w:rFonts w:eastAsia="Times New Roman" w:cs="Arial"/>
                <w:bCs/>
                <w:noProof/>
                <w:sz w:val="20"/>
                <w:szCs w:val="20"/>
              </w:rPr>
            </w:pPr>
            <w:r w:rsidRPr="004D4A14">
              <w:rPr>
                <w:rFonts w:eastAsia="Times New Roman" w:cs="Times New Roman"/>
                <w:sz w:val="16"/>
                <w:szCs w:val="16"/>
                <w:lang w:eastAsia="lt-LT"/>
              </w:rPr>
              <w:t>Gyventojų, grėsmės atveju perspėjamų per daugiakanalę perspėjimo platformą, dalis</w:t>
            </w:r>
          </w:p>
        </w:tc>
        <w:tc>
          <w:tcPr>
            <w:tcW w:w="328" w:type="pct"/>
          </w:tcPr>
          <w:p w14:paraId="5DD0BF6E" w14:textId="77777777" w:rsidR="00B47068" w:rsidRPr="004D4A14" w:rsidRDefault="00B47068" w:rsidP="00B47068">
            <w:pPr>
              <w:spacing w:after="0" w:line="240" w:lineRule="auto"/>
              <w:jc w:val="both"/>
              <w:rPr>
                <w:rFonts w:eastAsia="Times New Roman" w:cs="Arial"/>
                <w:bCs/>
                <w:noProof/>
                <w:sz w:val="20"/>
                <w:szCs w:val="20"/>
              </w:rPr>
            </w:pPr>
            <w:r w:rsidRPr="004D4A14">
              <w:rPr>
                <w:rFonts w:eastAsia="Times New Roman" w:cs="Times New Roman"/>
                <w:noProof/>
                <w:sz w:val="16"/>
                <w:szCs w:val="16"/>
              </w:rPr>
              <w:t>Procentai</w:t>
            </w:r>
          </w:p>
        </w:tc>
        <w:tc>
          <w:tcPr>
            <w:tcW w:w="328" w:type="pct"/>
          </w:tcPr>
          <w:p w14:paraId="2C4CD25A" w14:textId="77777777" w:rsidR="00B47068" w:rsidRPr="004D4A14" w:rsidRDefault="00B47068" w:rsidP="00B47068">
            <w:pPr>
              <w:spacing w:after="0" w:line="240" w:lineRule="auto"/>
              <w:jc w:val="center"/>
              <w:rPr>
                <w:rFonts w:eastAsia="Times New Roman" w:cs="Times New Roman"/>
                <w:iCs/>
                <w:noProof/>
                <w:sz w:val="20"/>
                <w:szCs w:val="20"/>
              </w:rPr>
            </w:pPr>
            <w:r w:rsidRPr="004D4A14">
              <w:rPr>
                <w:rFonts w:eastAsia="Times New Roman" w:cs="Times New Roman"/>
                <w:iCs/>
                <w:noProof/>
                <w:sz w:val="16"/>
                <w:szCs w:val="16"/>
              </w:rPr>
              <w:t>0</w:t>
            </w:r>
          </w:p>
        </w:tc>
        <w:tc>
          <w:tcPr>
            <w:tcW w:w="402" w:type="pct"/>
          </w:tcPr>
          <w:p w14:paraId="1A2E960C" w14:textId="77777777" w:rsidR="00B47068" w:rsidRPr="004D4A14" w:rsidRDefault="00B47068" w:rsidP="00B47068">
            <w:pPr>
              <w:spacing w:after="0" w:line="240" w:lineRule="auto"/>
              <w:jc w:val="center"/>
              <w:rPr>
                <w:rFonts w:eastAsia="Times New Roman" w:cs="Times New Roman"/>
                <w:iCs/>
                <w:noProof/>
                <w:sz w:val="20"/>
                <w:szCs w:val="20"/>
              </w:rPr>
            </w:pPr>
            <w:r w:rsidRPr="004D4A14">
              <w:rPr>
                <w:rFonts w:eastAsia="Times New Roman" w:cs="Times New Roman"/>
                <w:iCs/>
                <w:noProof/>
                <w:sz w:val="16"/>
                <w:szCs w:val="16"/>
              </w:rPr>
              <w:t>2025</w:t>
            </w:r>
          </w:p>
        </w:tc>
        <w:tc>
          <w:tcPr>
            <w:tcW w:w="301" w:type="pct"/>
          </w:tcPr>
          <w:p w14:paraId="083F0B8D" w14:textId="77777777" w:rsidR="00B47068" w:rsidRPr="004D4A14" w:rsidRDefault="00B47068" w:rsidP="00B47068">
            <w:pPr>
              <w:spacing w:after="0" w:line="240" w:lineRule="auto"/>
              <w:jc w:val="center"/>
              <w:rPr>
                <w:rFonts w:eastAsia="Times New Roman" w:cs="Times New Roman"/>
                <w:iCs/>
                <w:noProof/>
                <w:sz w:val="20"/>
                <w:szCs w:val="20"/>
              </w:rPr>
            </w:pPr>
            <w:r w:rsidRPr="004D4A14">
              <w:rPr>
                <w:rFonts w:eastAsia="Times New Roman" w:cs="Times New Roman"/>
                <w:iCs/>
                <w:noProof/>
                <w:sz w:val="16"/>
                <w:szCs w:val="16"/>
              </w:rPr>
              <w:t>85</w:t>
            </w:r>
          </w:p>
        </w:tc>
        <w:tc>
          <w:tcPr>
            <w:tcW w:w="319" w:type="pct"/>
          </w:tcPr>
          <w:p w14:paraId="75AAD4BF" w14:textId="77777777" w:rsidR="00B47068" w:rsidRPr="004D4A14" w:rsidRDefault="00B47068" w:rsidP="00B47068">
            <w:pPr>
              <w:spacing w:after="0" w:line="240" w:lineRule="auto"/>
              <w:jc w:val="both"/>
              <w:rPr>
                <w:rFonts w:eastAsia="Times New Roman" w:cs="Times New Roman"/>
                <w:noProof/>
                <w:sz w:val="20"/>
                <w:szCs w:val="20"/>
              </w:rPr>
            </w:pPr>
            <w:r w:rsidRPr="004D4A14">
              <w:rPr>
                <w:rFonts w:eastAsia="Times New Roman" w:cs="Times New Roman"/>
                <w:noProof/>
                <w:sz w:val="16"/>
                <w:szCs w:val="16"/>
              </w:rPr>
              <w:t>Projektų duomenys</w:t>
            </w:r>
          </w:p>
        </w:tc>
        <w:tc>
          <w:tcPr>
            <w:tcW w:w="332" w:type="pct"/>
          </w:tcPr>
          <w:p w14:paraId="35B089E4" w14:textId="77777777" w:rsidR="00B47068" w:rsidRPr="004D4A14" w:rsidRDefault="00B47068" w:rsidP="00B47068">
            <w:pPr>
              <w:spacing w:after="0" w:line="240" w:lineRule="auto"/>
              <w:jc w:val="both"/>
              <w:rPr>
                <w:rFonts w:eastAsia="Times New Roman" w:cs="Times New Roman"/>
                <w:i/>
                <w:noProof/>
                <w:sz w:val="20"/>
                <w:szCs w:val="20"/>
                <w:lang w:eastAsia="lt-LT"/>
              </w:rPr>
            </w:pPr>
          </w:p>
        </w:tc>
      </w:tr>
      <w:tr w:rsidR="00B47068" w:rsidRPr="004D4A14" w14:paraId="4B159E65" w14:textId="77777777" w:rsidTr="008E427B">
        <w:trPr>
          <w:trHeight w:val="286"/>
        </w:trPr>
        <w:tc>
          <w:tcPr>
            <w:tcW w:w="317" w:type="pct"/>
            <w:vMerge/>
          </w:tcPr>
          <w:p w14:paraId="269C98F0" w14:textId="77777777" w:rsidR="00B47068" w:rsidRPr="004D4A14" w:rsidRDefault="00B47068" w:rsidP="00B47068">
            <w:pPr>
              <w:spacing w:after="0" w:line="240" w:lineRule="auto"/>
              <w:jc w:val="both"/>
              <w:rPr>
                <w:rFonts w:eastAsia="Times New Roman" w:cs="Times New Roman"/>
                <w:sz w:val="16"/>
                <w:szCs w:val="16"/>
              </w:rPr>
            </w:pPr>
          </w:p>
        </w:tc>
        <w:tc>
          <w:tcPr>
            <w:tcW w:w="328" w:type="pct"/>
            <w:vMerge/>
          </w:tcPr>
          <w:p w14:paraId="60A3F000" w14:textId="77777777" w:rsidR="00B47068" w:rsidRPr="004D4A14" w:rsidRDefault="00B47068" w:rsidP="00B47068">
            <w:pPr>
              <w:spacing w:after="0" w:line="240" w:lineRule="auto"/>
              <w:jc w:val="both"/>
              <w:rPr>
                <w:rFonts w:eastAsia="Times New Roman" w:cs="Times New Roman"/>
                <w:noProof/>
                <w:sz w:val="16"/>
                <w:szCs w:val="16"/>
              </w:rPr>
            </w:pPr>
          </w:p>
        </w:tc>
        <w:tc>
          <w:tcPr>
            <w:tcW w:w="281" w:type="pct"/>
            <w:vMerge/>
          </w:tcPr>
          <w:p w14:paraId="0C3B0E6A" w14:textId="77777777" w:rsidR="00B47068" w:rsidRPr="004D4A14" w:rsidRDefault="00B47068" w:rsidP="00B47068">
            <w:pPr>
              <w:spacing w:after="0" w:line="240" w:lineRule="auto"/>
              <w:jc w:val="both"/>
              <w:rPr>
                <w:rFonts w:eastAsia="Times New Roman" w:cs="Times New Roman"/>
                <w:noProof/>
                <w:sz w:val="16"/>
                <w:szCs w:val="16"/>
              </w:rPr>
            </w:pPr>
          </w:p>
        </w:tc>
        <w:tc>
          <w:tcPr>
            <w:tcW w:w="328" w:type="pct"/>
          </w:tcPr>
          <w:p w14:paraId="50A4A6E3"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VVL regionas</w:t>
            </w:r>
          </w:p>
        </w:tc>
        <w:tc>
          <w:tcPr>
            <w:tcW w:w="422" w:type="pct"/>
          </w:tcPr>
          <w:p w14:paraId="57A33D03" w14:textId="77777777" w:rsidR="00B47068" w:rsidRPr="004D4A14" w:rsidRDefault="00B47068" w:rsidP="00B47068">
            <w:pPr>
              <w:spacing w:after="0" w:line="240" w:lineRule="auto"/>
              <w:jc w:val="both"/>
              <w:rPr>
                <w:rFonts w:eastAsia="Times New Roman" w:cs="Times New Roman"/>
                <w:sz w:val="16"/>
                <w:szCs w:val="16"/>
              </w:rPr>
            </w:pPr>
            <w:r w:rsidRPr="004D4A14">
              <w:rPr>
                <w:rFonts w:eastAsia="Times New Roman" w:cs="Times New Roman"/>
                <w:sz w:val="16"/>
                <w:szCs w:val="16"/>
              </w:rPr>
              <w:t>Specialusis</w:t>
            </w:r>
          </w:p>
        </w:tc>
        <w:tc>
          <w:tcPr>
            <w:tcW w:w="1313" w:type="pct"/>
          </w:tcPr>
          <w:p w14:paraId="2C68812B" w14:textId="77777777" w:rsidR="00B47068" w:rsidRPr="004D4A14" w:rsidRDefault="00B47068" w:rsidP="00B47068">
            <w:pPr>
              <w:spacing w:after="0" w:line="240" w:lineRule="auto"/>
              <w:jc w:val="both"/>
              <w:rPr>
                <w:rFonts w:eastAsia="Times New Roman" w:cs="Times New Roman"/>
                <w:sz w:val="16"/>
                <w:szCs w:val="16"/>
                <w:lang w:eastAsia="lt-LT"/>
              </w:rPr>
            </w:pPr>
            <w:r w:rsidRPr="004D4A14">
              <w:rPr>
                <w:rFonts w:eastAsia="Times New Roman" w:cs="Times New Roman"/>
                <w:sz w:val="16"/>
                <w:szCs w:val="16"/>
                <w:lang w:eastAsia="lt-LT"/>
              </w:rPr>
              <w:t>Gyventojų, grėsmės atveju perspėjamų per daugiakanalę perspėjimo platformą, dalis</w:t>
            </w:r>
          </w:p>
        </w:tc>
        <w:tc>
          <w:tcPr>
            <w:tcW w:w="328" w:type="pct"/>
          </w:tcPr>
          <w:p w14:paraId="403029BC"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Procentai</w:t>
            </w:r>
          </w:p>
        </w:tc>
        <w:tc>
          <w:tcPr>
            <w:tcW w:w="328" w:type="pct"/>
          </w:tcPr>
          <w:p w14:paraId="12BDE658" w14:textId="77777777" w:rsidR="00B47068" w:rsidRPr="004D4A14" w:rsidRDefault="00B47068" w:rsidP="00B47068">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rPr>
              <w:t>0</w:t>
            </w:r>
          </w:p>
        </w:tc>
        <w:tc>
          <w:tcPr>
            <w:tcW w:w="402" w:type="pct"/>
          </w:tcPr>
          <w:p w14:paraId="1A3A77AB" w14:textId="77777777" w:rsidR="00B47068" w:rsidRPr="004D4A14" w:rsidRDefault="00B47068" w:rsidP="00B47068">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rPr>
              <w:t>2025</w:t>
            </w:r>
          </w:p>
        </w:tc>
        <w:tc>
          <w:tcPr>
            <w:tcW w:w="301" w:type="pct"/>
          </w:tcPr>
          <w:p w14:paraId="500D895A" w14:textId="77777777" w:rsidR="00B47068" w:rsidRPr="004D4A14" w:rsidRDefault="00B47068" w:rsidP="00B47068">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rPr>
              <w:t>85</w:t>
            </w:r>
          </w:p>
        </w:tc>
        <w:tc>
          <w:tcPr>
            <w:tcW w:w="319" w:type="pct"/>
          </w:tcPr>
          <w:p w14:paraId="325B1E4F"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Projektų duomenys</w:t>
            </w:r>
          </w:p>
        </w:tc>
        <w:tc>
          <w:tcPr>
            <w:tcW w:w="332" w:type="pct"/>
          </w:tcPr>
          <w:p w14:paraId="6CA683A7" w14:textId="77777777" w:rsidR="00B47068" w:rsidRPr="004D4A14" w:rsidRDefault="00B47068" w:rsidP="00B47068">
            <w:pPr>
              <w:spacing w:after="0" w:line="240" w:lineRule="auto"/>
              <w:jc w:val="both"/>
              <w:rPr>
                <w:rFonts w:eastAsia="Times New Roman" w:cs="Times New Roman"/>
                <w:i/>
                <w:noProof/>
                <w:sz w:val="20"/>
                <w:szCs w:val="20"/>
                <w:lang w:eastAsia="lt-LT"/>
              </w:rPr>
            </w:pPr>
          </w:p>
        </w:tc>
      </w:tr>
      <w:tr w:rsidR="00B47068" w:rsidRPr="004D4A14" w14:paraId="3E659F71" w14:textId="77777777" w:rsidTr="008E427B">
        <w:trPr>
          <w:trHeight w:val="286"/>
        </w:trPr>
        <w:tc>
          <w:tcPr>
            <w:tcW w:w="317" w:type="pct"/>
            <w:vMerge/>
          </w:tcPr>
          <w:p w14:paraId="176A64EE" w14:textId="77777777" w:rsidR="00B47068" w:rsidRPr="004D4A14" w:rsidRDefault="00B47068" w:rsidP="00B47068">
            <w:pPr>
              <w:spacing w:after="0" w:line="240" w:lineRule="auto"/>
              <w:jc w:val="both"/>
              <w:rPr>
                <w:rFonts w:eastAsia="Times New Roman" w:cs="Times New Roman"/>
                <w:sz w:val="16"/>
                <w:szCs w:val="16"/>
              </w:rPr>
            </w:pPr>
          </w:p>
        </w:tc>
        <w:tc>
          <w:tcPr>
            <w:tcW w:w="328" w:type="pct"/>
            <w:vMerge/>
          </w:tcPr>
          <w:p w14:paraId="67AEC8F0" w14:textId="77777777" w:rsidR="00B47068" w:rsidRPr="004D4A14" w:rsidRDefault="00B47068" w:rsidP="00B47068">
            <w:pPr>
              <w:spacing w:after="0" w:line="240" w:lineRule="auto"/>
              <w:jc w:val="both"/>
              <w:rPr>
                <w:rFonts w:eastAsia="Times New Roman" w:cs="Times New Roman"/>
                <w:noProof/>
                <w:sz w:val="16"/>
                <w:szCs w:val="16"/>
              </w:rPr>
            </w:pPr>
          </w:p>
        </w:tc>
        <w:tc>
          <w:tcPr>
            <w:tcW w:w="281" w:type="pct"/>
            <w:vMerge/>
          </w:tcPr>
          <w:p w14:paraId="375F8E28" w14:textId="77777777" w:rsidR="00B47068" w:rsidRPr="004D4A14" w:rsidRDefault="00B47068" w:rsidP="00B47068">
            <w:pPr>
              <w:spacing w:after="0" w:line="240" w:lineRule="auto"/>
              <w:jc w:val="both"/>
              <w:rPr>
                <w:rFonts w:eastAsia="Times New Roman" w:cs="Times New Roman"/>
                <w:noProof/>
                <w:sz w:val="16"/>
                <w:szCs w:val="16"/>
              </w:rPr>
            </w:pPr>
          </w:p>
        </w:tc>
        <w:tc>
          <w:tcPr>
            <w:tcW w:w="328" w:type="pct"/>
          </w:tcPr>
          <w:p w14:paraId="67DD6EBE"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VVL regionas</w:t>
            </w:r>
          </w:p>
        </w:tc>
        <w:tc>
          <w:tcPr>
            <w:tcW w:w="422" w:type="pct"/>
          </w:tcPr>
          <w:p w14:paraId="34EE638A" w14:textId="77777777" w:rsidR="00B47068" w:rsidRPr="004D4A14" w:rsidRDefault="00B47068" w:rsidP="00B47068">
            <w:pPr>
              <w:spacing w:after="0" w:line="240" w:lineRule="auto"/>
              <w:jc w:val="both"/>
              <w:rPr>
                <w:rFonts w:eastAsia="Times New Roman" w:cs="Times New Roman"/>
                <w:sz w:val="16"/>
                <w:szCs w:val="16"/>
              </w:rPr>
            </w:pPr>
            <w:r w:rsidRPr="004D4A14">
              <w:rPr>
                <w:rFonts w:eastAsia="Times New Roman" w:cs="Times New Roman"/>
                <w:sz w:val="16"/>
                <w:szCs w:val="16"/>
              </w:rPr>
              <w:t>Specialusis</w:t>
            </w:r>
          </w:p>
        </w:tc>
        <w:tc>
          <w:tcPr>
            <w:tcW w:w="1313" w:type="pct"/>
          </w:tcPr>
          <w:p w14:paraId="386D69EB" w14:textId="77777777" w:rsidR="00B47068" w:rsidRPr="004D4A14" w:rsidRDefault="00B47068" w:rsidP="00B47068">
            <w:pPr>
              <w:spacing w:after="0" w:line="240" w:lineRule="auto"/>
              <w:jc w:val="both"/>
              <w:rPr>
                <w:rFonts w:eastAsia="Times New Roman" w:cs="Times New Roman"/>
                <w:sz w:val="16"/>
                <w:szCs w:val="16"/>
                <w:lang w:eastAsia="lt-LT"/>
              </w:rPr>
            </w:pPr>
            <w:r w:rsidRPr="004D4A14">
              <w:rPr>
                <w:rFonts w:eastAsia="Times New Roman" w:cs="Times New Roman"/>
                <w:sz w:val="16"/>
                <w:szCs w:val="16"/>
              </w:rPr>
              <w:t>Gyventojai, kuriems taikomos nuo su klimatu susijusių stichinių nelaimių ne tik pavojingose vietose apsaugos priemonės</w:t>
            </w:r>
          </w:p>
        </w:tc>
        <w:tc>
          <w:tcPr>
            <w:tcW w:w="328" w:type="pct"/>
          </w:tcPr>
          <w:p w14:paraId="58852C78"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Asmenys</w:t>
            </w:r>
          </w:p>
        </w:tc>
        <w:tc>
          <w:tcPr>
            <w:tcW w:w="328" w:type="pct"/>
          </w:tcPr>
          <w:p w14:paraId="0807D81B" w14:textId="77777777" w:rsidR="00B47068" w:rsidRPr="004D4A14" w:rsidRDefault="00B47068" w:rsidP="00B47068">
            <w:pPr>
              <w:spacing w:after="0" w:line="240" w:lineRule="auto"/>
              <w:jc w:val="center"/>
              <w:rPr>
                <w:rFonts w:eastAsia="Times New Roman" w:cs="Times New Roman"/>
                <w:iCs/>
                <w:noProof/>
                <w:sz w:val="16"/>
                <w:szCs w:val="16"/>
              </w:rPr>
            </w:pPr>
            <w:r w:rsidRPr="004D4A14">
              <w:rPr>
                <w:rFonts w:eastAsia="Times New Roman" w:cs="Times New Roman"/>
                <w:noProof/>
                <w:sz w:val="16"/>
                <w:szCs w:val="16"/>
              </w:rPr>
              <w:t>1 103 761</w:t>
            </w:r>
          </w:p>
        </w:tc>
        <w:tc>
          <w:tcPr>
            <w:tcW w:w="402" w:type="pct"/>
          </w:tcPr>
          <w:p w14:paraId="2FFA357D" w14:textId="77777777" w:rsidR="00B47068" w:rsidRPr="004D4A14" w:rsidRDefault="00B47068" w:rsidP="00B47068">
            <w:pPr>
              <w:spacing w:after="0" w:line="240" w:lineRule="auto"/>
              <w:jc w:val="center"/>
              <w:rPr>
                <w:rFonts w:eastAsia="Times New Roman" w:cs="Times New Roman"/>
                <w:iCs/>
                <w:noProof/>
                <w:sz w:val="16"/>
                <w:szCs w:val="16"/>
              </w:rPr>
            </w:pPr>
            <w:r w:rsidRPr="004D4A14">
              <w:rPr>
                <w:rFonts w:eastAsia="Times New Roman" w:cs="Times New Roman"/>
                <w:noProof/>
                <w:sz w:val="16"/>
                <w:szCs w:val="16"/>
              </w:rPr>
              <w:t>2020</w:t>
            </w:r>
          </w:p>
        </w:tc>
        <w:tc>
          <w:tcPr>
            <w:tcW w:w="301" w:type="pct"/>
          </w:tcPr>
          <w:p w14:paraId="2CE2C04C" w14:textId="77777777" w:rsidR="00B47068" w:rsidRPr="004D4A14" w:rsidRDefault="00B47068" w:rsidP="00B47068">
            <w:pPr>
              <w:spacing w:after="0" w:line="240" w:lineRule="auto"/>
              <w:jc w:val="center"/>
              <w:rPr>
                <w:rFonts w:eastAsia="Times New Roman" w:cs="Times New Roman"/>
                <w:iCs/>
                <w:noProof/>
                <w:sz w:val="16"/>
                <w:szCs w:val="16"/>
              </w:rPr>
            </w:pPr>
            <w:r w:rsidRPr="004D4A14">
              <w:rPr>
                <w:rFonts w:eastAsia="Times New Roman" w:cs="Times New Roman"/>
                <w:noProof/>
                <w:sz w:val="16"/>
                <w:szCs w:val="16"/>
              </w:rPr>
              <w:t>1 317 833</w:t>
            </w:r>
          </w:p>
        </w:tc>
        <w:tc>
          <w:tcPr>
            <w:tcW w:w="319" w:type="pct"/>
          </w:tcPr>
          <w:p w14:paraId="11F7ECD1"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Projektų duomenys</w:t>
            </w:r>
          </w:p>
        </w:tc>
        <w:tc>
          <w:tcPr>
            <w:tcW w:w="332" w:type="pct"/>
          </w:tcPr>
          <w:p w14:paraId="6F44D328" w14:textId="77777777" w:rsidR="00B47068" w:rsidRPr="004D4A14" w:rsidRDefault="00B47068" w:rsidP="00B47068">
            <w:pPr>
              <w:spacing w:after="0" w:line="240" w:lineRule="auto"/>
              <w:jc w:val="both"/>
              <w:rPr>
                <w:rFonts w:eastAsia="Times New Roman" w:cs="Times New Roman"/>
                <w:i/>
                <w:noProof/>
                <w:sz w:val="20"/>
                <w:szCs w:val="20"/>
                <w:lang w:eastAsia="lt-LT"/>
              </w:rPr>
            </w:pPr>
            <w:r w:rsidRPr="004D4A14">
              <w:rPr>
                <w:rFonts w:eastAsia="Times New Roman" w:cs="Times New Roman"/>
                <w:noProof/>
                <w:sz w:val="16"/>
                <w:szCs w:val="16"/>
              </w:rPr>
              <w:t>Gyventojų perspėjimas sirenomis VVL regione padidės nuo 62,82 iki 75 %</w:t>
            </w:r>
          </w:p>
        </w:tc>
      </w:tr>
      <w:tr w:rsidR="00B47068" w:rsidRPr="004D4A14" w14:paraId="5807A997" w14:textId="77777777" w:rsidTr="008E427B">
        <w:trPr>
          <w:trHeight w:val="286"/>
        </w:trPr>
        <w:tc>
          <w:tcPr>
            <w:tcW w:w="317" w:type="pct"/>
            <w:vMerge/>
          </w:tcPr>
          <w:p w14:paraId="5BA279E8" w14:textId="77777777" w:rsidR="00B47068" w:rsidRPr="004D4A14" w:rsidRDefault="00B47068" w:rsidP="00B47068">
            <w:pPr>
              <w:spacing w:after="0" w:line="240" w:lineRule="auto"/>
              <w:jc w:val="both"/>
              <w:rPr>
                <w:rFonts w:eastAsia="Times New Roman" w:cs="Times New Roman"/>
                <w:sz w:val="16"/>
                <w:szCs w:val="16"/>
              </w:rPr>
            </w:pPr>
          </w:p>
        </w:tc>
        <w:tc>
          <w:tcPr>
            <w:tcW w:w="328" w:type="pct"/>
            <w:vMerge/>
          </w:tcPr>
          <w:p w14:paraId="032B9A8B" w14:textId="77777777" w:rsidR="00B47068" w:rsidRPr="004D4A14" w:rsidRDefault="00B47068" w:rsidP="00B47068">
            <w:pPr>
              <w:spacing w:after="0" w:line="240" w:lineRule="auto"/>
              <w:jc w:val="both"/>
              <w:rPr>
                <w:rFonts w:eastAsia="Times New Roman" w:cs="Times New Roman"/>
                <w:noProof/>
                <w:sz w:val="16"/>
                <w:szCs w:val="16"/>
              </w:rPr>
            </w:pPr>
          </w:p>
        </w:tc>
        <w:tc>
          <w:tcPr>
            <w:tcW w:w="281" w:type="pct"/>
            <w:vMerge/>
          </w:tcPr>
          <w:p w14:paraId="3AD47122" w14:textId="77777777" w:rsidR="00B47068" w:rsidRPr="004D4A14" w:rsidRDefault="00B47068" w:rsidP="00B47068">
            <w:pPr>
              <w:spacing w:after="0" w:line="240" w:lineRule="auto"/>
              <w:jc w:val="both"/>
              <w:rPr>
                <w:rFonts w:eastAsia="Times New Roman" w:cs="Times New Roman"/>
                <w:noProof/>
                <w:sz w:val="16"/>
                <w:szCs w:val="16"/>
              </w:rPr>
            </w:pPr>
          </w:p>
        </w:tc>
        <w:tc>
          <w:tcPr>
            <w:tcW w:w="328" w:type="pct"/>
          </w:tcPr>
          <w:p w14:paraId="0304E665"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VVL regionas</w:t>
            </w:r>
          </w:p>
        </w:tc>
        <w:tc>
          <w:tcPr>
            <w:tcW w:w="422" w:type="pct"/>
          </w:tcPr>
          <w:p w14:paraId="6E076E48" w14:textId="77777777" w:rsidR="00B47068" w:rsidRPr="004D4A14" w:rsidRDefault="00B47068" w:rsidP="00B47068">
            <w:pPr>
              <w:spacing w:after="0" w:line="240" w:lineRule="auto"/>
              <w:jc w:val="both"/>
              <w:rPr>
                <w:rFonts w:eastAsia="Times New Roman" w:cs="Times New Roman"/>
                <w:sz w:val="16"/>
                <w:szCs w:val="16"/>
              </w:rPr>
            </w:pPr>
            <w:r w:rsidRPr="004D4A14">
              <w:rPr>
                <w:rFonts w:eastAsia="Times New Roman" w:cs="Times New Roman"/>
                <w:sz w:val="16"/>
                <w:szCs w:val="16"/>
              </w:rPr>
              <w:t>Specialusis</w:t>
            </w:r>
          </w:p>
        </w:tc>
        <w:tc>
          <w:tcPr>
            <w:tcW w:w="1313" w:type="pct"/>
          </w:tcPr>
          <w:p w14:paraId="2E1EA5D6" w14:textId="77777777" w:rsidR="00B47068" w:rsidRPr="004D4A14" w:rsidRDefault="00B47068" w:rsidP="00B47068">
            <w:pPr>
              <w:spacing w:after="0" w:line="240" w:lineRule="auto"/>
              <w:jc w:val="both"/>
              <w:rPr>
                <w:rFonts w:eastAsia="Times New Roman" w:cs="Times New Roman"/>
                <w:sz w:val="16"/>
                <w:szCs w:val="16"/>
              </w:rPr>
            </w:pPr>
            <w:r w:rsidRPr="004D4A14">
              <w:rPr>
                <w:rFonts w:eastAsia="Times New Roman" w:cs="Times New Roman"/>
                <w:sz w:val="16"/>
                <w:szCs w:val="16"/>
              </w:rPr>
              <w:t>Lokalaus valdymo sirenos, kurios prijungtos prie vieningos sirenų valdymo sistemos, ne mažiau kaip</w:t>
            </w:r>
          </w:p>
        </w:tc>
        <w:tc>
          <w:tcPr>
            <w:tcW w:w="328" w:type="pct"/>
          </w:tcPr>
          <w:p w14:paraId="68CCDFE0"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Skaičius</w:t>
            </w:r>
          </w:p>
        </w:tc>
        <w:tc>
          <w:tcPr>
            <w:tcW w:w="328" w:type="pct"/>
          </w:tcPr>
          <w:p w14:paraId="16B58C1D" w14:textId="77777777" w:rsidR="00B47068" w:rsidRPr="004D4A14" w:rsidRDefault="00B47068" w:rsidP="00B47068">
            <w:pPr>
              <w:spacing w:after="0" w:line="240" w:lineRule="auto"/>
              <w:jc w:val="center"/>
              <w:rPr>
                <w:rFonts w:eastAsia="Times New Roman" w:cs="Times New Roman"/>
                <w:noProof/>
                <w:sz w:val="16"/>
                <w:szCs w:val="16"/>
              </w:rPr>
            </w:pPr>
            <w:r w:rsidRPr="004D4A14">
              <w:rPr>
                <w:rFonts w:eastAsia="Times New Roman" w:cs="Times New Roman"/>
                <w:noProof/>
                <w:sz w:val="16"/>
                <w:szCs w:val="16"/>
              </w:rPr>
              <w:t>0</w:t>
            </w:r>
          </w:p>
        </w:tc>
        <w:tc>
          <w:tcPr>
            <w:tcW w:w="402" w:type="pct"/>
          </w:tcPr>
          <w:p w14:paraId="4DCCF20D" w14:textId="77777777" w:rsidR="00B47068" w:rsidRPr="004D4A14" w:rsidRDefault="00B47068" w:rsidP="00B47068">
            <w:pPr>
              <w:spacing w:after="0" w:line="240" w:lineRule="auto"/>
              <w:jc w:val="center"/>
              <w:rPr>
                <w:rFonts w:eastAsia="Times New Roman" w:cs="Times New Roman"/>
                <w:noProof/>
                <w:sz w:val="16"/>
                <w:szCs w:val="16"/>
              </w:rPr>
            </w:pPr>
            <w:r w:rsidRPr="004D4A14">
              <w:rPr>
                <w:rFonts w:eastAsia="Times New Roman" w:cs="Times New Roman"/>
                <w:noProof/>
                <w:sz w:val="16"/>
                <w:szCs w:val="16"/>
              </w:rPr>
              <w:t>2025</w:t>
            </w:r>
          </w:p>
        </w:tc>
        <w:tc>
          <w:tcPr>
            <w:tcW w:w="301" w:type="pct"/>
          </w:tcPr>
          <w:p w14:paraId="4A6EBB6F" w14:textId="77777777" w:rsidR="00B47068" w:rsidRPr="004D4A14" w:rsidRDefault="00B47068" w:rsidP="00B47068">
            <w:pPr>
              <w:spacing w:after="0" w:line="240" w:lineRule="auto"/>
              <w:jc w:val="center"/>
              <w:rPr>
                <w:rFonts w:eastAsia="Times New Roman" w:cs="Times New Roman"/>
                <w:noProof/>
                <w:sz w:val="16"/>
                <w:szCs w:val="16"/>
              </w:rPr>
            </w:pPr>
            <w:r w:rsidRPr="004D4A14">
              <w:rPr>
                <w:rFonts w:eastAsia="Times New Roman" w:cs="Times New Roman"/>
                <w:noProof/>
                <w:sz w:val="16"/>
                <w:szCs w:val="16"/>
              </w:rPr>
              <w:t>600</w:t>
            </w:r>
          </w:p>
        </w:tc>
        <w:tc>
          <w:tcPr>
            <w:tcW w:w="319" w:type="pct"/>
          </w:tcPr>
          <w:p w14:paraId="15195B95"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Projektų duomenys</w:t>
            </w:r>
          </w:p>
        </w:tc>
        <w:tc>
          <w:tcPr>
            <w:tcW w:w="332" w:type="pct"/>
          </w:tcPr>
          <w:p w14:paraId="08DB16D5" w14:textId="77777777" w:rsidR="00B47068" w:rsidRPr="004D4A14" w:rsidRDefault="00B47068" w:rsidP="00B47068">
            <w:pPr>
              <w:spacing w:after="0" w:line="240" w:lineRule="auto"/>
              <w:jc w:val="both"/>
              <w:rPr>
                <w:rFonts w:eastAsia="Times New Roman" w:cs="Times New Roman"/>
                <w:noProof/>
                <w:sz w:val="16"/>
                <w:szCs w:val="16"/>
              </w:rPr>
            </w:pPr>
          </w:p>
        </w:tc>
      </w:tr>
      <w:tr w:rsidR="00B47068" w:rsidRPr="004D4A14" w14:paraId="702D3ED0" w14:textId="77777777" w:rsidTr="008E427B">
        <w:trPr>
          <w:trHeight w:val="286"/>
        </w:trPr>
        <w:tc>
          <w:tcPr>
            <w:tcW w:w="317" w:type="pct"/>
            <w:vMerge/>
          </w:tcPr>
          <w:p w14:paraId="3901F93F" w14:textId="77777777" w:rsidR="00B47068" w:rsidRPr="004D4A14" w:rsidRDefault="00B47068" w:rsidP="00B47068">
            <w:pPr>
              <w:spacing w:after="0" w:line="240" w:lineRule="auto"/>
              <w:jc w:val="both"/>
              <w:rPr>
                <w:rFonts w:eastAsia="Times New Roman" w:cs="Times New Roman"/>
                <w:sz w:val="16"/>
                <w:szCs w:val="16"/>
              </w:rPr>
            </w:pPr>
          </w:p>
        </w:tc>
        <w:tc>
          <w:tcPr>
            <w:tcW w:w="328" w:type="pct"/>
            <w:vMerge/>
          </w:tcPr>
          <w:p w14:paraId="1BC3B53D" w14:textId="77777777" w:rsidR="00B47068" w:rsidRPr="004D4A14" w:rsidRDefault="00B47068" w:rsidP="00B47068">
            <w:pPr>
              <w:spacing w:after="0" w:line="240" w:lineRule="auto"/>
              <w:jc w:val="both"/>
              <w:rPr>
                <w:rFonts w:eastAsia="Times New Roman" w:cs="Times New Roman"/>
                <w:noProof/>
                <w:sz w:val="16"/>
                <w:szCs w:val="16"/>
              </w:rPr>
            </w:pPr>
          </w:p>
        </w:tc>
        <w:tc>
          <w:tcPr>
            <w:tcW w:w="281" w:type="pct"/>
            <w:vMerge/>
          </w:tcPr>
          <w:p w14:paraId="3E0CA659" w14:textId="77777777" w:rsidR="00B47068" w:rsidRPr="004D4A14" w:rsidRDefault="00B47068" w:rsidP="00B47068">
            <w:pPr>
              <w:spacing w:after="0" w:line="240" w:lineRule="auto"/>
              <w:jc w:val="both"/>
              <w:rPr>
                <w:rFonts w:eastAsia="Times New Roman" w:cs="Times New Roman"/>
                <w:noProof/>
                <w:sz w:val="16"/>
                <w:szCs w:val="16"/>
              </w:rPr>
            </w:pPr>
          </w:p>
        </w:tc>
        <w:tc>
          <w:tcPr>
            <w:tcW w:w="328" w:type="pct"/>
          </w:tcPr>
          <w:p w14:paraId="06567F39"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Sostinės regionas</w:t>
            </w:r>
          </w:p>
        </w:tc>
        <w:tc>
          <w:tcPr>
            <w:tcW w:w="422" w:type="pct"/>
          </w:tcPr>
          <w:p w14:paraId="3F5B6DD9" w14:textId="77777777" w:rsidR="00B47068" w:rsidRPr="004D4A14" w:rsidRDefault="00B47068" w:rsidP="00B47068">
            <w:pPr>
              <w:spacing w:after="0" w:line="240" w:lineRule="auto"/>
              <w:jc w:val="both"/>
              <w:rPr>
                <w:rFonts w:eastAsia="Times New Roman" w:cs="Times New Roman"/>
                <w:sz w:val="16"/>
                <w:szCs w:val="16"/>
              </w:rPr>
            </w:pPr>
            <w:r w:rsidRPr="004D4A14">
              <w:rPr>
                <w:rFonts w:eastAsia="Times New Roman" w:cs="Times New Roman"/>
                <w:sz w:val="16"/>
                <w:szCs w:val="16"/>
              </w:rPr>
              <w:t>Specialusis</w:t>
            </w:r>
          </w:p>
        </w:tc>
        <w:tc>
          <w:tcPr>
            <w:tcW w:w="1313" w:type="pct"/>
          </w:tcPr>
          <w:p w14:paraId="3191E3E4" w14:textId="77777777" w:rsidR="00B47068" w:rsidRPr="004D4A14" w:rsidRDefault="00B47068" w:rsidP="00B47068">
            <w:pPr>
              <w:spacing w:after="0" w:line="240" w:lineRule="auto"/>
              <w:jc w:val="both"/>
              <w:rPr>
                <w:rFonts w:eastAsia="Times New Roman" w:cs="Times New Roman"/>
                <w:sz w:val="16"/>
                <w:szCs w:val="16"/>
              </w:rPr>
            </w:pPr>
            <w:r w:rsidRPr="004D4A14">
              <w:rPr>
                <w:rFonts w:eastAsia="Times New Roman" w:cs="Times New Roman"/>
                <w:sz w:val="16"/>
                <w:szCs w:val="16"/>
              </w:rPr>
              <w:t>Valstybės saugomų kritinės infrastruktūros objektų, kurių fizinė apsauga sustiprinta, dalis</w:t>
            </w:r>
          </w:p>
        </w:tc>
        <w:tc>
          <w:tcPr>
            <w:tcW w:w="328" w:type="pct"/>
          </w:tcPr>
          <w:p w14:paraId="44E0754C"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iCs/>
                <w:sz w:val="16"/>
                <w:szCs w:val="16"/>
              </w:rPr>
              <w:t>Procentai</w:t>
            </w:r>
          </w:p>
        </w:tc>
        <w:tc>
          <w:tcPr>
            <w:tcW w:w="328" w:type="pct"/>
          </w:tcPr>
          <w:p w14:paraId="7200CBC8" w14:textId="77777777" w:rsidR="00B47068" w:rsidRPr="004D4A14" w:rsidRDefault="00B47068" w:rsidP="00B47068">
            <w:pPr>
              <w:spacing w:after="0" w:line="240" w:lineRule="auto"/>
              <w:jc w:val="center"/>
              <w:rPr>
                <w:rFonts w:eastAsia="Times New Roman" w:cs="Times New Roman"/>
                <w:noProof/>
                <w:sz w:val="16"/>
                <w:szCs w:val="16"/>
              </w:rPr>
            </w:pPr>
            <w:r w:rsidRPr="004D4A14">
              <w:rPr>
                <w:rFonts w:eastAsia="Times New Roman" w:cs="Times New Roman"/>
                <w:iCs/>
                <w:noProof/>
                <w:sz w:val="16"/>
                <w:szCs w:val="16"/>
              </w:rPr>
              <w:t>0</w:t>
            </w:r>
          </w:p>
        </w:tc>
        <w:tc>
          <w:tcPr>
            <w:tcW w:w="402" w:type="pct"/>
          </w:tcPr>
          <w:p w14:paraId="2396BC6E" w14:textId="77777777" w:rsidR="00B47068" w:rsidRPr="004D4A14" w:rsidRDefault="00B47068" w:rsidP="00B47068">
            <w:pPr>
              <w:spacing w:after="0" w:line="240" w:lineRule="auto"/>
              <w:jc w:val="center"/>
              <w:rPr>
                <w:rFonts w:eastAsia="Times New Roman" w:cs="Times New Roman"/>
                <w:noProof/>
                <w:sz w:val="16"/>
                <w:szCs w:val="16"/>
              </w:rPr>
            </w:pPr>
            <w:r w:rsidRPr="004D4A14">
              <w:rPr>
                <w:rFonts w:eastAsia="Times New Roman" w:cs="Times New Roman"/>
                <w:iCs/>
                <w:noProof/>
                <w:sz w:val="16"/>
                <w:szCs w:val="16"/>
              </w:rPr>
              <w:t>2025</w:t>
            </w:r>
          </w:p>
        </w:tc>
        <w:tc>
          <w:tcPr>
            <w:tcW w:w="301" w:type="pct"/>
          </w:tcPr>
          <w:p w14:paraId="68C79CB4" w14:textId="77777777" w:rsidR="00B47068" w:rsidRPr="004D4A14" w:rsidRDefault="00B47068" w:rsidP="00B47068">
            <w:pPr>
              <w:spacing w:after="0" w:line="240" w:lineRule="auto"/>
              <w:jc w:val="center"/>
              <w:rPr>
                <w:rFonts w:eastAsia="Times New Roman" w:cs="Times New Roman"/>
                <w:noProof/>
                <w:sz w:val="16"/>
                <w:szCs w:val="16"/>
              </w:rPr>
            </w:pPr>
            <w:r w:rsidRPr="004D4A14">
              <w:rPr>
                <w:rFonts w:eastAsia="Times New Roman" w:cs="Times New Roman"/>
                <w:iCs/>
                <w:noProof/>
                <w:sz w:val="16"/>
                <w:szCs w:val="16"/>
              </w:rPr>
              <w:t>100</w:t>
            </w:r>
          </w:p>
        </w:tc>
        <w:tc>
          <w:tcPr>
            <w:tcW w:w="319" w:type="pct"/>
          </w:tcPr>
          <w:p w14:paraId="4CD38FF0"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Projektų duomenys</w:t>
            </w:r>
          </w:p>
        </w:tc>
        <w:tc>
          <w:tcPr>
            <w:tcW w:w="332" w:type="pct"/>
          </w:tcPr>
          <w:p w14:paraId="6B45CF43" w14:textId="77777777" w:rsidR="00B47068" w:rsidRPr="004D4A14" w:rsidRDefault="00B47068" w:rsidP="00B47068">
            <w:pPr>
              <w:spacing w:after="0" w:line="240" w:lineRule="auto"/>
              <w:jc w:val="both"/>
              <w:rPr>
                <w:rFonts w:eastAsia="Times New Roman" w:cs="Times New Roman"/>
                <w:noProof/>
                <w:sz w:val="16"/>
                <w:szCs w:val="16"/>
              </w:rPr>
            </w:pPr>
          </w:p>
        </w:tc>
      </w:tr>
      <w:tr w:rsidR="00B47068" w:rsidRPr="004D4A14" w14:paraId="032B8C4A" w14:textId="77777777" w:rsidTr="008E427B">
        <w:trPr>
          <w:trHeight w:val="286"/>
        </w:trPr>
        <w:tc>
          <w:tcPr>
            <w:tcW w:w="317" w:type="pct"/>
            <w:vMerge/>
          </w:tcPr>
          <w:p w14:paraId="12CFACF9" w14:textId="77777777" w:rsidR="00B47068" w:rsidRPr="004D4A14" w:rsidRDefault="00B47068" w:rsidP="00B47068">
            <w:pPr>
              <w:spacing w:after="0" w:line="240" w:lineRule="auto"/>
              <w:jc w:val="both"/>
              <w:rPr>
                <w:rFonts w:eastAsia="Times New Roman" w:cs="Times New Roman"/>
                <w:sz w:val="16"/>
                <w:szCs w:val="16"/>
              </w:rPr>
            </w:pPr>
          </w:p>
        </w:tc>
        <w:tc>
          <w:tcPr>
            <w:tcW w:w="328" w:type="pct"/>
            <w:vMerge/>
          </w:tcPr>
          <w:p w14:paraId="442B863A" w14:textId="77777777" w:rsidR="00B47068" w:rsidRPr="004D4A14" w:rsidRDefault="00B47068" w:rsidP="00B47068">
            <w:pPr>
              <w:spacing w:after="0" w:line="240" w:lineRule="auto"/>
              <w:jc w:val="both"/>
              <w:rPr>
                <w:rFonts w:eastAsia="Times New Roman" w:cs="Times New Roman"/>
                <w:noProof/>
                <w:sz w:val="16"/>
                <w:szCs w:val="16"/>
              </w:rPr>
            </w:pPr>
          </w:p>
        </w:tc>
        <w:tc>
          <w:tcPr>
            <w:tcW w:w="281" w:type="pct"/>
            <w:vMerge/>
          </w:tcPr>
          <w:p w14:paraId="54C93AA2" w14:textId="77777777" w:rsidR="00B47068" w:rsidRPr="004D4A14" w:rsidRDefault="00B47068" w:rsidP="00B47068">
            <w:pPr>
              <w:spacing w:after="0" w:line="240" w:lineRule="auto"/>
              <w:jc w:val="both"/>
              <w:rPr>
                <w:rFonts w:eastAsia="Times New Roman" w:cs="Times New Roman"/>
                <w:noProof/>
                <w:sz w:val="16"/>
                <w:szCs w:val="16"/>
              </w:rPr>
            </w:pPr>
          </w:p>
        </w:tc>
        <w:tc>
          <w:tcPr>
            <w:tcW w:w="328" w:type="pct"/>
          </w:tcPr>
          <w:p w14:paraId="46DB3157"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VVL regionas</w:t>
            </w:r>
          </w:p>
        </w:tc>
        <w:tc>
          <w:tcPr>
            <w:tcW w:w="422" w:type="pct"/>
          </w:tcPr>
          <w:p w14:paraId="6200C44C" w14:textId="77777777" w:rsidR="00B47068" w:rsidRPr="004D4A14" w:rsidRDefault="00B47068" w:rsidP="00B47068">
            <w:pPr>
              <w:spacing w:after="0" w:line="240" w:lineRule="auto"/>
              <w:jc w:val="both"/>
              <w:rPr>
                <w:rFonts w:eastAsia="Times New Roman" w:cs="Times New Roman"/>
                <w:sz w:val="16"/>
                <w:szCs w:val="16"/>
              </w:rPr>
            </w:pPr>
            <w:r w:rsidRPr="004D4A14">
              <w:rPr>
                <w:rFonts w:eastAsia="Times New Roman" w:cs="Times New Roman"/>
                <w:sz w:val="16"/>
                <w:szCs w:val="16"/>
              </w:rPr>
              <w:t>Specialusis</w:t>
            </w:r>
          </w:p>
        </w:tc>
        <w:tc>
          <w:tcPr>
            <w:tcW w:w="1313" w:type="pct"/>
          </w:tcPr>
          <w:p w14:paraId="527794D0" w14:textId="77777777" w:rsidR="00B47068" w:rsidRPr="004D4A14" w:rsidRDefault="00B47068" w:rsidP="00B47068">
            <w:pPr>
              <w:spacing w:after="0" w:line="240" w:lineRule="auto"/>
              <w:jc w:val="both"/>
              <w:rPr>
                <w:rFonts w:eastAsia="Times New Roman" w:cs="Times New Roman"/>
                <w:sz w:val="16"/>
                <w:szCs w:val="16"/>
              </w:rPr>
            </w:pPr>
            <w:r w:rsidRPr="004D4A14">
              <w:rPr>
                <w:rFonts w:eastAsia="Times New Roman" w:cs="Times New Roman"/>
                <w:sz w:val="16"/>
                <w:szCs w:val="16"/>
              </w:rPr>
              <w:t>Valstybės saugomų kritinės infrastruktūros objektų, kurių fizinė apsauga sustiprinta, dalis</w:t>
            </w:r>
          </w:p>
        </w:tc>
        <w:tc>
          <w:tcPr>
            <w:tcW w:w="328" w:type="pct"/>
          </w:tcPr>
          <w:p w14:paraId="5094DD68" w14:textId="77777777" w:rsidR="00B47068" w:rsidRPr="004D4A14" w:rsidRDefault="00B47068" w:rsidP="00B47068">
            <w:pPr>
              <w:spacing w:after="0" w:line="240" w:lineRule="auto"/>
              <w:jc w:val="both"/>
              <w:rPr>
                <w:rFonts w:eastAsia="Times New Roman" w:cs="Times New Roman"/>
                <w:iCs/>
                <w:sz w:val="16"/>
                <w:szCs w:val="16"/>
              </w:rPr>
            </w:pPr>
            <w:r w:rsidRPr="004D4A14">
              <w:rPr>
                <w:rFonts w:eastAsia="Times New Roman" w:cs="Times New Roman"/>
                <w:iCs/>
                <w:sz w:val="16"/>
                <w:szCs w:val="16"/>
              </w:rPr>
              <w:t>Procentai</w:t>
            </w:r>
          </w:p>
        </w:tc>
        <w:tc>
          <w:tcPr>
            <w:tcW w:w="328" w:type="pct"/>
          </w:tcPr>
          <w:p w14:paraId="79FEC38E" w14:textId="77777777" w:rsidR="00B47068" w:rsidRPr="004D4A14" w:rsidRDefault="00B47068" w:rsidP="00B47068">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rPr>
              <w:t>0</w:t>
            </w:r>
          </w:p>
        </w:tc>
        <w:tc>
          <w:tcPr>
            <w:tcW w:w="402" w:type="pct"/>
          </w:tcPr>
          <w:p w14:paraId="3DA12A8D" w14:textId="77777777" w:rsidR="00B47068" w:rsidRPr="004D4A14" w:rsidRDefault="00B47068" w:rsidP="00B47068">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rPr>
              <w:t>2025</w:t>
            </w:r>
          </w:p>
        </w:tc>
        <w:tc>
          <w:tcPr>
            <w:tcW w:w="301" w:type="pct"/>
          </w:tcPr>
          <w:p w14:paraId="6AEA48C0" w14:textId="77777777" w:rsidR="00B47068" w:rsidRPr="004D4A14" w:rsidRDefault="00B47068" w:rsidP="00B47068">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rPr>
              <w:t>100</w:t>
            </w:r>
          </w:p>
        </w:tc>
        <w:tc>
          <w:tcPr>
            <w:tcW w:w="319" w:type="pct"/>
          </w:tcPr>
          <w:p w14:paraId="38F5CC4F"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Projektų duomenys</w:t>
            </w:r>
          </w:p>
        </w:tc>
        <w:tc>
          <w:tcPr>
            <w:tcW w:w="332" w:type="pct"/>
          </w:tcPr>
          <w:p w14:paraId="48ABD588" w14:textId="77777777" w:rsidR="00B47068" w:rsidRPr="004D4A14" w:rsidRDefault="00B47068" w:rsidP="00B47068">
            <w:pPr>
              <w:spacing w:after="0" w:line="240" w:lineRule="auto"/>
              <w:jc w:val="both"/>
              <w:rPr>
                <w:rFonts w:eastAsia="Times New Roman" w:cs="Times New Roman"/>
                <w:noProof/>
                <w:sz w:val="16"/>
                <w:szCs w:val="16"/>
              </w:rPr>
            </w:pPr>
          </w:p>
        </w:tc>
      </w:tr>
      <w:tr w:rsidR="00B47068" w:rsidRPr="004D4A14" w14:paraId="41FC9AC5" w14:textId="77777777" w:rsidTr="008E427B">
        <w:trPr>
          <w:trHeight w:val="286"/>
        </w:trPr>
        <w:tc>
          <w:tcPr>
            <w:tcW w:w="317" w:type="pct"/>
            <w:vMerge/>
          </w:tcPr>
          <w:p w14:paraId="38B1AA1B" w14:textId="77777777" w:rsidR="00B47068" w:rsidRPr="004D4A14" w:rsidRDefault="00B47068" w:rsidP="00B47068">
            <w:pPr>
              <w:spacing w:after="0" w:line="240" w:lineRule="auto"/>
              <w:jc w:val="both"/>
              <w:rPr>
                <w:rFonts w:eastAsia="Times New Roman" w:cs="Times New Roman"/>
                <w:sz w:val="16"/>
                <w:szCs w:val="16"/>
              </w:rPr>
            </w:pPr>
          </w:p>
        </w:tc>
        <w:tc>
          <w:tcPr>
            <w:tcW w:w="328" w:type="pct"/>
            <w:vMerge/>
          </w:tcPr>
          <w:p w14:paraId="12D7A2A2" w14:textId="77777777" w:rsidR="00B47068" w:rsidRPr="004D4A14" w:rsidRDefault="00B47068" w:rsidP="00B47068">
            <w:pPr>
              <w:spacing w:after="0" w:line="240" w:lineRule="auto"/>
              <w:jc w:val="both"/>
              <w:rPr>
                <w:rFonts w:eastAsia="Times New Roman" w:cs="Times New Roman"/>
                <w:noProof/>
                <w:sz w:val="16"/>
                <w:szCs w:val="16"/>
              </w:rPr>
            </w:pPr>
          </w:p>
        </w:tc>
        <w:tc>
          <w:tcPr>
            <w:tcW w:w="281" w:type="pct"/>
            <w:vMerge/>
          </w:tcPr>
          <w:p w14:paraId="7586DCA4" w14:textId="77777777" w:rsidR="00B47068" w:rsidRPr="004D4A14" w:rsidRDefault="00B47068" w:rsidP="00B47068">
            <w:pPr>
              <w:spacing w:after="0" w:line="240" w:lineRule="auto"/>
              <w:jc w:val="both"/>
              <w:rPr>
                <w:rFonts w:eastAsia="Times New Roman" w:cs="Times New Roman"/>
                <w:noProof/>
                <w:sz w:val="16"/>
                <w:szCs w:val="16"/>
              </w:rPr>
            </w:pPr>
          </w:p>
        </w:tc>
        <w:tc>
          <w:tcPr>
            <w:tcW w:w="328" w:type="pct"/>
          </w:tcPr>
          <w:p w14:paraId="51CB7DD5"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Sostinės regionas</w:t>
            </w:r>
          </w:p>
        </w:tc>
        <w:tc>
          <w:tcPr>
            <w:tcW w:w="422" w:type="pct"/>
          </w:tcPr>
          <w:p w14:paraId="06A730C5" w14:textId="77777777" w:rsidR="00B47068" w:rsidRPr="004D4A14" w:rsidRDefault="00B47068" w:rsidP="00B47068">
            <w:pPr>
              <w:spacing w:after="0" w:line="240" w:lineRule="auto"/>
              <w:jc w:val="both"/>
              <w:rPr>
                <w:rFonts w:eastAsia="Times New Roman" w:cs="Times New Roman"/>
                <w:sz w:val="16"/>
                <w:szCs w:val="16"/>
              </w:rPr>
            </w:pPr>
            <w:r w:rsidRPr="004D4A14">
              <w:rPr>
                <w:rFonts w:eastAsia="Times New Roman" w:cs="Times New Roman"/>
                <w:sz w:val="16"/>
                <w:szCs w:val="16"/>
              </w:rPr>
              <w:t>Specialusis</w:t>
            </w:r>
          </w:p>
        </w:tc>
        <w:tc>
          <w:tcPr>
            <w:tcW w:w="1313" w:type="pct"/>
          </w:tcPr>
          <w:p w14:paraId="5706A79E" w14:textId="77777777" w:rsidR="00B47068" w:rsidRPr="004D4A14" w:rsidRDefault="00B47068" w:rsidP="00B47068">
            <w:pPr>
              <w:spacing w:after="0" w:line="240" w:lineRule="auto"/>
              <w:jc w:val="both"/>
              <w:rPr>
                <w:rFonts w:eastAsia="Times New Roman" w:cs="Times New Roman"/>
                <w:sz w:val="16"/>
                <w:szCs w:val="16"/>
              </w:rPr>
            </w:pPr>
            <w:r w:rsidRPr="004D4A14">
              <w:rPr>
                <w:rFonts w:eastAsia="Times New Roman" w:cs="Times New Roman"/>
                <w:sz w:val="16"/>
                <w:szCs w:val="16"/>
              </w:rPr>
              <w:t>Valstybės sienos apsaugos tarnybos ir Viešosios saugumo tarnybos pareigūnų aprūpinimo individualiomis apsaugos priemonėmis lygis</w:t>
            </w:r>
          </w:p>
        </w:tc>
        <w:tc>
          <w:tcPr>
            <w:tcW w:w="328" w:type="pct"/>
          </w:tcPr>
          <w:p w14:paraId="35593F20" w14:textId="77777777" w:rsidR="00B47068" w:rsidRPr="004D4A14" w:rsidRDefault="00B47068" w:rsidP="00B47068">
            <w:pPr>
              <w:spacing w:after="0" w:line="240" w:lineRule="auto"/>
              <w:jc w:val="both"/>
              <w:rPr>
                <w:rFonts w:eastAsia="Times New Roman" w:cs="Times New Roman"/>
                <w:iCs/>
                <w:sz w:val="16"/>
                <w:szCs w:val="16"/>
              </w:rPr>
            </w:pPr>
            <w:r w:rsidRPr="004D4A14">
              <w:rPr>
                <w:rFonts w:eastAsia="Times New Roman" w:cs="Times New Roman"/>
                <w:iCs/>
                <w:sz w:val="16"/>
                <w:szCs w:val="16"/>
              </w:rPr>
              <w:t>Procentai</w:t>
            </w:r>
          </w:p>
        </w:tc>
        <w:tc>
          <w:tcPr>
            <w:tcW w:w="328" w:type="pct"/>
          </w:tcPr>
          <w:p w14:paraId="3BD78997" w14:textId="77777777" w:rsidR="00B47068" w:rsidRPr="004D4A14" w:rsidRDefault="00B47068" w:rsidP="00B47068">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rPr>
              <w:t>0</w:t>
            </w:r>
          </w:p>
        </w:tc>
        <w:tc>
          <w:tcPr>
            <w:tcW w:w="402" w:type="pct"/>
          </w:tcPr>
          <w:p w14:paraId="56C62CF6" w14:textId="77777777" w:rsidR="00B47068" w:rsidRPr="004D4A14" w:rsidRDefault="00B47068" w:rsidP="00B47068">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rPr>
              <w:t>2025</w:t>
            </w:r>
          </w:p>
        </w:tc>
        <w:tc>
          <w:tcPr>
            <w:tcW w:w="301" w:type="pct"/>
          </w:tcPr>
          <w:p w14:paraId="0BB7C1AC" w14:textId="77777777" w:rsidR="00B47068" w:rsidRPr="004D4A14" w:rsidRDefault="00B47068" w:rsidP="00B47068">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rPr>
              <w:t>75</w:t>
            </w:r>
          </w:p>
        </w:tc>
        <w:tc>
          <w:tcPr>
            <w:tcW w:w="319" w:type="pct"/>
          </w:tcPr>
          <w:p w14:paraId="238D90F8"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Projektų duomenys</w:t>
            </w:r>
          </w:p>
        </w:tc>
        <w:tc>
          <w:tcPr>
            <w:tcW w:w="332" w:type="pct"/>
          </w:tcPr>
          <w:p w14:paraId="08FF3764" w14:textId="77777777" w:rsidR="00B47068" w:rsidRPr="004D4A14" w:rsidRDefault="00B47068" w:rsidP="00B47068">
            <w:pPr>
              <w:spacing w:after="0" w:line="240" w:lineRule="auto"/>
              <w:jc w:val="both"/>
              <w:rPr>
                <w:rFonts w:eastAsia="Times New Roman" w:cs="Times New Roman"/>
                <w:noProof/>
                <w:sz w:val="16"/>
                <w:szCs w:val="16"/>
              </w:rPr>
            </w:pPr>
          </w:p>
        </w:tc>
      </w:tr>
      <w:tr w:rsidR="00B47068" w:rsidRPr="004D4A14" w14:paraId="25BADE51" w14:textId="77777777" w:rsidTr="008E427B">
        <w:trPr>
          <w:trHeight w:val="286"/>
        </w:trPr>
        <w:tc>
          <w:tcPr>
            <w:tcW w:w="317" w:type="pct"/>
            <w:vMerge/>
          </w:tcPr>
          <w:p w14:paraId="12CA4E30" w14:textId="77777777" w:rsidR="00B47068" w:rsidRPr="004D4A14" w:rsidRDefault="00B47068" w:rsidP="00B47068">
            <w:pPr>
              <w:spacing w:after="0" w:line="240" w:lineRule="auto"/>
              <w:jc w:val="both"/>
              <w:rPr>
                <w:rFonts w:eastAsia="Times New Roman" w:cs="Times New Roman"/>
                <w:sz w:val="16"/>
                <w:szCs w:val="16"/>
              </w:rPr>
            </w:pPr>
          </w:p>
        </w:tc>
        <w:tc>
          <w:tcPr>
            <w:tcW w:w="328" w:type="pct"/>
            <w:vMerge/>
          </w:tcPr>
          <w:p w14:paraId="76263A03" w14:textId="77777777" w:rsidR="00B47068" w:rsidRPr="004D4A14" w:rsidRDefault="00B47068" w:rsidP="00B47068">
            <w:pPr>
              <w:spacing w:after="0" w:line="240" w:lineRule="auto"/>
              <w:jc w:val="both"/>
              <w:rPr>
                <w:rFonts w:eastAsia="Times New Roman" w:cs="Times New Roman"/>
                <w:noProof/>
                <w:sz w:val="16"/>
                <w:szCs w:val="16"/>
              </w:rPr>
            </w:pPr>
          </w:p>
        </w:tc>
        <w:tc>
          <w:tcPr>
            <w:tcW w:w="281" w:type="pct"/>
            <w:vMerge/>
          </w:tcPr>
          <w:p w14:paraId="338C763C" w14:textId="77777777" w:rsidR="00B47068" w:rsidRPr="004D4A14" w:rsidRDefault="00B47068" w:rsidP="00B47068">
            <w:pPr>
              <w:spacing w:after="0" w:line="240" w:lineRule="auto"/>
              <w:jc w:val="both"/>
              <w:rPr>
                <w:rFonts w:eastAsia="Times New Roman" w:cs="Times New Roman"/>
                <w:noProof/>
                <w:sz w:val="16"/>
                <w:szCs w:val="16"/>
              </w:rPr>
            </w:pPr>
          </w:p>
        </w:tc>
        <w:tc>
          <w:tcPr>
            <w:tcW w:w="328" w:type="pct"/>
          </w:tcPr>
          <w:p w14:paraId="2EA09A10"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VVL regionas</w:t>
            </w:r>
          </w:p>
        </w:tc>
        <w:tc>
          <w:tcPr>
            <w:tcW w:w="422" w:type="pct"/>
          </w:tcPr>
          <w:p w14:paraId="62432F7A" w14:textId="77777777" w:rsidR="00B47068" w:rsidRPr="004D4A14" w:rsidRDefault="00B47068" w:rsidP="00B47068">
            <w:pPr>
              <w:spacing w:after="0" w:line="240" w:lineRule="auto"/>
              <w:jc w:val="both"/>
              <w:rPr>
                <w:rFonts w:eastAsia="Times New Roman" w:cs="Times New Roman"/>
                <w:sz w:val="16"/>
                <w:szCs w:val="16"/>
              </w:rPr>
            </w:pPr>
            <w:r w:rsidRPr="004D4A14">
              <w:rPr>
                <w:rFonts w:eastAsia="Times New Roman" w:cs="Times New Roman"/>
                <w:sz w:val="16"/>
                <w:szCs w:val="16"/>
              </w:rPr>
              <w:t>Specialusis</w:t>
            </w:r>
          </w:p>
        </w:tc>
        <w:tc>
          <w:tcPr>
            <w:tcW w:w="1313" w:type="pct"/>
          </w:tcPr>
          <w:p w14:paraId="46814917" w14:textId="77777777" w:rsidR="00B47068" w:rsidRPr="004D4A14" w:rsidRDefault="00B47068" w:rsidP="00B47068">
            <w:pPr>
              <w:spacing w:after="0" w:line="240" w:lineRule="auto"/>
              <w:jc w:val="both"/>
              <w:rPr>
                <w:rFonts w:eastAsia="Times New Roman" w:cs="Times New Roman"/>
                <w:sz w:val="16"/>
                <w:szCs w:val="16"/>
              </w:rPr>
            </w:pPr>
            <w:r w:rsidRPr="004D4A14">
              <w:rPr>
                <w:rFonts w:eastAsia="Times New Roman" w:cs="Times New Roman"/>
                <w:sz w:val="16"/>
                <w:szCs w:val="16"/>
              </w:rPr>
              <w:t>Valstybės sienos apsaugos tarnybos ir Viešosios saugumo tarnybos pareigūnų aprūpinimo individualiomis apsaugos priemonėmis lygis</w:t>
            </w:r>
          </w:p>
        </w:tc>
        <w:tc>
          <w:tcPr>
            <w:tcW w:w="328" w:type="pct"/>
          </w:tcPr>
          <w:p w14:paraId="68DDD52A" w14:textId="77777777" w:rsidR="00B47068" w:rsidRPr="004D4A14" w:rsidRDefault="00B47068" w:rsidP="00B47068">
            <w:pPr>
              <w:spacing w:after="0" w:line="240" w:lineRule="auto"/>
              <w:jc w:val="both"/>
              <w:rPr>
                <w:rFonts w:eastAsia="Times New Roman" w:cs="Times New Roman"/>
                <w:iCs/>
                <w:sz w:val="16"/>
                <w:szCs w:val="16"/>
              </w:rPr>
            </w:pPr>
            <w:r w:rsidRPr="004D4A14">
              <w:rPr>
                <w:rFonts w:eastAsia="Times New Roman" w:cs="Times New Roman"/>
                <w:iCs/>
                <w:sz w:val="16"/>
                <w:szCs w:val="16"/>
              </w:rPr>
              <w:t>Procentai</w:t>
            </w:r>
          </w:p>
        </w:tc>
        <w:tc>
          <w:tcPr>
            <w:tcW w:w="328" w:type="pct"/>
          </w:tcPr>
          <w:p w14:paraId="214795FC" w14:textId="77777777" w:rsidR="00B47068" w:rsidRPr="004D4A14" w:rsidRDefault="00B47068" w:rsidP="00B47068">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rPr>
              <w:t>0</w:t>
            </w:r>
          </w:p>
        </w:tc>
        <w:tc>
          <w:tcPr>
            <w:tcW w:w="402" w:type="pct"/>
          </w:tcPr>
          <w:p w14:paraId="5251A356" w14:textId="77777777" w:rsidR="00B47068" w:rsidRPr="004D4A14" w:rsidRDefault="00B47068" w:rsidP="00B47068">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rPr>
              <w:t>2025</w:t>
            </w:r>
          </w:p>
        </w:tc>
        <w:tc>
          <w:tcPr>
            <w:tcW w:w="301" w:type="pct"/>
          </w:tcPr>
          <w:p w14:paraId="20F3FC53" w14:textId="77777777" w:rsidR="00B47068" w:rsidRPr="004D4A14" w:rsidRDefault="00B47068" w:rsidP="00B47068">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rPr>
              <w:t>75</w:t>
            </w:r>
          </w:p>
        </w:tc>
        <w:tc>
          <w:tcPr>
            <w:tcW w:w="319" w:type="pct"/>
          </w:tcPr>
          <w:p w14:paraId="4B23CD13"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Projektų duomenys</w:t>
            </w:r>
          </w:p>
        </w:tc>
        <w:tc>
          <w:tcPr>
            <w:tcW w:w="332" w:type="pct"/>
          </w:tcPr>
          <w:p w14:paraId="377F3256" w14:textId="77777777" w:rsidR="00B47068" w:rsidRPr="004D4A14" w:rsidRDefault="00B47068" w:rsidP="00B47068">
            <w:pPr>
              <w:spacing w:after="0" w:line="240" w:lineRule="auto"/>
              <w:jc w:val="both"/>
              <w:rPr>
                <w:rFonts w:eastAsia="Times New Roman" w:cs="Times New Roman"/>
                <w:noProof/>
                <w:sz w:val="16"/>
                <w:szCs w:val="16"/>
              </w:rPr>
            </w:pPr>
          </w:p>
        </w:tc>
      </w:tr>
      <w:tr w:rsidR="00B47068" w:rsidRPr="004D4A14" w14:paraId="587F1653" w14:textId="77777777" w:rsidTr="008E427B">
        <w:trPr>
          <w:trHeight w:val="286"/>
        </w:trPr>
        <w:tc>
          <w:tcPr>
            <w:tcW w:w="317" w:type="pct"/>
            <w:vMerge/>
          </w:tcPr>
          <w:p w14:paraId="0CEF916F" w14:textId="77777777" w:rsidR="00B47068" w:rsidRPr="004D4A14" w:rsidRDefault="00B47068" w:rsidP="00B47068">
            <w:pPr>
              <w:spacing w:after="0" w:line="240" w:lineRule="auto"/>
              <w:jc w:val="both"/>
              <w:rPr>
                <w:rFonts w:eastAsia="Times New Roman" w:cs="Times New Roman"/>
                <w:sz w:val="16"/>
                <w:szCs w:val="16"/>
              </w:rPr>
            </w:pPr>
          </w:p>
        </w:tc>
        <w:tc>
          <w:tcPr>
            <w:tcW w:w="328" w:type="pct"/>
            <w:vMerge/>
          </w:tcPr>
          <w:p w14:paraId="5DAB1827" w14:textId="77777777" w:rsidR="00B47068" w:rsidRPr="004D4A14" w:rsidRDefault="00B47068" w:rsidP="00B47068">
            <w:pPr>
              <w:spacing w:after="0" w:line="240" w:lineRule="auto"/>
              <w:jc w:val="both"/>
              <w:rPr>
                <w:rFonts w:eastAsia="Times New Roman" w:cs="Times New Roman"/>
                <w:noProof/>
                <w:sz w:val="16"/>
                <w:szCs w:val="16"/>
              </w:rPr>
            </w:pPr>
          </w:p>
        </w:tc>
        <w:tc>
          <w:tcPr>
            <w:tcW w:w="281" w:type="pct"/>
            <w:vMerge/>
          </w:tcPr>
          <w:p w14:paraId="07CA7F4A" w14:textId="77777777" w:rsidR="00B47068" w:rsidRPr="004D4A14" w:rsidRDefault="00B47068" w:rsidP="00B47068">
            <w:pPr>
              <w:spacing w:after="0" w:line="240" w:lineRule="auto"/>
              <w:jc w:val="both"/>
              <w:rPr>
                <w:rFonts w:eastAsia="Times New Roman" w:cs="Times New Roman"/>
                <w:noProof/>
                <w:sz w:val="16"/>
                <w:szCs w:val="16"/>
              </w:rPr>
            </w:pPr>
          </w:p>
        </w:tc>
        <w:tc>
          <w:tcPr>
            <w:tcW w:w="328" w:type="pct"/>
          </w:tcPr>
          <w:p w14:paraId="7E81FBAB"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Sostinės regionas</w:t>
            </w:r>
          </w:p>
        </w:tc>
        <w:tc>
          <w:tcPr>
            <w:tcW w:w="422" w:type="pct"/>
          </w:tcPr>
          <w:p w14:paraId="5BA0BB64" w14:textId="77777777" w:rsidR="00B47068" w:rsidRPr="004D4A14" w:rsidRDefault="00B47068" w:rsidP="00B47068">
            <w:pPr>
              <w:spacing w:after="0" w:line="240" w:lineRule="auto"/>
              <w:jc w:val="both"/>
              <w:rPr>
                <w:rFonts w:eastAsia="Times New Roman" w:cs="Times New Roman"/>
                <w:sz w:val="16"/>
                <w:szCs w:val="16"/>
              </w:rPr>
            </w:pPr>
            <w:r w:rsidRPr="004D4A14">
              <w:rPr>
                <w:rFonts w:eastAsia="Times New Roman" w:cs="Times New Roman"/>
                <w:sz w:val="16"/>
                <w:szCs w:val="16"/>
              </w:rPr>
              <w:t>Specialusis</w:t>
            </w:r>
          </w:p>
        </w:tc>
        <w:tc>
          <w:tcPr>
            <w:tcW w:w="1313" w:type="pct"/>
          </w:tcPr>
          <w:p w14:paraId="4041D74D" w14:textId="4CBEAE22" w:rsidR="00B47068" w:rsidRPr="004D4A14" w:rsidRDefault="00860CFD" w:rsidP="00B47068">
            <w:pPr>
              <w:spacing w:after="0" w:line="240" w:lineRule="auto"/>
              <w:jc w:val="both"/>
              <w:rPr>
                <w:rFonts w:eastAsia="Times New Roman" w:cs="Times New Roman"/>
                <w:sz w:val="16"/>
                <w:szCs w:val="16"/>
              </w:rPr>
            </w:pPr>
            <w:r w:rsidRPr="004D4A14">
              <w:rPr>
                <w:rFonts w:eastAsia="Times New Roman" w:cs="Times New Roman"/>
                <w:noProof/>
                <w:sz w:val="16"/>
                <w:szCs w:val="16"/>
                <w:lang w:eastAsia="lt-LT"/>
              </w:rPr>
              <w:t>Pilietinės visuomenės ir privačiojo sektoriaus subjektai, dalyvavę rengiant ir įgyvendinant BIVP strategijas</w:t>
            </w:r>
          </w:p>
        </w:tc>
        <w:tc>
          <w:tcPr>
            <w:tcW w:w="328" w:type="pct"/>
          </w:tcPr>
          <w:p w14:paraId="38ED74FF" w14:textId="77777777" w:rsidR="00B47068" w:rsidRPr="004D4A14" w:rsidRDefault="00B47068" w:rsidP="00B47068">
            <w:pPr>
              <w:spacing w:after="0" w:line="240" w:lineRule="auto"/>
              <w:jc w:val="both"/>
              <w:rPr>
                <w:rFonts w:eastAsia="Times New Roman" w:cs="Times New Roman"/>
                <w:iCs/>
                <w:sz w:val="16"/>
                <w:szCs w:val="16"/>
              </w:rPr>
            </w:pPr>
            <w:r w:rsidRPr="004D4A14">
              <w:rPr>
                <w:rFonts w:eastAsia="Times New Roman" w:cs="Times New Roman"/>
                <w:noProof/>
                <w:sz w:val="16"/>
                <w:szCs w:val="16"/>
              </w:rPr>
              <w:t>Skaičius</w:t>
            </w:r>
          </w:p>
        </w:tc>
        <w:tc>
          <w:tcPr>
            <w:tcW w:w="328" w:type="pct"/>
          </w:tcPr>
          <w:p w14:paraId="08AE342E" w14:textId="77777777" w:rsidR="00B47068" w:rsidRPr="004D4A14" w:rsidRDefault="00B47068" w:rsidP="00B47068">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rPr>
              <w:t>42</w:t>
            </w:r>
          </w:p>
        </w:tc>
        <w:tc>
          <w:tcPr>
            <w:tcW w:w="402" w:type="pct"/>
          </w:tcPr>
          <w:p w14:paraId="1E147E83" w14:textId="77777777" w:rsidR="00B47068" w:rsidRPr="004D4A14" w:rsidRDefault="00B47068" w:rsidP="00B47068">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rPr>
              <w:t>2025</w:t>
            </w:r>
          </w:p>
        </w:tc>
        <w:tc>
          <w:tcPr>
            <w:tcW w:w="301" w:type="pct"/>
          </w:tcPr>
          <w:p w14:paraId="13462B1A" w14:textId="77777777" w:rsidR="00B47068" w:rsidRPr="004D4A14" w:rsidRDefault="00B47068" w:rsidP="00B47068">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lang w:val="en-US"/>
              </w:rPr>
              <w:t>128</w:t>
            </w:r>
          </w:p>
        </w:tc>
        <w:tc>
          <w:tcPr>
            <w:tcW w:w="319" w:type="pct"/>
          </w:tcPr>
          <w:p w14:paraId="05F0512D"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Projektų duomenys</w:t>
            </w:r>
          </w:p>
        </w:tc>
        <w:tc>
          <w:tcPr>
            <w:tcW w:w="332" w:type="pct"/>
          </w:tcPr>
          <w:p w14:paraId="6F66DED2" w14:textId="77777777" w:rsidR="00B47068" w:rsidRPr="004D4A14" w:rsidRDefault="00B47068" w:rsidP="00B47068">
            <w:pPr>
              <w:spacing w:after="0" w:line="240" w:lineRule="auto"/>
              <w:jc w:val="both"/>
              <w:rPr>
                <w:rFonts w:eastAsia="Times New Roman" w:cs="Times New Roman"/>
                <w:noProof/>
                <w:sz w:val="16"/>
                <w:szCs w:val="16"/>
              </w:rPr>
            </w:pPr>
          </w:p>
        </w:tc>
      </w:tr>
      <w:tr w:rsidR="00B47068" w:rsidRPr="004D4A14" w14:paraId="3284C6D3" w14:textId="77777777" w:rsidTr="008E427B">
        <w:trPr>
          <w:trHeight w:val="286"/>
        </w:trPr>
        <w:tc>
          <w:tcPr>
            <w:tcW w:w="317" w:type="pct"/>
            <w:vMerge/>
          </w:tcPr>
          <w:p w14:paraId="1E8847B2" w14:textId="77777777" w:rsidR="00B47068" w:rsidRPr="004D4A14" w:rsidRDefault="00B47068" w:rsidP="00B47068">
            <w:pPr>
              <w:spacing w:after="0" w:line="240" w:lineRule="auto"/>
              <w:jc w:val="both"/>
              <w:rPr>
                <w:rFonts w:eastAsia="Times New Roman" w:cs="Times New Roman"/>
                <w:sz w:val="16"/>
                <w:szCs w:val="16"/>
              </w:rPr>
            </w:pPr>
          </w:p>
        </w:tc>
        <w:tc>
          <w:tcPr>
            <w:tcW w:w="328" w:type="pct"/>
            <w:vMerge/>
          </w:tcPr>
          <w:p w14:paraId="6D332D76" w14:textId="77777777" w:rsidR="00B47068" w:rsidRPr="004D4A14" w:rsidRDefault="00B47068" w:rsidP="00B47068">
            <w:pPr>
              <w:spacing w:after="0" w:line="240" w:lineRule="auto"/>
              <w:jc w:val="both"/>
              <w:rPr>
                <w:rFonts w:eastAsia="Times New Roman" w:cs="Times New Roman"/>
                <w:noProof/>
                <w:sz w:val="16"/>
                <w:szCs w:val="16"/>
              </w:rPr>
            </w:pPr>
          </w:p>
        </w:tc>
        <w:tc>
          <w:tcPr>
            <w:tcW w:w="281" w:type="pct"/>
            <w:vMerge/>
          </w:tcPr>
          <w:p w14:paraId="5F63F1BD" w14:textId="77777777" w:rsidR="00B47068" w:rsidRPr="004D4A14" w:rsidRDefault="00B47068" w:rsidP="00B47068">
            <w:pPr>
              <w:spacing w:after="0" w:line="240" w:lineRule="auto"/>
              <w:jc w:val="both"/>
              <w:rPr>
                <w:rFonts w:eastAsia="Times New Roman" w:cs="Times New Roman"/>
                <w:noProof/>
                <w:sz w:val="16"/>
                <w:szCs w:val="16"/>
              </w:rPr>
            </w:pPr>
          </w:p>
        </w:tc>
        <w:tc>
          <w:tcPr>
            <w:tcW w:w="328" w:type="pct"/>
          </w:tcPr>
          <w:p w14:paraId="183DD2D4"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VVL regionas</w:t>
            </w:r>
          </w:p>
        </w:tc>
        <w:tc>
          <w:tcPr>
            <w:tcW w:w="422" w:type="pct"/>
          </w:tcPr>
          <w:p w14:paraId="16CDC976" w14:textId="77777777" w:rsidR="00B47068" w:rsidRPr="004D4A14" w:rsidRDefault="00B47068" w:rsidP="00B47068">
            <w:pPr>
              <w:spacing w:after="0" w:line="240" w:lineRule="auto"/>
              <w:jc w:val="both"/>
              <w:rPr>
                <w:rFonts w:eastAsia="Times New Roman" w:cs="Times New Roman"/>
                <w:sz w:val="16"/>
                <w:szCs w:val="16"/>
              </w:rPr>
            </w:pPr>
            <w:r w:rsidRPr="004D4A14">
              <w:rPr>
                <w:rFonts w:eastAsia="Times New Roman" w:cs="Times New Roman"/>
                <w:sz w:val="16"/>
                <w:szCs w:val="16"/>
              </w:rPr>
              <w:t>Specialusis</w:t>
            </w:r>
          </w:p>
        </w:tc>
        <w:tc>
          <w:tcPr>
            <w:tcW w:w="1313" w:type="pct"/>
          </w:tcPr>
          <w:p w14:paraId="6FB6816A" w14:textId="78EDD389" w:rsidR="00B47068" w:rsidRPr="004D4A14" w:rsidRDefault="00860CFD" w:rsidP="00B47068">
            <w:pPr>
              <w:spacing w:after="0" w:line="240" w:lineRule="auto"/>
              <w:jc w:val="both"/>
              <w:rPr>
                <w:rFonts w:eastAsia="Times New Roman" w:cs="Times New Roman"/>
                <w:noProof/>
                <w:sz w:val="16"/>
                <w:szCs w:val="16"/>
                <w:lang w:eastAsia="lt-LT"/>
              </w:rPr>
            </w:pPr>
            <w:r w:rsidRPr="004D4A14">
              <w:rPr>
                <w:rFonts w:eastAsia="Times New Roman" w:cs="Times New Roman"/>
                <w:noProof/>
                <w:sz w:val="16"/>
                <w:szCs w:val="16"/>
                <w:lang w:eastAsia="lt-LT"/>
              </w:rPr>
              <w:t>Pilietinės visuomenės ir privačiojo sektoriaus subjektai, dalyvavę rengiant ir įgyvendinant BIVP strategijas</w:t>
            </w:r>
          </w:p>
        </w:tc>
        <w:tc>
          <w:tcPr>
            <w:tcW w:w="328" w:type="pct"/>
          </w:tcPr>
          <w:p w14:paraId="478FBFA3"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Skaičius</w:t>
            </w:r>
          </w:p>
        </w:tc>
        <w:tc>
          <w:tcPr>
            <w:tcW w:w="328" w:type="pct"/>
          </w:tcPr>
          <w:p w14:paraId="70B79B11" w14:textId="77777777" w:rsidR="00B47068" w:rsidRPr="004D4A14" w:rsidRDefault="00B47068" w:rsidP="00B47068">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rPr>
              <w:t>373</w:t>
            </w:r>
          </w:p>
        </w:tc>
        <w:tc>
          <w:tcPr>
            <w:tcW w:w="402" w:type="pct"/>
          </w:tcPr>
          <w:p w14:paraId="4EC4C69F" w14:textId="77777777" w:rsidR="00B47068" w:rsidRPr="004D4A14" w:rsidRDefault="00B47068" w:rsidP="00B47068">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rPr>
              <w:t>2025</w:t>
            </w:r>
          </w:p>
        </w:tc>
        <w:tc>
          <w:tcPr>
            <w:tcW w:w="301" w:type="pct"/>
          </w:tcPr>
          <w:p w14:paraId="6E04ADE1" w14:textId="77777777" w:rsidR="00B47068" w:rsidRPr="004D4A14" w:rsidRDefault="00B47068" w:rsidP="00B47068">
            <w:pPr>
              <w:spacing w:after="0" w:line="240" w:lineRule="auto"/>
              <w:jc w:val="center"/>
              <w:rPr>
                <w:rFonts w:eastAsia="Times New Roman" w:cs="Times New Roman"/>
                <w:iCs/>
                <w:noProof/>
                <w:sz w:val="16"/>
                <w:szCs w:val="16"/>
                <w:lang w:val="en-US"/>
              </w:rPr>
            </w:pPr>
            <w:r w:rsidRPr="004D4A14">
              <w:rPr>
                <w:rFonts w:eastAsia="Times New Roman" w:cs="Times New Roman"/>
                <w:iCs/>
                <w:noProof/>
                <w:sz w:val="16"/>
                <w:szCs w:val="16"/>
              </w:rPr>
              <w:t>688</w:t>
            </w:r>
          </w:p>
        </w:tc>
        <w:tc>
          <w:tcPr>
            <w:tcW w:w="319" w:type="pct"/>
          </w:tcPr>
          <w:p w14:paraId="448F9510"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Projektų duomenys</w:t>
            </w:r>
          </w:p>
        </w:tc>
        <w:tc>
          <w:tcPr>
            <w:tcW w:w="332" w:type="pct"/>
          </w:tcPr>
          <w:p w14:paraId="53565842" w14:textId="77777777" w:rsidR="00B47068" w:rsidRPr="004D4A14" w:rsidRDefault="00B47068" w:rsidP="00B47068">
            <w:pPr>
              <w:spacing w:after="0" w:line="240" w:lineRule="auto"/>
              <w:jc w:val="both"/>
              <w:rPr>
                <w:rFonts w:eastAsia="Times New Roman" w:cs="Times New Roman"/>
                <w:noProof/>
                <w:sz w:val="16"/>
                <w:szCs w:val="16"/>
              </w:rPr>
            </w:pPr>
          </w:p>
        </w:tc>
      </w:tr>
      <w:tr w:rsidR="00B47068" w:rsidRPr="004D4A14" w14:paraId="5C4D3A5F" w14:textId="77777777" w:rsidTr="008E427B">
        <w:trPr>
          <w:trHeight w:val="286"/>
        </w:trPr>
        <w:tc>
          <w:tcPr>
            <w:tcW w:w="317" w:type="pct"/>
            <w:vMerge/>
          </w:tcPr>
          <w:p w14:paraId="2ACC673E" w14:textId="77777777" w:rsidR="00B47068" w:rsidRPr="004D4A14" w:rsidRDefault="00B47068" w:rsidP="00B47068">
            <w:pPr>
              <w:spacing w:after="0" w:line="240" w:lineRule="auto"/>
              <w:jc w:val="both"/>
              <w:rPr>
                <w:rFonts w:eastAsia="Times New Roman" w:cs="Times New Roman"/>
                <w:sz w:val="16"/>
                <w:szCs w:val="16"/>
              </w:rPr>
            </w:pPr>
          </w:p>
        </w:tc>
        <w:tc>
          <w:tcPr>
            <w:tcW w:w="328" w:type="pct"/>
            <w:vMerge/>
          </w:tcPr>
          <w:p w14:paraId="7EA18026" w14:textId="77777777" w:rsidR="00B47068" w:rsidRPr="004D4A14" w:rsidRDefault="00B47068" w:rsidP="00B47068">
            <w:pPr>
              <w:spacing w:after="0" w:line="240" w:lineRule="auto"/>
              <w:jc w:val="both"/>
              <w:rPr>
                <w:rFonts w:eastAsia="Times New Roman" w:cs="Times New Roman"/>
                <w:noProof/>
                <w:sz w:val="16"/>
                <w:szCs w:val="16"/>
              </w:rPr>
            </w:pPr>
          </w:p>
        </w:tc>
        <w:tc>
          <w:tcPr>
            <w:tcW w:w="281" w:type="pct"/>
            <w:vMerge/>
          </w:tcPr>
          <w:p w14:paraId="14BE2EB7" w14:textId="77777777" w:rsidR="00B47068" w:rsidRPr="004D4A14" w:rsidRDefault="00B47068" w:rsidP="00B47068">
            <w:pPr>
              <w:spacing w:after="0" w:line="240" w:lineRule="auto"/>
              <w:jc w:val="both"/>
              <w:rPr>
                <w:rFonts w:eastAsia="Times New Roman" w:cs="Times New Roman"/>
                <w:noProof/>
                <w:sz w:val="16"/>
                <w:szCs w:val="16"/>
              </w:rPr>
            </w:pPr>
          </w:p>
        </w:tc>
        <w:tc>
          <w:tcPr>
            <w:tcW w:w="328" w:type="pct"/>
          </w:tcPr>
          <w:p w14:paraId="5F12CE29"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Sostinės regionas</w:t>
            </w:r>
          </w:p>
        </w:tc>
        <w:tc>
          <w:tcPr>
            <w:tcW w:w="422" w:type="pct"/>
          </w:tcPr>
          <w:p w14:paraId="6F7BF720" w14:textId="77777777" w:rsidR="00B47068" w:rsidRPr="004D4A14" w:rsidRDefault="00B47068" w:rsidP="00B47068">
            <w:pPr>
              <w:spacing w:after="0" w:line="240" w:lineRule="auto"/>
              <w:jc w:val="both"/>
              <w:rPr>
                <w:rFonts w:eastAsia="Times New Roman" w:cs="Times New Roman"/>
                <w:sz w:val="16"/>
                <w:szCs w:val="16"/>
              </w:rPr>
            </w:pPr>
            <w:r w:rsidRPr="004D4A14">
              <w:rPr>
                <w:rFonts w:eastAsia="Times New Roman" w:cs="Times New Roman"/>
                <w:sz w:val="16"/>
                <w:szCs w:val="16"/>
                <w:lang w:eastAsia="lt-LT"/>
              </w:rPr>
              <w:t>RCR96</w:t>
            </w:r>
          </w:p>
        </w:tc>
        <w:tc>
          <w:tcPr>
            <w:tcW w:w="1313" w:type="pct"/>
          </w:tcPr>
          <w:p w14:paraId="01C4669D" w14:textId="77777777" w:rsidR="00B47068" w:rsidRPr="004D4A14" w:rsidRDefault="00B47068" w:rsidP="00B47068">
            <w:pPr>
              <w:spacing w:after="0" w:line="240" w:lineRule="auto"/>
              <w:jc w:val="both"/>
              <w:rPr>
                <w:rFonts w:eastAsia="Times New Roman" w:cs="Times New Roman"/>
                <w:noProof/>
                <w:sz w:val="16"/>
                <w:szCs w:val="16"/>
                <w:lang w:eastAsia="lt-LT"/>
              </w:rPr>
            </w:pPr>
            <w:r w:rsidRPr="004D4A14">
              <w:rPr>
                <w:rFonts w:eastAsia="Times New Roman" w:cs="Times New Roman"/>
                <w:sz w:val="16"/>
                <w:szCs w:val="16"/>
                <w:lang w:eastAsia="lt-LT"/>
              </w:rPr>
              <w:t>Gyventojai, galintys pasinaudoti apsaugos nuo su klimatu nesusijusios gamtinio pavojaus rizikos ir nuo su žmogaus veikla susijusios rizikos priemonėmis</w:t>
            </w:r>
          </w:p>
        </w:tc>
        <w:tc>
          <w:tcPr>
            <w:tcW w:w="328" w:type="pct"/>
          </w:tcPr>
          <w:p w14:paraId="66A13C5F"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Asmenys</w:t>
            </w:r>
          </w:p>
        </w:tc>
        <w:tc>
          <w:tcPr>
            <w:tcW w:w="328" w:type="pct"/>
          </w:tcPr>
          <w:p w14:paraId="5295F037" w14:textId="77777777" w:rsidR="00B47068" w:rsidRPr="004D4A14" w:rsidRDefault="00B47068" w:rsidP="00B47068">
            <w:pPr>
              <w:spacing w:after="0" w:line="240" w:lineRule="auto"/>
              <w:jc w:val="center"/>
              <w:rPr>
                <w:rFonts w:eastAsia="Times New Roman" w:cs="Times New Roman"/>
                <w:iCs/>
                <w:noProof/>
                <w:sz w:val="16"/>
                <w:szCs w:val="16"/>
              </w:rPr>
            </w:pPr>
            <w:r w:rsidRPr="004D4A14">
              <w:rPr>
                <w:rFonts w:eastAsia="Times New Roman" w:cs="Times New Roman"/>
                <w:noProof/>
                <w:sz w:val="16"/>
                <w:szCs w:val="16"/>
              </w:rPr>
              <w:t>0</w:t>
            </w:r>
          </w:p>
        </w:tc>
        <w:tc>
          <w:tcPr>
            <w:tcW w:w="402" w:type="pct"/>
          </w:tcPr>
          <w:p w14:paraId="5D2D4772" w14:textId="77777777" w:rsidR="00B47068" w:rsidRPr="004D4A14" w:rsidRDefault="00B47068" w:rsidP="00B47068">
            <w:pPr>
              <w:spacing w:after="0" w:line="240" w:lineRule="auto"/>
              <w:jc w:val="center"/>
              <w:rPr>
                <w:rFonts w:eastAsia="Times New Roman" w:cs="Times New Roman"/>
                <w:iCs/>
                <w:noProof/>
                <w:sz w:val="16"/>
                <w:szCs w:val="16"/>
              </w:rPr>
            </w:pPr>
            <w:r w:rsidRPr="004D4A14">
              <w:rPr>
                <w:rFonts w:eastAsia="Times New Roman" w:cs="Times New Roman"/>
                <w:noProof/>
                <w:sz w:val="16"/>
                <w:szCs w:val="16"/>
              </w:rPr>
              <w:t>2024</w:t>
            </w:r>
          </w:p>
        </w:tc>
        <w:tc>
          <w:tcPr>
            <w:tcW w:w="301" w:type="pct"/>
          </w:tcPr>
          <w:p w14:paraId="2D1AB59C" w14:textId="77777777" w:rsidR="00B47068" w:rsidRPr="004D4A14" w:rsidRDefault="00B47068" w:rsidP="00B47068">
            <w:pPr>
              <w:spacing w:after="0" w:line="240" w:lineRule="auto"/>
              <w:jc w:val="center"/>
              <w:rPr>
                <w:rFonts w:eastAsia="Times New Roman" w:cs="Times New Roman"/>
                <w:iCs/>
                <w:noProof/>
                <w:sz w:val="16"/>
                <w:szCs w:val="16"/>
              </w:rPr>
            </w:pPr>
            <w:r w:rsidRPr="004D4A14">
              <w:rPr>
                <w:rFonts w:eastAsia="Times New Roman" w:cs="Times New Roman"/>
                <w:noProof/>
                <w:sz w:val="16"/>
                <w:szCs w:val="16"/>
              </w:rPr>
              <w:t>7 473</w:t>
            </w:r>
          </w:p>
        </w:tc>
        <w:tc>
          <w:tcPr>
            <w:tcW w:w="319" w:type="pct"/>
          </w:tcPr>
          <w:p w14:paraId="74B5E94D"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Projektų duomenys</w:t>
            </w:r>
          </w:p>
        </w:tc>
        <w:tc>
          <w:tcPr>
            <w:tcW w:w="332" w:type="pct"/>
          </w:tcPr>
          <w:p w14:paraId="01C421B1" w14:textId="77777777" w:rsidR="00B47068" w:rsidRPr="004D4A14" w:rsidRDefault="00B47068" w:rsidP="00B47068">
            <w:pPr>
              <w:spacing w:after="0" w:line="240" w:lineRule="auto"/>
              <w:jc w:val="both"/>
              <w:rPr>
                <w:rFonts w:eastAsia="Times New Roman" w:cs="Times New Roman"/>
                <w:noProof/>
                <w:sz w:val="16"/>
                <w:szCs w:val="16"/>
              </w:rPr>
            </w:pPr>
          </w:p>
        </w:tc>
      </w:tr>
      <w:tr w:rsidR="00B47068" w:rsidRPr="004D4A14" w14:paraId="7C5C1918" w14:textId="77777777" w:rsidTr="008E427B">
        <w:trPr>
          <w:trHeight w:val="286"/>
        </w:trPr>
        <w:tc>
          <w:tcPr>
            <w:tcW w:w="317" w:type="pct"/>
            <w:vMerge/>
          </w:tcPr>
          <w:p w14:paraId="19C53BC3" w14:textId="77777777" w:rsidR="00B47068" w:rsidRPr="004D4A14" w:rsidRDefault="00B47068" w:rsidP="00B47068">
            <w:pPr>
              <w:spacing w:after="0" w:line="240" w:lineRule="auto"/>
              <w:jc w:val="both"/>
              <w:rPr>
                <w:rFonts w:eastAsia="Times New Roman" w:cs="Times New Roman"/>
                <w:noProof/>
                <w:sz w:val="16"/>
                <w:szCs w:val="16"/>
              </w:rPr>
            </w:pPr>
          </w:p>
        </w:tc>
        <w:tc>
          <w:tcPr>
            <w:tcW w:w="328" w:type="pct"/>
            <w:vMerge/>
          </w:tcPr>
          <w:p w14:paraId="3E926BE0" w14:textId="77777777" w:rsidR="00B47068" w:rsidRPr="004D4A14" w:rsidRDefault="00B47068" w:rsidP="00B47068">
            <w:pPr>
              <w:spacing w:after="0" w:line="240" w:lineRule="auto"/>
              <w:jc w:val="both"/>
              <w:rPr>
                <w:rFonts w:eastAsia="Times New Roman" w:cs="Times New Roman"/>
                <w:noProof/>
                <w:sz w:val="16"/>
                <w:szCs w:val="16"/>
              </w:rPr>
            </w:pPr>
          </w:p>
        </w:tc>
        <w:tc>
          <w:tcPr>
            <w:tcW w:w="281" w:type="pct"/>
            <w:vMerge/>
          </w:tcPr>
          <w:p w14:paraId="12414785" w14:textId="77777777" w:rsidR="00B47068" w:rsidRPr="004D4A14" w:rsidRDefault="00B47068" w:rsidP="00B47068">
            <w:pPr>
              <w:spacing w:after="0" w:line="240" w:lineRule="auto"/>
              <w:jc w:val="both"/>
              <w:rPr>
                <w:rFonts w:eastAsia="Times New Roman" w:cs="Times New Roman"/>
                <w:noProof/>
                <w:sz w:val="16"/>
                <w:szCs w:val="16"/>
              </w:rPr>
            </w:pPr>
          </w:p>
        </w:tc>
        <w:tc>
          <w:tcPr>
            <w:tcW w:w="328" w:type="pct"/>
          </w:tcPr>
          <w:p w14:paraId="6D61764E"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VVL regionas</w:t>
            </w:r>
          </w:p>
        </w:tc>
        <w:tc>
          <w:tcPr>
            <w:tcW w:w="422" w:type="pct"/>
          </w:tcPr>
          <w:p w14:paraId="4F0488FE" w14:textId="77777777" w:rsidR="00B47068" w:rsidRPr="004D4A14" w:rsidRDefault="00B47068" w:rsidP="00B47068">
            <w:pPr>
              <w:spacing w:after="0" w:line="240" w:lineRule="auto"/>
              <w:jc w:val="both"/>
              <w:rPr>
                <w:rFonts w:eastAsia="Times New Roman" w:cs="Times New Roman"/>
                <w:sz w:val="16"/>
                <w:szCs w:val="16"/>
                <w:lang w:eastAsia="lt-LT"/>
              </w:rPr>
            </w:pPr>
            <w:r w:rsidRPr="004D4A14">
              <w:rPr>
                <w:rFonts w:eastAsia="Times New Roman" w:cs="Times New Roman"/>
                <w:noProof/>
                <w:sz w:val="16"/>
                <w:szCs w:val="16"/>
              </w:rPr>
              <w:t xml:space="preserve">RCR96 </w:t>
            </w:r>
          </w:p>
        </w:tc>
        <w:tc>
          <w:tcPr>
            <w:tcW w:w="1313" w:type="pct"/>
          </w:tcPr>
          <w:p w14:paraId="7C085F72" w14:textId="77777777" w:rsidR="00B47068" w:rsidRPr="004D4A14" w:rsidRDefault="00B47068" w:rsidP="00B47068">
            <w:pPr>
              <w:spacing w:after="0" w:line="240" w:lineRule="auto"/>
              <w:jc w:val="both"/>
              <w:rPr>
                <w:rFonts w:eastAsia="Times New Roman" w:cs="Times New Roman"/>
                <w:sz w:val="16"/>
                <w:szCs w:val="16"/>
                <w:lang w:eastAsia="lt-LT"/>
              </w:rPr>
            </w:pPr>
            <w:r w:rsidRPr="004D4A14">
              <w:rPr>
                <w:rFonts w:eastAsia="Times New Roman" w:cs="Times New Roman"/>
                <w:sz w:val="16"/>
                <w:szCs w:val="16"/>
                <w:lang w:eastAsia="lt-LT"/>
              </w:rPr>
              <w:t>Gyventojai, galintys pasinaudoti apsaugos nuo su klimatu nesusijusios gamtinio pavojaus rizikos ir nuo su žmogaus veikla susijusios rizikos priemonėmis</w:t>
            </w:r>
          </w:p>
        </w:tc>
        <w:tc>
          <w:tcPr>
            <w:tcW w:w="328" w:type="pct"/>
          </w:tcPr>
          <w:p w14:paraId="68429D2F"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Asmenys</w:t>
            </w:r>
          </w:p>
        </w:tc>
        <w:tc>
          <w:tcPr>
            <w:tcW w:w="328" w:type="pct"/>
          </w:tcPr>
          <w:p w14:paraId="5E950F2E" w14:textId="77777777" w:rsidR="00B47068" w:rsidRPr="004D4A14" w:rsidRDefault="00B47068" w:rsidP="00B47068">
            <w:pPr>
              <w:spacing w:after="0" w:line="240" w:lineRule="auto"/>
              <w:jc w:val="center"/>
              <w:rPr>
                <w:rFonts w:eastAsia="Times New Roman" w:cs="Times New Roman"/>
                <w:noProof/>
                <w:sz w:val="16"/>
                <w:szCs w:val="16"/>
              </w:rPr>
            </w:pPr>
            <w:r w:rsidRPr="004D4A14">
              <w:rPr>
                <w:rFonts w:eastAsia="Times New Roman" w:cs="Times New Roman"/>
                <w:noProof/>
                <w:sz w:val="16"/>
                <w:szCs w:val="16"/>
              </w:rPr>
              <w:t>0</w:t>
            </w:r>
          </w:p>
        </w:tc>
        <w:tc>
          <w:tcPr>
            <w:tcW w:w="402" w:type="pct"/>
          </w:tcPr>
          <w:p w14:paraId="17744243" w14:textId="77777777" w:rsidR="00B47068" w:rsidRPr="004D4A14" w:rsidRDefault="00B47068" w:rsidP="00B47068">
            <w:pPr>
              <w:spacing w:after="0" w:line="240" w:lineRule="auto"/>
              <w:jc w:val="center"/>
              <w:rPr>
                <w:rFonts w:eastAsia="Times New Roman" w:cs="Times New Roman"/>
                <w:noProof/>
                <w:sz w:val="16"/>
                <w:szCs w:val="16"/>
              </w:rPr>
            </w:pPr>
            <w:r w:rsidRPr="004D4A14">
              <w:rPr>
                <w:rFonts w:eastAsia="Times New Roman" w:cs="Times New Roman"/>
                <w:noProof/>
                <w:sz w:val="16"/>
                <w:szCs w:val="16"/>
              </w:rPr>
              <w:t>2024</w:t>
            </w:r>
          </w:p>
        </w:tc>
        <w:tc>
          <w:tcPr>
            <w:tcW w:w="301" w:type="pct"/>
          </w:tcPr>
          <w:p w14:paraId="621EC30E" w14:textId="77777777" w:rsidR="00B47068" w:rsidRPr="004D4A14" w:rsidRDefault="00B47068" w:rsidP="00B47068">
            <w:pPr>
              <w:spacing w:after="0" w:line="240" w:lineRule="auto"/>
              <w:jc w:val="center"/>
              <w:rPr>
                <w:rFonts w:eastAsia="Times New Roman" w:cs="Times New Roman"/>
                <w:noProof/>
                <w:sz w:val="16"/>
                <w:szCs w:val="16"/>
              </w:rPr>
            </w:pPr>
            <w:r w:rsidRPr="004D4A14">
              <w:rPr>
                <w:rFonts w:eastAsia="Times New Roman" w:cs="Times New Roman"/>
                <w:noProof/>
                <w:sz w:val="16"/>
                <w:szCs w:val="16"/>
              </w:rPr>
              <w:t>31 073</w:t>
            </w:r>
          </w:p>
        </w:tc>
        <w:tc>
          <w:tcPr>
            <w:tcW w:w="319" w:type="pct"/>
          </w:tcPr>
          <w:p w14:paraId="512DCB33"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Projektų duomenys</w:t>
            </w:r>
          </w:p>
        </w:tc>
        <w:tc>
          <w:tcPr>
            <w:tcW w:w="332" w:type="pct"/>
          </w:tcPr>
          <w:p w14:paraId="64D93892" w14:textId="77777777" w:rsidR="00B47068" w:rsidRPr="004D4A14" w:rsidRDefault="00B47068" w:rsidP="00B47068">
            <w:pPr>
              <w:spacing w:after="0" w:line="240" w:lineRule="auto"/>
              <w:jc w:val="both"/>
              <w:rPr>
                <w:rFonts w:eastAsia="Times New Roman" w:cs="Times New Roman"/>
                <w:noProof/>
                <w:sz w:val="16"/>
                <w:szCs w:val="16"/>
              </w:rPr>
            </w:pPr>
          </w:p>
        </w:tc>
      </w:tr>
      <w:tr w:rsidR="00B47068" w:rsidRPr="004D4A14" w14:paraId="6BB20E07" w14:textId="77777777" w:rsidTr="008E427B">
        <w:trPr>
          <w:trHeight w:val="286"/>
        </w:trPr>
        <w:tc>
          <w:tcPr>
            <w:tcW w:w="317" w:type="pct"/>
            <w:vMerge/>
          </w:tcPr>
          <w:p w14:paraId="743BA8AC" w14:textId="77777777" w:rsidR="00B47068" w:rsidRPr="004D4A14" w:rsidRDefault="00B47068" w:rsidP="00B47068">
            <w:pPr>
              <w:spacing w:after="0" w:line="240" w:lineRule="auto"/>
              <w:jc w:val="both"/>
              <w:rPr>
                <w:rFonts w:eastAsia="Times New Roman" w:cs="Times New Roman"/>
                <w:noProof/>
                <w:sz w:val="16"/>
                <w:szCs w:val="16"/>
              </w:rPr>
            </w:pPr>
          </w:p>
        </w:tc>
        <w:tc>
          <w:tcPr>
            <w:tcW w:w="328" w:type="pct"/>
            <w:vMerge/>
          </w:tcPr>
          <w:p w14:paraId="2FC2D189" w14:textId="77777777" w:rsidR="00B47068" w:rsidRPr="004D4A14" w:rsidRDefault="00B47068" w:rsidP="00B47068">
            <w:pPr>
              <w:spacing w:after="0" w:line="240" w:lineRule="auto"/>
              <w:jc w:val="both"/>
              <w:rPr>
                <w:rFonts w:eastAsia="Times New Roman" w:cs="Times New Roman"/>
                <w:noProof/>
                <w:sz w:val="16"/>
                <w:szCs w:val="16"/>
              </w:rPr>
            </w:pPr>
          </w:p>
        </w:tc>
        <w:tc>
          <w:tcPr>
            <w:tcW w:w="281" w:type="pct"/>
            <w:vMerge/>
          </w:tcPr>
          <w:p w14:paraId="5FED42C5" w14:textId="77777777" w:rsidR="00B47068" w:rsidRPr="004D4A14" w:rsidRDefault="00B47068" w:rsidP="00B47068">
            <w:pPr>
              <w:spacing w:after="0" w:line="240" w:lineRule="auto"/>
              <w:jc w:val="both"/>
              <w:rPr>
                <w:rFonts w:eastAsia="Times New Roman" w:cs="Times New Roman"/>
                <w:noProof/>
                <w:sz w:val="16"/>
                <w:szCs w:val="16"/>
              </w:rPr>
            </w:pPr>
          </w:p>
        </w:tc>
        <w:tc>
          <w:tcPr>
            <w:tcW w:w="328" w:type="pct"/>
          </w:tcPr>
          <w:p w14:paraId="2C275CC7"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VVL regionas</w:t>
            </w:r>
          </w:p>
        </w:tc>
        <w:tc>
          <w:tcPr>
            <w:tcW w:w="422" w:type="pct"/>
          </w:tcPr>
          <w:p w14:paraId="7D1F16A1"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Specialusis</w:t>
            </w:r>
          </w:p>
        </w:tc>
        <w:tc>
          <w:tcPr>
            <w:tcW w:w="1313" w:type="pct"/>
          </w:tcPr>
          <w:p w14:paraId="2CB4249D" w14:textId="77777777" w:rsidR="00B47068" w:rsidRPr="004D4A14" w:rsidRDefault="00B47068" w:rsidP="00B47068">
            <w:pPr>
              <w:spacing w:after="0" w:line="240" w:lineRule="auto"/>
              <w:jc w:val="both"/>
              <w:rPr>
                <w:rFonts w:eastAsia="Times New Roman" w:cs="Times New Roman"/>
                <w:sz w:val="16"/>
                <w:szCs w:val="16"/>
                <w:lang w:eastAsia="lt-LT"/>
              </w:rPr>
            </w:pPr>
            <w:r w:rsidRPr="004D4A14">
              <w:rPr>
                <w:rFonts w:eastAsia="Times New Roman" w:cs="Times New Roman"/>
                <w:sz w:val="16"/>
                <w:szCs w:val="16"/>
                <w:lang w:eastAsia="lt-LT"/>
              </w:rPr>
              <w:t>Savivaldybių, turinčių modernizuotus ekstremaliųjų situacijų operacijų centrus, dalis</w:t>
            </w:r>
          </w:p>
        </w:tc>
        <w:tc>
          <w:tcPr>
            <w:tcW w:w="328" w:type="pct"/>
          </w:tcPr>
          <w:p w14:paraId="15ED53E9"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noProof/>
                <w:sz w:val="16"/>
                <w:szCs w:val="16"/>
              </w:rPr>
              <w:t>Procentai</w:t>
            </w:r>
          </w:p>
        </w:tc>
        <w:tc>
          <w:tcPr>
            <w:tcW w:w="328" w:type="pct"/>
          </w:tcPr>
          <w:p w14:paraId="4CB8BFF3" w14:textId="77777777" w:rsidR="00B47068" w:rsidRPr="004D4A14" w:rsidRDefault="00B47068" w:rsidP="00B47068">
            <w:pPr>
              <w:spacing w:after="0" w:line="240" w:lineRule="auto"/>
              <w:jc w:val="center"/>
              <w:rPr>
                <w:rFonts w:eastAsia="Times New Roman" w:cs="Times New Roman"/>
                <w:noProof/>
                <w:sz w:val="16"/>
                <w:szCs w:val="16"/>
              </w:rPr>
            </w:pPr>
            <w:r w:rsidRPr="004D4A14">
              <w:rPr>
                <w:rFonts w:eastAsia="Times New Roman" w:cs="Times New Roman"/>
                <w:noProof/>
                <w:sz w:val="16"/>
                <w:szCs w:val="16"/>
              </w:rPr>
              <w:t>19</w:t>
            </w:r>
          </w:p>
        </w:tc>
        <w:tc>
          <w:tcPr>
            <w:tcW w:w="402" w:type="pct"/>
          </w:tcPr>
          <w:p w14:paraId="66A8B0DB" w14:textId="77777777" w:rsidR="00B47068" w:rsidRPr="004D4A14" w:rsidRDefault="00B47068" w:rsidP="00B47068">
            <w:pPr>
              <w:spacing w:after="0" w:line="240" w:lineRule="auto"/>
              <w:jc w:val="center"/>
              <w:rPr>
                <w:rFonts w:eastAsia="Times New Roman" w:cs="Times New Roman"/>
                <w:noProof/>
                <w:sz w:val="16"/>
                <w:szCs w:val="16"/>
              </w:rPr>
            </w:pPr>
            <w:r w:rsidRPr="004D4A14">
              <w:rPr>
                <w:rFonts w:eastAsia="Times New Roman" w:cs="Times New Roman"/>
                <w:noProof/>
                <w:sz w:val="16"/>
                <w:szCs w:val="16"/>
              </w:rPr>
              <w:t>2024</w:t>
            </w:r>
          </w:p>
        </w:tc>
        <w:tc>
          <w:tcPr>
            <w:tcW w:w="301" w:type="pct"/>
          </w:tcPr>
          <w:p w14:paraId="7095AAC1" w14:textId="77777777" w:rsidR="00B47068" w:rsidRPr="004D4A14" w:rsidRDefault="00B47068" w:rsidP="00B47068">
            <w:pPr>
              <w:spacing w:after="0" w:line="240" w:lineRule="auto"/>
              <w:jc w:val="center"/>
              <w:rPr>
                <w:rFonts w:eastAsia="Times New Roman" w:cs="Times New Roman"/>
                <w:noProof/>
                <w:sz w:val="16"/>
                <w:szCs w:val="16"/>
              </w:rPr>
            </w:pPr>
            <w:r w:rsidRPr="004D4A14">
              <w:rPr>
                <w:rFonts w:eastAsia="Times New Roman" w:cs="Times New Roman"/>
                <w:noProof/>
                <w:sz w:val="16"/>
                <w:szCs w:val="16"/>
              </w:rPr>
              <w:t>92</w:t>
            </w:r>
          </w:p>
        </w:tc>
        <w:tc>
          <w:tcPr>
            <w:tcW w:w="319" w:type="pct"/>
          </w:tcPr>
          <w:p w14:paraId="38C4AF37" w14:textId="77777777" w:rsidR="00B47068" w:rsidRPr="004D4A14" w:rsidRDefault="00B47068" w:rsidP="00B47068">
            <w:pPr>
              <w:spacing w:after="0" w:line="240" w:lineRule="auto"/>
              <w:jc w:val="both"/>
              <w:rPr>
                <w:rFonts w:eastAsia="Times New Roman" w:cs="Times New Roman"/>
                <w:noProof/>
                <w:sz w:val="16"/>
                <w:szCs w:val="16"/>
              </w:rPr>
            </w:pPr>
            <w:r w:rsidRPr="004D4A14">
              <w:rPr>
                <w:rFonts w:eastAsia="Times New Roman" w:cs="Times New Roman"/>
                <w:bCs/>
                <w:noProof/>
                <w:sz w:val="16"/>
                <w:szCs w:val="16"/>
              </w:rPr>
              <w:t>Projektų duomenys</w:t>
            </w:r>
          </w:p>
        </w:tc>
        <w:tc>
          <w:tcPr>
            <w:tcW w:w="332" w:type="pct"/>
          </w:tcPr>
          <w:p w14:paraId="6C82A99E" w14:textId="77777777" w:rsidR="00B47068" w:rsidRPr="004D4A14" w:rsidRDefault="00B47068" w:rsidP="00B47068">
            <w:pPr>
              <w:spacing w:after="0" w:line="240" w:lineRule="auto"/>
              <w:jc w:val="both"/>
              <w:rPr>
                <w:rFonts w:eastAsia="Times New Roman" w:cs="Times New Roman"/>
                <w:noProof/>
                <w:sz w:val="16"/>
                <w:szCs w:val="16"/>
              </w:rPr>
            </w:pPr>
          </w:p>
        </w:tc>
      </w:tr>
    </w:tbl>
    <w:p w14:paraId="28D117A8" w14:textId="77777777" w:rsidR="00B47068" w:rsidRPr="004D4A14" w:rsidRDefault="00B47068" w:rsidP="00B47068">
      <w:pPr>
        <w:spacing w:after="0" w:line="240" w:lineRule="auto"/>
        <w:jc w:val="both"/>
        <w:rPr>
          <w:rFonts w:eastAsia="Times New Roman" w:cs="Times New Roman"/>
          <w:b/>
          <w:sz w:val="22"/>
        </w:rPr>
      </w:pPr>
    </w:p>
    <w:p w14:paraId="78855E45" w14:textId="77777777" w:rsidR="00B47068" w:rsidRPr="004D4A14" w:rsidRDefault="00B47068" w:rsidP="00B47068">
      <w:pPr>
        <w:spacing w:after="0" w:line="240" w:lineRule="auto"/>
        <w:jc w:val="both"/>
        <w:rPr>
          <w:rFonts w:eastAsia="Times New Roman" w:cs="Times New Roman"/>
          <w:sz w:val="16"/>
          <w:szCs w:val="16"/>
        </w:rPr>
        <w:sectPr w:rsidR="00B47068" w:rsidRPr="004D4A14" w:rsidSect="00B47068">
          <w:pgSz w:w="16838" w:h="11906" w:orient="landscape"/>
          <w:pgMar w:top="1701" w:right="1276" w:bottom="567" w:left="1134" w:header="567" w:footer="567" w:gutter="0"/>
          <w:cols w:space="1296"/>
          <w:docGrid w:linePitch="360"/>
        </w:sectPr>
      </w:pPr>
    </w:p>
    <w:p w14:paraId="5D4490C2" w14:textId="2724A339" w:rsidR="00B47068" w:rsidRPr="004D4A14" w:rsidRDefault="00B47068" w:rsidP="00B47068">
      <w:pPr>
        <w:tabs>
          <w:tab w:val="center" w:pos="4819"/>
          <w:tab w:val="right" w:pos="9638"/>
        </w:tabs>
        <w:spacing w:before="120" w:after="120" w:line="240" w:lineRule="auto"/>
        <w:rPr>
          <w:rFonts w:eastAsia="Times New Roman" w:cs="Arial"/>
          <w:b/>
          <w:i/>
          <w:noProof/>
          <w:color w:val="1F497D" w:themeColor="text2"/>
          <w:lang w:eastAsia="lt-LT"/>
        </w:rPr>
      </w:pPr>
      <w:r w:rsidRPr="004D4A14">
        <w:rPr>
          <w:rFonts w:eastAsia="Times New Roman" w:cs="Arial"/>
          <w:b/>
          <w:i/>
          <w:noProof/>
          <w:color w:val="1F497D" w:themeColor="text2"/>
          <w:lang w:eastAsia="lt-LT"/>
        </w:rPr>
        <w:lastRenderedPageBreak/>
        <w:t>Preliminarus Programos išteklių suskirstymas pagal intervencinių priemonių rūšį</w:t>
      </w:r>
    </w:p>
    <w:tbl>
      <w:tblPr>
        <w:tblStyle w:val="Lentelstinklelis46"/>
        <w:tblW w:w="9766" w:type="dxa"/>
        <w:tblLayout w:type="fixed"/>
        <w:tblLook w:val="04A0" w:firstRow="1" w:lastRow="0" w:firstColumn="1" w:lastColumn="0" w:noHBand="0" w:noVBand="1"/>
      </w:tblPr>
      <w:tblGrid>
        <w:gridCol w:w="1140"/>
        <w:gridCol w:w="915"/>
        <w:gridCol w:w="1049"/>
        <w:gridCol w:w="1134"/>
        <w:gridCol w:w="3969"/>
        <w:gridCol w:w="1559"/>
      </w:tblGrid>
      <w:tr w:rsidR="00B47068" w:rsidRPr="004D4A14" w14:paraId="61020DDF" w14:textId="77777777" w:rsidTr="008E427B">
        <w:trPr>
          <w:trHeight w:val="300"/>
        </w:trPr>
        <w:tc>
          <w:tcPr>
            <w:tcW w:w="9766"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5113A9A" w14:textId="77777777" w:rsidR="00B47068" w:rsidRPr="004D4A14" w:rsidRDefault="00B47068" w:rsidP="00B47068">
            <w:pPr>
              <w:rPr>
                <w:b/>
                <w:noProof/>
                <w:sz w:val="20"/>
                <w:szCs w:val="20"/>
              </w:rPr>
            </w:pPr>
            <w:r w:rsidRPr="004D4A14">
              <w:rPr>
                <w:b/>
                <w:noProof/>
                <w:sz w:val="20"/>
                <w:szCs w:val="20"/>
              </w:rPr>
              <w:t>4 lentelė. 1 matmuo. Intervencinių priemonių sritis</w:t>
            </w:r>
          </w:p>
        </w:tc>
      </w:tr>
      <w:tr w:rsidR="00B47068" w:rsidRPr="004D4A14" w14:paraId="10529755" w14:textId="77777777" w:rsidTr="008E427B">
        <w:trPr>
          <w:trHeight w:val="300"/>
        </w:trPr>
        <w:tc>
          <w:tcPr>
            <w:tcW w:w="114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6DAFB61" w14:textId="77777777" w:rsidR="00B47068" w:rsidRPr="004D4A14" w:rsidRDefault="00B47068" w:rsidP="00B47068">
            <w:pPr>
              <w:jc w:val="center"/>
              <w:rPr>
                <w:b/>
                <w:iCs/>
                <w:noProof/>
                <w:sz w:val="16"/>
                <w:szCs w:val="16"/>
              </w:rPr>
            </w:pPr>
            <w:r w:rsidRPr="004D4A14">
              <w:rPr>
                <w:b/>
                <w:noProof/>
                <w:sz w:val="16"/>
                <w:szCs w:val="16"/>
              </w:rPr>
              <w:t>Prioriteto Nr.</w:t>
            </w:r>
          </w:p>
        </w:tc>
        <w:tc>
          <w:tcPr>
            <w:tcW w:w="91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9EA8A23" w14:textId="77777777" w:rsidR="00B47068" w:rsidRPr="004D4A14" w:rsidRDefault="00B47068" w:rsidP="00B47068">
            <w:pPr>
              <w:jc w:val="center"/>
              <w:rPr>
                <w:b/>
                <w:iCs/>
                <w:noProof/>
                <w:sz w:val="16"/>
                <w:szCs w:val="16"/>
              </w:rPr>
            </w:pPr>
            <w:r w:rsidRPr="004D4A14">
              <w:rPr>
                <w:b/>
                <w:noProof/>
                <w:sz w:val="16"/>
                <w:szCs w:val="16"/>
              </w:rPr>
              <w:t>Fondas</w:t>
            </w:r>
          </w:p>
        </w:tc>
        <w:tc>
          <w:tcPr>
            <w:tcW w:w="104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5C228A5" w14:textId="77777777" w:rsidR="00B47068" w:rsidRPr="004D4A14" w:rsidRDefault="00B47068" w:rsidP="00B47068">
            <w:pPr>
              <w:jc w:val="center"/>
              <w:rPr>
                <w:b/>
                <w:iCs/>
                <w:noProof/>
                <w:sz w:val="16"/>
                <w:szCs w:val="16"/>
              </w:rPr>
            </w:pPr>
            <w:r w:rsidRPr="004D4A14">
              <w:rPr>
                <w:b/>
                <w:noProof/>
                <w:sz w:val="16"/>
                <w:szCs w:val="16"/>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49E2A2B" w14:textId="77777777" w:rsidR="00B47068" w:rsidRPr="004D4A14" w:rsidRDefault="00B47068" w:rsidP="00B47068">
            <w:pPr>
              <w:jc w:val="center"/>
              <w:rPr>
                <w:b/>
                <w:iCs/>
                <w:noProof/>
                <w:sz w:val="16"/>
                <w:szCs w:val="16"/>
              </w:rPr>
            </w:pPr>
            <w:r w:rsidRPr="004D4A14">
              <w:rPr>
                <w:b/>
                <w:noProof/>
                <w:sz w:val="16"/>
                <w:szCs w:val="16"/>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2C48093" w14:textId="77777777" w:rsidR="00B47068" w:rsidRPr="004D4A14" w:rsidRDefault="00B47068" w:rsidP="00B47068">
            <w:pPr>
              <w:jc w:val="center"/>
              <w:rPr>
                <w:b/>
                <w:iCs/>
                <w:noProof/>
                <w:sz w:val="16"/>
                <w:szCs w:val="16"/>
              </w:rPr>
            </w:pPr>
            <w:r w:rsidRPr="004D4A14">
              <w:rPr>
                <w:b/>
                <w:noProof/>
                <w:sz w:val="16"/>
                <w:szCs w:val="16"/>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7854FC9" w14:textId="77777777" w:rsidR="00B47068" w:rsidRPr="004D4A14" w:rsidRDefault="00B47068" w:rsidP="00B47068">
            <w:pPr>
              <w:jc w:val="center"/>
              <w:rPr>
                <w:b/>
                <w:iCs/>
                <w:noProof/>
                <w:sz w:val="16"/>
                <w:szCs w:val="16"/>
              </w:rPr>
            </w:pPr>
            <w:r w:rsidRPr="004D4A14">
              <w:rPr>
                <w:b/>
                <w:noProof/>
                <w:sz w:val="16"/>
                <w:szCs w:val="16"/>
              </w:rPr>
              <w:t>Suma (EUR)</w:t>
            </w:r>
          </w:p>
        </w:tc>
      </w:tr>
      <w:tr w:rsidR="00B47068" w:rsidRPr="004D4A14" w14:paraId="4318852E" w14:textId="77777777" w:rsidTr="008E427B">
        <w:trPr>
          <w:trHeight w:val="300"/>
        </w:trPr>
        <w:tc>
          <w:tcPr>
            <w:tcW w:w="1140" w:type="dxa"/>
            <w:vMerge w:val="restart"/>
            <w:tcBorders>
              <w:top w:val="single" w:sz="12" w:space="0" w:color="auto"/>
              <w:left w:val="single" w:sz="2" w:space="0" w:color="auto"/>
              <w:right w:val="single" w:sz="2" w:space="0" w:color="auto"/>
            </w:tcBorders>
          </w:tcPr>
          <w:p w14:paraId="4B844C07" w14:textId="77777777" w:rsidR="00B47068" w:rsidRPr="004D4A14" w:rsidRDefault="00B47068" w:rsidP="00B47068">
            <w:pPr>
              <w:jc w:val="center"/>
              <w:rPr>
                <w:rFonts w:cs="Times New Roman"/>
                <w:iCs/>
                <w:noProof/>
                <w:sz w:val="16"/>
                <w:szCs w:val="16"/>
              </w:rPr>
            </w:pPr>
            <w:r w:rsidRPr="004D4A14">
              <w:rPr>
                <w:rFonts w:cs="Times New Roman"/>
                <w:iCs/>
                <w:noProof/>
                <w:sz w:val="16"/>
                <w:szCs w:val="16"/>
              </w:rPr>
              <w:t>15</w:t>
            </w:r>
          </w:p>
        </w:tc>
        <w:tc>
          <w:tcPr>
            <w:tcW w:w="915" w:type="dxa"/>
            <w:vMerge w:val="restart"/>
            <w:tcBorders>
              <w:top w:val="single" w:sz="12" w:space="0" w:color="auto"/>
              <w:left w:val="single" w:sz="2" w:space="0" w:color="auto"/>
              <w:right w:val="single" w:sz="2" w:space="0" w:color="auto"/>
            </w:tcBorders>
          </w:tcPr>
          <w:p w14:paraId="2D659291" w14:textId="77777777" w:rsidR="00B47068" w:rsidRPr="004D4A14" w:rsidRDefault="00B47068" w:rsidP="00B47068">
            <w:pPr>
              <w:jc w:val="center"/>
              <w:rPr>
                <w:rFonts w:cs="Times New Roman"/>
                <w:iCs/>
                <w:noProof/>
                <w:sz w:val="16"/>
                <w:szCs w:val="16"/>
              </w:rPr>
            </w:pPr>
            <w:r w:rsidRPr="004D4A14">
              <w:rPr>
                <w:rFonts w:cs="Times New Roman"/>
                <w:iCs/>
                <w:noProof/>
                <w:sz w:val="16"/>
                <w:szCs w:val="16"/>
              </w:rPr>
              <w:t>ERPF</w:t>
            </w:r>
          </w:p>
        </w:tc>
        <w:tc>
          <w:tcPr>
            <w:tcW w:w="1049" w:type="dxa"/>
            <w:tcBorders>
              <w:top w:val="single" w:sz="12" w:space="0" w:color="auto"/>
              <w:left w:val="single" w:sz="2" w:space="0" w:color="auto"/>
              <w:bottom w:val="single" w:sz="2" w:space="0" w:color="auto"/>
              <w:right w:val="single" w:sz="2" w:space="0" w:color="auto"/>
            </w:tcBorders>
          </w:tcPr>
          <w:p w14:paraId="2CB49F57" w14:textId="77777777" w:rsidR="00B47068" w:rsidRPr="004D4A14" w:rsidRDefault="00B47068" w:rsidP="00B47068">
            <w:pPr>
              <w:rPr>
                <w:rFonts w:cs="Times New Roman"/>
                <w:noProof/>
                <w:sz w:val="16"/>
                <w:szCs w:val="16"/>
              </w:rPr>
            </w:pPr>
            <w:r w:rsidRPr="004D4A14">
              <w:rPr>
                <w:rFonts w:cs="Times New Roman"/>
                <w:noProof/>
                <w:sz w:val="16"/>
                <w:szCs w:val="16"/>
              </w:rPr>
              <w:t>Sostinės regionas</w:t>
            </w:r>
          </w:p>
        </w:tc>
        <w:tc>
          <w:tcPr>
            <w:tcW w:w="1134" w:type="dxa"/>
            <w:vMerge w:val="restart"/>
            <w:tcBorders>
              <w:top w:val="single" w:sz="12" w:space="0" w:color="auto"/>
              <w:left w:val="single" w:sz="2" w:space="0" w:color="auto"/>
              <w:right w:val="single" w:sz="2" w:space="0" w:color="auto"/>
            </w:tcBorders>
          </w:tcPr>
          <w:p w14:paraId="28519E34" w14:textId="77777777" w:rsidR="00B47068" w:rsidRPr="004D4A14" w:rsidRDefault="00B47068" w:rsidP="00B47068">
            <w:pPr>
              <w:jc w:val="center"/>
              <w:rPr>
                <w:rFonts w:cs="Times New Roman"/>
                <w:iCs/>
                <w:noProof/>
                <w:sz w:val="16"/>
                <w:szCs w:val="16"/>
              </w:rPr>
            </w:pPr>
            <w:r w:rsidRPr="004D4A14">
              <w:rPr>
                <w:rFonts w:cs="Times New Roman"/>
                <w:iCs/>
                <w:noProof/>
                <w:sz w:val="16"/>
                <w:szCs w:val="16"/>
              </w:rPr>
              <w:t>15.1</w:t>
            </w:r>
          </w:p>
        </w:tc>
        <w:tc>
          <w:tcPr>
            <w:tcW w:w="3969" w:type="dxa"/>
            <w:vMerge w:val="restart"/>
            <w:tcBorders>
              <w:top w:val="single" w:sz="12" w:space="0" w:color="auto"/>
              <w:left w:val="single" w:sz="2" w:space="0" w:color="auto"/>
              <w:right w:val="single" w:sz="2" w:space="0" w:color="auto"/>
            </w:tcBorders>
          </w:tcPr>
          <w:p w14:paraId="5E2F034F" w14:textId="77777777" w:rsidR="00B47068" w:rsidRPr="004D4A14" w:rsidRDefault="00B47068" w:rsidP="00B47068">
            <w:pPr>
              <w:rPr>
                <w:rFonts w:cs="Times New Roman"/>
                <w:iCs/>
                <w:noProof/>
                <w:sz w:val="16"/>
                <w:szCs w:val="16"/>
              </w:rPr>
            </w:pPr>
            <w:r w:rsidRPr="004D4A14">
              <w:rPr>
                <w:rFonts w:cs="Times New Roman"/>
                <w:iCs/>
                <w:noProof/>
                <w:sz w:val="16"/>
                <w:szCs w:val="16"/>
              </w:rPr>
              <w:t>060 – Prisitaikymo prie klimato kaitos priemonės, su klimato kaita susijusios rizikos prevencija ir valdymas: kita, pvz. audros ir sausra (įskaitant informuotumo didinimą, civilinės saugos ir nelaimių valdymo sistemas, infrastruktūrą ir ekosistemomis grindžiamus metodus)</w:t>
            </w:r>
          </w:p>
        </w:tc>
        <w:tc>
          <w:tcPr>
            <w:tcW w:w="1559" w:type="dxa"/>
            <w:tcBorders>
              <w:top w:val="single" w:sz="12" w:space="0" w:color="auto"/>
              <w:left w:val="single" w:sz="2" w:space="0" w:color="auto"/>
              <w:bottom w:val="single" w:sz="2" w:space="0" w:color="auto"/>
              <w:right w:val="single" w:sz="2" w:space="0" w:color="auto"/>
            </w:tcBorders>
          </w:tcPr>
          <w:p w14:paraId="4C9EE669" w14:textId="77777777" w:rsidR="00B47068" w:rsidRPr="004D4A14" w:rsidRDefault="00B47068" w:rsidP="00B47068">
            <w:pPr>
              <w:pBdr>
                <w:bottom w:val="single" w:sz="4" w:space="1" w:color="auto"/>
              </w:pBdr>
              <w:jc w:val="right"/>
              <w:rPr>
                <w:rFonts w:cs="Times New Roman"/>
                <w:sz w:val="16"/>
                <w:szCs w:val="16"/>
                <w:lang w:val="en-US"/>
              </w:rPr>
            </w:pPr>
            <w:r w:rsidRPr="004D4A14">
              <w:rPr>
                <w:rFonts w:cs="Times New Roman"/>
                <w:sz w:val="16"/>
                <w:szCs w:val="16"/>
                <w:lang w:val="en-US"/>
              </w:rPr>
              <w:t>1 603 250,00</w:t>
            </w:r>
          </w:p>
          <w:p w14:paraId="06FA1587" w14:textId="77777777" w:rsidR="00B47068" w:rsidRPr="004D4A14" w:rsidRDefault="00B47068" w:rsidP="00B47068">
            <w:pPr>
              <w:pBdr>
                <w:bottom w:val="single" w:sz="4" w:space="1" w:color="auto"/>
              </w:pBdr>
              <w:jc w:val="right"/>
              <w:rPr>
                <w:rFonts w:cs="Times New Roman"/>
                <w:sz w:val="16"/>
                <w:szCs w:val="16"/>
                <w:lang w:val="en-US"/>
              </w:rPr>
            </w:pPr>
          </w:p>
        </w:tc>
      </w:tr>
      <w:tr w:rsidR="00B47068" w:rsidRPr="004D4A14" w14:paraId="084AC6EE" w14:textId="77777777" w:rsidTr="008E427B">
        <w:trPr>
          <w:trHeight w:val="300"/>
        </w:trPr>
        <w:tc>
          <w:tcPr>
            <w:tcW w:w="1140" w:type="dxa"/>
            <w:vMerge/>
          </w:tcPr>
          <w:p w14:paraId="1EBA04D6" w14:textId="77777777" w:rsidR="00B47068" w:rsidRPr="004D4A14" w:rsidRDefault="00B47068" w:rsidP="00B47068">
            <w:pPr>
              <w:jc w:val="center"/>
              <w:rPr>
                <w:rFonts w:cs="Times New Roman"/>
                <w:iCs/>
                <w:noProof/>
                <w:sz w:val="16"/>
                <w:szCs w:val="16"/>
              </w:rPr>
            </w:pPr>
          </w:p>
        </w:tc>
        <w:tc>
          <w:tcPr>
            <w:tcW w:w="915" w:type="dxa"/>
            <w:vMerge/>
          </w:tcPr>
          <w:p w14:paraId="61585863" w14:textId="77777777" w:rsidR="00B47068" w:rsidRPr="004D4A14" w:rsidRDefault="00B47068" w:rsidP="00B47068">
            <w:pPr>
              <w:jc w:val="center"/>
              <w:rPr>
                <w:rFonts w:cs="Times New Roman"/>
                <w:iCs/>
                <w:noProof/>
                <w:sz w:val="16"/>
                <w:szCs w:val="16"/>
              </w:rPr>
            </w:pPr>
          </w:p>
        </w:tc>
        <w:tc>
          <w:tcPr>
            <w:tcW w:w="1049" w:type="dxa"/>
            <w:tcBorders>
              <w:top w:val="single" w:sz="12" w:space="0" w:color="auto"/>
              <w:left w:val="single" w:sz="2" w:space="0" w:color="auto"/>
              <w:bottom w:val="single" w:sz="2" w:space="0" w:color="auto"/>
              <w:right w:val="single" w:sz="2" w:space="0" w:color="auto"/>
            </w:tcBorders>
          </w:tcPr>
          <w:p w14:paraId="1543B538" w14:textId="77777777" w:rsidR="00B47068" w:rsidRPr="004D4A14" w:rsidRDefault="00B47068" w:rsidP="00B47068">
            <w:pPr>
              <w:rPr>
                <w:rFonts w:cs="Times New Roman"/>
                <w:noProof/>
                <w:sz w:val="16"/>
                <w:szCs w:val="16"/>
              </w:rPr>
            </w:pPr>
            <w:r w:rsidRPr="004D4A14">
              <w:rPr>
                <w:rFonts w:cs="Times New Roman"/>
                <w:noProof/>
                <w:sz w:val="16"/>
                <w:szCs w:val="16"/>
              </w:rPr>
              <w:t>VVL regionas</w:t>
            </w:r>
          </w:p>
        </w:tc>
        <w:tc>
          <w:tcPr>
            <w:tcW w:w="1134" w:type="dxa"/>
            <w:vMerge/>
          </w:tcPr>
          <w:p w14:paraId="618BE45B" w14:textId="77777777" w:rsidR="00B47068" w:rsidRPr="004D4A14" w:rsidRDefault="00B47068" w:rsidP="00B47068">
            <w:pPr>
              <w:jc w:val="center"/>
              <w:rPr>
                <w:rFonts w:cs="Times New Roman"/>
                <w:iCs/>
                <w:noProof/>
                <w:sz w:val="16"/>
                <w:szCs w:val="16"/>
              </w:rPr>
            </w:pPr>
          </w:p>
        </w:tc>
        <w:tc>
          <w:tcPr>
            <w:tcW w:w="3969" w:type="dxa"/>
            <w:vMerge/>
          </w:tcPr>
          <w:p w14:paraId="4EC46E0B" w14:textId="77777777" w:rsidR="00B47068" w:rsidRPr="004D4A14" w:rsidRDefault="00B47068" w:rsidP="00B47068">
            <w:pPr>
              <w:rPr>
                <w:rFonts w:cs="Times New Roman"/>
                <w:iCs/>
                <w:noProof/>
                <w:sz w:val="16"/>
                <w:szCs w:val="16"/>
              </w:rPr>
            </w:pPr>
          </w:p>
        </w:tc>
        <w:tc>
          <w:tcPr>
            <w:tcW w:w="1559" w:type="dxa"/>
            <w:tcBorders>
              <w:top w:val="single" w:sz="12" w:space="0" w:color="auto"/>
              <w:left w:val="single" w:sz="2" w:space="0" w:color="auto"/>
              <w:bottom w:val="single" w:sz="2" w:space="0" w:color="auto"/>
              <w:right w:val="single" w:sz="2" w:space="0" w:color="auto"/>
            </w:tcBorders>
          </w:tcPr>
          <w:p w14:paraId="60BE86EB" w14:textId="77777777" w:rsidR="00B47068" w:rsidRPr="004D4A14" w:rsidRDefault="00B47068" w:rsidP="00B47068">
            <w:pPr>
              <w:jc w:val="right"/>
              <w:rPr>
                <w:rFonts w:cs="Times New Roman"/>
                <w:sz w:val="16"/>
                <w:szCs w:val="16"/>
                <w:lang w:val="en-US"/>
              </w:rPr>
            </w:pPr>
            <w:r w:rsidRPr="004D4A14">
              <w:rPr>
                <w:rFonts w:cs="Times New Roman"/>
                <w:sz w:val="16"/>
                <w:szCs w:val="16"/>
              </w:rPr>
              <w:t>16 576 750,00</w:t>
            </w:r>
          </w:p>
        </w:tc>
      </w:tr>
      <w:tr w:rsidR="00B47068" w:rsidRPr="004D4A14" w14:paraId="0D6219EB" w14:textId="77777777" w:rsidTr="008E427B">
        <w:trPr>
          <w:trHeight w:val="300"/>
        </w:trPr>
        <w:tc>
          <w:tcPr>
            <w:tcW w:w="1140" w:type="dxa"/>
            <w:vMerge/>
          </w:tcPr>
          <w:p w14:paraId="37BE5EF8" w14:textId="77777777" w:rsidR="00B47068" w:rsidRPr="004D4A14" w:rsidRDefault="00B47068" w:rsidP="00B47068">
            <w:pPr>
              <w:jc w:val="center"/>
              <w:rPr>
                <w:rFonts w:cs="Times New Roman"/>
                <w:iCs/>
                <w:noProof/>
                <w:sz w:val="16"/>
                <w:szCs w:val="16"/>
              </w:rPr>
            </w:pPr>
          </w:p>
        </w:tc>
        <w:tc>
          <w:tcPr>
            <w:tcW w:w="915" w:type="dxa"/>
            <w:vMerge/>
          </w:tcPr>
          <w:p w14:paraId="1D4E2703" w14:textId="77777777" w:rsidR="00B47068" w:rsidRPr="004D4A14" w:rsidRDefault="00B47068" w:rsidP="00B47068">
            <w:pPr>
              <w:jc w:val="center"/>
              <w:rPr>
                <w:rFonts w:cs="Times New Roman"/>
                <w:iCs/>
                <w:noProof/>
                <w:sz w:val="16"/>
                <w:szCs w:val="16"/>
              </w:rPr>
            </w:pPr>
          </w:p>
        </w:tc>
        <w:tc>
          <w:tcPr>
            <w:tcW w:w="1049" w:type="dxa"/>
            <w:tcBorders>
              <w:top w:val="single" w:sz="12" w:space="0" w:color="auto"/>
              <w:left w:val="single" w:sz="2" w:space="0" w:color="auto"/>
              <w:bottom w:val="single" w:sz="2" w:space="0" w:color="auto"/>
              <w:right w:val="single" w:sz="2" w:space="0" w:color="auto"/>
            </w:tcBorders>
          </w:tcPr>
          <w:p w14:paraId="5A3B6C8A" w14:textId="77777777" w:rsidR="00B47068" w:rsidRPr="004D4A14" w:rsidRDefault="00B47068" w:rsidP="00B47068">
            <w:pPr>
              <w:rPr>
                <w:rFonts w:cs="Times New Roman"/>
                <w:noProof/>
                <w:sz w:val="16"/>
                <w:szCs w:val="16"/>
              </w:rPr>
            </w:pPr>
            <w:r w:rsidRPr="004D4A14">
              <w:rPr>
                <w:rFonts w:cs="Times New Roman"/>
                <w:noProof/>
                <w:sz w:val="16"/>
                <w:szCs w:val="16"/>
              </w:rPr>
              <w:t>Sostinės regionas</w:t>
            </w:r>
          </w:p>
        </w:tc>
        <w:tc>
          <w:tcPr>
            <w:tcW w:w="1134" w:type="dxa"/>
            <w:vMerge/>
          </w:tcPr>
          <w:p w14:paraId="34BFCACB" w14:textId="77777777" w:rsidR="00B47068" w:rsidRPr="004D4A14" w:rsidRDefault="00B47068" w:rsidP="00B47068">
            <w:pPr>
              <w:jc w:val="center"/>
              <w:rPr>
                <w:rFonts w:cs="Times New Roman"/>
                <w:iCs/>
                <w:noProof/>
                <w:sz w:val="16"/>
                <w:szCs w:val="16"/>
              </w:rPr>
            </w:pPr>
          </w:p>
        </w:tc>
        <w:tc>
          <w:tcPr>
            <w:tcW w:w="3969" w:type="dxa"/>
            <w:vMerge w:val="restart"/>
            <w:tcBorders>
              <w:left w:val="single" w:sz="2" w:space="0" w:color="auto"/>
              <w:right w:val="single" w:sz="2" w:space="0" w:color="auto"/>
            </w:tcBorders>
          </w:tcPr>
          <w:p w14:paraId="3CD38D5C" w14:textId="77777777" w:rsidR="00B47068" w:rsidRPr="004D4A14" w:rsidRDefault="00B47068" w:rsidP="00B47068">
            <w:pPr>
              <w:rPr>
                <w:rFonts w:cs="Times New Roman"/>
                <w:iCs/>
                <w:noProof/>
                <w:sz w:val="16"/>
                <w:szCs w:val="16"/>
              </w:rPr>
            </w:pPr>
            <w:r w:rsidRPr="004D4A14">
              <w:rPr>
                <w:rFonts w:cs="Times New Roman"/>
                <w:iCs/>
                <w:noProof/>
                <w:sz w:val="16"/>
                <w:szCs w:val="16"/>
              </w:rPr>
              <w:t>061 – Su klimatu nesusijusių gamtinių pavojų (pvz., žemės drebėjimų) ir su žmogaus veikla susijusios rizikos (pvz., technologinių avarijų) rizikos prevencija ir valdymas, įskaitant informuotumo didinimą, civilinės saugos ir nelaimių valdymo sistemas, infrastruktūrą ir ekosistemomis grindžiamus metodus</w:t>
            </w:r>
          </w:p>
        </w:tc>
        <w:tc>
          <w:tcPr>
            <w:tcW w:w="1559" w:type="dxa"/>
            <w:tcBorders>
              <w:top w:val="single" w:sz="12" w:space="0" w:color="auto"/>
              <w:left w:val="single" w:sz="2" w:space="0" w:color="auto"/>
              <w:bottom w:val="single" w:sz="2" w:space="0" w:color="auto"/>
              <w:right w:val="single" w:sz="2" w:space="0" w:color="auto"/>
            </w:tcBorders>
          </w:tcPr>
          <w:p w14:paraId="1AE2E46E" w14:textId="77777777" w:rsidR="00B47068" w:rsidRPr="004D4A14" w:rsidRDefault="00B47068" w:rsidP="00B47068">
            <w:pPr>
              <w:jc w:val="right"/>
              <w:rPr>
                <w:rFonts w:cs="Times New Roman"/>
                <w:sz w:val="16"/>
                <w:szCs w:val="16"/>
              </w:rPr>
            </w:pPr>
            <w:r w:rsidRPr="004D4A14">
              <w:rPr>
                <w:rFonts w:cs="Times New Roman"/>
                <w:iCs/>
                <w:noProof/>
                <w:sz w:val="16"/>
                <w:szCs w:val="16"/>
              </w:rPr>
              <w:t>6 405 100,00</w:t>
            </w:r>
          </w:p>
        </w:tc>
      </w:tr>
      <w:tr w:rsidR="00B47068" w:rsidRPr="004D4A14" w14:paraId="5068AA86" w14:textId="77777777" w:rsidTr="008E427B">
        <w:trPr>
          <w:trHeight w:val="300"/>
        </w:trPr>
        <w:tc>
          <w:tcPr>
            <w:tcW w:w="1140" w:type="dxa"/>
            <w:vMerge/>
          </w:tcPr>
          <w:p w14:paraId="07890A91" w14:textId="77777777" w:rsidR="00B47068" w:rsidRPr="004D4A14" w:rsidRDefault="00B47068" w:rsidP="00B47068">
            <w:pPr>
              <w:jc w:val="center"/>
              <w:rPr>
                <w:rFonts w:cs="Times New Roman"/>
                <w:iCs/>
                <w:noProof/>
                <w:sz w:val="16"/>
                <w:szCs w:val="16"/>
              </w:rPr>
            </w:pPr>
          </w:p>
        </w:tc>
        <w:tc>
          <w:tcPr>
            <w:tcW w:w="915" w:type="dxa"/>
            <w:vMerge/>
          </w:tcPr>
          <w:p w14:paraId="2F670703" w14:textId="77777777" w:rsidR="00B47068" w:rsidRPr="004D4A14" w:rsidRDefault="00B47068" w:rsidP="00B47068">
            <w:pPr>
              <w:jc w:val="center"/>
              <w:rPr>
                <w:rFonts w:cs="Times New Roman"/>
                <w:iCs/>
                <w:noProof/>
                <w:sz w:val="16"/>
                <w:szCs w:val="16"/>
              </w:rPr>
            </w:pPr>
          </w:p>
        </w:tc>
        <w:tc>
          <w:tcPr>
            <w:tcW w:w="1049" w:type="dxa"/>
            <w:tcBorders>
              <w:top w:val="single" w:sz="12" w:space="0" w:color="auto"/>
              <w:left w:val="single" w:sz="2" w:space="0" w:color="auto"/>
              <w:bottom w:val="single" w:sz="2" w:space="0" w:color="auto"/>
              <w:right w:val="single" w:sz="2" w:space="0" w:color="auto"/>
            </w:tcBorders>
          </w:tcPr>
          <w:p w14:paraId="1E84C99F" w14:textId="77777777" w:rsidR="00B47068" w:rsidRPr="004D4A14" w:rsidRDefault="00B47068" w:rsidP="00B47068">
            <w:pPr>
              <w:rPr>
                <w:rFonts w:cs="Times New Roman"/>
                <w:noProof/>
                <w:sz w:val="16"/>
                <w:szCs w:val="16"/>
              </w:rPr>
            </w:pPr>
            <w:r w:rsidRPr="004D4A14">
              <w:rPr>
                <w:rFonts w:cs="Times New Roman"/>
                <w:noProof/>
                <w:sz w:val="16"/>
                <w:szCs w:val="16"/>
              </w:rPr>
              <w:t>VVL regionas</w:t>
            </w:r>
          </w:p>
        </w:tc>
        <w:tc>
          <w:tcPr>
            <w:tcW w:w="1134" w:type="dxa"/>
            <w:vMerge/>
          </w:tcPr>
          <w:p w14:paraId="67378FD5" w14:textId="77777777" w:rsidR="00B47068" w:rsidRPr="004D4A14" w:rsidRDefault="00B47068" w:rsidP="00B47068">
            <w:pPr>
              <w:jc w:val="center"/>
              <w:rPr>
                <w:rFonts w:cs="Times New Roman"/>
                <w:iCs/>
                <w:noProof/>
                <w:sz w:val="16"/>
                <w:szCs w:val="16"/>
              </w:rPr>
            </w:pPr>
          </w:p>
        </w:tc>
        <w:tc>
          <w:tcPr>
            <w:tcW w:w="3969" w:type="dxa"/>
            <w:vMerge/>
          </w:tcPr>
          <w:p w14:paraId="5995CBA0" w14:textId="77777777" w:rsidR="00B47068" w:rsidRPr="004D4A14" w:rsidRDefault="00B47068" w:rsidP="00B47068">
            <w:pPr>
              <w:rPr>
                <w:rFonts w:cs="Times New Roman"/>
                <w:iCs/>
                <w:noProof/>
                <w:sz w:val="16"/>
                <w:szCs w:val="16"/>
              </w:rPr>
            </w:pPr>
          </w:p>
        </w:tc>
        <w:tc>
          <w:tcPr>
            <w:tcW w:w="1559" w:type="dxa"/>
            <w:tcBorders>
              <w:top w:val="single" w:sz="12" w:space="0" w:color="auto"/>
              <w:left w:val="single" w:sz="2" w:space="0" w:color="auto"/>
              <w:bottom w:val="single" w:sz="2" w:space="0" w:color="auto"/>
              <w:right w:val="single" w:sz="2" w:space="0" w:color="auto"/>
            </w:tcBorders>
          </w:tcPr>
          <w:p w14:paraId="62B18C85" w14:textId="77777777" w:rsidR="00B47068" w:rsidRPr="004D4A14" w:rsidRDefault="00B47068" w:rsidP="00B47068">
            <w:pPr>
              <w:jc w:val="right"/>
              <w:rPr>
                <w:rFonts w:cs="Times New Roman"/>
                <w:sz w:val="16"/>
                <w:szCs w:val="16"/>
              </w:rPr>
            </w:pPr>
            <w:r w:rsidRPr="004D4A14">
              <w:rPr>
                <w:rFonts w:cs="Times New Roman"/>
                <w:iCs/>
                <w:noProof/>
                <w:sz w:val="16"/>
                <w:szCs w:val="16"/>
              </w:rPr>
              <w:t>45 594 900,00</w:t>
            </w:r>
          </w:p>
        </w:tc>
      </w:tr>
      <w:tr w:rsidR="00B47068" w:rsidRPr="004D4A14" w14:paraId="25654719" w14:textId="77777777" w:rsidTr="008E427B">
        <w:trPr>
          <w:trHeight w:val="300"/>
        </w:trPr>
        <w:tc>
          <w:tcPr>
            <w:tcW w:w="1140" w:type="dxa"/>
            <w:vMerge/>
          </w:tcPr>
          <w:p w14:paraId="5A62B936" w14:textId="77777777" w:rsidR="00B47068" w:rsidRPr="004D4A14" w:rsidRDefault="00B47068" w:rsidP="00B47068">
            <w:pPr>
              <w:jc w:val="center"/>
              <w:rPr>
                <w:rFonts w:cs="Times New Roman"/>
                <w:iCs/>
                <w:noProof/>
                <w:sz w:val="16"/>
                <w:szCs w:val="16"/>
              </w:rPr>
            </w:pPr>
          </w:p>
        </w:tc>
        <w:tc>
          <w:tcPr>
            <w:tcW w:w="915" w:type="dxa"/>
            <w:vMerge/>
          </w:tcPr>
          <w:p w14:paraId="186820FD" w14:textId="77777777" w:rsidR="00B47068" w:rsidRPr="004D4A14" w:rsidRDefault="00B47068" w:rsidP="00B47068">
            <w:pPr>
              <w:jc w:val="center"/>
              <w:rPr>
                <w:rFonts w:cs="Times New Roman"/>
                <w:iCs/>
                <w:noProof/>
                <w:sz w:val="16"/>
                <w:szCs w:val="16"/>
              </w:rPr>
            </w:pPr>
          </w:p>
        </w:tc>
        <w:tc>
          <w:tcPr>
            <w:tcW w:w="1049" w:type="dxa"/>
            <w:tcBorders>
              <w:top w:val="single" w:sz="12" w:space="0" w:color="auto"/>
              <w:left w:val="single" w:sz="2" w:space="0" w:color="auto"/>
              <w:bottom w:val="single" w:sz="2" w:space="0" w:color="auto"/>
              <w:right w:val="single" w:sz="2" w:space="0" w:color="auto"/>
            </w:tcBorders>
          </w:tcPr>
          <w:p w14:paraId="6DC6519D" w14:textId="77777777" w:rsidR="00B47068" w:rsidRPr="004D4A14" w:rsidRDefault="00B47068" w:rsidP="00B47068">
            <w:pPr>
              <w:rPr>
                <w:rFonts w:cs="Times New Roman"/>
                <w:iCs/>
                <w:noProof/>
                <w:sz w:val="16"/>
                <w:szCs w:val="16"/>
              </w:rPr>
            </w:pPr>
            <w:r w:rsidRPr="004D4A14">
              <w:rPr>
                <w:rFonts w:cs="Times New Roman"/>
                <w:noProof/>
                <w:sz w:val="16"/>
                <w:szCs w:val="16"/>
              </w:rPr>
              <w:t>Sostinės regionas</w:t>
            </w:r>
          </w:p>
        </w:tc>
        <w:tc>
          <w:tcPr>
            <w:tcW w:w="1134" w:type="dxa"/>
            <w:vMerge/>
          </w:tcPr>
          <w:p w14:paraId="6C35EDB7" w14:textId="77777777" w:rsidR="00B47068" w:rsidRPr="004D4A14" w:rsidRDefault="00B47068" w:rsidP="00B47068">
            <w:pPr>
              <w:jc w:val="center"/>
              <w:rPr>
                <w:rFonts w:cs="Times New Roman"/>
                <w:iCs/>
                <w:noProof/>
                <w:sz w:val="16"/>
                <w:szCs w:val="16"/>
              </w:rPr>
            </w:pPr>
          </w:p>
        </w:tc>
        <w:tc>
          <w:tcPr>
            <w:tcW w:w="3969" w:type="dxa"/>
            <w:tcBorders>
              <w:top w:val="single" w:sz="12" w:space="0" w:color="auto"/>
              <w:left w:val="single" w:sz="2" w:space="0" w:color="auto"/>
              <w:bottom w:val="single" w:sz="2" w:space="0" w:color="auto"/>
              <w:right w:val="single" w:sz="2" w:space="0" w:color="auto"/>
            </w:tcBorders>
          </w:tcPr>
          <w:p w14:paraId="6BED8515" w14:textId="77777777" w:rsidR="00B47068" w:rsidRPr="004D4A14" w:rsidRDefault="00B47068" w:rsidP="00B47068">
            <w:pPr>
              <w:rPr>
                <w:rFonts w:cs="Times New Roman"/>
                <w:iCs/>
                <w:noProof/>
                <w:sz w:val="16"/>
                <w:szCs w:val="16"/>
              </w:rPr>
            </w:pPr>
            <w:r w:rsidRPr="004D4A14">
              <w:rPr>
                <w:rFonts w:cs="Times New Roman"/>
                <w:iCs/>
                <w:noProof/>
                <w:sz w:val="16"/>
                <w:szCs w:val="16"/>
              </w:rPr>
              <w:t>128 – Sveikatos infrastruktūra</w:t>
            </w:r>
          </w:p>
        </w:tc>
        <w:tc>
          <w:tcPr>
            <w:tcW w:w="1559" w:type="dxa"/>
            <w:tcBorders>
              <w:top w:val="single" w:sz="12" w:space="0" w:color="auto"/>
              <w:left w:val="single" w:sz="2" w:space="0" w:color="auto"/>
              <w:bottom w:val="single" w:sz="2" w:space="0" w:color="auto"/>
              <w:right w:val="single" w:sz="2" w:space="0" w:color="auto"/>
            </w:tcBorders>
          </w:tcPr>
          <w:p w14:paraId="12175D5C" w14:textId="77777777" w:rsidR="00B47068" w:rsidRPr="004D4A14" w:rsidRDefault="00B47068" w:rsidP="00B47068">
            <w:pPr>
              <w:jc w:val="right"/>
              <w:rPr>
                <w:rFonts w:cs="Times New Roman"/>
                <w:iCs/>
                <w:noProof/>
                <w:sz w:val="16"/>
                <w:szCs w:val="16"/>
              </w:rPr>
            </w:pPr>
            <w:r w:rsidRPr="004D4A14">
              <w:rPr>
                <w:rFonts w:cs="Times New Roman"/>
                <w:sz w:val="16"/>
                <w:szCs w:val="16"/>
                <w:lang w:val="en-US"/>
              </w:rPr>
              <w:t>5 400 000,00</w:t>
            </w:r>
          </w:p>
        </w:tc>
      </w:tr>
      <w:tr w:rsidR="00B47068" w:rsidRPr="004D4A14" w14:paraId="25CBB20B" w14:textId="77777777" w:rsidTr="008E427B">
        <w:trPr>
          <w:trHeight w:val="300"/>
        </w:trPr>
        <w:tc>
          <w:tcPr>
            <w:tcW w:w="1140" w:type="dxa"/>
            <w:vMerge/>
          </w:tcPr>
          <w:p w14:paraId="39655828" w14:textId="77777777" w:rsidR="00B47068" w:rsidRPr="004D4A14" w:rsidRDefault="00B47068" w:rsidP="00B47068">
            <w:pPr>
              <w:jc w:val="center"/>
              <w:rPr>
                <w:rFonts w:cs="Times New Roman"/>
                <w:iCs/>
                <w:noProof/>
                <w:sz w:val="16"/>
                <w:szCs w:val="16"/>
              </w:rPr>
            </w:pPr>
          </w:p>
        </w:tc>
        <w:tc>
          <w:tcPr>
            <w:tcW w:w="915" w:type="dxa"/>
            <w:vMerge/>
          </w:tcPr>
          <w:p w14:paraId="7FF3DAB5" w14:textId="77777777" w:rsidR="00B47068" w:rsidRPr="004D4A14" w:rsidRDefault="00B47068" w:rsidP="00B47068">
            <w:pPr>
              <w:jc w:val="center"/>
              <w:rPr>
                <w:rFonts w:cs="Times New Roman"/>
                <w:iCs/>
                <w:noProof/>
                <w:sz w:val="16"/>
                <w:szCs w:val="16"/>
              </w:rPr>
            </w:pPr>
          </w:p>
        </w:tc>
        <w:tc>
          <w:tcPr>
            <w:tcW w:w="1049" w:type="dxa"/>
            <w:tcBorders>
              <w:top w:val="single" w:sz="12" w:space="0" w:color="auto"/>
              <w:left w:val="single" w:sz="2" w:space="0" w:color="auto"/>
              <w:bottom w:val="single" w:sz="2" w:space="0" w:color="auto"/>
              <w:right w:val="single" w:sz="2" w:space="0" w:color="auto"/>
            </w:tcBorders>
          </w:tcPr>
          <w:p w14:paraId="491A4C56" w14:textId="77777777" w:rsidR="00B47068" w:rsidRPr="004D4A14" w:rsidRDefault="00B47068" w:rsidP="00B47068">
            <w:pPr>
              <w:rPr>
                <w:rFonts w:cs="Times New Roman"/>
                <w:noProof/>
                <w:sz w:val="16"/>
                <w:szCs w:val="16"/>
              </w:rPr>
            </w:pPr>
            <w:r w:rsidRPr="004D4A14">
              <w:rPr>
                <w:rFonts w:cs="Times New Roman"/>
                <w:noProof/>
                <w:sz w:val="16"/>
                <w:szCs w:val="16"/>
              </w:rPr>
              <w:t>Sostinės regionas</w:t>
            </w:r>
          </w:p>
        </w:tc>
        <w:tc>
          <w:tcPr>
            <w:tcW w:w="1134" w:type="dxa"/>
            <w:vMerge/>
          </w:tcPr>
          <w:p w14:paraId="10EF5F61" w14:textId="77777777" w:rsidR="00B47068" w:rsidRPr="004D4A14" w:rsidRDefault="00B47068" w:rsidP="00B47068">
            <w:pPr>
              <w:jc w:val="center"/>
              <w:rPr>
                <w:rFonts w:cs="Times New Roman"/>
                <w:iCs/>
                <w:noProof/>
                <w:sz w:val="16"/>
                <w:szCs w:val="16"/>
              </w:rPr>
            </w:pPr>
          </w:p>
        </w:tc>
        <w:tc>
          <w:tcPr>
            <w:tcW w:w="3969" w:type="dxa"/>
            <w:vMerge w:val="restart"/>
            <w:tcBorders>
              <w:top w:val="single" w:sz="12" w:space="0" w:color="auto"/>
              <w:left w:val="single" w:sz="2" w:space="0" w:color="auto"/>
              <w:right w:val="single" w:sz="2" w:space="0" w:color="auto"/>
            </w:tcBorders>
          </w:tcPr>
          <w:p w14:paraId="4A2AC170" w14:textId="77777777" w:rsidR="00B47068" w:rsidRPr="004D4A14" w:rsidRDefault="00B47068" w:rsidP="00B47068">
            <w:pPr>
              <w:rPr>
                <w:rFonts w:cs="Times New Roman"/>
                <w:iCs/>
                <w:noProof/>
                <w:sz w:val="16"/>
                <w:szCs w:val="16"/>
              </w:rPr>
            </w:pPr>
            <w:r w:rsidRPr="004D4A14">
              <w:rPr>
                <w:rFonts w:cs="Times New Roman"/>
                <w:iCs/>
                <w:noProof/>
                <w:sz w:val="16"/>
                <w:szCs w:val="16"/>
              </w:rPr>
              <w:t>152 – Priemonės, kuriomis skatinamos lygios galimybės ir aktyvus dalyvavimas visuomenėje</w:t>
            </w:r>
          </w:p>
        </w:tc>
        <w:tc>
          <w:tcPr>
            <w:tcW w:w="1559" w:type="dxa"/>
            <w:tcBorders>
              <w:top w:val="single" w:sz="12" w:space="0" w:color="auto"/>
              <w:left w:val="single" w:sz="2" w:space="0" w:color="auto"/>
              <w:bottom w:val="single" w:sz="2" w:space="0" w:color="auto"/>
              <w:right w:val="single" w:sz="2" w:space="0" w:color="auto"/>
            </w:tcBorders>
          </w:tcPr>
          <w:p w14:paraId="654BBE2D" w14:textId="77777777" w:rsidR="00B47068" w:rsidRPr="004D4A14" w:rsidRDefault="00B47068" w:rsidP="00B47068">
            <w:pPr>
              <w:jc w:val="right"/>
              <w:rPr>
                <w:rFonts w:cs="Times New Roman"/>
                <w:sz w:val="16"/>
                <w:szCs w:val="16"/>
                <w:lang w:val="en-US"/>
              </w:rPr>
            </w:pPr>
            <w:r w:rsidRPr="004D4A14">
              <w:rPr>
                <w:rFonts w:cs="Times New Roman"/>
                <w:iCs/>
                <w:noProof/>
                <w:sz w:val="16"/>
                <w:szCs w:val="16"/>
                <w:lang w:val="en-US"/>
              </w:rPr>
              <w:t>51 000,00</w:t>
            </w:r>
          </w:p>
        </w:tc>
      </w:tr>
      <w:tr w:rsidR="00B47068" w:rsidRPr="004D4A14" w14:paraId="47FB482B" w14:textId="77777777" w:rsidTr="008E427B">
        <w:trPr>
          <w:trHeight w:val="300"/>
        </w:trPr>
        <w:tc>
          <w:tcPr>
            <w:tcW w:w="1140" w:type="dxa"/>
            <w:vMerge/>
          </w:tcPr>
          <w:p w14:paraId="127A26D7" w14:textId="77777777" w:rsidR="00B47068" w:rsidRPr="004D4A14" w:rsidRDefault="00B47068" w:rsidP="00B47068">
            <w:pPr>
              <w:jc w:val="center"/>
              <w:rPr>
                <w:rFonts w:cs="Times New Roman"/>
                <w:iCs/>
                <w:noProof/>
                <w:sz w:val="16"/>
                <w:szCs w:val="16"/>
              </w:rPr>
            </w:pPr>
          </w:p>
        </w:tc>
        <w:tc>
          <w:tcPr>
            <w:tcW w:w="915" w:type="dxa"/>
            <w:vMerge/>
          </w:tcPr>
          <w:p w14:paraId="7330CD96" w14:textId="77777777" w:rsidR="00B47068" w:rsidRPr="004D4A14" w:rsidRDefault="00B47068" w:rsidP="00B47068">
            <w:pPr>
              <w:jc w:val="center"/>
              <w:rPr>
                <w:rFonts w:cs="Times New Roman"/>
                <w:iCs/>
                <w:noProof/>
                <w:sz w:val="16"/>
                <w:szCs w:val="16"/>
              </w:rPr>
            </w:pPr>
          </w:p>
        </w:tc>
        <w:tc>
          <w:tcPr>
            <w:tcW w:w="1049" w:type="dxa"/>
            <w:tcBorders>
              <w:top w:val="single" w:sz="12" w:space="0" w:color="auto"/>
              <w:left w:val="single" w:sz="2" w:space="0" w:color="auto"/>
              <w:bottom w:val="single" w:sz="2" w:space="0" w:color="auto"/>
              <w:right w:val="single" w:sz="2" w:space="0" w:color="auto"/>
            </w:tcBorders>
          </w:tcPr>
          <w:p w14:paraId="324BD846" w14:textId="77777777" w:rsidR="00B47068" w:rsidRPr="004D4A14" w:rsidRDefault="00B47068" w:rsidP="00B47068">
            <w:pPr>
              <w:rPr>
                <w:rFonts w:cs="Times New Roman"/>
                <w:noProof/>
                <w:sz w:val="16"/>
                <w:szCs w:val="16"/>
              </w:rPr>
            </w:pPr>
            <w:r w:rsidRPr="004D4A14">
              <w:rPr>
                <w:rFonts w:cs="Times New Roman"/>
                <w:noProof/>
                <w:sz w:val="16"/>
                <w:szCs w:val="16"/>
              </w:rPr>
              <w:t>VVL regionas</w:t>
            </w:r>
          </w:p>
        </w:tc>
        <w:tc>
          <w:tcPr>
            <w:tcW w:w="1134" w:type="dxa"/>
            <w:vMerge/>
          </w:tcPr>
          <w:p w14:paraId="22B4B4BF" w14:textId="77777777" w:rsidR="00B47068" w:rsidRPr="004D4A14" w:rsidRDefault="00B47068" w:rsidP="00B47068">
            <w:pPr>
              <w:jc w:val="center"/>
              <w:rPr>
                <w:rFonts w:cs="Times New Roman"/>
                <w:iCs/>
                <w:noProof/>
                <w:sz w:val="16"/>
                <w:szCs w:val="16"/>
              </w:rPr>
            </w:pPr>
          </w:p>
        </w:tc>
        <w:tc>
          <w:tcPr>
            <w:tcW w:w="3969" w:type="dxa"/>
            <w:vMerge/>
          </w:tcPr>
          <w:p w14:paraId="0986C986" w14:textId="77777777" w:rsidR="00B47068" w:rsidRPr="004D4A14" w:rsidRDefault="00B47068" w:rsidP="00B47068">
            <w:pPr>
              <w:rPr>
                <w:rFonts w:cs="Times New Roman"/>
                <w:iCs/>
                <w:noProof/>
                <w:sz w:val="16"/>
                <w:szCs w:val="16"/>
              </w:rPr>
            </w:pPr>
          </w:p>
        </w:tc>
        <w:tc>
          <w:tcPr>
            <w:tcW w:w="1559" w:type="dxa"/>
            <w:tcBorders>
              <w:top w:val="single" w:sz="12" w:space="0" w:color="auto"/>
              <w:left w:val="single" w:sz="2" w:space="0" w:color="auto"/>
              <w:bottom w:val="single" w:sz="2" w:space="0" w:color="auto"/>
              <w:right w:val="single" w:sz="2" w:space="0" w:color="auto"/>
            </w:tcBorders>
          </w:tcPr>
          <w:p w14:paraId="12EDCDC2" w14:textId="77777777" w:rsidR="00B47068" w:rsidRPr="004D4A14" w:rsidRDefault="00B47068" w:rsidP="00B47068">
            <w:pPr>
              <w:jc w:val="right"/>
              <w:rPr>
                <w:rFonts w:cs="Times New Roman"/>
                <w:sz w:val="16"/>
                <w:szCs w:val="16"/>
                <w:lang w:val="en-US"/>
              </w:rPr>
            </w:pPr>
            <w:r w:rsidRPr="004D4A14">
              <w:rPr>
                <w:rFonts w:cs="Times New Roman"/>
                <w:iCs/>
                <w:noProof/>
                <w:sz w:val="16"/>
                <w:szCs w:val="16"/>
              </w:rPr>
              <w:t>769 000,00</w:t>
            </w:r>
          </w:p>
        </w:tc>
      </w:tr>
      <w:tr w:rsidR="00B47068" w:rsidRPr="004D4A14" w14:paraId="450E8CBF" w14:textId="77777777" w:rsidTr="008E427B">
        <w:trPr>
          <w:trHeight w:val="300"/>
        </w:trPr>
        <w:tc>
          <w:tcPr>
            <w:tcW w:w="1140" w:type="dxa"/>
            <w:vMerge/>
          </w:tcPr>
          <w:p w14:paraId="0E0C7869" w14:textId="77777777" w:rsidR="00B47068" w:rsidRPr="004D4A14" w:rsidRDefault="00B47068" w:rsidP="00B47068">
            <w:pPr>
              <w:jc w:val="center"/>
              <w:rPr>
                <w:rFonts w:cs="Times New Roman"/>
                <w:iCs/>
                <w:noProof/>
                <w:sz w:val="16"/>
                <w:szCs w:val="16"/>
              </w:rPr>
            </w:pPr>
          </w:p>
        </w:tc>
        <w:tc>
          <w:tcPr>
            <w:tcW w:w="915" w:type="dxa"/>
            <w:vMerge/>
          </w:tcPr>
          <w:p w14:paraId="0F73FF02" w14:textId="77777777" w:rsidR="00B47068" w:rsidRPr="004D4A14" w:rsidRDefault="00B47068" w:rsidP="00B47068">
            <w:pPr>
              <w:jc w:val="center"/>
              <w:rPr>
                <w:rFonts w:cs="Times New Roman"/>
                <w:iCs/>
                <w:noProof/>
                <w:sz w:val="16"/>
                <w:szCs w:val="16"/>
              </w:rPr>
            </w:pPr>
          </w:p>
        </w:tc>
        <w:tc>
          <w:tcPr>
            <w:tcW w:w="1049" w:type="dxa"/>
            <w:tcBorders>
              <w:top w:val="single" w:sz="12" w:space="0" w:color="auto"/>
              <w:left w:val="single" w:sz="2" w:space="0" w:color="auto"/>
              <w:bottom w:val="single" w:sz="2" w:space="0" w:color="auto"/>
              <w:right w:val="single" w:sz="2" w:space="0" w:color="auto"/>
            </w:tcBorders>
          </w:tcPr>
          <w:p w14:paraId="700A9F4E" w14:textId="77777777" w:rsidR="00B47068" w:rsidRPr="004D4A14" w:rsidRDefault="00B47068" w:rsidP="00B47068">
            <w:pPr>
              <w:rPr>
                <w:rFonts w:cs="Times New Roman"/>
                <w:noProof/>
                <w:sz w:val="16"/>
                <w:szCs w:val="16"/>
              </w:rPr>
            </w:pPr>
            <w:r w:rsidRPr="004D4A14">
              <w:rPr>
                <w:rFonts w:cs="Times New Roman"/>
                <w:noProof/>
                <w:sz w:val="16"/>
                <w:szCs w:val="16"/>
              </w:rPr>
              <w:t>Sostinės regionas</w:t>
            </w:r>
          </w:p>
        </w:tc>
        <w:tc>
          <w:tcPr>
            <w:tcW w:w="1134" w:type="dxa"/>
            <w:vMerge/>
          </w:tcPr>
          <w:p w14:paraId="628E5A49" w14:textId="77777777" w:rsidR="00B47068" w:rsidRPr="004D4A14" w:rsidRDefault="00B47068" w:rsidP="00B47068">
            <w:pPr>
              <w:jc w:val="center"/>
              <w:rPr>
                <w:rFonts w:cs="Times New Roman"/>
                <w:iCs/>
                <w:noProof/>
                <w:sz w:val="16"/>
                <w:szCs w:val="16"/>
              </w:rPr>
            </w:pPr>
          </w:p>
        </w:tc>
        <w:tc>
          <w:tcPr>
            <w:tcW w:w="3969" w:type="dxa"/>
            <w:vMerge w:val="restart"/>
            <w:tcBorders>
              <w:top w:val="single" w:sz="12" w:space="0" w:color="auto"/>
              <w:left w:val="single" w:sz="2" w:space="0" w:color="auto"/>
              <w:right w:val="single" w:sz="2" w:space="0" w:color="auto"/>
            </w:tcBorders>
          </w:tcPr>
          <w:p w14:paraId="0A2A928A" w14:textId="77777777" w:rsidR="00B47068" w:rsidRPr="004D4A14" w:rsidRDefault="00B47068" w:rsidP="00B47068">
            <w:pPr>
              <w:rPr>
                <w:rFonts w:cs="Times New Roman"/>
                <w:iCs/>
                <w:noProof/>
                <w:sz w:val="16"/>
                <w:szCs w:val="16"/>
              </w:rPr>
            </w:pPr>
            <w:r w:rsidRPr="004D4A14">
              <w:rPr>
                <w:rFonts w:cs="Times New Roman"/>
                <w:iCs/>
                <w:noProof/>
                <w:sz w:val="16"/>
                <w:szCs w:val="16"/>
              </w:rPr>
              <w:t>197- Kritinės infrastruktūros apsauga</w:t>
            </w:r>
          </w:p>
        </w:tc>
        <w:tc>
          <w:tcPr>
            <w:tcW w:w="1559" w:type="dxa"/>
            <w:tcBorders>
              <w:top w:val="single" w:sz="12" w:space="0" w:color="auto"/>
              <w:left w:val="single" w:sz="2" w:space="0" w:color="auto"/>
              <w:bottom w:val="single" w:sz="2" w:space="0" w:color="auto"/>
              <w:right w:val="single" w:sz="2" w:space="0" w:color="auto"/>
            </w:tcBorders>
          </w:tcPr>
          <w:p w14:paraId="1E4480D1" w14:textId="77777777" w:rsidR="00B47068" w:rsidRPr="004D4A14" w:rsidRDefault="00B47068" w:rsidP="00B47068">
            <w:pPr>
              <w:jc w:val="right"/>
              <w:rPr>
                <w:rFonts w:cs="Times New Roman"/>
                <w:sz w:val="16"/>
                <w:szCs w:val="16"/>
                <w:lang w:val="en-US"/>
              </w:rPr>
            </w:pPr>
            <w:r w:rsidRPr="004D4A14">
              <w:rPr>
                <w:rFonts w:cs="Times New Roman"/>
                <w:sz w:val="16"/>
                <w:szCs w:val="16"/>
                <w:lang w:val="en-US"/>
              </w:rPr>
              <w:t>4 809 750,00</w:t>
            </w:r>
          </w:p>
        </w:tc>
      </w:tr>
      <w:tr w:rsidR="00B47068" w:rsidRPr="004D4A14" w14:paraId="6DCC1A64" w14:textId="77777777" w:rsidTr="008E427B">
        <w:trPr>
          <w:trHeight w:val="300"/>
        </w:trPr>
        <w:tc>
          <w:tcPr>
            <w:tcW w:w="1140" w:type="dxa"/>
            <w:vMerge/>
          </w:tcPr>
          <w:p w14:paraId="5A3A456A" w14:textId="77777777" w:rsidR="00B47068" w:rsidRPr="004D4A14" w:rsidRDefault="00B47068" w:rsidP="00B47068">
            <w:pPr>
              <w:jc w:val="center"/>
              <w:rPr>
                <w:rFonts w:cs="Times New Roman"/>
                <w:iCs/>
                <w:noProof/>
                <w:sz w:val="16"/>
                <w:szCs w:val="16"/>
              </w:rPr>
            </w:pPr>
          </w:p>
        </w:tc>
        <w:tc>
          <w:tcPr>
            <w:tcW w:w="915" w:type="dxa"/>
            <w:vMerge/>
          </w:tcPr>
          <w:p w14:paraId="0885DF09" w14:textId="77777777" w:rsidR="00B47068" w:rsidRPr="004D4A14" w:rsidRDefault="00B47068" w:rsidP="00B47068">
            <w:pPr>
              <w:jc w:val="center"/>
              <w:rPr>
                <w:rFonts w:cs="Times New Roman"/>
                <w:iCs/>
                <w:noProof/>
                <w:sz w:val="16"/>
                <w:szCs w:val="16"/>
              </w:rPr>
            </w:pPr>
          </w:p>
        </w:tc>
        <w:tc>
          <w:tcPr>
            <w:tcW w:w="1049" w:type="dxa"/>
            <w:tcBorders>
              <w:top w:val="single" w:sz="12" w:space="0" w:color="auto"/>
              <w:left w:val="single" w:sz="2" w:space="0" w:color="auto"/>
              <w:bottom w:val="single" w:sz="2" w:space="0" w:color="auto"/>
              <w:right w:val="single" w:sz="2" w:space="0" w:color="auto"/>
            </w:tcBorders>
          </w:tcPr>
          <w:p w14:paraId="12CA027C" w14:textId="77777777" w:rsidR="00B47068" w:rsidRPr="004D4A14" w:rsidRDefault="00B47068" w:rsidP="00B47068">
            <w:pPr>
              <w:rPr>
                <w:rFonts w:cs="Times New Roman"/>
                <w:noProof/>
                <w:sz w:val="16"/>
                <w:szCs w:val="16"/>
              </w:rPr>
            </w:pPr>
            <w:r w:rsidRPr="004D4A14">
              <w:rPr>
                <w:rFonts w:cs="Times New Roman"/>
                <w:noProof/>
                <w:sz w:val="16"/>
                <w:szCs w:val="16"/>
              </w:rPr>
              <w:t>VVL regionas</w:t>
            </w:r>
          </w:p>
        </w:tc>
        <w:tc>
          <w:tcPr>
            <w:tcW w:w="1134" w:type="dxa"/>
            <w:vMerge/>
          </w:tcPr>
          <w:p w14:paraId="6ACE1AF2" w14:textId="77777777" w:rsidR="00B47068" w:rsidRPr="004D4A14" w:rsidRDefault="00B47068" w:rsidP="00B47068">
            <w:pPr>
              <w:jc w:val="center"/>
              <w:rPr>
                <w:rFonts w:cs="Times New Roman"/>
                <w:iCs/>
                <w:noProof/>
                <w:sz w:val="16"/>
                <w:szCs w:val="16"/>
              </w:rPr>
            </w:pPr>
          </w:p>
        </w:tc>
        <w:tc>
          <w:tcPr>
            <w:tcW w:w="3969" w:type="dxa"/>
            <w:vMerge/>
          </w:tcPr>
          <w:p w14:paraId="7FECB630" w14:textId="77777777" w:rsidR="00B47068" w:rsidRPr="004D4A14" w:rsidRDefault="00B47068" w:rsidP="00B47068">
            <w:pPr>
              <w:rPr>
                <w:rFonts w:cs="Times New Roman"/>
                <w:iCs/>
                <w:noProof/>
                <w:sz w:val="16"/>
                <w:szCs w:val="16"/>
              </w:rPr>
            </w:pPr>
          </w:p>
        </w:tc>
        <w:tc>
          <w:tcPr>
            <w:tcW w:w="1559" w:type="dxa"/>
            <w:tcBorders>
              <w:top w:val="single" w:sz="12" w:space="0" w:color="auto"/>
              <w:left w:val="single" w:sz="2" w:space="0" w:color="auto"/>
              <w:bottom w:val="single" w:sz="2" w:space="0" w:color="auto"/>
              <w:right w:val="single" w:sz="2" w:space="0" w:color="auto"/>
            </w:tcBorders>
          </w:tcPr>
          <w:p w14:paraId="37164E71" w14:textId="77777777" w:rsidR="00B47068" w:rsidRPr="004D4A14" w:rsidRDefault="00B47068" w:rsidP="00B47068">
            <w:pPr>
              <w:jc w:val="right"/>
              <w:rPr>
                <w:rFonts w:cs="Times New Roman"/>
                <w:sz w:val="16"/>
                <w:szCs w:val="16"/>
                <w:lang w:val="en-US"/>
              </w:rPr>
            </w:pPr>
            <w:r w:rsidRPr="004D4A14">
              <w:rPr>
                <w:rFonts w:cs="Times New Roman"/>
                <w:sz w:val="16"/>
                <w:szCs w:val="16"/>
                <w:lang w:val="en-US"/>
              </w:rPr>
              <w:t>11 690 250,00</w:t>
            </w:r>
          </w:p>
        </w:tc>
      </w:tr>
      <w:tr w:rsidR="00B47068" w:rsidRPr="004D4A14" w14:paraId="48571089" w14:textId="77777777" w:rsidTr="008E427B">
        <w:trPr>
          <w:trHeight w:val="300"/>
        </w:trPr>
        <w:tc>
          <w:tcPr>
            <w:tcW w:w="1140" w:type="dxa"/>
            <w:vMerge/>
          </w:tcPr>
          <w:p w14:paraId="4A1D6A42" w14:textId="77777777" w:rsidR="00B47068" w:rsidRPr="004D4A14" w:rsidRDefault="00B47068" w:rsidP="00B47068">
            <w:pPr>
              <w:jc w:val="center"/>
              <w:rPr>
                <w:rFonts w:cs="Times New Roman"/>
                <w:noProof/>
                <w:sz w:val="16"/>
                <w:szCs w:val="16"/>
              </w:rPr>
            </w:pPr>
          </w:p>
        </w:tc>
        <w:tc>
          <w:tcPr>
            <w:tcW w:w="915" w:type="dxa"/>
            <w:vMerge/>
          </w:tcPr>
          <w:p w14:paraId="65825099" w14:textId="77777777" w:rsidR="00B47068" w:rsidRPr="004D4A14" w:rsidRDefault="00B47068" w:rsidP="00B47068">
            <w:pPr>
              <w:jc w:val="center"/>
              <w:rPr>
                <w:rFonts w:cs="Times New Roman"/>
                <w:noProof/>
                <w:sz w:val="16"/>
                <w:szCs w:val="16"/>
              </w:rPr>
            </w:pPr>
          </w:p>
        </w:tc>
        <w:tc>
          <w:tcPr>
            <w:tcW w:w="1049" w:type="dxa"/>
            <w:tcBorders>
              <w:top w:val="single" w:sz="2" w:space="0" w:color="auto"/>
              <w:left w:val="single" w:sz="2" w:space="0" w:color="auto"/>
              <w:bottom w:val="single" w:sz="2" w:space="0" w:color="auto"/>
              <w:right w:val="single" w:sz="2" w:space="0" w:color="auto"/>
            </w:tcBorders>
          </w:tcPr>
          <w:p w14:paraId="535AE9A1" w14:textId="77777777" w:rsidR="00B47068" w:rsidRPr="004D4A14" w:rsidRDefault="00B47068" w:rsidP="00B47068">
            <w:pPr>
              <w:rPr>
                <w:rFonts w:cs="Times New Roman"/>
                <w:noProof/>
                <w:sz w:val="16"/>
                <w:szCs w:val="16"/>
              </w:rPr>
            </w:pPr>
            <w:r w:rsidRPr="004D4A14">
              <w:rPr>
                <w:rFonts w:cs="Times New Roman"/>
                <w:noProof/>
                <w:sz w:val="16"/>
                <w:szCs w:val="16"/>
              </w:rPr>
              <w:t>VVL regionas</w:t>
            </w:r>
          </w:p>
        </w:tc>
        <w:tc>
          <w:tcPr>
            <w:tcW w:w="1134" w:type="dxa"/>
            <w:vMerge/>
          </w:tcPr>
          <w:p w14:paraId="61C19C7A" w14:textId="77777777" w:rsidR="00B47068" w:rsidRPr="004D4A14" w:rsidRDefault="00B47068" w:rsidP="00B47068">
            <w:pPr>
              <w:jc w:val="center"/>
              <w:rPr>
                <w:rFonts w:cs="Times New Roman"/>
                <w:noProof/>
                <w:sz w:val="16"/>
                <w:szCs w:val="16"/>
              </w:rPr>
            </w:pPr>
          </w:p>
        </w:tc>
        <w:tc>
          <w:tcPr>
            <w:tcW w:w="3969" w:type="dxa"/>
            <w:tcBorders>
              <w:top w:val="single" w:sz="2" w:space="0" w:color="auto"/>
              <w:left w:val="single" w:sz="2" w:space="0" w:color="auto"/>
              <w:bottom w:val="single" w:sz="2" w:space="0" w:color="auto"/>
              <w:right w:val="single" w:sz="2" w:space="0" w:color="auto"/>
            </w:tcBorders>
          </w:tcPr>
          <w:p w14:paraId="5B9CF01A" w14:textId="77777777" w:rsidR="00B47068" w:rsidRPr="004D4A14" w:rsidDel="00AA781F" w:rsidRDefault="00B47068" w:rsidP="00B47068">
            <w:pPr>
              <w:rPr>
                <w:rFonts w:cs="Times New Roman"/>
                <w:iCs/>
                <w:noProof/>
                <w:sz w:val="16"/>
                <w:szCs w:val="16"/>
                <w:lang w:val="en-US"/>
              </w:rPr>
            </w:pPr>
            <w:r w:rsidRPr="004D4A14">
              <w:rPr>
                <w:rFonts w:cs="Times New Roman"/>
                <w:iCs/>
                <w:noProof/>
                <w:sz w:val="16"/>
                <w:szCs w:val="16"/>
                <w:lang w:val="en-US"/>
              </w:rPr>
              <w:t>198 – Gynybos infrastruktūra bei dvigubos paskirties infrastruktūros statyba ir modernizavimas, įskaitant karinį mobilumą</w:t>
            </w:r>
          </w:p>
        </w:tc>
        <w:tc>
          <w:tcPr>
            <w:tcW w:w="1559" w:type="dxa"/>
            <w:tcBorders>
              <w:top w:val="single" w:sz="2" w:space="0" w:color="auto"/>
              <w:left w:val="single" w:sz="2" w:space="0" w:color="auto"/>
              <w:bottom w:val="single" w:sz="2" w:space="0" w:color="auto"/>
              <w:right w:val="single" w:sz="2" w:space="0" w:color="auto"/>
            </w:tcBorders>
          </w:tcPr>
          <w:p w14:paraId="2EB3F1FC" w14:textId="77777777" w:rsidR="00B47068" w:rsidRPr="004D4A14" w:rsidDel="00A949B6" w:rsidRDefault="00B47068" w:rsidP="00B47068">
            <w:pPr>
              <w:jc w:val="right"/>
              <w:rPr>
                <w:rFonts w:cs="Times New Roman"/>
                <w:iCs/>
                <w:noProof/>
                <w:sz w:val="16"/>
                <w:szCs w:val="16"/>
              </w:rPr>
            </w:pPr>
            <w:r w:rsidRPr="004D4A14">
              <w:rPr>
                <w:rFonts w:cs="Times New Roman"/>
                <w:sz w:val="16"/>
                <w:szCs w:val="16"/>
              </w:rPr>
              <w:t>44 600 000,00</w:t>
            </w:r>
          </w:p>
        </w:tc>
      </w:tr>
    </w:tbl>
    <w:p w14:paraId="4F223641" w14:textId="77777777" w:rsidR="00B47068" w:rsidRPr="004D4A14" w:rsidRDefault="00B47068" w:rsidP="00B47068">
      <w:pPr>
        <w:spacing w:after="0" w:line="240" w:lineRule="auto"/>
        <w:rPr>
          <w:rFonts w:eastAsia="Times New Roman" w:cs="Arial"/>
          <w:iCs/>
          <w:noProof/>
          <w:sz w:val="20"/>
          <w:szCs w:val="20"/>
        </w:rPr>
      </w:pPr>
    </w:p>
    <w:tbl>
      <w:tblPr>
        <w:tblStyle w:val="Lentelstinklelis46"/>
        <w:tblW w:w="9747" w:type="dxa"/>
        <w:tblLayout w:type="fixed"/>
        <w:tblLook w:val="04A0" w:firstRow="1" w:lastRow="0" w:firstColumn="1" w:lastColumn="0" w:noHBand="0" w:noVBand="1"/>
      </w:tblPr>
      <w:tblGrid>
        <w:gridCol w:w="1140"/>
        <w:gridCol w:w="891"/>
        <w:gridCol w:w="1073"/>
        <w:gridCol w:w="1115"/>
        <w:gridCol w:w="3988"/>
        <w:gridCol w:w="1540"/>
      </w:tblGrid>
      <w:tr w:rsidR="00B47068" w:rsidRPr="004D4A14" w14:paraId="7ABF5193" w14:textId="77777777" w:rsidTr="008E427B">
        <w:trPr>
          <w:trHeight w:val="300"/>
        </w:trPr>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6E883753" w14:textId="77777777" w:rsidR="00B47068" w:rsidRPr="004D4A14" w:rsidRDefault="00B47068" w:rsidP="00B47068">
            <w:pPr>
              <w:rPr>
                <w:b/>
                <w:iCs/>
                <w:noProof/>
                <w:sz w:val="20"/>
                <w:szCs w:val="20"/>
              </w:rPr>
            </w:pPr>
            <w:r w:rsidRPr="004D4A14">
              <w:rPr>
                <w:b/>
                <w:noProof/>
                <w:sz w:val="20"/>
                <w:szCs w:val="20"/>
              </w:rPr>
              <w:t>5 lentelė. 2 matmuo. Finansavimo forma</w:t>
            </w:r>
          </w:p>
        </w:tc>
      </w:tr>
      <w:tr w:rsidR="00B47068" w:rsidRPr="004D4A14" w14:paraId="24AFB663" w14:textId="77777777" w:rsidTr="008E427B">
        <w:trPr>
          <w:trHeight w:val="300"/>
        </w:trPr>
        <w:tc>
          <w:tcPr>
            <w:tcW w:w="114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A9804C" w14:textId="77777777" w:rsidR="00B47068" w:rsidRPr="004D4A14" w:rsidRDefault="00B47068" w:rsidP="00B47068">
            <w:pPr>
              <w:jc w:val="center"/>
              <w:rPr>
                <w:b/>
                <w:iCs/>
                <w:noProof/>
                <w:sz w:val="16"/>
                <w:szCs w:val="16"/>
              </w:rPr>
            </w:pPr>
            <w:r w:rsidRPr="004D4A14">
              <w:rPr>
                <w:b/>
                <w:noProof/>
                <w:sz w:val="16"/>
                <w:szCs w:val="16"/>
              </w:rPr>
              <w:t>Prioriteto Nr.</w:t>
            </w:r>
          </w:p>
        </w:tc>
        <w:tc>
          <w:tcPr>
            <w:tcW w:w="89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9AB9BE2" w14:textId="77777777" w:rsidR="00B47068" w:rsidRPr="004D4A14" w:rsidRDefault="00B47068" w:rsidP="00B47068">
            <w:pPr>
              <w:jc w:val="center"/>
              <w:rPr>
                <w:b/>
                <w:iCs/>
                <w:noProof/>
                <w:sz w:val="16"/>
                <w:szCs w:val="16"/>
              </w:rPr>
            </w:pPr>
            <w:r w:rsidRPr="004D4A14">
              <w:rPr>
                <w:b/>
                <w:noProof/>
                <w:sz w:val="16"/>
                <w:szCs w:val="16"/>
              </w:rPr>
              <w:t>Fondas</w:t>
            </w:r>
          </w:p>
        </w:tc>
        <w:tc>
          <w:tcPr>
            <w:tcW w:w="107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787F064" w14:textId="77777777" w:rsidR="00B47068" w:rsidRPr="004D4A14" w:rsidRDefault="00B47068" w:rsidP="00B47068">
            <w:pPr>
              <w:jc w:val="center"/>
              <w:rPr>
                <w:b/>
                <w:iCs/>
                <w:noProof/>
                <w:sz w:val="16"/>
                <w:szCs w:val="16"/>
              </w:rPr>
            </w:pPr>
            <w:r w:rsidRPr="004D4A14">
              <w:rPr>
                <w:b/>
                <w:noProof/>
                <w:sz w:val="16"/>
                <w:szCs w:val="16"/>
              </w:rPr>
              <w:t>Regiono kategorija</w:t>
            </w:r>
          </w:p>
        </w:tc>
        <w:tc>
          <w:tcPr>
            <w:tcW w:w="111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51DE427" w14:textId="77777777" w:rsidR="00B47068" w:rsidRPr="004D4A14" w:rsidRDefault="00B47068" w:rsidP="00B47068">
            <w:pPr>
              <w:jc w:val="center"/>
              <w:rPr>
                <w:b/>
                <w:iCs/>
                <w:noProof/>
                <w:sz w:val="16"/>
                <w:szCs w:val="16"/>
              </w:rPr>
            </w:pPr>
            <w:r w:rsidRPr="004D4A14">
              <w:rPr>
                <w:b/>
                <w:noProof/>
                <w:sz w:val="16"/>
                <w:szCs w:val="16"/>
              </w:rPr>
              <w:t>Konkretus uždavinys</w:t>
            </w:r>
          </w:p>
        </w:tc>
        <w:tc>
          <w:tcPr>
            <w:tcW w:w="398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6C66C01" w14:textId="77777777" w:rsidR="00B47068" w:rsidRPr="004D4A14" w:rsidRDefault="00B47068" w:rsidP="00B47068">
            <w:pPr>
              <w:jc w:val="center"/>
              <w:rPr>
                <w:b/>
                <w:iCs/>
                <w:noProof/>
                <w:sz w:val="16"/>
                <w:szCs w:val="16"/>
              </w:rPr>
            </w:pPr>
            <w:r w:rsidRPr="004D4A14">
              <w:rPr>
                <w:b/>
                <w:noProof/>
                <w:sz w:val="16"/>
                <w:szCs w:val="16"/>
              </w:rPr>
              <w:t>Kodas</w:t>
            </w:r>
          </w:p>
        </w:tc>
        <w:tc>
          <w:tcPr>
            <w:tcW w:w="154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52A5946" w14:textId="77777777" w:rsidR="00B47068" w:rsidRPr="004D4A14" w:rsidRDefault="00B47068" w:rsidP="00B47068">
            <w:pPr>
              <w:jc w:val="center"/>
              <w:rPr>
                <w:b/>
                <w:iCs/>
                <w:noProof/>
                <w:sz w:val="16"/>
                <w:szCs w:val="16"/>
              </w:rPr>
            </w:pPr>
            <w:r w:rsidRPr="004D4A14">
              <w:rPr>
                <w:b/>
                <w:noProof/>
                <w:sz w:val="16"/>
                <w:szCs w:val="16"/>
              </w:rPr>
              <w:t>Suma (EUR)</w:t>
            </w:r>
          </w:p>
        </w:tc>
      </w:tr>
      <w:tr w:rsidR="00B47068" w:rsidRPr="004D4A14" w14:paraId="5746CAAF" w14:textId="77777777" w:rsidTr="008E427B">
        <w:trPr>
          <w:trHeight w:val="300"/>
        </w:trPr>
        <w:tc>
          <w:tcPr>
            <w:tcW w:w="1140" w:type="dxa"/>
            <w:vMerge w:val="restart"/>
            <w:tcBorders>
              <w:top w:val="single" w:sz="12" w:space="0" w:color="auto"/>
              <w:left w:val="single" w:sz="2" w:space="0" w:color="auto"/>
              <w:right w:val="single" w:sz="2" w:space="0" w:color="auto"/>
            </w:tcBorders>
          </w:tcPr>
          <w:p w14:paraId="03F4B349" w14:textId="77777777" w:rsidR="00B47068" w:rsidRPr="004D4A14" w:rsidRDefault="00B47068" w:rsidP="00B47068">
            <w:pPr>
              <w:jc w:val="center"/>
              <w:rPr>
                <w:iCs/>
                <w:noProof/>
                <w:sz w:val="16"/>
                <w:szCs w:val="16"/>
              </w:rPr>
            </w:pPr>
            <w:r w:rsidRPr="004D4A14">
              <w:rPr>
                <w:iCs/>
                <w:noProof/>
                <w:sz w:val="16"/>
                <w:szCs w:val="16"/>
              </w:rPr>
              <w:t>15</w:t>
            </w:r>
          </w:p>
        </w:tc>
        <w:tc>
          <w:tcPr>
            <w:tcW w:w="891" w:type="dxa"/>
            <w:vMerge w:val="restart"/>
            <w:tcBorders>
              <w:top w:val="single" w:sz="12" w:space="0" w:color="auto"/>
              <w:left w:val="single" w:sz="2" w:space="0" w:color="auto"/>
              <w:right w:val="single" w:sz="2" w:space="0" w:color="auto"/>
            </w:tcBorders>
          </w:tcPr>
          <w:p w14:paraId="5D8E974A" w14:textId="77777777" w:rsidR="00B47068" w:rsidRPr="004D4A14" w:rsidRDefault="00B47068" w:rsidP="00B47068">
            <w:pPr>
              <w:jc w:val="center"/>
              <w:rPr>
                <w:iCs/>
                <w:noProof/>
                <w:sz w:val="16"/>
                <w:szCs w:val="16"/>
              </w:rPr>
            </w:pPr>
            <w:r w:rsidRPr="004D4A14">
              <w:rPr>
                <w:iCs/>
                <w:noProof/>
                <w:sz w:val="16"/>
                <w:szCs w:val="16"/>
              </w:rPr>
              <w:t>ERPF</w:t>
            </w:r>
          </w:p>
        </w:tc>
        <w:tc>
          <w:tcPr>
            <w:tcW w:w="1073" w:type="dxa"/>
            <w:tcBorders>
              <w:top w:val="single" w:sz="12" w:space="0" w:color="auto"/>
              <w:left w:val="single" w:sz="2" w:space="0" w:color="auto"/>
              <w:bottom w:val="single" w:sz="2" w:space="0" w:color="auto"/>
              <w:right w:val="single" w:sz="2" w:space="0" w:color="auto"/>
            </w:tcBorders>
          </w:tcPr>
          <w:p w14:paraId="424ECC52" w14:textId="77777777" w:rsidR="00B47068" w:rsidRPr="004D4A14" w:rsidRDefault="00B47068" w:rsidP="00B47068">
            <w:pPr>
              <w:rPr>
                <w:iCs/>
                <w:noProof/>
                <w:sz w:val="16"/>
                <w:szCs w:val="16"/>
              </w:rPr>
            </w:pPr>
            <w:r w:rsidRPr="004D4A14">
              <w:rPr>
                <w:noProof/>
                <w:sz w:val="16"/>
                <w:szCs w:val="16"/>
              </w:rPr>
              <w:t>Sostinės regionas</w:t>
            </w:r>
          </w:p>
        </w:tc>
        <w:tc>
          <w:tcPr>
            <w:tcW w:w="1115" w:type="dxa"/>
            <w:vMerge w:val="restart"/>
            <w:tcBorders>
              <w:top w:val="single" w:sz="12" w:space="0" w:color="auto"/>
              <w:left w:val="single" w:sz="2" w:space="0" w:color="auto"/>
              <w:right w:val="single" w:sz="2" w:space="0" w:color="auto"/>
            </w:tcBorders>
          </w:tcPr>
          <w:p w14:paraId="640148D8" w14:textId="77777777" w:rsidR="00B47068" w:rsidRPr="004D4A14" w:rsidRDefault="00B47068" w:rsidP="00B47068">
            <w:pPr>
              <w:jc w:val="center"/>
              <w:rPr>
                <w:bCs/>
                <w:iCs/>
                <w:noProof/>
                <w:sz w:val="16"/>
                <w:szCs w:val="16"/>
              </w:rPr>
            </w:pPr>
            <w:r w:rsidRPr="004D4A14">
              <w:rPr>
                <w:bCs/>
                <w:iCs/>
                <w:noProof/>
                <w:sz w:val="16"/>
                <w:szCs w:val="16"/>
              </w:rPr>
              <w:t>15.1</w:t>
            </w:r>
          </w:p>
        </w:tc>
        <w:tc>
          <w:tcPr>
            <w:tcW w:w="3988" w:type="dxa"/>
            <w:vMerge w:val="restart"/>
            <w:tcBorders>
              <w:top w:val="single" w:sz="12" w:space="0" w:color="auto"/>
              <w:left w:val="single" w:sz="2" w:space="0" w:color="auto"/>
              <w:right w:val="single" w:sz="2" w:space="0" w:color="auto"/>
            </w:tcBorders>
          </w:tcPr>
          <w:p w14:paraId="20546541" w14:textId="77777777" w:rsidR="00B47068" w:rsidRPr="004D4A14" w:rsidRDefault="00B47068" w:rsidP="00B47068">
            <w:pPr>
              <w:rPr>
                <w:rFonts w:cs="Times New Roman"/>
                <w:bCs/>
                <w:iCs/>
                <w:noProof/>
                <w:sz w:val="16"/>
                <w:szCs w:val="16"/>
              </w:rPr>
            </w:pPr>
            <w:r w:rsidRPr="004D4A14">
              <w:rPr>
                <w:rFonts w:cs="Times New Roman"/>
                <w:iCs/>
                <w:noProof/>
                <w:sz w:val="16"/>
                <w:szCs w:val="16"/>
                <w:lang w:val="en-US"/>
              </w:rPr>
              <w:t>01 – Dotacija</w:t>
            </w:r>
          </w:p>
        </w:tc>
        <w:tc>
          <w:tcPr>
            <w:tcW w:w="1540" w:type="dxa"/>
            <w:tcBorders>
              <w:top w:val="single" w:sz="12" w:space="0" w:color="auto"/>
              <w:left w:val="single" w:sz="2" w:space="0" w:color="auto"/>
              <w:bottom w:val="single" w:sz="2" w:space="0" w:color="auto"/>
              <w:right w:val="single" w:sz="2" w:space="0" w:color="auto"/>
            </w:tcBorders>
          </w:tcPr>
          <w:p w14:paraId="60BD3FD5" w14:textId="77777777" w:rsidR="00B47068" w:rsidRPr="004D4A14" w:rsidRDefault="00B47068" w:rsidP="00B47068">
            <w:pPr>
              <w:jc w:val="right"/>
              <w:rPr>
                <w:rFonts w:cs="Times New Roman"/>
                <w:sz w:val="16"/>
                <w:szCs w:val="16"/>
              </w:rPr>
            </w:pPr>
            <w:r w:rsidRPr="004D4A14">
              <w:rPr>
                <w:sz w:val="16"/>
                <w:szCs w:val="16"/>
                <w:lang w:val="en-US"/>
              </w:rPr>
              <w:t>18 269 100,00</w:t>
            </w:r>
          </w:p>
        </w:tc>
      </w:tr>
      <w:tr w:rsidR="00B47068" w:rsidRPr="004D4A14" w14:paraId="33166485" w14:textId="77777777" w:rsidTr="008E427B">
        <w:trPr>
          <w:trHeight w:val="300"/>
        </w:trPr>
        <w:tc>
          <w:tcPr>
            <w:tcW w:w="1140" w:type="dxa"/>
            <w:vMerge/>
          </w:tcPr>
          <w:p w14:paraId="51DA8286" w14:textId="77777777" w:rsidR="00B47068" w:rsidRPr="004D4A14" w:rsidRDefault="00B47068" w:rsidP="00B47068">
            <w:pPr>
              <w:jc w:val="center"/>
              <w:rPr>
                <w:iCs/>
                <w:noProof/>
                <w:sz w:val="16"/>
                <w:szCs w:val="16"/>
              </w:rPr>
            </w:pPr>
          </w:p>
        </w:tc>
        <w:tc>
          <w:tcPr>
            <w:tcW w:w="891" w:type="dxa"/>
            <w:vMerge/>
          </w:tcPr>
          <w:p w14:paraId="46CE3E8C" w14:textId="77777777" w:rsidR="00B47068" w:rsidRPr="004D4A14" w:rsidRDefault="00B47068" w:rsidP="00B47068">
            <w:pPr>
              <w:jc w:val="center"/>
              <w:rPr>
                <w:iCs/>
                <w:noProof/>
                <w:sz w:val="16"/>
                <w:szCs w:val="16"/>
              </w:rPr>
            </w:pPr>
          </w:p>
        </w:tc>
        <w:tc>
          <w:tcPr>
            <w:tcW w:w="1073" w:type="dxa"/>
            <w:tcBorders>
              <w:top w:val="single" w:sz="2" w:space="0" w:color="auto"/>
              <w:left w:val="single" w:sz="2" w:space="0" w:color="auto"/>
              <w:bottom w:val="single" w:sz="2" w:space="0" w:color="auto"/>
              <w:right w:val="single" w:sz="2" w:space="0" w:color="auto"/>
            </w:tcBorders>
          </w:tcPr>
          <w:p w14:paraId="714261F7" w14:textId="77777777" w:rsidR="00B47068" w:rsidRPr="004D4A14" w:rsidRDefault="00B47068" w:rsidP="00B47068">
            <w:pPr>
              <w:rPr>
                <w:iCs/>
                <w:noProof/>
                <w:sz w:val="16"/>
                <w:szCs w:val="16"/>
              </w:rPr>
            </w:pPr>
            <w:r w:rsidRPr="004D4A14">
              <w:rPr>
                <w:noProof/>
                <w:sz w:val="16"/>
                <w:szCs w:val="16"/>
              </w:rPr>
              <w:t>VVL regionas</w:t>
            </w:r>
          </w:p>
        </w:tc>
        <w:tc>
          <w:tcPr>
            <w:tcW w:w="1115" w:type="dxa"/>
            <w:vMerge/>
          </w:tcPr>
          <w:p w14:paraId="1AB52A28" w14:textId="77777777" w:rsidR="00B47068" w:rsidRPr="004D4A14" w:rsidRDefault="00B47068" w:rsidP="00B47068">
            <w:pPr>
              <w:jc w:val="center"/>
              <w:rPr>
                <w:b/>
                <w:iCs/>
                <w:noProof/>
                <w:sz w:val="16"/>
                <w:szCs w:val="16"/>
              </w:rPr>
            </w:pPr>
          </w:p>
        </w:tc>
        <w:tc>
          <w:tcPr>
            <w:tcW w:w="3988" w:type="dxa"/>
            <w:vMerge/>
          </w:tcPr>
          <w:p w14:paraId="331F09E3" w14:textId="77777777" w:rsidR="00B47068" w:rsidRPr="004D4A14" w:rsidRDefault="00B47068" w:rsidP="00B47068">
            <w:pPr>
              <w:jc w:val="center"/>
              <w:rPr>
                <w:rFonts w:cs="Times New Roman"/>
                <w:bCs/>
                <w:iCs/>
                <w:noProof/>
                <w:sz w:val="16"/>
                <w:szCs w:val="16"/>
              </w:rPr>
            </w:pPr>
          </w:p>
        </w:tc>
        <w:tc>
          <w:tcPr>
            <w:tcW w:w="1540" w:type="dxa"/>
            <w:tcBorders>
              <w:top w:val="single" w:sz="2" w:space="0" w:color="auto"/>
              <w:left w:val="single" w:sz="2" w:space="0" w:color="auto"/>
              <w:bottom w:val="single" w:sz="2" w:space="0" w:color="auto"/>
              <w:right w:val="single" w:sz="2" w:space="0" w:color="auto"/>
            </w:tcBorders>
          </w:tcPr>
          <w:p w14:paraId="48CB1CA3" w14:textId="77777777" w:rsidR="00B47068" w:rsidRPr="004D4A14" w:rsidRDefault="00B47068" w:rsidP="00B47068">
            <w:pPr>
              <w:jc w:val="right"/>
              <w:rPr>
                <w:rFonts w:cs="Times New Roman"/>
                <w:sz w:val="16"/>
                <w:szCs w:val="16"/>
              </w:rPr>
            </w:pPr>
            <w:r w:rsidRPr="004D4A14">
              <w:rPr>
                <w:sz w:val="16"/>
                <w:szCs w:val="16"/>
              </w:rPr>
              <w:t>119 230 900,00</w:t>
            </w:r>
          </w:p>
        </w:tc>
      </w:tr>
    </w:tbl>
    <w:p w14:paraId="7D1B0AD8" w14:textId="77777777" w:rsidR="00B47068" w:rsidRPr="004D4A14" w:rsidRDefault="00B47068" w:rsidP="00B47068">
      <w:pPr>
        <w:spacing w:after="0" w:line="240" w:lineRule="auto"/>
        <w:rPr>
          <w:rFonts w:eastAsia="Times New Roman" w:cs="Arial"/>
          <w:iCs/>
          <w:noProof/>
          <w:sz w:val="20"/>
          <w:szCs w:val="20"/>
        </w:rPr>
      </w:pPr>
    </w:p>
    <w:tbl>
      <w:tblPr>
        <w:tblStyle w:val="Lentelstinklelis46"/>
        <w:tblW w:w="9766" w:type="dxa"/>
        <w:tblLook w:val="04A0" w:firstRow="1" w:lastRow="0" w:firstColumn="1" w:lastColumn="0" w:noHBand="0" w:noVBand="1"/>
      </w:tblPr>
      <w:tblGrid>
        <w:gridCol w:w="1089"/>
        <w:gridCol w:w="930"/>
        <w:gridCol w:w="1085"/>
        <w:gridCol w:w="1134"/>
        <w:gridCol w:w="3969"/>
        <w:gridCol w:w="1559"/>
      </w:tblGrid>
      <w:tr w:rsidR="00B47068" w:rsidRPr="004D4A14" w14:paraId="5C35A39C" w14:textId="77777777" w:rsidTr="008E427B">
        <w:trPr>
          <w:trHeight w:val="300"/>
        </w:trPr>
        <w:tc>
          <w:tcPr>
            <w:tcW w:w="9766"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17BFA15" w14:textId="77777777" w:rsidR="00B47068" w:rsidRPr="004D4A14" w:rsidRDefault="00B47068" w:rsidP="00B47068">
            <w:pPr>
              <w:rPr>
                <w:b/>
                <w:iCs/>
                <w:noProof/>
                <w:sz w:val="20"/>
                <w:szCs w:val="20"/>
              </w:rPr>
            </w:pPr>
            <w:r w:rsidRPr="004D4A14">
              <w:rPr>
                <w:b/>
                <w:noProof/>
                <w:sz w:val="20"/>
                <w:szCs w:val="20"/>
              </w:rPr>
              <w:t>6 lentelė. 3 matmuo. Teritorinis įgyvendinimo mechanizmas ir pagrindinė teritorinė sritis</w:t>
            </w:r>
          </w:p>
        </w:tc>
      </w:tr>
      <w:tr w:rsidR="00B47068" w:rsidRPr="004D4A14" w14:paraId="0884FF50" w14:textId="77777777" w:rsidTr="008E427B">
        <w:trPr>
          <w:trHeight w:val="300"/>
        </w:trPr>
        <w:tc>
          <w:tcPr>
            <w:tcW w:w="108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0D2896B" w14:textId="77777777" w:rsidR="00B47068" w:rsidRPr="004D4A14" w:rsidRDefault="00B47068" w:rsidP="00B47068">
            <w:pPr>
              <w:jc w:val="center"/>
              <w:rPr>
                <w:b/>
                <w:iCs/>
                <w:noProof/>
                <w:sz w:val="16"/>
                <w:szCs w:val="16"/>
              </w:rPr>
            </w:pPr>
            <w:r w:rsidRPr="004D4A14">
              <w:rPr>
                <w:b/>
                <w:noProof/>
                <w:sz w:val="16"/>
                <w:szCs w:val="16"/>
              </w:rPr>
              <w:t>Prioriteto Nr.</w:t>
            </w:r>
          </w:p>
        </w:tc>
        <w:tc>
          <w:tcPr>
            <w:tcW w:w="93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EE7701" w14:textId="77777777" w:rsidR="00B47068" w:rsidRPr="004D4A14" w:rsidRDefault="00B47068" w:rsidP="00B47068">
            <w:pPr>
              <w:jc w:val="center"/>
              <w:rPr>
                <w:b/>
                <w:iCs/>
                <w:noProof/>
                <w:sz w:val="16"/>
                <w:szCs w:val="16"/>
              </w:rPr>
            </w:pPr>
            <w:r w:rsidRPr="004D4A14">
              <w:rPr>
                <w:b/>
                <w:noProof/>
                <w:sz w:val="16"/>
                <w:szCs w:val="16"/>
              </w:rPr>
              <w:t>Fondas</w:t>
            </w:r>
          </w:p>
        </w:tc>
        <w:tc>
          <w:tcPr>
            <w:tcW w:w="108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5856DB" w14:textId="77777777" w:rsidR="00B47068" w:rsidRPr="004D4A14" w:rsidRDefault="00B47068" w:rsidP="00B47068">
            <w:pPr>
              <w:jc w:val="center"/>
              <w:rPr>
                <w:b/>
                <w:iCs/>
                <w:noProof/>
                <w:sz w:val="16"/>
                <w:szCs w:val="16"/>
              </w:rPr>
            </w:pPr>
            <w:r w:rsidRPr="004D4A14">
              <w:rPr>
                <w:b/>
                <w:noProof/>
                <w:sz w:val="16"/>
                <w:szCs w:val="16"/>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208BBD7" w14:textId="77777777" w:rsidR="00B47068" w:rsidRPr="004D4A14" w:rsidRDefault="00B47068" w:rsidP="00B47068">
            <w:pPr>
              <w:jc w:val="center"/>
              <w:rPr>
                <w:b/>
                <w:iCs/>
                <w:noProof/>
                <w:sz w:val="16"/>
                <w:szCs w:val="16"/>
              </w:rPr>
            </w:pPr>
            <w:r w:rsidRPr="004D4A14">
              <w:rPr>
                <w:b/>
                <w:noProof/>
                <w:sz w:val="16"/>
                <w:szCs w:val="16"/>
              </w:rPr>
              <w:t>Konkretus uždavinys</w:t>
            </w:r>
          </w:p>
        </w:tc>
        <w:tc>
          <w:tcPr>
            <w:tcW w:w="39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41B0E5C" w14:textId="77777777" w:rsidR="00B47068" w:rsidRPr="004D4A14" w:rsidRDefault="00B47068" w:rsidP="00B47068">
            <w:pPr>
              <w:jc w:val="center"/>
              <w:rPr>
                <w:b/>
                <w:iCs/>
                <w:noProof/>
                <w:sz w:val="16"/>
                <w:szCs w:val="16"/>
              </w:rPr>
            </w:pPr>
            <w:r w:rsidRPr="004D4A14">
              <w:rPr>
                <w:b/>
                <w:noProof/>
                <w:sz w:val="16"/>
                <w:szCs w:val="16"/>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029E70" w14:textId="77777777" w:rsidR="00B47068" w:rsidRPr="004D4A14" w:rsidRDefault="00B47068" w:rsidP="00B47068">
            <w:pPr>
              <w:jc w:val="center"/>
              <w:rPr>
                <w:b/>
                <w:iCs/>
                <w:noProof/>
                <w:sz w:val="16"/>
                <w:szCs w:val="16"/>
              </w:rPr>
            </w:pPr>
            <w:r w:rsidRPr="004D4A14">
              <w:rPr>
                <w:b/>
                <w:noProof/>
                <w:sz w:val="16"/>
                <w:szCs w:val="16"/>
              </w:rPr>
              <w:t>Suma (EUR)</w:t>
            </w:r>
          </w:p>
        </w:tc>
      </w:tr>
      <w:tr w:rsidR="00B47068" w:rsidRPr="004D4A14" w14:paraId="79B522AC" w14:textId="77777777" w:rsidTr="008E427B">
        <w:trPr>
          <w:trHeight w:val="303"/>
        </w:trPr>
        <w:tc>
          <w:tcPr>
            <w:tcW w:w="1089" w:type="dxa"/>
            <w:vMerge w:val="restart"/>
            <w:tcBorders>
              <w:top w:val="single" w:sz="2" w:space="0" w:color="auto"/>
              <w:left w:val="single" w:sz="2" w:space="0" w:color="auto"/>
              <w:right w:val="single" w:sz="2" w:space="0" w:color="auto"/>
            </w:tcBorders>
          </w:tcPr>
          <w:p w14:paraId="7143649F" w14:textId="77777777" w:rsidR="00B47068" w:rsidRPr="004D4A14" w:rsidRDefault="00B47068" w:rsidP="00B47068">
            <w:pPr>
              <w:jc w:val="center"/>
              <w:rPr>
                <w:iCs/>
                <w:noProof/>
                <w:sz w:val="16"/>
                <w:szCs w:val="16"/>
              </w:rPr>
            </w:pPr>
            <w:r w:rsidRPr="004D4A14">
              <w:rPr>
                <w:iCs/>
                <w:noProof/>
                <w:sz w:val="16"/>
                <w:szCs w:val="16"/>
              </w:rPr>
              <w:t>15</w:t>
            </w:r>
          </w:p>
        </w:tc>
        <w:tc>
          <w:tcPr>
            <w:tcW w:w="930" w:type="dxa"/>
            <w:vMerge w:val="restart"/>
            <w:tcBorders>
              <w:top w:val="single" w:sz="2" w:space="0" w:color="auto"/>
              <w:left w:val="single" w:sz="2" w:space="0" w:color="auto"/>
              <w:right w:val="single" w:sz="2" w:space="0" w:color="auto"/>
            </w:tcBorders>
          </w:tcPr>
          <w:p w14:paraId="41780952" w14:textId="77777777" w:rsidR="00B47068" w:rsidRPr="004D4A14" w:rsidRDefault="00B47068" w:rsidP="00B47068">
            <w:pPr>
              <w:jc w:val="center"/>
              <w:rPr>
                <w:iCs/>
                <w:noProof/>
                <w:sz w:val="16"/>
                <w:szCs w:val="16"/>
              </w:rPr>
            </w:pPr>
            <w:r w:rsidRPr="004D4A14">
              <w:rPr>
                <w:iCs/>
                <w:noProof/>
                <w:sz w:val="16"/>
                <w:szCs w:val="16"/>
              </w:rPr>
              <w:t>ERPF</w:t>
            </w:r>
          </w:p>
        </w:tc>
        <w:tc>
          <w:tcPr>
            <w:tcW w:w="1085" w:type="dxa"/>
            <w:tcBorders>
              <w:top w:val="single" w:sz="2" w:space="0" w:color="auto"/>
              <w:left w:val="single" w:sz="2" w:space="0" w:color="auto"/>
              <w:bottom w:val="single" w:sz="2" w:space="0" w:color="auto"/>
              <w:right w:val="single" w:sz="2" w:space="0" w:color="auto"/>
            </w:tcBorders>
          </w:tcPr>
          <w:p w14:paraId="350A5573" w14:textId="77777777" w:rsidR="00B47068" w:rsidRPr="004D4A14" w:rsidRDefault="00B47068" w:rsidP="00B47068">
            <w:pPr>
              <w:rPr>
                <w:noProof/>
                <w:sz w:val="16"/>
                <w:szCs w:val="16"/>
              </w:rPr>
            </w:pPr>
            <w:r w:rsidRPr="004D4A14">
              <w:rPr>
                <w:noProof/>
                <w:sz w:val="16"/>
                <w:szCs w:val="16"/>
              </w:rPr>
              <w:t>Sostinės regionas</w:t>
            </w:r>
          </w:p>
        </w:tc>
        <w:tc>
          <w:tcPr>
            <w:tcW w:w="1134" w:type="dxa"/>
            <w:vMerge w:val="restart"/>
          </w:tcPr>
          <w:p w14:paraId="687CDB44" w14:textId="77777777" w:rsidR="00B47068" w:rsidRPr="004D4A14" w:rsidRDefault="00B47068" w:rsidP="00B47068">
            <w:pPr>
              <w:jc w:val="center"/>
              <w:rPr>
                <w:bCs/>
                <w:iCs/>
                <w:noProof/>
                <w:sz w:val="16"/>
                <w:szCs w:val="16"/>
              </w:rPr>
            </w:pPr>
            <w:r w:rsidRPr="004D4A14">
              <w:rPr>
                <w:bCs/>
                <w:iCs/>
                <w:noProof/>
                <w:sz w:val="16"/>
                <w:szCs w:val="16"/>
              </w:rPr>
              <w:t>15.1</w:t>
            </w:r>
          </w:p>
        </w:tc>
        <w:tc>
          <w:tcPr>
            <w:tcW w:w="3969" w:type="dxa"/>
            <w:vMerge w:val="restart"/>
          </w:tcPr>
          <w:p w14:paraId="18F4AC47" w14:textId="77777777" w:rsidR="00B47068" w:rsidRPr="004D4A14" w:rsidRDefault="00B47068" w:rsidP="00B47068">
            <w:pPr>
              <w:rPr>
                <w:rFonts w:cs="Times New Roman"/>
                <w:iCs/>
                <w:noProof/>
                <w:sz w:val="16"/>
                <w:szCs w:val="16"/>
                <w:lang w:val="en-US"/>
              </w:rPr>
            </w:pPr>
            <w:r w:rsidRPr="004D4A14">
              <w:rPr>
                <w:rFonts w:cs="Times New Roman"/>
                <w:iCs/>
                <w:noProof/>
                <w:sz w:val="16"/>
                <w:szCs w:val="16"/>
                <w:lang w:val="en-US"/>
              </w:rPr>
              <w:t>10 – Miestai, miesteliai ir priemiesčiai</w:t>
            </w:r>
          </w:p>
        </w:tc>
        <w:tc>
          <w:tcPr>
            <w:tcW w:w="1559" w:type="dxa"/>
            <w:tcBorders>
              <w:top w:val="single" w:sz="2" w:space="0" w:color="auto"/>
              <w:left w:val="single" w:sz="2" w:space="0" w:color="auto"/>
              <w:bottom w:val="single" w:sz="2" w:space="0" w:color="auto"/>
              <w:right w:val="single" w:sz="2" w:space="0" w:color="auto"/>
            </w:tcBorders>
          </w:tcPr>
          <w:p w14:paraId="7D81DAD5" w14:textId="77777777" w:rsidR="00B47068" w:rsidRPr="004D4A14" w:rsidRDefault="00B47068" w:rsidP="00B47068">
            <w:pPr>
              <w:jc w:val="right"/>
              <w:rPr>
                <w:sz w:val="16"/>
                <w:szCs w:val="16"/>
                <w:lang w:val="en-US"/>
              </w:rPr>
            </w:pPr>
            <w:r w:rsidRPr="004D4A14">
              <w:rPr>
                <w:sz w:val="16"/>
                <w:szCs w:val="16"/>
                <w:lang w:val="en-US"/>
              </w:rPr>
              <w:t>51 000,00</w:t>
            </w:r>
          </w:p>
        </w:tc>
      </w:tr>
      <w:tr w:rsidR="00B47068" w:rsidRPr="004D4A14" w14:paraId="15118777" w14:textId="77777777" w:rsidTr="008E427B">
        <w:trPr>
          <w:trHeight w:val="303"/>
        </w:trPr>
        <w:tc>
          <w:tcPr>
            <w:tcW w:w="1089" w:type="dxa"/>
            <w:vMerge/>
          </w:tcPr>
          <w:p w14:paraId="35002615" w14:textId="77777777" w:rsidR="00B47068" w:rsidRPr="004D4A14" w:rsidRDefault="00B47068" w:rsidP="00B47068">
            <w:pPr>
              <w:jc w:val="center"/>
              <w:rPr>
                <w:iCs/>
                <w:noProof/>
                <w:sz w:val="16"/>
                <w:szCs w:val="16"/>
              </w:rPr>
            </w:pPr>
          </w:p>
        </w:tc>
        <w:tc>
          <w:tcPr>
            <w:tcW w:w="930" w:type="dxa"/>
            <w:vMerge/>
          </w:tcPr>
          <w:p w14:paraId="61C1C85F" w14:textId="77777777" w:rsidR="00B47068" w:rsidRPr="004D4A14" w:rsidRDefault="00B47068" w:rsidP="00B47068">
            <w:pPr>
              <w:jc w:val="center"/>
              <w:rPr>
                <w:iCs/>
                <w:noProof/>
                <w:sz w:val="16"/>
                <w:szCs w:val="16"/>
              </w:rPr>
            </w:pPr>
          </w:p>
        </w:tc>
        <w:tc>
          <w:tcPr>
            <w:tcW w:w="1085" w:type="dxa"/>
            <w:tcBorders>
              <w:top w:val="single" w:sz="2" w:space="0" w:color="auto"/>
              <w:left w:val="single" w:sz="2" w:space="0" w:color="auto"/>
              <w:bottom w:val="single" w:sz="2" w:space="0" w:color="auto"/>
              <w:right w:val="single" w:sz="2" w:space="0" w:color="auto"/>
            </w:tcBorders>
          </w:tcPr>
          <w:p w14:paraId="6230CF0F" w14:textId="77777777" w:rsidR="00B47068" w:rsidRPr="004D4A14" w:rsidRDefault="00B47068" w:rsidP="00B47068">
            <w:pPr>
              <w:rPr>
                <w:noProof/>
                <w:sz w:val="16"/>
                <w:szCs w:val="16"/>
              </w:rPr>
            </w:pPr>
            <w:r w:rsidRPr="004D4A14">
              <w:rPr>
                <w:noProof/>
                <w:sz w:val="16"/>
                <w:szCs w:val="16"/>
              </w:rPr>
              <w:t>VVL regionas</w:t>
            </w:r>
          </w:p>
        </w:tc>
        <w:tc>
          <w:tcPr>
            <w:tcW w:w="1134" w:type="dxa"/>
            <w:vMerge/>
          </w:tcPr>
          <w:p w14:paraId="05845788" w14:textId="77777777" w:rsidR="00B47068" w:rsidRPr="004D4A14" w:rsidRDefault="00B47068" w:rsidP="00B47068">
            <w:pPr>
              <w:jc w:val="center"/>
              <w:rPr>
                <w:bCs/>
                <w:iCs/>
                <w:noProof/>
                <w:sz w:val="16"/>
                <w:szCs w:val="16"/>
              </w:rPr>
            </w:pPr>
          </w:p>
        </w:tc>
        <w:tc>
          <w:tcPr>
            <w:tcW w:w="3969" w:type="dxa"/>
            <w:vMerge/>
          </w:tcPr>
          <w:p w14:paraId="411EB128" w14:textId="77777777" w:rsidR="00B47068" w:rsidRPr="004D4A14" w:rsidRDefault="00B47068" w:rsidP="00B47068">
            <w:pPr>
              <w:rPr>
                <w:rFonts w:cs="Times New Roman"/>
                <w:iCs/>
                <w:noProof/>
                <w:sz w:val="16"/>
                <w:szCs w:val="16"/>
                <w:lang w:val="en-US"/>
              </w:rPr>
            </w:pPr>
          </w:p>
        </w:tc>
        <w:tc>
          <w:tcPr>
            <w:tcW w:w="1559" w:type="dxa"/>
            <w:tcBorders>
              <w:top w:val="single" w:sz="2" w:space="0" w:color="auto"/>
              <w:left w:val="single" w:sz="2" w:space="0" w:color="auto"/>
              <w:bottom w:val="single" w:sz="2" w:space="0" w:color="auto"/>
              <w:right w:val="single" w:sz="2" w:space="0" w:color="auto"/>
            </w:tcBorders>
          </w:tcPr>
          <w:p w14:paraId="517F2093" w14:textId="77777777" w:rsidR="00B47068" w:rsidRPr="004D4A14" w:rsidRDefault="00B47068" w:rsidP="00B47068">
            <w:pPr>
              <w:jc w:val="right"/>
              <w:rPr>
                <w:sz w:val="16"/>
                <w:szCs w:val="16"/>
                <w:lang w:val="en-US"/>
              </w:rPr>
            </w:pPr>
            <w:r w:rsidRPr="004D4A14">
              <w:rPr>
                <w:sz w:val="16"/>
                <w:szCs w:val="16"/>
                <w:lang w:val="en-US"/>
              </w:rPr>
              <w:t>769 000,00</w:t>
            </w:r>
          </w:p>
        </w:tc>
      </w:tr>
      <w:tr w:rsidR="00B47068" w:rsidRPr="004D4A14" w14:paraId="3AE3CDE4" w14:textId="77777777" w:rsidTr="008E427B">
        <w:trPr>
          <w:trHeight w:val="303"/>
        </w:trPr>
        <w:tc>
          <w:tcPr>
            <w:tcW w:w="1089" w:type="dxa"/>
            <w:vMerge/>
          </w:tcPr>
          <w:p w14:paraId="5C868E76" w14:textId="77777777" w:rsidR="00B47068" w:rsidRPr="004D4A14" w:rsidRDefault="00B47068" w:rsidP="00B47068">
            <w:pPr>
              <w:jc w:val="center"/>
              <w:rPr>
                <w:iCs/>
                <w:noProof/>
                <w:sz w:val="16"/>
                <w:szCs w:val="16"/>
              </w:rPr>
            </w:pPr>
          </w:p>
        </w:tc>
        <w:tc>
          <w:tcPr>
            <w:tcW w:w="930" w:type="dxa"/>
            <w:vMerge/>
          </w:tcPr>
          <w:p w14:paraId="3114217B" w14:textId="77777777" w:rsidR="00B47068" w:rsidRPr="004D4A14" w:rsidRDefault="00B47068" w:rsidP="00B47068">
            <w:pPr>
              <w:jc w:val="center"/>
              <w:rPr>
                <w:iCs/>
                <w:noProof/>
                <w:sz w:val="16"/>
                <w:szCs w:val="16"/>
              </w:rPr>
            </w:pPr>
          </w:p>
        </w:tc>
        <w:tc>
          <w:tcPr>
            <w:tcW w:w="1085" w:type="dxa"/>
            <w:tcBorders>
              <w:top w:val="single" w:sz="2" w:space="0" w:color="auto"/>
              <w:left w:val="single" w:sz="2" w:space="0" w:color="auto"/>
              <w:bottom w:val="single" w:sz="2" w:space="0" w:color="auto"/>
              <w:right w:val="single" w:sz="2" w:space="0" w:color="auto"/>
            </w:tcBorders>
          </w:tcPr>
          <w:p w14:paraId="6C5532A3" w14:textId="77777777" w:rsidR="00B47068" w:rsidRPr="004D4A14" w:rsidRDefault="00B47068" w:rsidP="00B47068">
            <w:pPr>
              <w:rPr>
                <w:iCs/>
                <w:noProof/>
                <w:sz w:val="16"/>
                <w:szCs w:val="16"/>
              </w:rPr>
            </w:pPr>
            <w:r w:rsidRPr="004D4A14">
              <w:rPr>
                <w:noProof/>
                <w:sz w:val="16"/>
                <w:szCs w:val="16"/>
              </w:rPr>
              <w:t>Sostinės regionas</w:t>
            </w:r>
          </w:p>
        </w:tc>
        <w:tc>
          <w:tcPr>
            <w:tcW w:w="1134" w:type="dxa"/>
            <w:vMerge/>
          </w:tcPr>
          <w:p w14:paraId="1B8497F2" w14:textId="77777777" w:rsidR="00B47068" w:rsidRPr="004D4A14" w:rsidRDefault="00B47068" w:rsidP="00B47068">
            <w:pPr>
              <w:jc w:val="center"/>
              <w:rPr>
                <w:bCs/>
                <w:iCs/>
                <w:noProof/>
                <w:sz w:val="16"/>
                <w:szCs w:val="16"/>
              </w:rPr>
            </w:pPr>
          </w:p>
        </w:tc>
        <w:tc>
          <w:tcPr>
            <w:tcW w:w="3969" w:type="dxa"/>
            <w:vMerge w:val="restart"/>
          </w:tcPr>
          <w:p w14:paraId="48C5D4CA" w14:textId="77777777" w:rsidR="00B47068" w:rsidRPr="004D4A14" w:rsidRDefault="00B47068" w:rsidP="00B47068">
            <w:pPr>
              <w:rPr>
                <w:rFonts w:cs="Times New Roman"/>
                <w:bCs/>
                <w:iCs/>
                <w:noProof/>
                <w:sz w:val="16"/>
                <w:szCs w:val="16"/>
              </w:rPr>
            </w:pPr>
            <w:r w:rsidRPr="004D4A14">
              <w:rPr>
                <w:rFonts w:cs="Times New Roman"/>
                <w:iCs/>
                <w:noProof/>
                <w:sz w:val="16"/>
                <w:szCs w:val="16"/>
                <w:lang w:val="en-US"/>
              </w:rPr>
              <w:t>33 – Nesiorientuojant į teritoriškumą</w:t>
            </w:r>
          </w:p>
        </w:tc>
        <w:tc>
          <w:tcPr>
            <w:tcW w:w="1559" w:type="dxa"/>
            <w:tcBorders>
              <w:top w:val="single" w:sz="2" w:space="0" w:color="auto"/>
              <w:left w:val="single" w:sz="2" w:space="0" w:color="auto"/>
              <w:bottom w:val="single" w:sz="2" w:space="0" w:color="auto"/>
              <w:right w:val="single" w:sz="2" w:space="0" w:color="auto"/>
            </w:tcBorders>
          </w:tcPr>
          <w:p w14:paraId="688113DC" w14:textId="77777777" w:rsidR="00B47068" w:rsidRPr="004D4A14" w:rsidRDefault="00B47068" w:rsidP="00B47068">
            <w:pPr>
              <w:jc w:val="right"/>
              <w:rPr>
                <w:rFonts w:cs="Times New Roman"/>
                <w:sz w:val="16"/>
                <w:szCs w:val="16"/>
              </w:rPr>
            </w:pPr>
            <w:r w:rsidRPr="004D4A14">
              <w:rPr>
                <w:sz w:val="16"/>
                <w:szCs w:val="16"/>
                <w:lang w:val="en-US"/>
              </w:rPr>
              <w:t>18 218 100,00</w:t>
            </w:r>
          </w:p>
        </w:tc>
      </w:tr>
      <w:tr w:rsidR="00B47068" w:rsidRPr="004D4A14" w14:paraId="2EAD689C" w14:textId="77777777" w:rsidTr="008E427B">
        <w:trPr>
          <w:trHeight w:val="303"/>
        </w:trPr>
        <w:tc>
          <w:tcPr>
            <w:tcW w:w="1089" w:type="dxa"/>
            <w:vMerge/>
          </w:tcPr>
          <w:p w14:paraId="505E7E0B" w14:textId="77777777" w:rsidR="00B47068" w:rsidRPr="004D4A14" w:rsidRDefault="00B47068" w:rsidP="00B47068">
            <w:pPr>
              <w:jc w:val="center"/>
              <w:rPr>
                <w:iCs/>
                <w:noProof/>
                <w:sz w:val="16"/>
                <w:szCs w:val="16"/>
              </w:rPr>
            </w:pPr>
          </w:p>
        </w:tc>
        <w:tc>
          <w:tcPr>
            <w:tcW w:w="930" w:type="dxa"/>
            <w:vMerge/>
          </w:tcPr>
          <w:p w14:paraId="54163A25" w14:textId="77777777" w:rsidR="00B47068" w:rsidRPr="004D4A14" w:rsidRDefault="00B47068" w:rsidP="00B47068">
            <w:pPr>
              <w:jc w:val="center"/>
              <w:rPr>
                <w:iCs/>
                <w:noProof/>
                <w:sz w:val="16"/>
                <w:szCs w:val="16"/>
              </w:rPr>
            </w:pPr>
          </w:p>
        </w:tc>
        <w:tc>
          <w:tcPr>
            <w:tcW w:w="1085" w:type="dxa"/>
            <w:tcBorders>
              <w:top w:val="single" w:sz="2" w:space="0" w:color="auto"/>
              <w:left w:val="single" w:sz="2" w:space="0" w:color="auto"/>
              <w:bottom w:val="single" w:sz="2" w:space="0" w:color="auto"/>
              <w:right w:val="single" w:sz="2" w:space="0" w:color="auto"/>
            </w:tcBorders>
          </w:tcPr>
          <w:p w14:paraId="73C18896" w14:textId="77777777" w:rsidR="00B47068" w:rsidRPr="004D4A14" w:rsidRDefault="00B47068" w:rsidP="00B47068">
            <w:pPr>
              <w:rPr>
                <w:iCs/>
                <w:noProof/>
                <w:sz w:val="16"/>
                <w:szCs w:val="16"/>
              </w:rPr>
            </w:pPr>
            <w:r w:rsidRPr="004D4A14">
              <w:rPr>
                <w:noProof/>
                <w:sz w:val="16"/>
                <w:szCs w:val="16"/>
              </w:rPr>
              <w:t>VVL regionas</w:t>
            </w:r>
          </w:p>
        </w:tc>
        <w:tc>
          <w:tcPr>
            <w:tcW w:w="1134" w:type="dxa"/>
            <w:vMerge/>
          </w:tcPr>
          <w:p w14:paraId="62A1D8F4" w14:textId="77777777" w:rsidR="00B47068" w:rsidRPr="004D4A14" w:rsidRDefault="00B47068" w:rsidP="00B47068">
            <w:pPr>
              <w:jc w:val="center"/>
              <w:rPr>
                <w:b/>
                <w:iCs/>
                <w:noProof/>
                <w:sz w:val="16"/>
                <w:szCs w:val="16"/>
              </w:rPr>
            </w:pPr>
          </w:p>
        </w:tc>
        <w:tc>
          <w:tcPr>
            <w:tcW w:w="3969" w:type="dxa"/>
            <w:vMerge/>
          </w:tcPr>
          <w:p w14:paraId="760CE938" w14:textId="77777777" w:rsidR="00B47068" w:rsidRPr="004D4A14" w:rsidRDefault="00B47068" w:rsidP="00B47068">
            <w:pPr>
              <w:rPr>
                <w:rFonts w:cs="Times New Roman"/>
                <w:iCs/>
                <w:noProof/>
                <w:sz w:val="16"/>
                <w:szCs w:val="16"/>
                <w:lang w:val="en-US"/>
              </w:rPr>
            </w:pPr>
          </w:p>
        </w:tc>
        <w:tc>
          <w:tcPr>
            <w:tcW w:w="1559" w:type="dxa"/>
            <w:tcBorders>
              <w:top w:val="single" w:sz="2" w:space="0" w:color="auto"/>
              <w:left w:val="single" w:sz="2" w:space="0" w:color="auto"/>
              <w:bottom w:val="single" w:sz="2" w:space="0" w:color="auto"/>
              <w:right w:val="single" w:sz="2" w:space="0" w:color="auto"/>
            </w:tcBorders>
          </w:tcPr>
          <w:p w14:paraId="685C0EB7" w14:textId="77777777" w:rsidR="00B47068" w:rsidRPr="004D4A14" w:rsidRDefault="00B47068" w:rsidP="00B47068">
            <w:pPr>
              <w:jc w:val="right"/>
              <w:rPr>
                <w:rFonts w:cs="Times New Roman"/>
                <w:sz w:val="16"/>
                <w:szCs w:val="16"/>
              </w:rPr>
            </w:pPr>
            <w:r w:rsidRPr="004D4A14">
              <w:rPr>
                <w:sz w:val="16"/>
                <w:szCs w:val="16"/>
              </w:rPr>
              <w:t>118 461 900,00</w:t>
            </w:r>
          </w:p>
        </w:tc>
      </w:tr>
    </w:tbl>
    <w:p w14:paraId="4D92F240" w14:textId="77777777" w:rsidR="00B47068" w:rsidRPr="004D4A14" w:rsidRDefault="00B47068" w:rsidP="00B47068">
      <w:pPr>
        <w:spacing w:after="0"/>
        <w:rPr>
          <w:rFonts w:eastAsia="Times New Roman" w:cs="Arial"/>
        </w:rPr>
      </w:pPr>
    </w:p>
    <w:tbl>
      <w:tblPr>
        <w:tblStyle w:val="Lentelstinklelis30"/>
        <w:tblW w:w="9747" w:type="dxa"/>
        <w:tblLook w:val="04A0" w:firstRow="1" w:lastRow="0" w:firstColumn="1" w:lastColumn="0" w:noHBand="0" w:noVBand="1"/>
      </w:tblPr>
      <w:tblGrid>
        <w:gridCol w:w="1101"/>
        <w:gridCol w:w="915"/>
        <w:gridCol w:w="1069"/>
        <w:gridCol w:w="1134"/>
        <w:gridCol w:w="4021"/>
        <w:gridCol w:w="1507"/>
      </w:tblGrid>
      <w:tr w:rsidR="00B47068" w:rsidRPr="004D4A14" w14:paraId="3C297A75" w14:textId="77777777" w:rsidTr="008E427B">
        <w:trPr>
          <w:trHeight w:val="300"/>
        </w:trPr>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9646954" w14:textId="77777777" w:rsidR="00B47068" w:rsidRPr="004D4A14" w:rsidRDefault="00B47068" w:rsidP="00B47068">
            <w:pPr>
              <w:rPr>
                <w:rFonts w:cs="Arial"/>
                <w:b/>
                <w:iCs/>
                <w:noProof/>
                <w:sz w:val="20"/>
                <w:szCs w:val="20"/>
              </w:rPr>
            </w:pPr>
            <w:r w:rsidRPr="004D4A14">
              <w:rPr>
                <w:rFonts w:cs="Arial"/>
                <w:b/>
                <w:noProof/>
                <w:sz w:val="20"/>
                <w:szCs w:val="20"/>
              </w:rPr>
              <w:t xml:space="preserve">7 lentelė. 7 matmuo. </w:t>
            </w:r>
            <w:r w:rsidRPr="004D4A14">
              <w:rPr>
                <w:rFonts w:cs="Arial"/>
                <w:b/>
                <w:sz w:val="20"/>
                <w:szCs w:val="20"/>
              </w:rPr>
              <w:t xml:space="preserve">ESF+, ERPF, </w:t>
            </w:r>
            <w:proofErr w:type="spellStart"/>
            <w:r w:rsidRPr="004D4A14">
              <w:rPr>
                <w:rFonts w:cs="Arial"/>
                <w:b/>
                <w:sz w:val="20"/>
                <w:szCs w:val="20"/>
              </w:rPr>
              <w:t>SaF</w:t>
            </w:r>
            <w:proofErr w:type="spellEnd"/>
            <w:r w:rsidRPr="004D4A14">
              <w:rPr>
                <w:rFonts w:cs="Arial"/>
                <w:b/>
                <w:sz w:val="20"/>
                <w:szCs w:val="20"/>
              </w:rPr>
              <w:t xml:space="preserve"> ir TPF lyčių lygybės matmuo</w:t>
            </w:r>
          </w:p>
        </w:tc>
      </w:tr>
      <w:tr w:rsidR="00B47068" w:rsidRPr="004D4A14" w14:paraId="1BF5037B" w14:textId="77777777" w:rsidTr="008E427B">
        <w:trPr>
          <w:trHeight w:val="300"/>
        </w:trPr>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E4BA429" w14:textId="77777777" w:rsidR="00B47068" w:rsidRPr="004D4A14" w:rsidRDefault="00B47068" w:rsidP="00B47068">
            <w:pPr>
              <w:jc w:val="center"/>
              <w:rPr>
                <w:rFonts w:cs="Arial"/>
                <w:b/>
                <w:iCs/>
                <w:noProof/>
                <w:sz w:val="16"/>
                <w:szCs w:val="16"/>
              </w:rPr>
            </w:pPr>
            <w:r w:rsidRPr="004D4A14">
              <w:rPr>
                <w:rFonts w:cs="Arial"/>
                <w:b/>
                <w:noProof/>
                <w:sz w:val="16"/>
                <w:szCs w:val="16"/>
              </w:rPr>
              <w:t>Prioriteto Nr.</w:t>
            </w:r>
          </w:p>
        </w:tc>
        <w:tc>
          <w:tcPr>
            <w:tcW w:w="91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6E58193" w14:textId="77777777" w:rsidR="00B47068" w:rsidRPr="004D4A14" w:rsidRDefault="00B47068" w:rsidP="00B47068">
            <w:pPr>
              <w:jc w:val="center"/>
              <w:rPr>
                <w:rFonts w:cs="Arial"/>
                <w:b/>
                <w:iCs/>
                <w:noProof/>
                <w:sz w:val="16"/>
                <w:szCs w:val="16"/>
              </w:rPr>
            </w:pPr>
            <w:r w:rsidRPr="004D4A14">
              <w:rPr>
                <w:rFonts w:cs="Arial"/>
                <w:b/>
                <w:noProof/>
                <w:sz w:val="16"/>
                <w:szCs w:val="16"/>
              </w:rPr>
              <w:t>Fondas</w:t>
            </w:r>
          </w:p>
        </w:tc>
        <w:tc>
          <w:tcPr>
            <w:tcW w:w="10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DA8C596" w14:textId="77777777" w:rsidR="00B47068" w:rsidRPr="004D4A14" w:rsidRDefault="00B47068" w:rsidP="00B47068">
            <w:pPr>
              <w:jc w:val="center"/>
              <w:rPr>
                <w:rFonts w:cs="Arial"/>
                <w:b/>
                <w:iCs/>
                <w:noProof/>
                <w:sz w:val="16"/>
                <w:szCs w:val="16"/>
              </w:rPr>
            </w:pPr>
            <w:r w:rsidRPr="004D4A14">
              <w:rPr>
                <w:rFonts w:cs="Arial"/>
                <w:b/>
                <w:noProof/>
                <w:sz w:val="16"/>
                <w:szCs w:val="16"/>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EB0D586" w14:textId="77777777" w:rsidR="00B47068" w:rsidRPr="004D4A14" w:rsidRDefault="00B47068" w:rsidP="00B47068">
            <w:pPr>
              <w:jc w:val="center"/>
              <w:rPr>
                <w:rFonts w:cs="Arial"/>
                <w:b/>
                <w:iCs/>
                <w:noProof/>
                <w:sz w:val="16"/>
                <w:szCs w:val="16"/>
              </w:rPr>
            </w:pPr>
            <w:r w:rsidRPr="004D4A14">
              <w:rPr>
                <w:rFonts w:cs="Arial"/>
                <w:b/>
                <w:noProof/>
                <w:sz w:val="16"/>
                <w:szCs w:val="16"/>
              </w:rPr>
              <w:t>Konkretus uždavinys</w:t>
            </w:r>
          </w:p>
        </w:tc>
        <w:tc>
          <w:tcPr>
            <w:tcW w:w="402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0FC3AD7" w14:textId="77777777" w:rsidR="00B47068" w:rsidRPr="004D4A14" w:rsidRDefault="00B47068" w:rsidP="00B47068">
            <w:pPr>
              <w:jc w:val="center"/>
              <w:rPr>
                <w:rFonts w:cs="Arial"/>
                <w:b/>
                <w:iCs/>
                <w:noProof/>
                <w:sz w:val="16"/>
                <w:szCs w:val="16"/>
              </w:rPr>
            </w:pPr>
            <w:r w:rsidRPr="004D4A14">
              <w:rPr>
                <w:rFonts w:cs="Arial"/>
                <w:b/>
                <w:noProof/>
                <w:sz w:val="16"/>
                <w:szCs w:val="16"/>
              </w:rPr>
              <w:t>Kodas</w:t>
            </w:r>
          </w:p>
        </w:tc>
        <w:tc>
          <w:tcPr>
            <w:tcW w:w="150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76A16AE" w14:textId="77777777" w:rsidR="00B47068" w:rsidRPr="004D4A14" w:rsidRDefault="00B47068" w:rsidP="00B47068">
            <w:pPr>
              <w:jc w:val="center"/>
              <w:rPr>
                <w:rFonts w:cs="Arial"/>
                <w:b/>
                <w:iCs/>
                <w:noProof/>
                <w:sz w:val="16"/>
                <w:szCs w:val="16"/>
              </w:rPr>
            </w:pPr>
            <w:r w:rsidRPr="004D4A14">
              <w:rPr>
                <w:rFonts w:cs="Arial"/>
                <w:b/>
                <w:noProof/>
                <w:sz w:val="16"/>
                <w:szCs w:val="16"/>
              </w:rPr>
              <w:t>Suma (EUR)</w:t>
            </w:r>
          </w:p>
        </w:tc>
      </w:tr>
      <w:tr w:rsidR="00B47068" w:rsidRPr="004D4A14" w14:paraId="6B06AD67" w14:textId="77777777" w:rsidTr="008E427B">
        <w:trPr>
          <w:trHeight w:val="300"/>
        </w:trPr>
        <w:tc>
          <w:tcPr>
            <w:tcW w:w="1101" w:type="dxa"/>
            <w:vMerge w:val="restart"/>
            <w:tcBorders>
              <w:top w:val="single" w:sz="12" w:space="0" w:color="auto"/>
            </w:tcBorders>
          </w:tcPr>
          <w:p w14:paraId="2193393D" w14:textId="77777777" w:rsidR="00B47068" w:rsidRPr="004D4A14" w:rsidRDefault="00B47068" w:rsidP="00B47068">
            <w:pPr>
              <w:jc w:val="center"/>
              <w:rPr>
                <w:rFonts w:cs="Arial"/>
                <w:iCs/>
                <w:noProof/>
                <w:sz w:val="16"/>
                <w:szCs w:val="16"/>
              </w:rPr>
            </w:pPr>
            <w:r w:rsidRPr="004D4A14">
              <w:rPr>
                <w:rFonts w:cs="Arial"/>
                <w:iCs/>
                <w:noProof/>
                <w:sz w:val="16"/>
                <w:szCs w:val="16"/>
              </w:rPr>
              <w:t>15</w:t>
            </w:r>
          </w:p>
        </w:tc>
        <w:tc>
          <w:tcPr>
            <w:tcW w:w="915" w:type="dxa"/>
            <w:vMerge w:val="restart"/>
            <w:tcBorders>
              <w:top w:val="single" w:sz="12" w:space="0" w:color="auto"/>
            </w:tcBorders>
          </w:tcPr>
          <w:p w14:paraId="28078B70" w14:textId="77777777" w:rsidR="00B47068" w:rsidRPr="004D4A14" w:rsidRDefault="00B47068" w:rsidP="00B47068">
            <w:pPr>
              <w:jc w:val="center"/>
              <w:rPr>
                <w:rFonts w:cs="Arial"/>
                <w:iCs/>
                <w:noProof/>
                <w:sz w:val="16"/>
                <w:szCs w:val="16"/>
              </w:rPr>
            </w:pPr>
            <w:r w:rsidRPr="004D4A14">
              <w:rPr>
                <w:rFonts w:cs="Arial"/>
                <w:iCs/>
                <w:noProof/>
                <w:sz w:val="16"/>
                <w:szCs w:val="16"/>
              </w:rPr>
              <w:t>ERPF</w:t>
            </w:r>
          </w:p>
        </w:tc>
        <w:tc>
          <w:tcPr>
            <w:tcW w:w="1069" w:type="dxa"/>
            <w:tcBorders>
              <w:top w:val="single" w:sz="2" w:space="0" w:color="auto"/>
              <w:left w:val="single" w:sz="2" w:space="0" w:color="auto"/>
              <w:bottom w:val="single" w:sz="2" w:space="0" w:color="auto"/>
              <w:right w:val="single" w:sz="2" w:space="0" w:color="auto"/>
            </w:tcBorders>
          </w:tcPr>
          <w:p w14:paraId="447D1CF5" w14:textId="77777777" w:rsidR="00B47068" w:rsidRPr="004D4A14" w:rsidRDefault="00B47068" w:rsidP="00B47068">
            <w:pPr>
              <w:rPr>
                <w:rFonts w:cs="Arial"/>
                <w:iCs/>
                <w:noProof/>
                <w:sz w:val="16"/>
                <w:szCs w:val="16"/>
              </w:rPr>
            </w:pPr>
            <w:r w:rsidRPr="004D4A14">
              <w:rPr>
                <w:rFonts w:cs="Arial"/>
                <w:noProof/>
                <w:sz w:val="16"/>
                <w:szCs w:val="16"/>
              </w:rPr>
              <w:t>Sostinės regionas</w:t>
            </w:r>
          </w:p>
        </w:tc>
        <w:tc>
          <w:tcPr>
            <w:tcW w:w="1134" w:type="dxa"/>
            <w:vMerge w:val="restart"/>
            <w:tcBorders>
              <w:top w:val="single" w:sz="12" w:space="0" w:color="auto"/>
            </w:tcBorders>
          </w:tcPr>
          <w:p w14:paraId="0ECCB19B" w14:textId="77777777" w:rsidR="00B47068" w:rsidRPr="004D4A14" w:rsidRDefault="00B47068" w:rsidP="00B47068">
            <w:pPr>
              <w:jc w:val="center"/>
              <w:rPr>
                <w:rFonts w:cs="Arial"/>
                <w:iCs/>
                <w:noProof/>
                <w:sz w:val="16"/>
                <w:szCs w:val="16"/>
              </w:rPr>
            </w:pPr>
            <w:r w:rsidRPr="004D4A14">
              <w:rPr>
                <w:rFonts w:cs="Arial"/>
                <w:iCs/>
                <w:noProof/>
                <w:sz w:val="16"/>
                <w:szCs w:val="16"/>
              </w:rPr>
              <w:t>15.1</w:t>
            </w:r>
          </w:p>
        </w:tc>
        <w:tc>
          <w:tcPr>
            <w:tcW w:w="4021" w:type="dxa"/>
            <w:vMerge w:val="restart"/>
            <w:tcBorders>
              <w:top w:val="single" w:sz="12" w:space="0" w:color="auto"/>
            </w:tcBorders>
          </w:tcPr>
          <w:p w14:paraId="5DC64F8A" w14:textId="77777777" w:rsidR="00B47068" w:rsidRPr="004D4A14" w:rsidRDefault="00B47068" w:rsidP="00B47068">
            <w:pPr>
              <w:rPr>
                <w:rFonts w:cs="Arial"/>
                <w:iCs/>
                <w:noProof/>
                <w:sz w:val="16"/>
                <w:szCs w:val="16"/>
              </w:rPr>
            </w:pPr>
            <w:r w:rsidRPr="004D4A14">
              <w:rPr>
                <w:rFonts w:cs="Arial"/>
                <w:iCs/>
                <w:noProof/>
                <w:sz w:val="16"/>
                <w:szCs w:val="16"/>
              </w:rPr>
              <w:t>03 – Neutralumas lyties požiūriu</w:t>
            </w:r>
          </w:p>
        </w:tc>
        <w:tc>
          <w:tcPr>
            <w:tcW w:w="1507" w:type="dxa"/>
            <w:tcBorders>
              <w:top w:val="single" w:sz="2" w:space="0" w:color="auto"/>
              <w:left w:val="single" w:sz="2" w:space="0" w:color="auto"/>
              <w:bottom w:val="single" w:sz="2" w:space="0" w:color="auto"/>
              <w:right w:val="single" w:sz="2" w:space="0" w:color="auto"/>
            </w:tcBorders>
          </w:tcPr>
          <w:p w14:paraId="1BE63EDF" w14:textId="77777777" w:rsidR="00B47068" w:rsidRPr="004D4A14" w:rsidRDefault="00B47068" w:rsidP="00B47068">
            <w:pPr>
              <w:jc w:val="right"/>
              <w:rPr>
                <w:rFonts w:cs="Arial"/>
                <w:iCs/>
                <w:noProof/>
                <w:sz w:val="16"/>
                <w:szCs w:val="16"/>
              </w:rPr>
            </w:pPr>
            <w:r w:rsidRPr="004D4A14">
              <w:rPr>
                <w:rFonts w:cs="Arial"/>
                <w:sz w:val="16"/>
                <w:szCs w:val="16"/>
                <w:lang w:val="en-US"/>
              </w:rPr>
              <w:t>18 269 100,00</w:t>
            </w:r>
          </w:p>
        </w:tc>
      </w:tr>
      <w:tr w:rsidR="00B47068" w:rsidRPr="004D4A14" w14:paraId="250EBAF0" w14:textId="77777777" w:rsidTr="008E427B">
        <w:trPr>
          <w:trHeight w:val="300"/>
        </w:trPr>
        <w:tc>
          <w:tcPr>
            <w:tcW w:w="1101" w:type="dxa"/>
            <w:vMerge/>
          </w:tcPr>
          <w:p w14:paraId="7A3731B0" w14:textId="77777777" w:rsidR="00B47068" w:rsidRPr="004D4A14" w:rsidRDefault="00B47068" w:rsidP="00B47068">
            <w:pPr>
              <w:jc w:val="center"/>
              <w:rPr>
                <w:rFonts w:cs="Arial"/>
                <w:iCs/>
                <w:noProof/>
                <w:sz w:val="16"/>
                <w:szCs w:val="16"/>
              </w:rPr>
            </w:pPr>
          </w:p>
        </w:tc>
        <w:tc>
          <w:tcPr>
            <w:tcW w:w="915" w:type="dxa"/>
            <w:vMerge/>
          </w:tcPr>
          <w:p w14:paraId="327A3515" w14:textId="77777777" w:rsidR="00B47068" w:rsidRPr="004D4A14" w:rsidRDefault="00B47068" w:rsidP="00B47068">
            <w:pPr>
              <w:jc w:val="center"/>
              <w:rPr>
                <w:rFonts w:cs="Arial"/>
                <w:iCs/>
                <w:noProof/>
                <w:sz w:val="16"/>
                <w:szCs w:val="16"/>
              </w:rPr>
            </w:pPr>
          </w:p>
        </w:tc>
        <w:tc>
          <w:tcPr>
            <w:tcW w:w="1069" w:type="dxa"/>
            <w:tcBorders>
              <w:top w:val="single" w:sz="2" w:space="0" w:color="auto"/>
              <w:bottom w:val="single" w:sz="2" w:space="0" w:color="auto"/>
            </w:tcBorders>
          </w:tcPr>
          <w:p w14:paraId="1553421F" w14:textId="77777777" w:rsidR="00B47068" w:rsidRPr="004D4A14" w:rsidRDefault="00B47068" w:rsidP="00B47068">
            <w:pPr>
              <w:rPr>
                <w:rFonts w:cs="Arial"/>
                <w:iCs/>
                <w:noProof/>
                <w:sz w:val="16"/>
                <w:szCs w:val="16"/>
              </w:rPr>
            </w:pPr>
            <w:r w:rsidRPr="004D4A14">
              <w:rPr>
                <w:rFonts w:cs="Arial"/>
                <w:noProof/>
                <w:sz w:val="16"/>
                <w:szCs w:val="16"/>
              </w:rPr>
              <w:t>VVL regionas</w:t>
            </w:r>
          </w:p>
        </w:tc>
        <w:tc>
          <w:tcPr>
            <w:tcW w:w="1134" w:type="dxa"/>
            <w:vMerge/>
          </w:tcPr>
          <w:p w14:paraId="361C4A6C" w14:textId="77777777" w:rsidR="00B47068" w:rsidRPr="004D4A14" w:rsidRDefault="00B47068" w:rsidP="00B47068">
            <w:pPr>
              <w:jc w:val="center"/>
              <w:rPr>
                <w:rFonts w:cs="Arial"/>
                <w:iCs/>
                <w:noProof/>
                <w:sz w:val="16"/>
                <w:szCs w:val="16"/>
              </w:rPr>
            </w:pPr>
          </w:p>
        </w:tc>
        <w:tc>
          <w:tcPr>
            <w:tcW w:w="4021" w:type="dxa"/>
            <w:vMerge/>
          </w:tcPr>
          <w:p w14:paraId="765FDCAF" w14:textId="77777777" w:rsidR="00B47068" w:rsidRPr="004D4A14" w:rsidRDefault="00B47068" w:rsidP="00B47068">
            <w:pPr>
              <w:rPr>
                <w:rFonts w:cs="Arial"/>
                <w:iCs/>
                <w:noProof/>
                <w:sz w:val="16"/>
                <w:szCs w:val="16"/>
              </w:rPr>
            </w:pPr>
          </w:p>
        </w:tc>
        <w:tc>
          <w:tcPr>
            <w:tcW w:w="1507" w:type="dxa"/>
            <w:tcBorders>
              <w:top w:val="single" w:sz="2" w:space="0" w:color="auto"/>
              <w:bottom w:val="single" w:sz="2" w:space="0" w:color="auto"/>
              <w:right w:val="single" w:sz="2" w:space="0" w:color="auto"/>
            </w:tcBorders>
          </w:tcPr>
          <w:p w14:paraId="56A22267" w14:textId="77777777" w:rsidR="00B47068" w:rsidRPr="004D4A14" w:rsidRDefault="00B47068" w:rsidP="00B47068">
            <w:pPr>
              <w:jc w:val="right"/>
              <w:rPr>
                <w:rFonts w:cs="Arial"/>
                <w:iCs/>
                <w:noProof/>
                <w:sz w:val="16"/>
                <w:szCs w:val="16"/>
              </w:rPr>
            </w:pPr>
            <w:r w:rsidRPr="004D4A14">
              <w:rPr>
                <w:rFonts w:cs="Arial"/>
                <w:sz w:val="16"/>
                <w:szCs w:val="16"/>
              </w:rPr>
              <w:t>119 230 900,00</w:t>
            </w:r>
          </w:p>
        </w:tc>
      </w:tr>
    </w:tbl>
    <w:p w14:paraId="03AEFD7A" w14:textId="041ABFE8" w:rsidR="00B47068" w:rsidRPr="004D4A14" w:rsidRDefault="00B47068" w:rsidP="00B47068">
      <w:pPr>
        <w:tabs>
          <w:tab w:val="center" w:pos="4819"/>
          <w:tab w:val="right" w:pos="9638"/>
        </w:tabs>
        <w:spacing w:before="120" w:after="120" w:line="240" w:lineRule="auto"/>
        <w:rPr>
          <w:rFonts w:eastAsia="Times New Roman" w:cs="Arial"/>
        </w:rPr>
      </w:pPr>
    </w:p>
    <w:p w14:paraId="1140D165" w14:textId="77777777" w:rsidR="00B47068" w:rsidRPr="004D4A14" w:rsidRDefault="00B47068">
      <w:pPr>
        <w:rPr>
          <w:rFonts w:eastAsia="Times New Roman" w:cs="Arial"/>
        </w:rPr>
      </w:pPr>
      <w:r w:rsidRPr="004D4A14">
        <w:rPr>
          <w:rFonts w:eastAsia="Times New Roman" w:cs="Arial"/>
        </w:rPr>
        <w:br w:type="page"/>
      </w:r>
    </w:p>
    <w:p w14:paraId="029152F1" w14:textId="77777777" w:rsidR="0073561C" w:rsidRPr="004D4A14" w:rsidRDefault="0073561C" w:rsidP="0073561C">
      <w:pPr>
        <w:keepNext/>
        <w:keepLines/>
        <w:spacing w:before="480" w:after="0"/>
        <w:jc w:val="both"/>
        <w:outlineLvl w:val="0"/>
        <w:rPr>
          <w:rFonts w:asciiTheme="majorHAnsi" w:eastAsiaTheme="majorEastAsia" w:hAnsiTheme="majorHAnsi" w:cs="Times New Roman"/>
          <w:b/>
          <w:bCs/>
          <w:caps/>
          <w:color w:val="365F91" w:themeColor="accent1" w:themeShade="BF"/>
          <w:sz w:val="28"/>
          <w:szCs w:val="28"/>
        </w:rPr>
      </w:pPr>
      <w:r w:rsidRPr="004D4A14">
        <w:rPr>
          <w:rFonts w:asciiTheme="majorHAnsi" w:eastAsiaTheme="majorEastAsia" w:hAnsiTheme="majorHAnsi" w:cs="Times New Roman"/>
          <w:b/>
          <w:bCs/>
          <w:caps/>
          <w:color w:val="365F91" w:themeColor="accent1" w:themeShade="BF"/>
          <w:sz w:val="28"/>
          <w:szCs w:val="28"/>
        </w:rPr>
        <w:lastRenderedPageBreak/>
        <w:t>16. specialus prioritetas. Civilinės parengties įgūdžių, rengiantis ekstremaliosioms situacijoms ir grėsmėms, stiprinimaS</w:t>
      </w:r>
    </w:p>
    <w:p w14:paraId="1C27A36C" w14:textId="77777777" w:rsidR="0073561C" w:rsidRPr="004D4A14" w:rsidRDefault="0073561C" w:rsidP="0073561C">
      <w:pPr>
        <w:keepNext/>
        <w:keepLines/>
        <w:spacing w:before="200" w:after="0"/>
        <w:jc w:val="both"/>
        <w:outlineLvl w:val="1"/>
        <w:rPr>
          <w:rFonts w:asciiTheme="majorHAnsi" w:eastAsiaTheme="majorEastAsia" w:hAnsiTheme="majorHAnsi" w:cs="Times New Roman"/>
          <w:b/>
          <w:bCs/>
          <w:color w:val="EE0000"/>
          <w:sz w:val="26"/>
          <w:szCs w:val="26"/>
        </w:rPr>
      </w:pPr>
      <w:r w:rsidRPr="004D4A14">
        <w:rPr>
          <w:rFonts w:asciiTheme="majorHAnsi" w:eastAsiaTheme="majorEastAsia" w:hAnsiTheme="majorHAnsi" w:cs="Times New Roman"/>
          <w:b/>
          <w:bCs/>
          <w:color w:val="4F81BD" w:themeColor="accent1"/>
          <w:sz w:val="26"/>
          <w:szCs w:val="26"/>
        </w:rPr>
        <w:t>Konkretus uždavinys – 16.1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p>
    <w:p w14:paraId="37B51EBC" w14:textId="77777777" w:rsidR="0073561C" w:rsidRPr="004D4A14" w:rsidRDefault="0073561C" w:rsidP="0073561C">
      <w:pPr>
        <w:tabs>
          <w:tab w:val="center" w:pos="4819"/>
          <w:tab w:val="right" w:pos="9638"/>
        </w:tabs>
        <w:spacing w:before="120" w:after="120" w:line="240" w:lineRule="auto"/>
        <w:rPr>
          <w:rFonts w:eastAsia="Times New Roman" w:cs="Arial"/>
          <w:b/>
          <w:i/>
          <w:color w:val="1F497D" w:themeColor="text2"/>
        </w:rPr>
      </w:pPr>
      <w:r w:rsidRPr="004D4A14">
        <w:rPr>
          <w:rFonts w:eastAsia="Times New Roman" w:cs="Arial"/>
          <w:b/>
          <w:i/>
          <w:color w:val="1F497D" w:themeColor="text2"/>
        </w:rPr>
        <w:t>Įgyvendinamos veiklos</w:t>
      </w:r>
    </w:p>
    <w:tbl>
      <w:tblPr>
        <w:tblStyle w:val="Lentelstinklelis211"/>
        <w:tblW w:w="9634" w:type="dxa"/>
        <w:tblLook w:val="04A0" w:firstRow="1" w:lastRow="0" w:firstColumn="1" w:lastColumn="0" w:noHBand="0" w:noVBand="1"/>
      </w:tblPr>
      <w:tblGrid>
        <w:gridCol w:w="9634"/>
      </w:tblGrid>
      <w:tr w:rsidR="0073561C" w:rsidRPr="004D4A14" w14:paraId="3E6919D9" w14:textId="77777777" w:rsidTr="00A606E0">
        <w:trPr>
          <w:trHeight w:val="283"/>
        </w:trPr>
        <w:tc>
          <w:tcPr>
            <w:tcW w:w="9634" w:type="dxa"/>
          </w:tcPr>
          <w:p w14:paraId="5E8A6AF6" w14:textId="77777777" w:rsidR="00F93BEE" w:rsidRPr="004D4A14" w:rsidRDefault="00F93BEE" w:rsidP="00F93BEE">
            <w:pPr>
              <w:spacing w:before="120"/>
              <w:jc w:val="both"/>
              <w:rPr>
                <w:rFonts w:ascii="Times New Roman" w:hAnsi="Times New Roman" w:cs="Times New Roman"/>
              </w:rPr>
            </w:pPr>
            <w:r w:rsidRPr="004D4A14">
              <w:rPr>
                <w:rFonts w:ascii="Times New Roman" w:hAnsi="Times New Roman" w:cs="Times New Roman"/>
              </w:rPr>
              <w:t>Uždavinio veiklos orientuotos į civilinės saugos įgūdžių stiprinimą Lietuvoje, derinant sveikatos priežiūros specialistų profesinių kompetencijų didinimą ir gyventojų parengtį ekstremaliosioms situacijoms. Tokiu būdu siekiama užtikrinti, kad kilus krizėms ar konflikto grėsmėms, būtų išlaikytas sveikatos sistemos veiklos tęstinumas, o gyventojai turėtų praktinių įgūdžių savarankiškai ir koordinuotai reaguoti į įvairias grėsmes. </w:t>
            </w:r>
          </w:p>
          <w:p w14:paraId="7F363B3A" w14:textId="77777777" w:rsidR="00F93BEE" w:rsidRPr="004D4A14" w:rsidRDefault="00F93BEE" w:rsidP="00F93BEE">
            <w:pPr>
              <w:spacing w:before="120"/>
              <w:jc w:val="both"/>
              <w:rPr>
                <w:rFonts w:ascii="Times New Roman" w:hAnsi="Times New Roman" w:cs="Times New Roman"/>
              </w:rPr>
            </w:pPr>
            <w:r w:rsidRPr="004D4A14">
              <w:rPr>
                <w:rFonts w:ascii="Times New Roman" w:hAnsi="Times New Roman" w:cs="Times New Roman"/>
              </w:rPr>
              <w:t>Ekstremaliosios situacijos, įvairių krizių ar konflikto atveju medicinos personalas susidurtų su dideliais iššūkiais atliepiant reikiamų sveikatos priežiūros paslaugų teikimo poreikį ir mastą. Trys didžiosios pastarųjų metų krizės (COVID-19 pandemija, migracijos krizė Baltarusijos pasienyje bei karas Ukrainoje) parodė medicinos personalo, gebančio operatyviai ir koordinuotai teikti asmens sveikatos priežiūros paslaugas, svarbą. Siekiant išlaikyti reikiamą sveikatos priežiūros paslaugų apimtį, kokybę, efektyvumą ir mastą, būtina planuoti ir numatyti specifinius mokymus kompetencijų ir įgūdžių didinimui. Keičiantis geopolitinei situacijai bei atsižvelgiant į Ukrainos patirtį, kritiškai svarbu tinkamai paruošti medicinos darbuotojus, gebančius operatyviai ir koordinuotai teikti asmens sveikatos priežiūros paslaugas ekstremaliosios situacijos, krizių ar konflikto atvejais. Šiuo metu sveikatos priežiūros specialistus ruošiančios universitetų programos neapima specifinių žinių, kurios yra kritinės organizuojant medicininį evakavimą, pažangų traumų valdymą ar reikiamus chirurginius įgūdžius. Ypač svarbios tampa taktinės medicinos bei šiuolaikinių pirmosios pagalbos principų mišrių traumų atveju žinios bei įgūdžiai sveikatos priežiūros specialistams. Krizių, ekstremaliosios situacijos ar konflikto metu labai svarbi savanorių pagalba teikiant pirmąją pagalbą, pirmąją psichologinę pagalbą. Todėl būtina plėtoti specialistų ir gyventojų mokymosi visą gyvenimą galimybes, siekiant atliepti naujus gebėjimų poreikius – stiprinti pasirengimą krizių grėsmėms ir kitiems pavojams.  </w:t>
            </w:r>
          </w:p>
          <w:p w14:paraId="5E8B146F" w14:textId="77777777" w:rsidR="00F93BEE" w:rsidRPr="004D4A14" w:rsidRDefault="00F93BEE" w:rsidP="00F93BEE">
            <w:pPr>
              <w:spacing w:before="120"/>
              <w:jc w:val="both"/>
              <w:rPr>
                <w:rFonts w:ascii="Times New Roman" w:hAnsi="Times New Roman" w:cs="Times New Roman"/>
              </w:rPr>
            </w:pPr>
            <w:r w:rsidRPr="004D4A14">
              <w:rPr>
                <w:rFonts w:ascii="Times New Roman" w:hAnsi="Times New Roman" w:cs="Times New Roman"/>
              </w:rPr>
              <w:t>Civilinės saugos įgūdžiai aktualūs visiems gyventojams, tačiau ypatingą reikšmę jie turi socialiai pažeidžiamoms ir socialinę riziką patiriančioms grupėms, kurios dažnai turi mažiau galimybių gauti tinkamą informaciją ir įgyti praktinių įgūdžių. Atsižvelgiant į tai, numatoma veikla per vietos plėtros strategijas, skirta vietos gyventojų civilinės parengties ir civilinės saugos įgūdžių stiprinimui. </w:t>
            </w:r>
          </w:p>
          <w:p w14:paraId="189BC39D" w14:textId="77777777" w:rsidR="00F93BEE" w:rsidRPr="004D4A14" w:rsidRDefault="00F93BEE" w:rsidP="00F93BEE">
            <w:pPr>
              <w:spacing w:before="120"/>
              <w:jc w:val="both"/>
              <w:rPr>
                <w:rFonts w:ascii="Times New Roman" w:hAnsi="Times New Roman" w:cs="Times New Roman"/>
              </w:rPr>
            </w:pPr>
            <w:r w:rsidRPr="004D4A14">
              <w:rPr>
                <w:rFonts w:ascii="Times New Roman" w:hAnsi="Times New Roman" w:cs="Times New Roman"/>
              </w:rPr>
              <w:t>Veiksmai, siekiant skatinti civilinės parengties įgūdžius: </w:t>
            </w:r>
          </w:p>
          <w:p w14:paraId="26FA76D3" w14:textId="6CFEB26C" w:rsidR="00F93BEE" w:rsidRPr="004D4A14" w:rsidRDefault="00F93BEE" w:rsidP="00F93BEE">
            <w:pPr>
              <w:spacing w:before="120"/>
              <w:jc w:val="both"/>
              <w:rPr>
                <w:rFonts w:ascii="Times New Roman" w:hAnsi="Times New Roman" w:cs="Times New Roman"/>
              </w:rPr>
            </w:pPr>
            <w:r w:rsidRPr="004D4A14">
              <w:rPr>
                <w:rFonts w:ascii="Times New Roman" w:hAnsi="Times New Roman" w:cs="Times New Roman"/>
                <w:b/>
                <w:bCs/>
              </w:rPr>
              <w:t>Stiprinti sveikatos priežiūros ir kitų sveikatos srityje dirbančių specialistų taktinės medicinos žinias ir specialiąsias kompetencijas, didinti gyventojų sveikatos raštingumą:</w:t>
            </w:r>
            <w:r w:rsidRPr="004D4A14">
              <w:rPr>
                <w:rFonts w:ascii="Times New Roman" w:hAnsi="Times New Roman" w:cs="Times New Roman"/>
              </w:rPr>
              <w:t> sveikatos priežiūros specialistų ir kitų specialistų kvalifikacijos tobulinimas, įskaitant taktinę mediciną, siekiant paruošti specialistus operatyviai ir koordinuotai teikti sveikatos priežiūros paslaugas ekstremaliosios situacijos, krizių ar konflikto atvejais; gyventojų sveikatos raštingumo didinimo mokymai, finansuojant pirmosios pagalbos ir pirmosios psichologinės pagalbos mokymus, taip siekiant sustiprinti visuomenės pirmosios pagalbos ir pirmosios psichologinės pagalbos teikimo įgūdžius, kad jie galėtų efektyviai ir greitai reaguoti į nelaimingus atsitikimus ir mokėtų elgtis ekstremalių situacijų ir krizių metu. Ši veikla įgyvendinama visoje Lietuvoje, gali būti vykdoma ne Lietuvos Respublikoje. </w:t>
            </w:r>
          </w:p>
          <w:p w14:paraId="1CF3C9F7" w14:textId="7E1B00E8" w:rsidR="00F93BEE" w:rsidRPr="004D4A14" w:rsidRDefault="00F93BEE" w:rsidP="00F93BEE">
            <w:pPr>
              <w:spacing w:before="120"/>
              <w:jc w:val="both"/>
              <w:rPr>
                <w:rFonts w:ascii="Times New Roman" w:hAnsi="Times New Roman" w:cs="Times New Roman"/>
              </w:rPr>
            </w:pPr>
            <w:r w:rsidRPr="004D4A14">
              <w:rPr>
                <w:rFonts w:ascii="Times New Roman" w:hAnsi="Times New Roman" w:cs="Times New Roman"/>
                <w:b/>
                <w:bCs/>
              </w:rPr>
              <w:t>Stiprinti vietos gyventojų pasirengimą ekstremaliosioms situacijoms ir grėsmėms: </w:t>
            </w:r>
            <w:r w:rsidRPr="004D4A14">
              <w:rPr>
                <w:rFonts w:ascii="Times New Roman" w:hAnsi="Times New Roman" w:cs="Times New Roman"/>
              </w:rPr>
              <w:t>įgyvendinant vietos plėtros strategijas bus</w:t>
            </w:r>
            <w:r w:rsidRPr="004D4A14">
              <w:rPr>
                <w:rFonts w:ascii="Times New Roman" w:hAnsi="Times New Roman" w:cs="Times New Roman"/>
                <w:b/>
                <w:bCs/>
              </w:rPr>
              <w:t> </w:t>
            </w:r>
            <w:r w:rsidRPr="004D4A14">
              <w:rPr>
                <w:rFonts w:ascii="Times New Roman" w:hAnsi="Times New Roman" w:cs="Times New Roman"/>
              </w:rPr>
              <w:t>organizuojamos įvairios edukacinės ir prevencinės programos, skirtos vykdyti gyventojų švietimą civilinės saugos klausimais bei apimančios teorinius, </w:t>
            </w:r>
            <w:proofErr w:type="spellStart"/>
            <w:r w:rsidRPr="004D4A14">
              <w:rPr>
                <w:rFonts w:ascii="Times New Roman" w:hAnsi="Times New Roman" w:cs="Times New Roman"/>
              </w:rPr>
              <w:t>simuliacinius</w:t>
            </w:r>
            <w:proofErr w:type="spellEnd"/>
            <w:r w:rsidRPr="004D4A14">
              <w:rPr>
                <w:rFonts w:ascii="Times New Roman" w:hAnsi="Times New Roman" w:cs="Times New Roman"/>
              </w:rPr>
              <w:t> ir praktinius užsiėmimus, skirtus </w:t>
            </w:r>
            <w:r w:rsidRPr="004D4A14">
              <w:rPr>
                <w:rFonts w:ascii="Times New Roman" w:hAnsi="Times New Roman" w:cs="Times New Roman"/>
                <w:b/>
                <w:bCs/>
              </w:rPr>
              <w:t xml:space="preserve">gyventojų civilinės saugos įgūdžių stiprinimui, krizių valdymo </w:t>
            </w:r>
            <w:r w:rsidRPr="004D4A14">
              <w:rPr>
                <w:rFonts w:ascii="Times New Roman" w:hAnsi="Times New Roman" w:cs="Times New Roman"/>
                <w:b/>
                <w:bCs/>
              </w:rPr>
              <w:lastRenderedPageBreak/>
              <w:t>efektyvumui ir bendruomenių atsparumui stiprinti</w:t>
            </w:r>
            <w:r w:rsidRPr="004D4A14">
              <w:rPr>
                <w:rFonts w:ascii="Times New Roman" w:hAnsi="Times New Roman" w:cs="Times New Roman"/>
              </w:rPr>
              <w:t>. Veikla orientuota į savarankiškumo ugdymą, savitarpio pagalbos skatinimą ir gyventojų pasirengimą netikėtoms situacijoms, įtraukiant socialiai pažeidžiamas, socialinę riziką (atskirtį) patiriančių asmenų grupes.  Ši veikla įgyvendinama Sostinės ir VVL regionuose. </w:t>
            </w:r>
          </w:p>
          <w:p w14:paraId="4F97B9A8" w14:textId="77777777" w:rsidR="00F93BEE" w:rsidRPr="004D4A14" w:rsidRDefault="00F93BEE" w:rsidP="00F93BEE">
            <w:pPr>
              <w:spacing w:before="120"/>
              <w:jc w:val="both"/>
              <w:rPr>
                <w:rFonts w:ascii="Times New Roman" w:hAnsi="Times New Roman" w:cs="Times New Roman"/>
              </w:rPr>
            </w:pPr>
            <w:r w:rsidRPr="004D4A14">
              <w:rPr>
                <w:rFonts w:ascii="Times New Roman" w:hAnsi="Times New Roman" w:cs="Times New Roman"/>
              </w:rPr>
              <w:t>Uždavinio veiklos (veiksmų rūšys) įvertintos vadovaujantis EGADP NRŽ gairėmis, todėl laikoma, kad atitinka NRŽ principą. </w:t>
            </w:r>
          </w:p>
          <w:p w14:paraId="6C100A54" w14:textId="44FAA4A0" w:rsidR="0073561C" w:rsidRPr="004D4A14" w:rsidRDefault="0073561C" w:rsidP="0073561C">
            <w:pPr>
              <w:tabs>
                <w:tab w:val="left" w:pos="6379"/>
              </w:tabs>
            </w:pPr>
          </w:p>
        </w:tc>
      </w:tr>
    </w:tbl>
    <w:p w14:paraId="754A6242" w14:textId="77777777" w:rsidR="0073561C" w:rsidRPr="004D4A14" w:rsidRDefault="0073561C" w:rsidP="0073561C">
      <w:pPr>
        <w:tabs>
          <w:tab w:val="center" w:pos="4819"/>
          <w:tab w:val="right" w:pos="9638"/>
        </w:tabs>
        <w:spacing w:before="120" w:after="120" w:line="240" w:lineRule="auto"/>
        <w:rPr>
          <w:rFonts w:eastAsia="Times New Roman" w:cs="Arial"/>
          <w:b/>
          <w:i/>
          <w:color w:val="1F497D" w:themeColor="text2"/>
        </w:rPr>
      </w:pPr>
      <w:r w:rsidRPr="004D4A14">
        <w:rPr>
          <w:rFonts w:eastAsia="Times New Roman" w:cs="Arial"/>
          <w:b/>
          <w:i/>
          <w:color w:val="1F497D" w:themeColor="text2"/>
        </w:rPr>
        <w:lastRenderedPageBreak/>
        <w:t>Pagrindinės tikslinės grupės</w:t>
      </w:r>
    </w:p>
    <w:tbl>
      <w:tblPr>
        <w:tblStyle w:val="Lentelstinklelis211"/>
        <w:tblW w:w="9634" w:type="dxa"/>
        <w:tblLook w:val="04A0" w:firstRow="1" w:lastRow="0" w:firstColumn="1" w:lastColumn="0" w:noHBand="0" w:noVBand="1"/>
      </w:tblPr>
      <w:tblGrid>
        <w:gridCol w:w="9634"/>
      </w:tblGrid>
      <w:tr w:rsidR="0073561C" w:rsidRPr="004D4A14" w14:paraId="318CA123" w14:textId="77777777" w:rsidTr="00A606E0">
        <w:tc>
          <w:tcPr>
            <w:tcW w:w="9634" w:type="dxa"/>
          </w:tcPr>
          <w:p w14:paraId="41A86D8C" w14:textId="77777777" w:rsidR="0073561C" w:rsidRPr="004D4A14" w:rsidRDefault="0073561C" w:rsidP="0073561C">
            <w:pPr>
              <w:autoSpaceDE w:val="0"/>
              <w:autoSpaceDN w:val="0"/>
              <w:adjustRightInd w:val="0"/>
              <w:jc w:val="both"/>
              <w:rPr>
                <w:rFonts w:ascii="Times New Roman" w:hAnsi="Times New Roman" w:cs="Times New Roman"/>
                <w:color w:val="000000"/>
              </w:rPr>
            </w:pPr>
            <w:r w:rsidRPr="004D4A14">
              <w:rPr>
                <w:rFonts w:ascii="Times New Roman" w:hAnsi="Times New Roman" w:cs="Times New Roman"/>
                <w:b/>
                <w:bCs/>
                <w:color w:val="000000"/>
              </w:rPr>
              <w:t>Stiprinti sveikatos priežiūros ir kitų sveikatos srityje dirbančių specialistų taktinės medicinos žinias ir specialiąsias kompetencijas, didinti gyventojų sveikatos raštingumą:</w:t>
            </w:r>
            <w:r w:rsidRPr="004D4A14">
              <w:rPr>
                <w:rFonts w:ascii="Times New Roman" w:hAnsi="Times New Roman" w:cs="Times New Roman"/>
                <w:color w:val="000000"/>
              </w:rPr>
              <w:t xml:space="preserve"> sveikatos priežiūros ir kiti sveikatos srityje dirbantys specialistai, 16 metų ir vyresni gyventojai.</w:t>
            </w:r>
          </w:p>
          <w:p w14:paraId="757F592A" w14:textId="0C8146FC" w:rsidR="0073561C" w:rsidRPr="004D4A14" w:rsidRDefault="0073561C" w:rsidP="0073561C">
            <w:pPr>
              <w:autoSpaceDE w:val="0"/>
              <w:autoSpaceDN w:val="0"/>
              <w:adjustRightInd w:val="0"/>
              <w:jc w:val="both"/>
              <w:rPr>
                <w:rFonts w:ascii="Times New Roman" w:hAnsi="Times New Roman" w:cs="Times New Roman"/>
                <w:color w:val="000000"/>
                <w:szCs w:val="24"/>
              </w:rPr>
            </w:pPr>
            <w:r w:rsidRPr="004D4A14">
              <w:rPr>
                <w:rFonts w:ascii="Times New Roman" w:hAnsi="Times New Roman" w:cs="Times New Roman"/>
                <w:b/>
                <w:bCs/>
                <w:color w:val="000000" w:themeColor="text1"/>
              </w:rPr>
              <w:t xml:space="preserve">Stiprinti vietos gyventojų pasirengimą ekstremaliosioms situacijoms ir grėsmėms: </w:t>
            </w:r>
            <w:r w:rsidRPr="004D4A14">
              <w:rPr>
                <w:rFonts w:ascii="Times New Roman" w:hAnsi="Times New Roman" w:cs="Times New Roman"/>
                <w:b/>
                <w:bCs/>
                <w:noProof/>
                <w:color w:val="000000" w:themeColor="text1"/>
              </w:rPr>
              <w:t>vietos gyventojai, įskaitant ir socialinę riziką (atskirtį) patiriančių asmenų grupes</w:t>
            </w:r>
            <w:r w:rsidRPr="004D4A14">
              <w:rPr>
                <w:rFonts w:ascii="Times New Roman" w:hAnsi="Times New Roman" w:cs="Times New Roman"/>
                <w:noProof/>
                <w:color w:val="000000"/>
              </w:rPr>
              <w:t xml:space="preserve"> (asmenys, besiruošiantys išeiti ir išėję iš įkalinimo vietų; mažiau galimybių turintis jaunimas; smurtą patiriantys asmenys; socialinę riziką patiriantys suaugę asmenys, vaikai ir šeimos; asmenys su negalia; senyvo amžiaus asmenys; nepasiturintys asmenys ir šeimos; daugiavaikių šeimų nariai ir pan.)</w:t>
            </w:r>
            <w:r w:rsidRPr="004D4A14">
              <w:rPr>
                <w:rFonts w:ascii="Times New Roman" w:hAnsi="Times New Roman" w:cs="Times New Roman"/>
                <w:noProof/>
                <w:color w:val="000000"/>
                <w:lang w:eastAsia="lt-LT"/>
              </w:rPr>
              <w:t>.</w:t>
            </w:r>
          </w:p>
        </w:tc>
      </w:tr>
    </w:tbl>
    <w:p w14:paraId="7B0E7F5F" w14:textId="77777777" w:rsidR="0073561C" w:rsidRPr="004D4A14" w:rsidRDefault="0073561C" w:rsidP="0073561C">
      <w:pPr>
        <w:tabs>
          <w:tab w:val="center" w:pos="4819"/>
          <w:tab w:val="right" w:pos="9638"/>
        </w:tabs>
        <w:spacing w:before="120" w:after="120" w:line="240" w:lineRule="auto"/>
        <w:rPr>
          <w:rFonts w:eastAsia="Times New Roman" w:cs="Arial"/>
          <w:b/>
          <w:i/>
          <w:iCs/>
          <w:noProof/>
          <w:color w:val="1F497D" w:themeColor="text2"/>
          <w:lang w:eastAsia="lt-LT"/>
        </w:rPr>
      </w:pPr>
      <w:r w:rsidRPr="004D4A14">
        <w:rPr>
          <w:rFonts w:eastAsia="Times New Roman" w:cs="Arial"/>
          <w:b/>
          <w:i/>
          <w:noProof/>
          <w:color w:val="1F497D" w:themeColor="text2"/>
          <w:lang w:eastAsia="lt-LT"/>
        </w:rPr>
        <w:t xml:space="preserve">Veiksmai, užtikrinantys lygybę, įtrauktį ir nediskriminavimą </w:t>
      </w:r>
    </w:p>
    <w:tbl>
      <w:tblPr>
        <w:tblStyle w:val="Lentelstinklelis47"/>
        <w:tblW w:w="9634" w:type="dxa"/>
        <w:tblLook w:val="04A0" w:firstRow="1" w:lastRow="0" w:firstColumn="1" w:lastColumn="0" w:noHBand="0" w:noVBand="1"/>
      </w:tblPr>
      <w:tblGrid>
        <w:gridCol w:w="9634"/>
      </w:tblGrid>
      <w:tr w:rsidR="0073561C" w:rsidRPr="004D4A14" w14:paraId="3E201B2C" w14:textId="77777777" w:rsidTr="00A606E0">
        <w:trPr>
          <w:trHeight w:val="82"/>
        </w:trPr>
        <w:tc>
          <w:tcPr>
            <w:tcW w:w="9634" w:type="dxa"/>
          </w:tcPr>
          <w:p w14:paraId="76396089" w14:textId="77777777" w:rsidR="0073561C" w:rsidRPr="004D4A14" w:rsidRDefault="0073561C" w:rsidP="0073561C">
            <w:pPr>
              <w:tabs>
                <w:tab w:val="center" w:pos="4819"/>
                <w:tab w:val="right" w:pos="9638"/>
              </w:tabs>
              <w:spacing w:before="120"/>
              <w:jc w:val="both"/>
              <w:rPr>
                <w:sz w:val="22"/>
              </w:rPr>
            </w:pPr>
            <w:r w:rsidRPr="004D4A14">
              <w:rPr>
                <w:sz w:val="22"/>
              </w:rPr>
              <w:t>Vykdant numatytas veiklas bus siekiama užtikrinti lygybės, įtraukties ir nediskriminavimo principus.</w:t>
            </w:r>
          </w:p>
          <w:p w14:paraId="12395FE2" w14:textId="248BB270" w:rsidR="0073561C" w:rsidRPr="004D4A14" w:rsidRDefault="0073561C" w:rsidP="0073561C">
            <w:pPr>
              <w:keepNext/>
              <w:keepLines/>
              <w:tabs>
                <w:tab w:val="left" w:pos="6379"/>
              </w:tabs>
              <w:spacing w:line="276" w:lineRule="auto"/>
              <w:jc w:val="both"/>
              <w:outlineLvl w:val="3"/>
              <w:rPr>
                <w:rFonts w:eastAsiaTheme="majorEastAsia" w:cs="Times New Roman"/>
                <w:bCs/>
                <w:iCs/>
                <w:color w:val="000000" w:themeColor="text1"/>
                <w:szCs w:val="24"/>
              </w:rPr>
            </w:pPr>
            <w:r w:rsidRPr="004D4A14">
              <w:rPr>
                <w:rFonts w:eastAsiaTheme="majorEastAsia" w:cs="Times New Roman"/>
                <w:b/>
                <w:bCs/>
                <w:color w:val="000000" w:themeColor="text1"/>
                <w:sz w:val="22"/>
              </w:rPr>
              <w:t>Stiprinti vietos gyventojų pasirengimą ekstremaliosioms situacijoms ir grėsmėms:</w:t>
            </w:r>
            <w:r w:rsidRPr="004D4A14">
              <w:rPr>
                <w:rFonts w:eastAsiaTheme="majorEastAsia" w:cs="Times New Roman"/>
                <w:b/>
                <w:bCs/>
                <w:i/>
                <w:iCs/>
                <w:color w:val="000000" w:themeColor="text1"/>
                <w:sz w:val="22"/>
              </w:rPr>
              <w:t xml:space="preserve"> </w:t>
            </w:r>
            <w:r w:rsidRPr="004D4A14">
              <w:rPr>
                <w:rFonts w:eastAsiaTheme="majorEastAsia" w:cs="Times New Roman"/>
                <w:bCs/>
                <w:iCs/>
                <w:color w:val="000000" w:themeColor="text1"/>
                <w:sz w:val="22"/>
              </w:rPr>
              <w:t xml:space="preserve">vykdant veiklą užtikrinama, kad bus laikomasi lygių galimybių principo, projektų veiklos ir rezultatai bus prieinami įvairių poreikių turintiems asmenims (pvz.: projektų veiklos organizuojamos patalpose, prieinamose judėjimo, regos ar kitą negalią turintiems asmenims; vykdant projektų veiklas prireikus užtikrinamas vertimas į gestų ar kitą kalbą), o į veiklas kartu su </w:t>
            </w:r>
            <w:r w:rsidR="00F93BEE" w:rsidRPr="004D4A14">
              <w:rPr>
                <w:rFonts w:eastAsiaTheme="majorEastAsia" w:cs="Times New Roman"/>
                <w:bCs/>
                <w:iCs/>
                <w:color w:val="000000" w:themeColor="text1"/>
                <w:sz w:val="22"/>
              </w:rPr>
              <w:t xml:space="preserve">socialinę riziką (atskirtį) patiriančiais asmenimis </w:t>
            </w:r>
            <w:r w:rsidRPr="004D4A14">
              <w:rPr>
                <w:rFonts w:eastAsiaTheme="majorEastAsia" w:cs="Times New Roman"/>
                <w:bCs/>
                <w:iCs/>
                <w:color w:val="000000" w:themeColor="text1"/>
                <w:sz w:val="22"/>
              </w:rPr>
              <w:t>bus įtraukti ir kiti bendruomenės nariai. Taip sudaromos sąlygos užmegzti draugiškus ryšius su kitais bendruomenės nariais, gauti pagalbą ekstremalių situacijų ar krizių metu bei didinti informacijos prieinamumą.</w:t>
            </w:r>
          </w:p>
        </w:tc>
      </w:tr>
    </w:tbl>
    <w:p w14:paraId="70BF380E" w14:textId="77777777" w:rsidR="0073561C" w:rsidRPr="004D4A14" w:rsidRDefault="0073561C" w:rsidP="0073561C">
      <w:pPr>
        <w:tabs>
          <w:tab w:val="center" w:pos="4819"/>
          <w:tab w:val="right" w:pos="9638"/>
        </w:tabs>
        <w:spacing w:before="120" w:after="120" w:line="240" w:lineRule="auto"/>
        <w:rPr>
          <w:rFonts w:eastAsia="Times New Roman" w:cs="Arial"/>
          <w:b/>
          <w:i/>
          <w:color w:val="1F497D" w:themeColor="text2"/>
        </w:rPr>
      </w:pPr>
      <w:r w:rsidRPr="004D4A14">
        <w:rPr>
          <w:rFonts w:eastAsia="Times New Roman" w:cs="Arial"/>
          <w:b/>
          <w:i/>
          <w:color w:val="1F497D" w:themeColor="text2"/>
        </w:rPr>
        <w:t>Konkrečios tikslinės teritorijos, įskaitant planuojamą teritorinių priemonių panaudojimą</w:t>
      </w:r>
    </w:p>
    <w:tbl>
      <w:tblPr>
        <w:tblStyle w:val="Lentelstinklelis211"/>
        <w:tblW w:w="9634" w:type="dxa"/>
        <w:tblLook w:val="04A0" w:firstRow="1" w:lastRow="0" w:firstColumn="1" w:lastColumn="0" w:noHBand="0" w:noVBand="1"/>
      </w:tblPr>
      <w:tblGrid>
        <w:gridCol w:w="9634"/>
      </w:tblGrid>
      <w:tr w:rsidR="0073561C" w:rsidRPr="004D4A14" w14:paraId="44998FF1" w14:textId="77777777" w:rsidTr="00A606E0">
        <w:tc>
          <w:tcPr>
            <w:tcW w:w="9634" w:type="dxa"/>
          </w:tcPr>
          <w:p w14:paraId="72D65F74" w14:textId="77777777" w:rsidR="0073561C" w:rsidRPr="004D4A14" w:rsidRDefault="0073561C" w:rsidP="0073561C">
            <w:pPr>
              <w:spacing w:before="120" w:after="120"/>
              <w:jc w:val="both"/>
              <w:rPr>
                <w:rFonts w:ascii="Times New Roman" w:hAnsi="Times New Roman" w:cs="Times New Roman"/>
              </w:rPr>
            </w:pPr>
            <w:r w:rsidRPr="004D4A14">
              <w:rPr>
                <w:rFonts w:ascii="Times New Roman" w:hAnsi="Times New Roman" w:cs="Times New Roman"/>
                <w:b/>
                <w:bCs/>
              </w:rPr>
              <w:t>Stiprinti sveikatos priežiūros ir kitų sveikatos srityje dirbančių specialistų taktinės medicinos žinias ir specialiąsias kompetencijas, didinti gyventojų sveikatos raštingumą:</w:t>
            </w:r>
            <w:r w:rsidRPr="004D4A14">
              <w:rPr>
                <w:rFonts w:ascii="Times New Roman" w:hAnsi="Times New Roman" w:cs="Times New Roman"/>
              </w:rPr>
              <w:t xml:space="preserve"> </w:t>
            </w:r>
            <w:r w:rsidRPr="004D4A14">
              <w:rPr>
                <w:rFonts w:ascii="Times New Roman" w:hAnsi="Times New Roman" w:cs="Times New Roman"/>
                <w:spacing w:val="-4"/>
              </w:rPr>
              <w:t>VVL regionas,</w:t>
            </w:r>
            <w:r w:rsidRPr="004D4A14">
              <w:rPr>
                <w:rFonts w:ascii="Times New Roman" w:hAnsi="Times New Roman" w:cs="Times New Roman"/>
              </w:rPr>
              <w:t xml:space="preserve"> </w:t>
            </w:r>
            <w:r w:rsidRPr="004D4A14">
              <w:rPr>
                <w:rFonts w:ascii="Times New Roman" w:hAnsi="Times New Roman" w:cs="Times New Roman"/>
                <w:spacing w:val="-4"/>
              </w:rPr>
              <w:t xml:space="preserve">Sostinės regionas. </w:t>
            </w:r>
            <w:r w:rsidRPr="004D4A14">
              <w:rPr>
                <w:rFonts w:ascii="Times New Roman" w:hAnsi="Times New Roman" w:cs="Times New Roman"/>
              </w:rPr>
              <w:t>Veiksmas, skirtas Lietuvos sveikatos specialistų kompetencijų ir įgūdžių stiprinimui, gali būti vykdomas ir ne Lietuvos Respublikoje.</w:t>
            </w:r>
          </w:p>
          <w:p w14:paraId="2518D469" w14:textId="3BC8702D" w:rsidR="0073561C" w:rsidRPr="004D4A14" w:rsidRDefault="00F93BEE" w:rsidP="0073561C">
            <w:pPr>
              <w:spacing w:before="120" w:after="120"/>
              <w:jc w:val="both"/>
              <w:rPr>
                <w:rFonts w:cs="Times New Roman"/>
                <w:iCs/>
                <w:spacing w:val="-4"/>
              </w:rPr>
            </w:pPr>
            <w:r w:rsidRPr="004D4A14">
              <w:rPr>
                <w:rFonts w:ascii="Times New Roman" w:hAnsi="Times New Roman" w:cs="Times New Roman"/>
                <w:b/>
                <w:bCs/>
                <w:color w:val="000000" w:themeColor="text1"/>
              </w:rPr>
              <w:t>Stiprinti vietos gyventojų pasirengimą ekstremaliosioms situacijoms ir grėsmėms: </w:t>
            </w:r>
            <w:r w:rsidRPr="004D4A14">
              <w:rPr>
                <w:rFonts w:ascii="Times New Roman" w:hAnsi="Times New Roman" w:cs="Times New Roman"/>
                <w:color w:val="000000" w:themeColor="text1"/>
              </w:rPr>
              <w:t>veikla bus įgyvendinama taikant integruoto teritorijų vystymo metodo BIVP formą tikslinėse teritorijose: miestuose, kurie yra savivaldybių centrai ir (arba) kuriuose gyvena daugiau nei 6 tūkst. gyventojų, ir miesto daliai, kurioje gyvena nuo 6 iki 150 tūkstančių gyventojų. Ši veikla bus įgyvendinama abiejuose regionuose (sostinės ir VVL regionuose). </w:t>
            </w:r>
          </w:p>
        </w:tc>
      </w:tr>
    </w:tbl>
    <w:p w14:paraId="5233FB8C" w14:textId="77777777" w:rsidR="0073561C" w:rsidRPr="004D4A14" w:rsidRDefault="0073561C" w:rsidP="0073561C">
      <w:pPr>
        <w:tabs>
          <w:tab w:val="center" w:pos="4819"/>
          <w:tab w:val="right" w:pos="9638"/>
        </w:tabs>
        <w:spacing w:before="120" w:after="120" w:line="240" w:lineRule="auto"/>
        <w:rPr>
          <w:rFonts w:eastAsia="Times New Roman" w:cs="Arial"/>
          <w:b/>
          <w:i/>
          <w:color w:val="1F497D" w:themeColor="text2"/>
        </w:rPr>
      </w:pPr>
      <w:r w:rsidRPr="004D4A14">
        <w:rPr>
          <w:rFonts w:eastAsia="Times New Roman" w:cs="Arial"/>
          <w:b/>
          <w:i/>
          <w:color w:val="1F497D" w:themeColor="text2"/>
        </w:rPr>
        <w:t>Tarpregioniniai, tarp sienų ir tarpvalstybiniai veiksmai</w:t>
      </w:r>
    </w:p>
    <w:tbl>
      <w:tblPr>
        <w:tblStyle w:val="Lentelstinklelis211"/>
        <w:tblW w:w="9634" w:type="dxa"/>
        <w:tblLook w:val="04A0" w:firstRow="1" w:lastRow="0" w:firstColumn="1" w:lastColumn="0" w:noHBand="0" w:noVBand="1"/>
      </w:tblPr>
      <w:tblGrid>
        <w:gridCol w:w="9634"/>
      </w:tblGrid>
      <w:tr w:rsidR="0073561C" w:rsidRPr="004D4A14" w14:paraId="53FEADFC" w14:textId="77777777" w:rsidTr="00A606E0">
        <w:tc>
          <w:tcPr>
            <w:tcW w:w="9634" w:type="dxa"/>
          </w:tcPr>
          <w:p w14:paraId="2F461263" w14:textId="77777777" w:rsidR="0073561C" w:rsidRPr="004D4A14" w:rsidRDefault="0073561C" w:rsidP="0073561C">
            <w:pPr>
              <w:spacing w:before="120" w:after="120"/>
              <w:jc w:val="both"/>
              <w:rPr>
                <w:rFonts w:ascii="Times New Roman" w:hAnsi="Times New Roman" w:cs="Times New Roman"/>
              </w:rPr>
            </w:pPr>
            <w:r w:rsidRPr="004D4A14">
              <w:rPr>
                <w:rFonts w:ascii="Times New Roman" w:hAnsi="Times New Roman" w:cs="Times New Roman"/>
              </w:rPr>
              <w:t>Numatoma sudaryti visas galimybes prireikus juos atlikti.</w:t>
            </w:r>
          </w:p>
          <w:p w14:paraId="2E3C225A" w14:textId="77777777" w:rsidR="0073561C" w:rsidRPr="004D4A14" w:rsidRDefault="0073561C" w:rsidP="0073561C">
            <w:pPr>
              <w:spacing w:before="120" w:after="120"/>
              <w:jc w:val="both"/>
              <w:rPr>
                <w:rFonts w:ascii="Times New Roman" w:hAnsi="Times New Roman" w:cs="Times New Roman"/>
              </w:rPr>
            </w:pPr>
            <w:r w:rsidRPr="004D4A14">
              <w:rPr>
                <w:rFonts w:ascii="Times New Roman" w:hAnsi="Times New Roman" w:cs="Times New Roman"/>
                <w:b/>
                <w:bCs/>
                <w:color w:val="000000" w:themeColor="text1"/>
              </w:rPr>
              <w:t xml:space="preserve">Stiprinti vietos gyventojų pasirengimą ekstremaliosioms situacijoms ir grėsmėms: </w:t>
            </w:r>
            <w:r w:rsidRPr="004D4A14">
              <w:rPr>
                <w:rFonts w:ascii="Times New Roman" w:hAnsi="Times New Roman" w:cs="Times New Roman"/>
                <w:noProof/>
              </w:rPr>
              <w:t>siekiant ETBT tikslo programų ir IV prioriteto, š</w:t>
            </w:r>
            <w:proofErr w:type="spellStart"/>
            <w:r w:rsidRPr="004D4A14">
              <w:rPr>
                <w:rFonts w:ascii="Times New Roman" w:hAnsi="Times New Roman" w:cs="Times New Roman"/>
                <w:szCs w:val="18"/>
              </w:rPr>
              <w:t>alies</w:t>
            </w:r>
            <w:proofErr w:type="spellEnd"/>
            <w:r w:rsidRPr="004D4A14">
              <w:rPr>
                <w:rFonts w:ascii="Times New Roman" w:hAnsi="Times New Roman" w:cs="Times New Roman"/>
                <w:szCs w:val="18"/>
              </w:rPr>
              <w:t xml:space="preserve"> pasienyje veikiančios VVG bus skatinamos bendradarbiauti ir perimti patirtį iš panašiuose pasienio ruožuose veikiančių miestų civilinės saugos srityje.</w:t>
            </w:r>
          </w:p>
        </w:tc>
      </w:tr>
    </w:tbl>
    <w:p w14:paraId="6C658DD6" w14:textId="77777777" w:rsidR="0073561C" w:rsidRPr="004D4A14" w:rsidRDefault="0073561C" w:rsidP="0073561C">
      <w:pPr>
        <w:tabs>
          <w:tab w:val="center" w:pos="4819"/>
          <w:tab w:val="right" w:pos="9638"/>
        </w:tabs>
        <w:spacing w:before="120" w:after="120" w:line="240" w:lineRule="auto"/>
        <w:rPr>
          <w:rFonts w:eastAsia="Times New Roman" w:cs="Arial"/>
          <w:b/>
          <w:i/>
          <w:color w:val="1F497D" w:themeColor="text2"/>
        </w:rPr>
      </w:pPr>
      <w:r w:rsidRPr="004D4A14">
        <w:rPr>
          <w:rFonts w:eastAsia="Times New Roman" w:cs="Arial"/>
          <w:b/>
          <w:i/>
          <w:color w:val="1F497D" w:themeColor="text2"/>
        </w:rPr>
        <w:t>Planuojamas finansinių priemonių naudojimas</w:t>
      </w:r>
    </w:p>
    <w:tbl>
      <w:tblPr>
        <w:tblStyle w:val="Lentelstinklelis211"/>
        <w:tblW w:w="9634" w:type="dxa"/>
        <w:tblLook w:val="04A0" w:firstRow="1" w:lastRow="0" w:firstColumn="1" w:lastColumn="0" w:noHBand="0" w:noVBand="1"/>
      </w:tblPr>
      <w:tblGrid>
        <w:gridCol w:w="9634"/>
      </w:tblGrid>
      <w:tr w:rsidR="0073561C" w:rsidRPr="004D4A14" w14:paraId="70DA0F74" w14:textId="77777777" w:rsidTr="00A606E0">
        <w:tc>
          <w:tcPr>
            <w:tcW w:w="9634" w:type="dxa"/>
          </w:tcPr>
          <w:p w14:paraId="0EFF3D29" w14:textId="77777777" w:rsidR="0073561C" w:rsidRPr="004D4A14" w:rsidRDefault="0073561C" w:rsidP="0073561C">
            <w:pPr>
              <w:spacing w:before="120" w:after="120"/>
              <w:jc w:val="both"/>
              <w:rPr>
                <w:rFonts w:cs="Times New Roman"/>
                <w:lang w:eastAsia="lt-LT"/>
              </w:rPr>
            </w:pPr>
            <w:r w:rsidRPr="004D4A14">
              <w:rPr>
                <w:rFonts w:cs="Times New Roman"/>
                <w:lang w:eastAsia="lt-LT"/>
              </w:rPr>
              <w:t>-</w:t>
            </w:r>
          </w:p>
        </w:tc>
      </w:tr>
    </w:tbl>
    <w:p w14:paraId="788FD2DE" w14:textId="77777777" w:rsidR="0073561C" w:rsidRPr="004D4A14" w:rsidRDefault="0073561C" w:rsidP="0073561C">
      <w:pPr>
        <w:tabs>
          <w:tab w:val="center" w:pos="4819"/>
          <w:tab w:val="right" w:pos="9638"/>
        </w:tabs>
        <w:spacing w:before="120" w:after="120" w:line="240" w:lineRule="auto"/>
        <w:rPr>
          <w:rFonts w:eastAsia="Times New Roman" w:cs="Arial"/>
          <w:b/>
          <w:i/>
          <w:color w:val="1F497D" w:themeColor="text2"/>
        </w:rPr>
      </w:pPr>
      <w:r w:rsidRPr="004D4A14">
        <w:rPr>
          <w:rFonts w:eastAsia="Times New Roman" w:cs="Arial"/>
          <w:b/>
          <w:i/>
          <w:color w:val="1F497D" w:themeColor="text2"/>
        </w:rPr>
        <w:t>Rodikliai</w:t>
      </w:r>
    </w:p>
    <w:p w14:paraId="24ACC6DC" w14:textId="77777777" w:rsidR="00A606E0" w:rsidRPr="004D4A14" w:rsidRDefault="00A606E0" w:rsidP="00A606E0">
      <w:pPr>
        <w:spacing w:before="240" w:after="0" w:line="240" w:lineRule="auto"/>
        <w:jc w:val="both"/>
        <w:rPr>
          <w:rFonts w:eastAsia="Times New Roman" w:cs="Times New Roman"/>
          <w:b/>
          <w:sz w:val="22"/>
        </w:rPr>
      </w:pPr>
    </w:p>
    <w:p w14:paraId="7E9BAB32" w14:textId="42FDFBAC" w:rsidR="00A606E0" w:rsidRPr="004D4A14" w:rsidRDefault="00A606E0" w:rsidP="00A606E0">
      <w:pPr>
        <w:spacing w:before="240" w:after="0" w:line="240" w:lineRule="auto"/>
        <w:jc w:val="both"/>
        <w:rPr>
          <w:rFonts w:eastAsia="Times New Roman" w:cs="Times New Roman"/>
          <w:b/>
          <w:sz w:val="22"/>
        </w:rPr>
      </w:pPr>
      <w:r w:rsidRPr="004D4A14">
        <w:rPr>
          <w:rFonts w:eastAsia="Times New Roman"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5"/>
        <w:gridCol w:w="967"/>
        <w:gridCol w:w="830"/>
        <w:gridCol w:w="965"/>
        <w:gridCol w:w="1239"/>
        <w:gridCol w:w="1789"/>
        <w:gridCol w:w="974"/>
        <w:gridCol w:w="967"/>
        <w:gridCol w:w="922"/>
      </w:tblGrid>
      <w:tr w:rsidR="00A606E0" w:rsidRPr="004D4A14" w14:paraId="7B617977" w14:textId="77777777" w:rsidTr="008E427B">
        <w:trPr>
          <w:trHeight w:val="1043"/>
          <w:tblHeader/>
        </w:trPr>
        <w:tc>
          <w:tcPr>
            <w:tcW w:w="49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503A72F" w14:textId="77777777" w:rsidR="00A606E0" w:rsidRPr="004D4A14" w:rsidRDefault="00A606E0" w:rsidP="00A606E0">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Prioritetas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8318007" w14:textId="77777777" w:rsidR="00A606E0" w:rsidRPr="004D4A14" w:rsidRDefault="00A606E0" w:rsidP="00A606E0">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Konkretus uždavinys</w:t>
            </w:r>
          </w:p>
        </w:tc>
        <w:tc>
          <w:tcPr>
            <w:tcW w:w="4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E097119" w14:textId="77777777" w:rsidR="00A606E0" w:rsidRPr="004D4A14" w:rsidRDefault="00A606E0" w:rsidP="00A606E0">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B449CC7" w14:textId="77777777" w:rsidR="00A606E0" w:rsidRPr="004D4A14" w:rsidRDefault="00A606E0" w:rsidP="00A606E0">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Regiono kategorija</w:t>
            </w:r>
          </w:p>
        </w:tc>
        <w:tc>
          <w:tcPr>
            <w:tcW w:w="64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23F702E" w14:textId="77777777" w:rsidR="00A606E0" w:rsidRPr="004D4A14" w:rsidRDefault="00A606E0" w:rsidP="00A606E0">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Identifikavimo numeris</w:t>
            </w:r>
          </w:p>
        </w:tc>
        <w:tc>
          <w:tcPr>
            <w:tcW w:w="93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6BF9883" w14:textId="77777777" w:rsidR="00A606E0" w:rsidRPr="004D4A14" w:rsidRDefault="00A606E0" w:rsidP="00A606E0">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Rodiklis</w:t>
            </w:r>
          </w:p>
        </w:tc>
        <w:tc>
          <w:tcPr>
            <w:tcW w:w="50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F4AA08B" w14:textId="77777777" w:rsidR="00A606E0" w:rsidRPr="004D4A14" w:rsidRDefault="00A606E0" w:rsidP="00A606E0">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CFDF538" w14:textId="77777777" w:rsidR="00A606E0" w:rsidRPr="004D4A14" w:rsidRDefault="00A606E0" w:rsidP="00A606E0">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Tarpinė reikšmė (2024 m.)</w:t>
            </w:r>
          </w:p>
        </w:tc>
        <w:tc>
          <w:tcPr>
            <w:tcW w:w="48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5B567F1" w14:textId="77777777" w:rsidR="00A606E0" w:rsidRPr="004D4A14" w:rsidRDefault="00A606E0" w:rsidP="00A606E0">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Siektina reikšmė (2029 m.)</w:t>
            </w:r>
          </w:p>
        </w:tc>
      </w:tr>
      <w:tr w:rsidR="00A606E0" w:rsidRPr="004D4A14" w14:paraId="5EA9DE58" w14:textId="77777777" w:rsidTr="008E427B">
        <w:trPr>
          <w:trHeight w:val="332"/>
        </w:trPr>
        <w:tc>
          <w:tcPr>
            <w:tcW w:w="497" w:type="pct"/>
            <w:vMerge w:val="restart"/>
            <w:tcBorders>
              <w:top w:val="single" w:sz="12" w:space="0" w:color="auto"/>
            </w:tcBorders>
          </w:tcPr>
          <w:p w14:paraId="657DC02A" w14:textId="77777777" w:rsidR="00A606E0" w:rsidRPr="004D4A14" w:rsidRDefault="00A606E0" w:rsidP="00A606E0">
            <w:pPr>
              <w:spacing w:after="0" w:line="240" w:lineRule="auto"/>
              <w:jc w:val="both"/>
              <w:rPr>
                <w:rFonts w:eastAsia="Times New Roman" w:cs="Times New Roman"/>
                <w:noProof/>
                <w:sz w:val="16"/>
                <w:szCs w:val="16"/>
              </w:rPr>
            </w:pPr>
            <w:r w:rsidRPr="004D4A14">
              <w:rPr>
                <w:rFonts w:eastAsia="Times New Roman" w:cs="Times New Roman"/>
                <w:noProof/>
                <w:sz w:val="16"/>
                <w:szCs w:val="16"/>
              </w:rPr>
              <w:t>16</w:t>
            </w:r>
          </w:p>
        </w:tc>
        <w:tc>
          <w:tcPr>
            <w:tcW w:w="503" w:type="pct"/>
            <w:vMerge w:val="restart"/>
            <w:tcBorders>
              <w:top w:val="single" w:sz="12" w:space="0" w:color="auto"/>
            </w:tcBorders>
          </w:tcPr>
          <w:p w14:paraId="244207DE" w14:textId="77777777" w:rsidR="00A606E0" w:rsidRPr="004D4A14" w:rsidRDefault="00A606E0" w:rsidP="00A606E0">
            <w:pPr>
              <w:spacing w:after="0" w:line="240" w:lineRule="auto"/>
              <w:jc w:val="both"/>
              <w:rPr>
                <w:rFonts w:eastAsia="Times New Roman" w:cs="Times New Roman"/>
                <w:noProof/>
                <w:sz w:val="16"/>
                <w:szCs w:val="16"/>
              </w:rPr>
            </w:pPr>
            <w:r w:rsidRPr="004D4A14">
              <w:rPr>
                <w:rFonts w:eastAsia="Times New Roman" w:cs="Times New Roman"/>
                <w:noProof/>
                <w:sz w:val="16"/>
                <w:szCs w:val="16"/>
              </w:rPr>
              <w:t xml:space="preserve">16.1 </w:t>
            </w:r>
          </w:p>
        </w:tc>
        <w:tc>
          <w:tcPr>
            <w:tcW w:w="432" w:type="pct"/>
            <w:vMerge w:val="restart"/>
            <w:tcBorders>
              <w:top w:val="single" w:sz="12" w:space="0" w:color="auto"/>
            </w:tcBorders>
          </w:tcPr>
          <w:p w14:paraId="143485C0" w14:textId="77777777" w:rsidR="00A606E0" w:rsidRPr="004D4A14" w:rsidRDefault="00A606E0" w:rsidP="00A606E0">
            <w:pPr>
              <w:spacing w:after="0" w:line="240" w:lineRule="auto"/>
              <w:jc w:val="both"/>
              <w:rPr>
                <w:rFonts w:eastAsia="Times New Roman" w:cs="Times New Roman"/>
                <w:noProof/>
                <w:sz w:val="16"/>
                <w:szCs w:val="16"/>
              </w:rPr>
            </w:pPr>
            <w:r w:rsidRPr="004D4A14">
              <w:rPr>
                <w:rFonts w:eastAsia="Times New Roman" w:cs="Times New Roman"/>
                <w:noProof/>
                <w:sz w:val="16"/>
                <w:szCs w:val="16"/>
              </w:rPr>
              <w:t>ESF+</w:t>
            </w:r>
          </w:p>
        </w:tc>
        <w:tc>
          <w:tcPr>
            <w:tcW w:w="502" w:type="pct"/>
          </w:tcPr>
          <w:p w14:paraId="3DFBCFC5" w14:textId="77777777" w:rsidR="00A606E0" w:rsidRPr="004D4A14" w:rsidRDefault="00A606E0" w:rsidP="00A606E0">
            <w:pPr>
              <w:spacing w:after="0" w:line="240" w:lineRule="auto"/>
              <w:jc w:val="both"/>
              <w:rPr>
                <w:rFonts w:eastAsia="Times New Roman" w:cs="Times New Roman"/>
                <w:noProof/>
                <w:sz w:val="16"/>
                <w:szCs w:val="16"/>
              </w:rPr>
            </w:pPr>
            <w:r w:rsidRPr="004D4A14">
              <w:rPr>
                <w:rFonts w:eastAsia="Times New Roman" w:cs="Arial"/>
                <w:noProof/>
                <w:sz w:val="16"/>
                <w:szCs w:val="16"/>
              </w:rPr>
              <w:t>Sostinės regionas</w:t>
            </w:r>
          </w:p>
        </w:tc>
        <w:tc>
          <w:tcPr>
            <w:tcW w:w="645" w:type="pct"/>
          </w:tcPr>
          <w:p w14:paraId="005E9B2D" w14:textId="77777777" w:rsidR="00A606E0" w:rsidRPr="004D4A14" w:rsidRDefault="00A606E0" w:rsidP="00A606E0">
            <w:pPr>
              <w:spacing w:after="0" w:line="240" w:lineRule="auto"/>
              <w:jc w:val="both"/>
              <w:rPr>
                <w:rFonts w:eastAsia="Times New Roman" w:cs="Times New Roman"/>
                <w:sz w:val="16"/>
                <w:szCs w:val="16"/>
                <w:lang w:eastAsia="en-GB"/>
              </w:rPr>
            </w:pPr>
            <w:r w:rsidRPr="004D4A14">
              <w:rPr>
                <w:rFonts w:eastAsia="Times New Roman" w:cs="Times New Roman"/>
                <w:noProof/>
                <w:sz w:val="16"/>
                <w:szCs w:val="16"/>
              </w:rPr>
              <w:t xml:space="preserve">Specialusis </w:t>
            </w:r>
          </w:p>
        </w:tc>
        <w:tc>
          <w:tcPr>
            <w:tcW w:w="931" w:type="pct"/>
          </w:tcPr>
          <w:p w14:paraId="4873C252" w14:textId="77777777" w:rsidR="00A606E0" w:rsidRPr="004D4A14" w:rsidRDefault="00A606E0" w:rsidP="00A606E0">
            <w:pPr>
              <w:tabs>
                <w:tab w:val="left" w:pos="315"/>
                <w:tab w:val="left" w:pos="457"/>
              </w:tabs>
              <w:spacing w:after="0" w:line="240" w:lineRule="auto"/>
              <w:contextualSpacing/>
              <w:jc w:val="both"/>
              <w:rPr>
                <w:rFonts w:eastAsia="Times New Roman" w:cs="Times New Roman"/>
                <w:sz w:val="16"/>
                <w:szCs w:val="16"/>
                <w:lang w:eastAsia="en-GB"/>
              </w:rPr>
            </w:pPr>
            <w:r w:rsidRPr="004D4A14">
              <w:rPr>
                <w:rFonts w:eastAsia="Times New Roman" w:cs="Times New Roman"/>
                <w:sz w:val="16"/>
                <w:szCs w:val="16"/>
                <w:lang w:eastAsia="lt-LT"/>
              </w:rPr>
              <w:t>Asmenys, dalyvavę sveikatos raštingumo didinimo veiklose</w:t>
            </w:r>
          </w:p>
        </w:tc>
        <w:tc>
          <w:tcPr>
            <w:tcW w:w="507" w:type="pct"/>
          </w:tcPr>
          <w:p w14:paraId="1BF2ADBE" w14:textId="77777777" w:rsidR="00A606E0" w:rsidRPr="004D4A14" w:rsidRDefault="00A606E0" w:rsidP="00A606E0">
            <w:pPr>
              <w:spacing w:after="0" w:line="240" w:lineRule="auto"/>
              <w:jc w:val="both"/>
              <w:rPr>
                <w:rFonts w:eastAsia="Times New Roman" w:cs="Times New Roman"/>
                <w:iCs/>
                <w:sz w:val="16"/>
                <w:szCs w:val="16"/>
                <w:lang w:eastAsia="lt-LT"/>
              </w:rPr>
            </w:pPr>
            <w:r w:rsidRPr="004D4A14">
              <w:rPr>
                <w:rFonts w:eastAsia="Times New Roman" w:cs="Times New Roman"/>
                <w:noProof/>
                <w:sz w:val="16"/>
                <w:szCs w:val="16"/>
              </w:rPr>
              <w:t>Asmenys</w:t>
            </w:r>
          </w:p>
        </w:tc>
        <w:tc>
          <w:tcPr>
            <w:tcW w:w="503" w:type="pct"/>
            <w:tcBorders>
              <w:top w:val="single" w:sz="12" w:space="0" w:color="auto"/>
            </w:tcBorders>
          </w:tcPr>
          <w:p w14:paraId="48000DBE" w14:textId="77777777" w:rsidR="00A606E0" w:rsidRPr="004D4A14" w:rsidRDefault="00A606E0" w:rsidP="00A606E0">
            <w:pPr>
              <w:spacing w:after="0" w:line="240" w:lineRule="auto"/>
              <w:jc w:val="center"/>
              <w:rPr>
                <w:rFonts w:eastAsia="Times New Roman" w:cs="Times New Roman"/>
                <w:bCs/>
                <w:noProof/>
                <w:sz w:val="16"/>
                <w:szCs w:val="16"/>
              </w:rPr>
            </w:pPr>
            <w:r w:rsidRPr="004D4A14">
              <w:rPr>
                <w:rFonts w:eastAsia="Times New Roman" w:cs="Times New Roman"/>
                <w:bCs/>
                <w:noProof/>
                <w:sz w:val="16"/>
                <w:szCs w:val="16"/>
              </w:rPr>
              <w:t>0</w:t>
            </w:r>
          </w:p>
        </w:tc>
        <w:tc>
          <w:tcPr>
            <w:tcW w:w="480" w:type="pct"/>
            <w:tcBorders>
              <w:top w:val="single" w:sz="12" w:space="0" w:color="auto"/>
            </w:tcBorders>
          </w:tcPr>
          <w:p w14:paraId="451C02F2" w14:textId="77777777" w:rsidR="00A606E0" w:rsidRPr="004D4A14" w:rsidRDefault="00A606E0" w:rsidP="00A606E0">
            <w:pPr>
              <w:spacing w:after="0" w:line="240" w:lineRule="auto"/>
              <w:jc w:val="center"/>
              <w:rPr>
                <w:rFonts w:eastAsia="Times New Roman" w:cs="Times New Roman"/>
                <w:bCs/>
                <w:noProof/>
                <w:color w:val="EE0000"/>
                <w:sz w:val="16"/>
                <w:szCs w:val="16"/>
              </w:rPr>
            </w:pPr>
            <w:r w:rsidRPr="004D4A14">
              <w:rPr>
                <w:rFonts w:eastAsia="Times New Roman" w:cs="Times New Roman"/>
                <w:bCs/>
                <w:noProof/>
                <w:sz w:val="16"/>
                <w:szCs w:val="16"/>
              </w:rPr>
              <w:t>2 500</w:t>
            </w:r>
          </w:p>
        </w:tc>
      </w:tr>
      <w:tr w:rsidR="00A606E0" w:rsidRPr="004D4A14" w14:paraId="00994348" w14:textId="77777777" w:rsidTr="008E427B">
        <w:trPr>
          <w:trHeight w:val="332"/>
        </w:trPr>
        <w:tc>
          <w:tcPr>
            <w:tcW w:w="497" w:type="pct"/>
            <w:vMerge/>
          </w:tcPr>
          <w:p w14:paraId="35C3CD68" w14:textId="77777777" w:rsidR="00A606E0" w:rsidRPr="004D4A14" w:rsidRDefault="00A606E0" w:rsidP="00A606E0">
            <w:pPr>
              <w:spacing w:after="0" w:line="240" w:lineRule="auto"/>
              <w:jc w:val="both"/>
              <w:rPr>
                <w:rFonts w:eastAsia="Times New Roman" w:cs="Times New Roman"/>
                <w:noProof/>
                <w:sz w:val="16"/>
                <w:szCs w:val="16"/>
              </w:rPr>
            </w:pPr>
          </w:p>
        </w:tc>
        <w:tc>
          <w:tcPr>
            <w:tcW w:w="503" w:type="pct"/>
            <w:vMerge/>
          </w:tcPr>
          <w:p w14:paraId="33ABD6CA" w14:textId="77777777" w:rsidR="00A606E0" w:rsidRPr="004D4A14" w:rsidRDefault="00A606E0" w:rsidP="00A606E0">
            <w:pPr>
              <w:spacing w:after="0" w:line="240" w:lineRule="auto"/>
              <w:jc w:val="both"/>
              <w:rPr>
                <w:rFonts w:eastAsia="Times New Roman" w:cs="Times New Roman"/>
                <w:noProof/>
                <w:sz w:val="16"/>
                <w:szCs w:val="16"/>
              </w:rPr>
            </w:pPr>
          </w:p>
        </w:tc>
        <w:tc>
          <w:tcPr>
            <w:tcW w:w="432" w:type="pct"/>
            <w:vMerge/>
          </w:tcPr>
          <w:p w14:paraId="625BCC36" w14:textId="77777777" w:rsidR="00A606E0" w:rsidRPr="004D4A14" w:rsidRDefault="00A606E0" w:rsidP="00A606E0">
            <w:pPr>
              <w:spacing w:after="0" w:line="240" w:lineRule="auto"/>
              <w:jc w:val="both"/>
              <w:rPr>
                <w:rFonts w:eastAsia="Times New Roman" w:cs="Times New Roman"/>
                <w:noProof/>
                <w:sz w:val="16"/>
                <w:szCs w:val="16"/>
              </w:rPr>
            </w:pPr>
          </w:p>
        </w:tc>
        <w:tc>
          <w:tcPr>
            <w:tcW w:w="502" w:type="pct"/>
          </w:tcPr>
          <w:p w14:paraId="76B622BC" w14:textId="77777777" w:rsidR="00A606E0" w:rsidRPr="004D4A14" w:rsidRDefault="00A606E0" w:rsidP="00A606E0">
            <w:pPr>
              <w:spacing w:after="0" w:line="240" w:lineRule="auto"/>
              <w:jc w:val="both"/>
              <w:rPr>
                <w:rFonts w:eastAsia="Times New Roman" w:cs="Arial"/>
                <w:noProof/>
                <w:sz w:val="16"/>
                <w:szCs w:val="16"/>
              </w:rPr>
            </w:pPr>
            <w:r w:rsidRPr="004D4A14">
              <w:rPr>
                <w:rFonts w:eastAsia="Times New Roman" w:cs="Arial"/>
                <w:noProof/>
                <w:sz w:val="16"/>
                <w:szCs w:val="16"/>
              </w:rPr>
              <w:t>VVL regionas</w:t>
            </w:r>
          </w:p>
        </w:tc>
        <w:tc>
          <w:tcPr>
            <w:tcW w:w="645" w:type="pct"/>
          </w:tcPr>
          <w:p w14:paraId="445F6E73" w14:textId="77777777" w:rsidR="00A606E0" w:rsidRPr="004D4A14" w:rsidRDefault="00A606E0" w:rsidP="00A606E0">
            <w:pPr>
              <w:spacing w:after="0" w:line="240" w:lineRule="auto"/>
              <w:jc w:val="both"/>
              <w:rPr>
                <w:rFonts w:eastAsia="Times New Roman" w:cs="Times New Roman"/>
                <w:sz w:val="16"/>
                <w:szCs w:val="16"/>
                <w:lang w:eastAsia="en-GB"/>
              </w:rPr>
            </w:pPr>
            <w:r w:rsidRPr="004D4A14">
              <w:rPr>
                <w:rFonts w:eastAsia="Times New Roman" w:cs="Times New Roman"/>
                <w:noProof/>
                <w:sz w:val="16"/>
                <w:szCs w:val="16"/>
              </w:rPr>
              <w:t xml:space="preserve">Specialusis </w:t>
            </w:r>
          </w:p>
        </w:tc>
        <w:tc>
          <w:tcPr>
            <w:tcW w:w="931" w:type="pct"/>
          </w:tcPr>
          <w:p w14:paraId="1C1CF7D6" w14:textId="77777777" w:rsidR="00A606E0" w:rsidRPr="004D4A14" w:rsidRDefault="00A606E0" w:rsidP="00A606E0">
            <w:pPr>
              <w:tabs>
                <w:tab w:val="left" w:pos="315"/>
                <w:tab w:val="left" w:pos="457"/>
              </w:tabs>
              <w:spacing w:after="0" w:line="240" w:lineRule="auto"/>
              <w:contextualSpacing/>
              <w:jc w:val="both"/>
              <w:rPr>
                <w:rFonts w:eastAsia="Times New Roman" w:cs="Times New Roman"/>
                <w:sz w:val="16"/>
                <w:szCs w:val="16"/>
                <w:lang w:eastAsia="en-GB"/>
              </w:rPr>
            </w:pPr>
            <w:r w:rsidRPr="004D4A14">
              <w:rPr>
                <w:rFonts w:eastAsia="Times New Roman" w:cs="Times New Roman"/>
                <w:sz w:val="16"/>
                <w:szCs w:val="16"/>
                <w:lang w:eastAsia="lt-LT"/>
              </w:rPr>
              <w:t>Asmenys, dalyvavę sveikatos raštingumo didinimo veiklose</w:t>
            </w:r>
          </w:p>
        </w:tc>
        <w:tc>
          <w:tcPr>
            <w:tcW w:w="507" w:type="pct"/>
          </w:tcPr>
          <w:p w14:paraId="1E5CA037" w14:textId="77777777" w:rsidR="00A606E0" w:rsidRPr="004D4A14" w:rsidRDefault="00A606E0" w:rsidP="00A606E0">
            <w:pPr>
              <w:spacing w:after="0" w:line="240" w:lineRule="auto"/>
              <w:jc w:val="both"/>
              <w:rPr>
                <w:rFonts w:eastAsia="Times New Roman" w:cs="Times New Roman"/>
                <w:iCs/>
                <w:sz w:val="16"/>
                <w:szCs w:val="16"/>
                <w:lang w:eastAsia="lt-LT"/>
              </w:rPr>
            </w:pPr>
            <w:r w:rsidRPr="004D4A14">
              <w:rPr>
                <w:rFonts w:eastAsia="Times New Roman" w:cs="Times New Roman"/>
                <w:noProof/>
                <w:sz w:val="16"/>
                <w:szCs w:val="16"/>
              </w:rPr>
              <w:t>Asmenys</w:t>
            </w:r>
          </w:p>
        </w:tc>
        <w:tc>
          <w:tcPr>
            <w:tcW w:w="503" w:type="pct"/>
          </w:tcPr>
          <w:p w14:paraId="627B1ECB" w14:textId="77777777" w:rsidR="00A606E0" w:rsidRPr="004D4A14" w:rsidRDefault="00A606E0" w:rsidP="00A606E0">
            <w:pPr>
              <w:spacing w:after="0" w:line="240" w:lineRule="auto"/>
              <w:jc w:val="center"/>
              <w:rPr>
                <w:rFonts w:eastAsia="Times New Roman" w:cs="Times New Roman"/>
                <w:bCs/>
                <w:noProof/>
                <w:sz w:val="16"/>
                <w:szCs w:val="16"/>
              </w:rPr>
            </w:pPr>
            <w:r w:rsidRPr="004D4A14">
              <w:rPr>
                <w:rFonts w:eastAsia="Times New Roman" w:cs="Times New Roman"/>
                <w:bCs/>
                <w:noProof/>
                <w:sz w:val="16"/>
                <w:szCs w:val="16"/>
              </w:rPr>
              <w:t>0</w:t>
            </w:r>
          </w:p>
        </w:tc>
        <w:tc>
          <w:tcPr>
            <w:tcW w:w="480" w:type="pct"/>
          </w:tcPr>
          <w:p w14:paraId="28593028" w14:textId="77777777" w:rsidR="00A606E0" w:rsidRPr="004D4A14" w:rsidRDefault="00A606E0" w:rsidP="00A606E0">
            <w:pPr>
              <w:spacing w:after="0" w:line="240" w:lineRule="auto"/>
              <w:jc w:val="center"/>
              <w:rPr>
                <w:rFonts w:eastAsia="Times New Roman" w:cs="Times New Roman"/>
                <w:bCs/>
                <w:noProof/>
                <w:color w:val="EE0000"/>
                <w:sz w:val="16"/>
                <w:szCs w:val="16"/>
              </w:rPr>
            </w:pPr>
            <w:r w:rsidRPr="004D4A14">
              <w:rPr>
                <w:rFonts w:eastAsia="Times New Roman" w:cs="Times New Roman"/>
                <w:bCs/>
                <w:noProof/>
                <w:sz w:val="16"/>
                <w:szCs w:val="16"/>
              </w:rPr>
              <w:t>16 465</w:t>
            </w:r>
          </w:p>
        </w:tc>
      </w:tr>
      <w:tr w:rsidR="00A606E0" w:rsidRPr="004D4A14" w14:paraId="7911D388" w14:textId="77777777" w:rsidTr="008E427B">
        <w:trPr>
          <w:trHeight w:val="332"/>
        </w:trPr>
        <w:tc>
          <w:tcPr>
            <w:tcW w:w="497" w:type="pct"/>
            <w:vMerge/>
          </w:tcPr>
          <w:p w14:paraId="12B6BEFB" w14:textId="77777777" w:rsidR="00A606E0" w:rsidRPr="004D4A14" w:rsidRDefault="00A606E0" w:rsidP="00A606E0">
            <w:pPr>
              <w:spacing w:after="0" w:line="240" w:lineRule="auto"/>
              <w:jc w:val="both"/>
              <w:rPr>
                <w:rFonts w:eastAsia="Times New Roman" w:cs="Times New Roman"/>
                <w:noProof/>
                <w:sz w:val="16"/>
                <w:szCs w:val="16"/>
              </w:rPr>
            </w:pPr>
          </w:p>
        </w:tc>
        <w:tc>
          <w:tcPr>
            <w:tcW w:w="503" w:type="pct"/>
            <w:vMerge/>
          </w:tcPr>
          <w:p w14:paraId="07C961E7" w14:textId="77777777" w:rsidR="00A606E0" w:rsidRPr="004D4A14" w:rsidRDefault="00A606E0" w:rsidP="00A606E0">
            <w:pPr>
              <w:spacing w:after="0" w:line="240" w:lineRule="auto"/>
              <w:jc w:val="both"/>
              <w:rPr>
                <w:rFonts w:eastAsia="Times New Roman" w:cs="Times New Roman"/>
                <w:noProof/>
                <w:sz w:val="16"/>
                <w:szCs w:val="16"/>
              </w:rPr>
            </w:pPr>
          </w:p>
        </w:tc>
        <w:tc>
          <w:tcPr>
            <w:tcW w:w="432" w:type="pct"/>
            <w:vMerge/>
          </w:tcPr>
          <w:p w14:paraId="53BD9B2B" w14:textId="77777777" w:rsidR="00A606E0" w:rsidRPr="004D4A14" w:rsidRDefault="00A606E0" w:rsidP="00A606E0">
            <w:pPr>
              <w:spacing w:after="0" w:line="240" w:lineRule="auto"/>
              <w:jc w:val="both"/>
              <w:rPr>
                <w:rFonts w:eastAsia="Times New Roman" w:cs="Times New Roman"/>
                <w:noProof/>
                <w:sz w:val="16"/>
                <w:szCs w:val="16"/>
              </w:rPr>
            </w:pPr>
          </w:p>
        </w:tc>
        <w:tc>
          <w:tcPr>
            <w:tcW w:w="502" w:type="pct"/>
          </w:tcPr>
          <w:p w14:paraId="2BF6A451" w14:textId="77777777" w:rsidR="00A606E0" w:rsidRPr="004D4A14" w:rsidRDefault="00A606E0" w:rsidP="00A606E0">
            <w:pPr>
              <w:spacing w:after="0" w:line="240" w:lineRule="auto"/>
              <w:jc w:val="both"/>
              <w:rPr>
                <w:rFonts w:eastAsia="Times New Roman" w:cs="Times New Roman"/>
                <w:noProof/>
                <w:sz w:val="16"/>
                <w:szCs w:val="16"/>
              </w:rPr>
            </w:pPr>
            <w:r w:rsidRPr="004D4A14">
              <w:rPr>
                <w:rFonts w:eastAsia="Times New Roman" w:cs="Arial"/>
                <w:noProof/>
                <w:sz w:val="16"/>
                <w:szCs w:val="16"/>
              </w:rPr>
              <w:t>VVL regionas</w:t>
            </w:r>
          </w:p>
        </w:tc>
        <w:tc>
          <w:tcPr>
            <w:tcW w:w="645" w:type="pct"/>
          </w:tcPr>
          <w:p w14:paraId="300A7192" w14:textId="77777777" w:rsidR="00A606E0" w:rsidRPr="004D4A14" w:rsidRDefault="00A606E0" w:rsidP="00A606E0">
            <w:pPr>
              <w:spacing w:after="0" w:line="240" w:lineRule="auto"/>
              <w:jc w:val="both"/>
              <w:rPr>
                <w:rFonts w:eastAsia="Times New Roman" w:cs="Times New Roman"/>
                <w:sz w:val="16"/>
                <w:szCs w:val="16"/>
                <w:lang w:eastAsia="en-GB"/>
              </w:rPr>
            </w:pPr>
            <w:r w:rsidRPr="004D4A14">
              <w:rPr>
                <w:rFonts w:eastAsia="Times New Roman" w:cs="Times New Roman"/>
                <w:sz w:val="16"/>
                <w:szCs w:val="16"/>
                <w:lang w:eastAsia="en-GB"/>
              </w:rPr>
              <w:t xml:space="preserve">Specialusis </w:t>
            </w:r>
          </w:p>
        </w:tc>
        <w:tc>
          <w:tcPr>
            <w:tcW w:w="931" w:type="pct"/>
          </w:tcPr>
          <w:p w14:paraId="1BB3C615" w14:textId="77777777" w:rsidR="00A606E0" w:rsidRPr="004D4A14" w:rsidRDefault="00A606E0" w:rsidP="00A606E0">
            <w:pPr>
              <w:autoSpaceDE w:val="0"/>
              <w:autoSpaceDN w:val="0"/>
              <w:adjustRightInd w:val="0"/>
              <w:spacing w:after="0" w:line="240" w:lineRule="auto"/>
              <w:jc w:val="both"/>
              <w:rPr>
                <w:rFonts w:eastAsia="Times New Roman" w:cs="Times New Roman"/>
                <w:sz w:val="16"/>
                <w:szCs w:val="16"/>
                <w:lang w:eastAsia="en-GB"/>
              </w:rPr>
            </w:pPr>
            <w:r w:rsidRPr="004D4A14">
              <w:rPr>
                <w:rFonts w:eastAsia="Times New Roman" w:cs="Times New Roman"/>
                <w:sz w:val="16"/>
                <w:szCs w:val="16"/>
                <w:lang w:eastAsia="lt-LT"/>
              </w:rPr>
              <w:t>Specialistai dalyvavę kvalifikacijos tobulinimo / perkvalifikavimo veiklose</w:t>
            </w:r>
          </w:p>
        </w:tc>
        <w:tc>
          <w:tcPr>
            <w:tcW w:w="507" w:type="pct"/>
          </w:tcPr>
          <w:p w14:paraId="5AC2D783" w14:textId="77777777" w:rsidR="00A606E0" w:rsidRPr="004D4A14" w:rsidRDefault="00A606E0" w:rsidP="00A606E0">
            <w:pPr>
              <w:spacing w:after="0" w:line="240" w:lineRule="auto"/>
              <w:jc w:val="both"/>
              <w:rPr>
                <w:rFonts w:eastAsia="Times New Roman" w:cs="Times New Roman"/>
                <w:iCs/>
                <w:sz w:val="16"/>
                <w:szCs w:val="16"/>
                <w:lang w:eastAsia="lt-LT"/>
              </w:rPr>
            </w:pPr>
            <w:r w:rsidRPr="004D4A14">
              <w:rPr>
                <w:rFonts w:eastAsia="Times New Roman" w:cs="Times New Roman"/>
                <w:noProof/>
                <w:sz w:val="16"/>
                <w:szCs w:val="16"/>
              </w:rPr>
              <w:t>Asmenys</w:t>
            </w:r>
          </w:p>
        </w:tc>
        <w:tc>
          <w:tcPr>
            <w:tcW w:w="503" w:type="pct"/>
          </w:tcPr>
          <w:p w14:paraId="7FD2AC28" w14:textId="77777777" w:rsidR="00A606E0" w:rsidRPr="004D4A14" w:rsidRDefault="00A606E0" w:rsidP="00A606E0">
            <w:pPr>
              <w:spacing w:after="0" w:line="240" w:lineRule="auto"/>
              <w:jc w:val="center"/>
              <w:rPr>
                <w:rFonts w:eastAsia="Times New Roman" w:cs="Times New Roman"/>
                <w:bCs/>
                <w:noProof/>
                <w:sz w:val="16"/>
                <w:szCs w:val="16"/>
              </w:rPr>
            </w:pPr>
            <w:r w:rsidRPr="004D4A14">
              <w:rPr>
                <w:rFonts w:eastAsia="Times New Roman" w:cs="Times New Roman"/>
                <w:bCs/>
                <w:noProof/>
                <w:sz w:val="16"/>
                <w:szCs w:val="16"/>
              </w:rPr>
              <w:t>0</w:t>
            </w:r>
          </w:p>
        </w:tc>
        <w:tc>
          <w:tcPr>
            <w:tcW w:w="480" w:type="pct"/>
          </w:tcPr>
          <w:p w14:paraId="50236621" w14:textId="77777777" w:rsidR="00A606E0" w:rsidRPr="004D4A14" w:rsidRDefault="00A606E0" w:rsidP="00A606E0">
            <w:pPr>
              <w:spacing w:after="0" w:line="240" w:lineRule="auto"/>
              <w:jc w:val="center"/>
              <w:rPr>
                <w:rFonts w:eastAsia="Times New Roman" w:cs="Times New Roman"/>
                <w:bCs/>
                <w:noProof/>
                <w:color w:val="EE0000"/>
                <w:sz w:val="16"/>
                <w:szCs w:val="16"/>
              </w:rPr>
            </w:pPr>
            <w:r w:rsidRPr="004D4A14">
              <w:rPr>
                <w:rFonts w:eastAsia="Times New Roman" w:cs="Times New Roman"/>
                <w:bCs/>
                <w:noProof/>
                <w:sz w:val="16"/>
                <w:szCs w:val="16"/>
              </w:rPr>
              <w:t>3 575</w:t>
            </w:r>
          </w:p>
        </w:tc>
      </w:tr>
      <w:tr w:rsidR="00A606E0" w:rsidRPr="004D4A14" w14:paraId="2C7A75DF" w14:textId="77777777" w:rsidTr="008E427B">
        <w:trPr>
          <w:trHeight w:val="332"/>
        </w:trPr>
        <w:tc>
          <w:tcPr>
            <w:tcW w:w="497" w:type="pct"/>
            <w:vMerge/>
          </w:tcPr>
          <w:p w14:paraId="3BECF68D" w14:textId="77777777" w:rsidR="00A606E0" w:rsidRPr="004D4A14" w:rsidRDefault="00A606E0" w:rsidP="00A606E0">
            <w:pPr>
              <w:spacing w:after="0" w:line="240" w:lineRule="auto"/>
              <w:jc w:val="both"/>
              <w:rPr>
                <w:rFonts w:eastAsia="Times New Roman" w:cs="Times New Roman"/>
                <w:noProof/>
                <w:sz w:val="16"/>
                <w:szCs w:val="16"/>
              </w:rPr>
            </w:pPr>
          </w:p>
        </w:tc>
        <w:tc>
          <w:tcPr>
            <w:tcW w:w="503" w:type="pct"/>
            <w:vMerge/>
          </w:tcPr>
          <w:p w14:paraId="0CBB59AA" w14:textId="77777777" w:rsidR="00A606E0" w:rsidRPr="004D4A14" w:rsidRDefault="00A606E0" w:rsidP="00A606E0">
            <w:pPr>
              <w:spacing w:after="0" w:line="240" w:lineRule="auto"/>
              <w:jc w:val="both"/>
              <w:rPr>
                <w:rFonts w:eastAsia="Times New Roman" w:cs="Times New Roman"/>
                <w:noProof/>
                <w:sz w:val="16"/>
                <w:szCs w:val="16"/>
              </w:rPr>
            </w:pPr>
          </w:p>
        </w:tc>
        <w:tc>
          <w:tcPr>
            <w:tcW w:w="432" w:type="pct"/>
            <w:vMerge/>
          </w:tcPr>
          <w:p w14:paraId="0A6B8B74" w14:textId="77777777" w:rsidR="00A606E0" w:rsidRPr="004D4A14" w:rsidRDefault="00A606E0" w:rsidP="00A606E0">
            <w:pPr>
              <w:spacing w:after="0" w:line="240" w:lineRule="auto"/>
              <w:jc w:val="both"/>
              <w:rPr>
                <w:rFonts w:eastAsia="Times New Roman" w:cs="Times New Roman"/>
                <w:noProof/>
                <w:sz w:val="16"/>
                <w:szCs w:val="16"/>
              </w:rPr>
            </w:pPr>
          </w:p>
        </w:tc>
        <w:tc>
          <w:tcPr>
            <w:tcW w:w="502" w:type="pct"/>
          </w:tcPr>
          <w:p w14:paraId="5AD1998F" w14:textId="77777777" w:rsidR="00A606E0" w:rsidRPr="004D4A14" w:rsidRDefault="00A606E0" w:rsidP="00A606E0">
            <w:pPr>
              <w:spacing w:after="0" w:line="240" w:lineRule="auto"/>
              <w:jc w:val="both"/>
              <w:rPr>
                <w:rFonts w:eastAsia="Times New Roman" w:cs="Arial"/>
                <w:noProof/>
                <w:sz w:val="16"/>
                <w:szCs w:val="16"/>
              </w:rPr>
            </w:pPr>
            <w:r w:rsidRPr="004D4A14">
              <w:rPr>
                <w:rFonts w:eastAsia="Times New Roman" w:cs="Arial"/>
                <w:noProof/>
                <w:sz w:val="16"/>
                <w:szCs w:val="16"/>
              </w:rPr>
              <w:t>Sostinės regionas</w:t>
            </w:r>
          </w:p>
        </w:tc>
        <w:tc>
          <w:tcPr>
            <w:tcW w:w="645" w:type="pct"/>
          </w:tcPr>
          <w:p w14:paraId="35FCFA89" w14:textId="77777777" w:rsidR="00A606E0" w:rsidRPr="004D4A14" w:rsidRDefault="00A606E0" w:rsidP="00A606E0">
            <w:pPr>
              <w:spacing w:after="0" w:line="240" w:lineRule="auto"/>
              <w:jc w:val="both"/>
              <w:rPr>
                <w:rFonts w:eastAsia="Times New Roman" w:cs="Times New Roman"/>
                <w:sz w:val="16"/>
                <w:szCs w:val="16"/>
                <w:lang w:eastAsia="en-GB"/>
              </w:rPr>
            </w:pPr>
            <w:r w:rsidRPr="004D4A14">
              <w:rPr>
                <w:rFonts w:eastAsia="Times New Roman" w:cs="Times New Roman"/>
                <w:sz w:val="16"/>
                <w:szCs w:val="16"/>
                <w:lang w:eastAsia="en-GB"/>
              </w:rPr>
              <w:t xml:space="preserve">Specialusis </w:t>
            </w:r>
          </w:p>
        </w:tc>
        <w:tc>
          <w:tcPr>
            <w:tcW w:w="931" w:type="pct"/>
          </w:tcPr>
          <w:p w14:paraId="45242FB6" w14:textId="77777777" w:rsidR="00A606E0" w:rsidRPr="004D4A14" w:rsidRDefault="00A606E0" w:rsidP="00A606E0">
            <w:pPr>
              <w:autoSpaceDE w:val="0"/>
              <w:autoSpaceDN w:val="0"/>
              <w:adjustRightInd w:val="0"/>
              <w:spacing w:after="0" w:line="240" w:lineRule="auto"/>
              <w:jc w:val="both"/>
              <w:rPr>
                <w:rFonts w:eastAsia="Times New Roman" w:cs="Times New Roman"/>
                <w:sz w:val="16"/>
                <w:szCs w:val="16"/>
                <w:lang w:eastAsia="lt-LT"/>
              </w:rPr>
            </w:pPr>
            <w:r w:rsidRPr="004D4A14">
              <w:rPr>
                <w:rFonts w:eastAsia="Times New Roman" w:cs="Arial"/>
                <w:sz w:val="16"/>
                <w:szCs w:val="16"/>
              </w:rPr>
              <w:t>BIVP projektų veiklų dalyviai (įskaitant visas tikslines grupes)</w:t>
            </w:r>
            <w:r w:rsidRPr="004D4A14">
              <w:rPr>
                <w:rFonts w:eastAsia="Times New Roman" w:cs="Arial"/>
                <w:sz w:val="16"/>
                <w:szCs w:val="16"/>
                <w:lang w:eastAsia="lt-LT"/>
              </w:rPr>
              <w:t xml:space="preserve">, dalyvavę </w:t>
            </w:r>
            <w:r w:rsidRPr="004D4A14">
              <w:rPr>
                <w:rFonts w:eastAsia="Times New Roman" w:cs="Arial"/>
                <w:sz w:val="16"/>
                <w:szCs w:val="16"/>
              </w:rPr>
              <w:t xml:space="preserve">gyventojų švietimo civilinės saugos klausimais </w:t>
            </w:r>
            <w:r w:rsidRPr="004D4A14">
              <w:rPr>
                <w:rFonts w:eastAsia="Times New Roman" w:cs="Arial"/>
                <w:sz w:val="16"/>
                <w:szCs w:val="16"/>
                <w:lang w:eastAsia="lt-LT"/>
              </w:rPr>
              <w:t>veiklose</w:t>
            </w:r>
            <w:r w:rsidRPr="004D4A14">
              <w:rPr>
                <w:rFonts w:eastAsia="Times New Roman" w:cs="Arial"/>
                <w:sz w:val="16"/>
                <w:szCs w:val="16"/>
              </w:rPr>
              <w:t xml:space="preserve"> </w:t>
            </w:r>
            <w:r w:rsidRPr="004D4A14">
              <w:rPr>
                <w:rFonts w:eastAsia="Times New Roman" w:cs="Arial"/>
                <w:sz w:val="16"/>
                <w:szCs w:val="16"/>
                <w:lang w:eastAsia="lt-LT"/>
              </w:rPr>
              <w:t xml:space="preserve"> </w:t>
            </w:r>
          </w:p>
        </w:tc>
        <w:tc>
          <w:tcPr>
            <w:tcW w:w="507" w:type="pct"/>
          </w:tcPr>
          <w:p w14:paraId="18474012" w14:textId="77777777" w:rsidR="00A606E0" w:rsidRPr="004D4A14" w:rsidRDefault="00A606E0" w:rsidP="00A606E0">
            <w:pPr>
              <w:spacing w:after="0" w:line="240" w:lineRule="auto"/>
              <w:jc w:val="both"/>
              <w:rPr>
                <w:rFonts w:eastAsia="Times New Roman" w:cs="Times New Roman"/>
                <w:noProof/>
                <w:sz w:val="16"/>
                <w:szCs w:val="16"/>
              </w:rPr>
            </w:pPr>
            <w:r w:rsidRPr="004D4A14">
              <w:rPr>
                <w:rFonts w:eastAsia="Times New Roman" w:cs="Times New Roman"/>
                <w:noProof/>
                <w:sz w:val="16"/>
                <w:szCs w:val="16"/>
              </w:rPr>
              <w:t>Asmenys</w:t>
            </w:r>
          </w:p>
        </w:tc>
        <w:tc>
          <w:tcPr>
            <w:tcW w:w="503" w:type="pct"/>
          </w:tcPr>
          <w:p w14:paraId="0071BC0C" w14:textId="77777777" w:rsidR="00A606E0" w:rsidRPr="004D4A14" w:rsidRDefault="00A606E0" w:rsidP="00A606E0">
            <w:pPr>
              <w:spacing w:after="0" w:line="240" w:lineRule="auto"/>
              <w:jc w:val="center"/>
              <w:rPr>
                <w:rFonts w:eastAsia="Times New Roman" w:cs="Times New Roman"/>
                <w:bCs/>
                <w:noProof/>
                <w:sz w:val="16"/>
                <w:szCs w:val="16"/>
              </w:rPr>
            </w:pPr>
            <w:r w:rsidRPr="004D4A14">
              <w:rPr>
                <w:rFonts w:eastAsia="Times New Roman" w:cs="Times New Roman"/>
                <w:bCs/>
                <w:noProof/>
                <w:sz w:val="16"/>
                <w:szCs w:val="16"/>
              </w:rPr>
              <w:t>0</w:t>
            </w:r>
          </w:p>
        </w:tc>
        <w:tc>
          <w:tcPr>
            <w:tcW w:w="480" w:type="pct"/>
          </w:tcPr>
          <w:p w14:paraId="2647D31B" w14:textId="77777777" w:rsidR="00A606E0" w:rsidRPr="004D4A14" w:rsidRDefault="00A606E0" w:rsidP="00A606E0">
            <w:pPr>
              <w:spacing w:after="0" w:line="240" w:lineRule="auto"/>
              <w:jc w:val="center"/>
              <w:rPr>
                <w:rFonts w:eastAsia="Times New Roman" w:cs="Times New Roman"/>
                <w:bCs/>
                <w:noProof/>
                <w:color w:val="EE0000"/>
                <w:sz w:val="16"/>
                <w:szCs w:val="16"/>
              </w:rPr>
            </w:pPr>
            <w:r w:rsidRPr="004D4A14">
              <w:rPr>
                <w:rFonts w:eastAsia="Times New Roman" w:cs="Times New Roman"/>
                <w:bCs/>
                <w:noProof/>
                <w:sz w:val="16"/>
                <w:szCs w:val="16"/>
                <w:lang w:val="en-US"/>
              </w:rPr>
              <w:t>500</w:t>
            </w:r>
          </w:p>
        </w:tc>
      </w:tr>
      <w:tr w:rsidR="00A606E0" w:rsidRPr="004D4A14" w14:paraId="7D4289C5" w14:textId="77777777" w:rsidTr="008E427B">
        <w:trPr>
          <w:trHeight w:val="332"/>
        </w:trPr>
        <w:tc>
          <w:tcPr>
            <w:tcW w:w="497" w:type="pct"/>
            <w:vMerge/>
          </w:tcPr>
          <w:p w14:paraId="7108C0CA" w14:textId="77777777" w:rsidR="00A606E0" w:rsidRPr="004D4A14" w:rsidRDefault="00A606E0" w:rsidP="00A606E0">
            <w:pPr>
              <w:spacing w:after="0" w:line="240" w:lineRule="auto"/>
              <w:jc w:val="both"/>
              <w:rPr>
                <w:rFonts w:eastAsia="Times New Roman" w:cs="Times New Roman"/>
                <w:noProof/>
                <w:sz w:val="16"/>
                <w:szCs w:val="16"/>
              </w:rPr>
            </w:pPr>
          </w:p>
        </w:tc>
        <w:tc>
          <w:tcPr>
            <w:tcW w:w="503" w:type="pct"/>
            <w:vMerge/>
          </w:tcPr>
          <w:p w14:paraId="77D90698" w14:textId="77777777" w:rsidR="00A606E0" w:rsidRPr="004D4A14" w:rsidRDefault="00A606E0" w:rsidP="00A606E0">
            <w:pPr>
              <w:spacing w:after="0" w:line="240" w:lineRule="auto"/>
              <w:jc w:val="both"/>
              <w:rPr>
                <w:rFonts w:eastAsia="Times New Roman" w:cs="Times New Roman"/>
                <w:noProof/>
                <w:sz w:val="16"/>
                <w:szCs w:val="16"/>
              </w:rPr>
            </w:pPr>
          </w:p>
        </w:tc>
        <w:tc>
          <w:tcPr>
            <w:tcW w:w="432" w:type="pct"/>
            <w:vMerge/>
          </w:tcPr>
          <w:p w14:paraId="5BDEEB87" w14:textId="77777777" w:rsidR="00A606E0" w:rsidRPr="004D4A14" w:rsidRDefault="00A606E0" w:rsidP="00A606E0">
            <w:pPr>
              <w:spacing w:after="0" w:line="240" w:lineRule="auto"/>
              <w:jc w:val="both"/>
              <w:rPr>
                <w:rFonts w:eastAsia="Times New Roman" w:cs="Times New Roman"/>
                <w:noProof/>
                <w:sz w:val="16"/>
                <w:szCs w:val="16"/>
              </w:rPr>
            </w:pPr>
          </w:p>
        </w:tc>
        <w:tc>
          <w:tcPr>
            <w:tcW w:w="502" w:type="pct"/>
          </w:tcPr>
          <w:p w14:paraId="11FE930E" w14:textId="77777777" w:rsidR="00A606E0" w:rsidRPr="004D4A14" w:rsidRDefault="00A606E0" w:rsidP="00A606E0">
            <w:pPr>
              <w:spacing w:after="0" w:line="240" w:lineRule="auto"/>
              <w:jc w:val="both"/>
              <w:rPr>
                <w:rFonts w:eastAsia="Times New Roman" w:cs="Arial"/>
                <w:noProof/>
                <w:sz w:val="16"/>
                <w:szCs w:val="16"/>
              </w:rPr>
            </w:pPr>
            <w:r w:rsidRPr="004D4A14">
              <w:rPr>
                <w:rFonts w:eastAsia="Times New Roman" w:cs="Arial"/>
                <w:noProof/>
                <w:sz w:val="16"/>
                <w:szCs w:val="16"/>
              </w:rPr>
              <w:t>VVL regionas</w:t>
            </w:r>
          </w:p>
        </w:tc>
        <w:tc>
          <w:tcPr>
            <w:tcW w:w="645" w:type="pct"/>
          </w:tcPr>
          <w:p w14:paraId="6E5C40F9" w14:textId="77777777" w:rsidR="00A606E0" w:rsidRPr="004D4A14" w:rsidRDefault="00A606E0" w:rsidP="00A606E0">
            <w:pPr>
              <w:spacing w:after="0" w:line="240" w:lineRule="auto"/>
              <w:jc w:val="both"/>
              <w:rPr>
                <w:rFonts w:eastAsia="Times New Roman" w:cs="Times New Roman"/>
                <w:sz w:val="16"/>
                <w:szCs w:val="16"/>
                <w:lang w:eastAsia="en-GB"/>
              </w:rPr>
            </w:pPr>
            <w:r w:rsidRPr="004D4A14">
              <w:rPr>
                <w:rFonts w:eastAsia="Times New Roman" w:cs="Times New Roman"/>
                <w:sz w:val="16"/>
                <w:szCs w:val="16"/>
                <w:lang w:eastAsia="en-GB"/>
              </w:rPr>
              <w:t xml:space="preserve">Specialusis </w:t>
            </w:r>
          </w:p>
        </w:tc>
        <w:tc>
          <w:tcPr>
            <w:tcW w:w="931" w:type="pct"/>
          </w:tcPr>
          <w:p w14:paraId="643575D5" w14:textId="77777777" w:rsidR="00A606E0" w:rsidRPr="004D4A14" w:rsidRDefault="00A606E0" w:rsidP="00A606E0">
            <w:pPr>
              <w:autoSpaceDE w:val="0"/>
              <w:autoSpaceDN w:val="0"/>
              <w:adjustRightInd w:val="0"/>
              <w:spacing w:after="0" w:line="240" w:lineRule="auto"/>
              <w:jc w:val="both"/>
              <w:rPr>
                <w:rFonts w:eastAsia="Times New Roman" w:cs="Arial"/>
                <w:sz w:val="16"/>
                <w:szCs w:val="16"/>
              </w:rPr>
            </w:pPr>
            <w:r w:rsidRPr="004D4A14">
              <w:rPr>
                <w:rFonts w:eastAsia="Times New Roman" w:cs="Arial"/>
                <w:sz w:val="16"/>
                <w:szCs w:val="16"/>
              </w:rPr>
              <w:t>BIVP projektų veiklų dalyviai (įskaitant visas tikslines grupes)</w:t>
            </w:r>
            <w:r w:rsidRPr="004D4A14">
              <w:rPr>
                <w:rFonts w:eastAsia="Times New Roman" w:cs="Arial"/>
                <w:sz w:val="16"/>
                <w:szCs w:val="16"/>
                <w:lang w:eastAsia="lt-LT"/>
              </w:rPr>
              <w:t xml:space="preserve">, dalyvavę </w:t>
            </w:r>
            <w:r w:rsidRPr="004D4A14">
              <w:rPr>
                <w:rFonts w:eastAsia="Times New Roman" w:cs="Arial"/>
                <w:sz w:val="16"/>
                <w:szCs w:val="16"/>
              </w:rPr>
              <w:t xml:space="preserve">gyventojų švietimo civilinės saugos klausimais </w:t>
            </w:r>
            <w:r w:rsidRPr="004D4A14">
              <w:rPr>
                <w:rFonts w:eastAsia="Times New Roman" w:cs="Arial"/>
                <w:sz w:val="16"/>
                <w:szCs w:val="16"/>
                <w:lang w:eastAsia="lt-LT"/>
              </w:rPr>
              <w:t>veiklose</w:t>
            </w:r>
          </w:p>
        </w:tc>
        <w:tc>
          <w:tcPr>
            <w:tcW w:w="507" w:type="pct"/>
          </w:tcPr>
          <w:p w14:paraId="71F66370" w14:textId="77777777" w:rsidR="00A606E0" w:rsidRPr="004D4A14" w:rsidRDefault="00A606E0" w:rsidP="00A606E0">
            <w:pPr>
              <w:spacing w:after="0" w:line="240" w:lineRule="auto"/>
              <w:jc w:val="both"/>
              <w:rPr>
                <w:rFonts w:eastAsia="Times New Roman" w:cs="Times New Roman"/>
                <w:iCs/>
                <w:sz w:val="16"/>
                <w:szCs w:val="16"/>
                <w:lang w:eastAsia="lt-LT"/>
              </w:rPr>
            </w:pPr>
            <w:r w:rsidRPr="004D4A14">
              <w:rPr>
                <w:rFonts w:eastAsia="Times New Roman" w:cs="Times New Roman"/>
                <w:noProof/>
                <w:sz w:val="16"/>
                <w:szCs w:val="16"/>
              </w:rPr>
              <w:t>Asmenys</w:t>
            </w:r>
          </w:p>
        </w:tc>
        <w:tc>
          <w:tcPr>
            <w:tcW w:w="503" w:type="pct"/>
          </w:tcPr>
          <w:p w14:paraId="1451B195" w14:textId="77777777" w:rsidR="00A606E0" w:rsidRPr="004D4A14" w:rsidRDefault="00A606E0" w:rsidP="00A606E0">
            <w:pPr>
              <w:spacing w:after="0" w:line="240" w:lineRule="auto"/>
              <w:jc w:val="center"/>
              <w:rPr>
                <w:rFonts w:eastAsia="Times New Roman" w:cs="Times New Roman"/>
                <w:bCs/>
                <w:noProof/>
                <w:sz w:val="16"/>
                <w:szCs w:val="16"/>
              </w:rPr>
            </w:pPr>
            <w:r w:rsidRPr="004D4A14">
              <w:rPr>
                <w:rFonts w:eastAsia="Times New Roman" w:cs="Times New Roman"/>
                <w:bCs/>
                <w:noProof/>
                <w:sz w:val="16"/>
                <w:szCs w:val="16"/>
              </w:rPr>
              <w:t>0</w:t>
            </w:r>
          </w:p>
        </w:tc>
        <w:tc>
          <w:tcPr>
            <w:tcW w:w="480" w:type="pct"/>
          </w:tcPr>
          <w:p w14:paraId="1D165834" w14:textId="77777777" w:rsidR="00A606E0" w:rsidRPr="004D4A14" w:rsidRDefault="00A606E0" w:rsidP="00A606E0">
            <w:pPr>
              <w:spacing w:after="0" w:line="240" w:lineRule="auto"/>
              <w:jc w:val="center"/>
              <w:rPr>
                <w:rFonts w:eastAsia="Times New Roman" w:cs="Times New Roman"/>
                <w:bCs/>
                <w:noProof/>
                <w:color w:val="EE0000"/>
                <w:sz w:val="16"/>
                <w:szCs w:val="16"/>
              </w:rPr>
            </w:pPr>
            <w:r w:rsidRPr="004D4A14">
              <w:rPr>
                <w:rFonts w:eastAsia="Times New Roman" w:cs="Times New Roman"/>
                <w:bCs/>
                <w:noProof/>
                <w:sz w:val="16"/>
                <w:szCs w:val="16"/>
              </w:rPr>
              <w:t xml:space="preserve">4 </w:t>
            </w:r>
            <w:r w:rsidRPr="004D4A14">
              <w:rPr>
                <w:rFonts w:eastAsia="Times New Roman" w:cs="Times New Roman"/>
                <w:bCs/>
                <w:noProof/>
                <w:sz w:val="16"/>
                <w:szCs w:val="16"/>
                <w:lang w:val="en-US"/>
              </w:rPr>
              <w:t>7</w:t>
            </w:r>
            <w:r w:rsidRPr="004D4A14">
              <w:rPr>
                <w:rFonts w:eastAsia="Times New Roman" w:cs="Times New Roman"/>
                <w:bCs/>
                <w:noProof/>
                <w:sz w:val="16"/>
                <w:szCs w:val="16"/>
              </w:rPr>
              <w:t>00</w:t>
            </w:r>
          </w:p>
        </w:tc>
      </w:tr>
    </w:tbl>
    <w:p w14:paraId="7CAC4452" w14:textId="77777777" w:rsidR="00A606E0" w:rsidRPr="004D4A14" w:rsidRDefault="00A606E0" w:rsidP="00A606E0">
      <w:pPr>
        <w:spacing w:after="0" w:line="240" w:lineRule="auto"/>
        <w:jc w:val="both"/>
        <w:rPr>
          <w:rFonts w:eastAsia="Times New Roman" w:cs="Times New Roman"/>
          <w:b/>
          <w:sz w:val="22"/>
        </w:rPr>
        <w:sectPr w:rsidR="00A606E0" w:rsidRPr="004D4A14" w:rsidSect="00A606E0">
          <w:headerReference w:type="even" r:id="rId16"/>
          <w:headerReference w:type="default" r:id="rId17"/>
          <w:footerReference w:type="even" r:id="rId18"/>
          <w:footerReference w:type="default" r:id="rId19"/>
          <w:headerReference w:type="first" r:id="rId20"/>
          <w:footerReference w:type="first" r:id="rId21"/>
          <w:pgSz w:w="11906" w:h="16838"/>
          <w:pgMar w:top="1276" w:right="567" w:bottom="1134" w:left="1701" w:header="567" w:footer="567" w:gutter="0"/>
          <w:cols w:space="1296"/>
          <w:docGrid w:linePitch="360"/>
        </w:sectPr>
      </w:pPr>
    </w:p>
    <w:p w14:paraId="77C6046F" w14:textId="77777777" w:rsidR="00A606E0" w:rsidRPr="004D4A14" w:rsidRDefault="00A606E0" w:rsidP="00A606E0">
      <w:pPr>
        <w:spacing w:after="0" w:line="240" w:lineRule="auto"/>
        <w:jc w:val="both"/>
        <w:rPr>
          <w:rFonts w:eastAsia="Times New Roman" w:cs="Times New Roman"/>
          <w:b/>
          <w:sz w:val="22"/>
        </w:rPr>
      </w:pPr>
      <w:r w:rsidRPr="004D4A14">
        <w:rPr>
          <w:rFonts w:eastAsia="Times New Roman" w:cs="Times New Roman"/>
          <w:b/>
          <w:sz w:val="22"/>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
        <w:gridCol w:w="993"/>
        <w:gridCol w:w="785"/>
        <w:gridCol w:w="975"/>
        <w:gridCol w:w="1255"/>
        <w:gridCol w:w="3903"/>
        <w:gridCol w:w="975"/>
        <w:gridCol w:w="975"/>
        <w:gridCol w:w="1115"/>
        <w:gridCol w:w="975"/>
        <w:gridCol w:w="907"/>
        <w:gridCol w:w="1029"/>
      </w:tblGrid>
      <w:tr w:rsidR="00A606E0" w:rsidRPr="004D4A14" w14:paraId="2587EAE9" w14:textId="77777777" w:rsidTr="008E427B">
        <w:trPr>
          <w:trHeight w:val="1141"/>
          <w:tblHeader/>
        </w:trPr>
        <w:tc>
          <w:tcPr>
            <w:tcW w:w="329" w:type="pct"/>
            <w:tcBorders>
              <w:top w:val="single" w:sz="12" w:space="0" w:color="auto"/>
              <w:left w:val="single" w:sz="12" w:space="0" w:color="auto"/>
              <w:bottom w:val="single" w:sz="12" w:space="0" w:color="auto"/>
              <w:right w:val="single" w:sz="12" w:space="0" w:color="auto"/>
            </w:tcBorders>
            <w:shd w:val="clear" w:color="auto" w:fill="DBE5F1"/>
            <w:vAlign w:val="center"/>
          </w:tcPr>
          <w:p w14:paraId="02A4FFE7" w14:textId="77777777" w:rsidR="00A606E0" w:rsidRPr="004D4A14" w:rsidRDefault="00A606E0" w:rsidP="00A606E0">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Prioritetas</w:t>
            </w:r>
          </w:p>
        </w:tc>
        <w:tc>
          <w:tcPr>
            <w:tcW w:w="334" w:type="pct"/>
            <w:tcBorders>
              <w:top w:val="single" w:sz="12" w:space="0" w:color="auto"/>
              <w:left w:val="single" w:sz="12" w:space="0" w:color="auto"/>
              <w:bottom w:val="single" w:sz="12" w:space="0" w:color="auto"/>
              <w:right w:val="single" w:sz="12" w:space="0" w:color="auto"/>
            </w:tcBorders>
            <w:shd w:val="clear" w:color="auto" w:fill="DBE5F1"/>
            <w:vAlign w:val="center"/>
          </w:tcPr>
          <w:p w14:paraId="0EF9F1D9" w14:textId="77777777" w:rsidR="00A606E0" w:rsidRPr="004D4A14" w:rsidRDefault="00A606E0" w:rsidP="00A606E0">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Konkretus uždavinys</w:t>
            </w:r>
          </w:p>
        </w:tc>
        <w:tc>
          <w:tcPr>
            <w:tcW w:w="264" w:type="pct"/>
            <w:tcBorders>
              <w:top w:val="single" w:sz="12" w:space="0" w:color="auto"/>
              <w:left w:val="single" w:sz="12" w:space="0" w:color="auto"/>
              <w:bottom w:val="single" w:sz="12" w:space="0" w:color="auto"/>
              <w:right w:val="single" w:sz="12" w:space="0" w:color="auto"/>
            </w:tcBorders>
            <w:shd w:val="clear" w:color="auto" w:fill="DBE5F1"/>
            <w:vAlign w:val="center"/>
          </w:tcPr>
          <w:p w14:paraId="25BFDCC4" w14:textId="77777777" w:rsidR="00A606E0" w:rsidRPr="004D4A14" w:rsidRDefault="00A606E0" w:rsidP="00A606E0">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Fondas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4C8507E5" w14:textId="77777777" w:rsidR="00A606E0" w:rsidRPr="004D4A14" w:rsidRDefault="00A606E0" w:rsidP="00A606E0">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Regiono kategorija</w:t>
            </w:r>
          </w:p>
        </w:tc>
        <w:tc>
          <w:tcPr>
            <w:tcW w:w="422" w:type="pct"/>
            <w:tcBorders>
              <w:top w:val="single" w:sz="12" w:space="0" w:color="auto"/>
              <w:left w:val="single" w:sz="12" w:space="0" w:color="auto"/>
              <w:bottom w:val="single" w:sz="12" w:space="0" w:color="auto"/>
              <w:right w:val="single" w:sz="12" w:space="0" w:color="auto"/>
            </w:tcBorders>
            <w:shd w:val="clear" w:color="auto" w:fill="DBE5F1"/>
            <w:vAlign w:val="center"/>
          </w:tcPr>
          <w:p w14:paraId="268CBAFA" w14:textId="77777777" w:rsidR="00A606E0" w:rsidRPr="004D4A14" w:rsidRDefault="00A606E0" w:rsidP="00A606E0">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Identifikavimo numeris</w:t>
            </w:r>
          </w:p>
        </w:tc>
        <w:tc>
          <w:tcPr>
            <w:tcW w:w="1313" w:type="pct"/>
            <w:tcBorders>
              <w:top w:val="single" w:sz="12" w:space="0" w:color="auto"/>
              <w:left w:val="single" w:sz="12" w:space="0" w:color="auto"/>
              <w:bottom w:val="single" w:sz="12" w:space="0" w:color="auto"/>
              <w:right w:val="single" w:sz="12" w:space="0" w:color="auto"/>
            </w:tcBorders>
            <w:shd w:val="clear" w:color="auto" w:fill="DBE5F1"/>
            <w:vAlign w:val="center"/>
          </w:tcPr>
          <w:p w14:paraId="7FEDDA0A" w14:textId="77777777" w:rsidR="00A606E0" w:rsidRPr="004D4A14" w:rsidRDefault="00A606E0" w:rsidP="00A606E0">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Rodiklis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62D2ADF0" w14:textId="77777777" w:rsidR="00A606E0" w:rsidRPr="004D4A14" w:rsidRDefault="00A606E0" w:rsidP="00A606E0">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Matavimo vienetas</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4767B737" w14:textId="77777777" w:rsidR="00A606E0" w:rsidRPr="004D4A14" w:rsidRDefault="00A606E0" w:rsidP="00A606E0">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vAlign w:val="center"/>
          </w:tcPr>
          <w:p w14:paraId="70EC8973" w14:textId="77777777" w:rsidR="00A606E0" w:rsidRPr="004D4A14" w:rsidRDefault="00A606E0" w:rsidP="00A606E0">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Ataskaitiniai metai</w:t>
            </w:r>
          </w:p>
        </w:tc>
        <w:tc>
          <w:tcPr>
            <w:tcW w:w="328" w:type="pct"/>
            <w:tcBorders>
              <w:top w:val="single" w:sz="12" w:space="0" w:color="auto"/>
              <w:left w:val="single" w:sz="12" w:space="0" w:color="auto"/>
              <w:bottom w:val="single" w:sz="12" w:space="0" w:color="auto"/>
              <w:right w:val="single" w:sz="12" w:space="0" w:color="auto"/>
            </w:tcBorders>
            <w:shd w:val="clear" w:color="auto" w:fill="DBE5F1"/>
            <w:vAlign w:val="center"/>
          </w:tcPr>
          <w:p w14:paraId="3D620421" w14:textId="77777777" w:rsidR="00A606E0" w:rsidRPr="004D4A14" w:rsidRDefault="00A606E0" w:rsidP="00A606E0">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Siektina reikšmė (2029 m.)</w:t>
            </w:r>
          </w:p>
        </w:tc>
        <w:tc>
          <w:tcPr>
            <w:tcW w:w="305" w:type="pct"/>
            <w:tcBorders>
              <w:top w:val="single" w:sz="12" w:space="0" w:color="auto"/>
              <w:left w:val="single" w:sz="12" w:space="0" w:color="auto"/>
              <w:bottom w:val="single" w:sz="12" w:space="0" w:color="auto"/>
              <w:right w:val="single" w:sz="12" w:space="0" w:color="auto"/>
            </w:tcBorders>
            <w:shd w:val="clear" w:color="auto" w:fill="DBE5F1"/>
            <w:vAlign w:val="center"/>
          </w:tcPr>
          <w:p w14:paraId="7445297F" w14:textId="77777777" w:rsidR="00A606E0" w:rsidRPr="004D4A14" w:rsidRDefault="00A606E0" w:rsidP="00A606E0">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Duomenų šaltinis</w:t>
            </w:r>
          </w:p>
        </w:tc>
        <w:tc>
          <w:tcPr>
            <w:tcW w:w="346" w:type="pct"/>
            <w:tcBorders>
              <w:top w:val="single" w:sz="12" w:space="0" w:color="auto"/>
              <w:left w:val="single" w:sz="12" w:space="0" w:color="auto"/>
              <w:bottom w:val="single" w:sz="12" w:space="0" w:color="auto"/>
              <w:right w:val="single" w:sz="12" w:space="0" w:color="auto"/>
            </w:tcBorders>
            <w:shd w:val="clear" w:color="auto" w:fill="DBE5F1"/>
            <w:vAlign w:val="center"/>
          </w:tcPr>
          <w:p w14:paraId="1C55E03B" w14:textId="77777777" w:rsidR="00A606E0" w:rsidRPr="004D4A14" w:rsidRDefault="00A606E0" w:rsidP="00A606E0">
            <w:pPr>
              <w:spacing w:after="0" w:line="240" w:lineRule="auto"/>
              <w:jc w:val="center"/>
              <w:rPr>
                <w:rFonts w:eastAsia="Times New Roman" w:cs="Times New Roman"/>
                <w:b/>
                <w:noProof/>
                <w:sz w:val="16"/>
                <w:szCs w:val="16"/>
              </w:rPr>
            </w:pPr>
            <w:r w:rsidRPr="004D4A14">
              <w:rPr>
                <w:rFonts w:eastAsia="Times New Roman" w:cs="Times New Roman"/>
                <w:b/>
                <w:noProof/>
                <w:sz w:val="16"/>
                <w:szCs w:val="16"/>
              </w:rPr>
              <w:t>Pastabos</w:t>
            </w:r>
          </w:p>
        </w:tc>
      </w:tr>
      <w:tr w:rsidR="00A606E0" w:rsidRPr="004D4A14" w14:paraId="4ED0B046" w14:textId="77777777" w:rsidTr="008E427B">
        <w:trPr>
          <w:trHeight w:val="286"/>
        </w:trPr>
        <w:tc>
          <w:tcPr>
            <w:tcW w:w="329" w:type="pct"/>
            <w:vMerge w:val="restart"/>
            <w:tcBorders>
              <w:top w:val="single" w:sz="12" w:space="0" w:color="auto"/>
            </w:tcBorders>
          </w:tcPr>
          <w:p w14:paraId="6A4BBE50" w14:textId="77777777" w:rsidR="00A606E0" w:rsidRPr="004D4A14" w:rsidRDefault="00A606E0" w:rsidP="00A606E0">
            <w:pPr>
              <w:spacing w:after="0" w:line="240" w:lineRule="auto"/>
              <w:jc w:val="both"/>
              <w:rPr>
                <w:rFonts w:eastAsia="Times New Roman" w:cs="Times New Roman"/>
                <w:noProof/>
                <w:sz w:val="16"/>
                <w:szCs w:val="16"/>
              </w:rPr>
            </w:pPr>
            <w:r w:rsidRPr="004D4A14">
              <w:rPr>
                <w:rFonts w:eastAsia="Times New Roman" w:cs="Times New Roman"/>
                <w:noProof/>
                <w:sz w:val="16"/>
                <w:szCs w:val="16"/>
              </w:rPr>
              <w:t>16</w:t>
            </w:r>
          </w:p>
        </w:tc>
        <w:tc>
          <w:tcPr>
            <w:tcW w:w="334" w:type="pct"/>
            <w:vMerge w:val="restart"/>
            <w:tcBorders>
              <w:top w:val="single" w:sz="12" w:space="0" w:color="auto"/>
            </w:tcBorders>
          </w:tcPr>
          <w:p w14:paraId="76D102D0" w14:textId="77777777" w:rsidR="00A606E0" w:rsidRPr="004D4A14" w:rsidRDefault="00A606E0" w:rsidP="00A606E0">
            <w:pPr>
              <w:spacing w:after="0" w:line="240" w:lineRule="auto"/>
              <w:jc w:val="both"/>
              <w:rPr>
                <w:rFonts w:eastAsia="Times New Roman" w:cs="Times New Roman"/>
                <w:noProof/>
                <w:sz w:val="16"/>
                <w:szCs w:val="16"/>
              </w:rPr>
            </w:pPr>
            <w:r w:rsidRPr="004D4A14">
              <w:rPr>
                <w:rFonts w:eastAsia="Times New Roman" w:cs="Times New Roman"/>
                <w:noProof/>
                <w:sz w:val="16"/>
                <w:szCs w:val="16"/>
              </w:rPr>
              <w:t>16.1</w:t>
            </w:r>
          </w:p>
        </w:tc>
        <w:tc>
          <w:tcPr>
            <w:tcW w:w="264" w:type="pct"/>
            <w:vMerge w:val="restart"/>
            <w:tcBorders>
              <w:top w:val="single" w:sz="12" w:space="0" w:color="auto"/>
            </w:tcBorders>
          </w:tcPr>
          <w:p w14:paraId="4B65DA27" w14:textId="77777777" w:rsidR="00A606E0" w:rsidRPr="004D4A14" w:rsidRDefault="00A606E0" w:rsidP="00A606E0">
            <w:pPr>
              <w:spacing w:after="0" w:line="240" w:lineRule="auto"/>
              <w:jc w:val="both"/>
              <w:rPr>
                <w:rFonts w:eastAsia="Times New Roman" w:cs="Times New Roman"/>
                <w:noProof/>
                <w:sz w:val="16"/>
                <w:szCs w:val="16"/>
              </w:rPr>
            </w:pPr>
            <w:r w:rsidRPr="004D4A14">
              <w:rPr>
                <w:rFonts w:eastAsia="Times New Roman" w:cs="Times New Roman"/>
                <w:noProof/>
                <w:sz w:val="16"/>
                <w:szCs w:val="16"/>
              </w:rPr>
              <w:t>ESF+</w:t>
            </w:r>
          </w:p>
        </w:tc>
        <w:tc>
          <w:tcPr>
            <w:tcW w:w="328" w:type="pct"/>
          </w:tcPr>
          <w:p w14:paraId="1D6ED5EC" w14:textId="77777777" w:rsidR="00A606E0" w:rsidRPr="004D4A14" w:rsidRDefault="00A606E0" w:rsidP="00A606E0">
            <w:pPr>
              <w:spacing w:after="0" w:line="240" w:lineRule="auto"/>
              <w:jc w:val="both"/>
              <w:rPr>
                <w:rFonts w:eastAsia="Times New Roman" w:cs="Times New Roman"/>
                <w:noProof/>
                <w:sz w:val="16"/>
                <w:szCs w:val="16"/>
              </w:rPr>
            </w:pPr>
            <w:r w:rsidRPr="004D4A14">
              <w:rPr>
                <w:rFonts w:eastAsia="Times New Roman" w:cs="Arial"/>
                <w:noProof/>
                <w:sz w:val="16"/>
                <w:szCs w:val="16"/>
              </w:rPr>
              <w:t>Sostinės regionas</w:t>
            </w:r>
          </w:p>
        </w:tc>
        <w:tc>
          <w:tcPr>
            <w:tcW w:w="422" w:type="pct"/>
          </w:tcPr>
          <w:p w14:paraId="40118AB6" w14:textId="77777777" w:rsidR="00A606E0" w:rsidRPr="004D4A14" w:rsidRDefault="00A606E0" w:rsidP="00A606E0">
            <w:pPr>
              <w:spacing w:after="0" w:line="240" w:lineRule="auto"/>
              <w:jc w:val="both"/>
              <w:rPr>
                <w:rFonts w:eastAsia="Times New Roman" w:cs="Times New Roman"/>
                <w:sz w:val="16"/>
                <w:szCs w:val="16"/>
                <w:lang w:eastAsia="lt-LT"/>
              </w:rPr>
            </w:pPr>
            <w:r w:rsidRPr="004D4A14">
              <w:rPr>
                <w:rFonts w:eastAsia="Times New Roman" w:cs="Times New Roman"/>
                <w:sz w:val="16"/>
                <w:szCs w:val="16"/>
                <w:lang w:eastAsia="en-GB"/>
              </w:rPr>
              <w:t xml:space="preserve">Specialusis </w:t>
            </w:r>
          </w:p>
        </w:tc>
        <w:tc>
          <w:tcPr>
            <w:tcW w:w="1313" w:type="pct"/>
          </w:tcPr>
          <w:p w14:paraId="7C0348FF" w14:textId="77777777" w:rsidR="00A606E0" w:rsidRPr="004D4A14" w:rsidRDefault="00A606E0" w:rsidP="00A606E0">
            <w:pPr>
              <w:spacing w:after="0" w:line="240" w:lineRule="auto"/>
              <w:jc w:val="both"/>
              <w:rPr>
                <w:rFonts w:eastAsia="Times New Roman" w:cs="Times New Roman"/>
                <w:sz w:val="16"/>
                <w:szCs w:val="16"/>
                <w:lang w:eastAsia="lt-LT"/>
              </w:rPr>
            </w:pPr>
            <w:r w:rsidRPr="004D4A14">
              <w:rPr>
                <w:rFonts w:eastAsia="Times New Roman" w:cs="Times New Roman"/>
                <w:noProof/>
                <w:sz w:val="16"/>
                <w:szCs w:val="16"/>
              </w:rPr>
              <w:t>Asmenų, po dalyvavimo veiklose, pagerinusių sveikatos raštingumo kompetenciją, dalis</w:t>
            </w:r>
          </w:p>
        </w:tc>
        <w:tc>
          <w:tcPr>
            <w:tcW w:w="328" w:type="pct"/>
          </w:tcPr>
          <w:p w14:paraId="25145985" w14:textId="77777777" w:rsidR="00A606E0" w:rsidRPr="004D4A14" w:rsidRDefault="00A606E0" w:rsidP="00A606E0">
            <w:pPr>
              <w:spacing w:after="0" w:line="240" w:lineRule="auto"/>
              <w:jc w:val="both"/>
              <w:rPr>
                <w:rFonts w:eastAsia="Times New Roman" w:cs="Times New Roman"/>
                <w:noProof/>
                <w:sz w:val="16"/>
                <w:szCs w:val="16"/>
              </w:rPr>
            </w:pPr>
            <w:r w:rsidRPr="004D4A14">
              <w:rPr>
                <w:rFonts w:eastAsia="Times New Roman" w:cs="Times New Roman"/>
                <w:noProof/>
                <w:sz w:val="16"/>
                <w:szCs w:val="16"/>
              </w:rPr>
              <w:t>Procentai</w:t>
            </w:r>
          </w:p>
        </w:tc>
        <w:tc>
          <w:tcPr>
            <w:tcW w:w="328" w:type="pct"/>
            <w:tcBorders>
              <w:top w:val="single" w:sz="12" w:space="0" w:color="auto"/>
            </w:tcBorders>
          </w:tcPr>
          <w:p w14:paraId="18BB18F6" w14:textId="77777777" w:rsidR="00A606E0" w:rsidRPr="004D4A14" w:rsidRDefault="00A606E0" w:rsidP="00A606E0">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rPr>
              <w:t>0</w:t>
            </w:r>
          </w:p>
        </w:tc>
        <w:tc>
          <w:tcPr>
            <w:tcW w:w="375" w:type="pct"/>
            <w:tcBorders>
              <w:top w:val="single" w:sz="12" w:space="0" w:color="auto"/>
            </w:tcBorders>
          </w:tcPr>
          <w:p w14:paraId="5CB96072" w14:textId="77777777" w:rsidR="00A606E0" w:rsidRPr="004D4A14" w:rsidRDefault="00A606E0" w:rsidP="00A606E0">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rPr>
              <w:t>2024</w:t>
            </w:r>
          </w:p>
        </w:tc>
        <w:tc>
          <w:tcPr>
            <w:tcW w:w="328" w:type="pct"/>
            <w:tcBorders>
              <w:top w:val="single" w:sz="12" w:space="0" w:color="auto"/>
            </w:tcBorders>
          </w:tcPr>
          <w:p w14:paraId="4EB5CF67" w14:textId="77777777" w:rsidR="00A606E0" w:rsidRPr="004D4A14" w:rsidRDefault="00A606E0" w:rsidP="00A606E0">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rPr>
              <w:t>80</w:t>
            </w:r>
          </w:p>
        </w:tc>
        <w:tc>
          <w:tcPr>
            <w:tcW w:w="305" w:type="pct"/>
            <w:tcBorders>
              <w:top w:val="single" w:sz="12" w:space="0" w:color="auto"/>
            </w:tcBorders>
          </w:tcPr>
          <w:p w14:paraId="2FE28207" w14:textId="77777777" w:rsidR="00A606E0" w:rsidRPr="004D4A14" w:rsidRDefault="00A606E0" w:rsidP="00A606E0">
            <w:pPr>
              <w:spacing w:after="0" w:line="240" w:lineRule="auto"/>
              <w:jc w:val="both"/>
              <w:rPr>
                <w:rFonts w:eastAsia="Times New Roman" w:cs="Times New Roman"/>
                <w:iCs/>
                <w:noProof/>
                <w:sz w:val="16"/>
                <w:szCs w:val="16"/>
              </w:rPr>
            </w:pPr>
            <w:r w:rsidRPr="004D4A14">
              <w:rPr>
                <w:rFonts w:eastAsia="Times New Roman" w:cs="Times New Roman"/>
                <w:iCs/>
                <w:noProof/>
                <w:sz w:val="16"/>
                <w:szCs w:val="16"/>
              </w:rPr>
              <w:t>Projektų duomenys</w:t>
            </w:r>
          </w:p>
        </w:tc>
        <w:tc>
          <w:tcPr>
            <w:tcW w:w="346" w:type="pct"/>
            <w:tcBorders>
              <w:top w:val="single" w:sz="12" w:space="0" w:color="auto"/>
            </w:tcBorders>
          </w:tcPr>
          <w:p w14:paraId="1FA317B1" w14:textId="77777777" w:rsidR="00A606E0" w:rsidRPr="004D4A14" w:rsidRDefault="00A606E0" w:rsidP="00A606E0">
            <w:pPr>
              <w:spacing w:after="0" w:line="240" w:lineRule="auto"/>
              <w:jc w:val="both"/>
              <w:rPr>
                <w:rFonts w:eastAsia="Times New Roman" w:cs="Times New Roman"/>
                <w:i/>
                <w:noProof/>
                <w:sz w:val="16"/>
                <w:szCs w:val="16"/>
                <w:lang w:eastAsia="lt-LT"/>
              </w:rPr>
            </w:pPr>
          </w:p>
        </w:tc>
      </w:tr>
      <w:tr w:rsidR="00A606E0" w:rsidRPr="004D4A14" w14:paraId="5265A3B1" w14:textId="77777777" w:rsidTr="008E427B">
        <w:trPr>
          <w:trHeight w:val="286"/>
        </w:trPr>
        <w:tc>
          <w:tcPr>
            <w:tcW w:w="329" w:type="pct"/>
            <w:vMerge/>
          </w:tcPr>
          <w:p w14:paraId="37075881" w14:textId="77777777" w:rsidR="00A606E0" w:rsidRPr="004D4A14" w:rsidRDefault="00A606E0" w:rsidP="00A606E0">
            <w:pPr>
              <w:spacing w:after="0" w:line="240" w:lineRule="auto"/>
              <w:jc w:val="both"/>
              <w:rPr>
                <w:rFonts w:eastAsia="Times New Roman" w:cs="Times New Roman"/>
                <w:noProof/>
                <w:sz w:val="16"/>
                <w:szCs w:val="16"/>
              </w:rPr>
            </w:pPr>
          </w:p>
        </w:tc>
        <w:tc>
          <w:tcPr>
            <w:tcW w:w="334" w:type="pct"/>
            <w:vMerge/>
          </w:tcPr>
          <w:p w14:paraId="2FDB15FF" w14:textId="77777777" w:rsidR="00A606E0" w:rsidRPr="004D4A14" w:rsidRDefault="00A606E0" w:rsidP="00A606E0">
            <w:pPr>
              <w:spacing w:after="0" w:line="240" w:lineRule="auto"/>
              <w:jc w:val="both"/>
              <w:rPr>
                <w:rFonts w:eastAsia="Times New Roman" w:cs="Times New Roman"/>
                <w:noProof/>
                <w:sz w:val="16"/>
                <w:szCs w:val="16"/>
              </w:rPr>
            </w:pPr>
          </w:p>
        </w:tc>
        <w:tc>
          <w:tcPr>
            <w:tcW w:w="264" w:type="pct"/>
            <w:vMerge/>
          </w:tcPr>
          <w:p w14:paraId="02E795E8" w14:textId="77777777" w:rsidR="00A606E0" w:rsidRPr="004D4A14" w:rsidRDefault="00A606E0" w:rsidP="00A606E0">
            <w:pPr>
              <w:spacing w:after="0" w:line="240" w:lineRule="auto"/>
              <w:jc w:val="both"/>
              <w:rPr>
                <w:rFonts w:eastAsia="Times New Roman" w:cs="Times New Roman"/>
                <w:noProof/>
                <w:sz w:val="16"/>
                <w:szCs w:val="16"/>
              </w:rPr>
            </w:pPr>
          </w:p>
        </w:tc>
        <w:tc>
          <w:tcPr>
            <w:tcW w:w="328" w:type="pct"/>
          </w:tcPr>
          <w:p w14:paraId="096E9696" w14:textId="77777777" w:rsidR="00A606E0" w:rsidRPr="004D4A14" w:rsidRDefault="00A606E0" w:rsidP="00A606E0">
            <w:pPr>
              <w:spacing w:after="0" w:line="240" w:lineRule="auto"/>
              <w:jc w:val="both"/>
              <w:rPr>
                <w:rFonts w:eastAsia="Times New Roman" w:cs="Times New Roman"/>
                <w:noProof/>
                <w:sz w:val="16"/>
                <w:szCs w:val="16"/>
              </w:rPr>
            </w:pPr>
            <w:r w:rsidRPr="004D4A14">
              <w:rPr>
                <w:rFonts w:eastAsia="Times New Roman" w:cs="Arial"/>
                <w:noProof/>
                <w:sz w:val="16"/>
                <w:szCs w:val="16"/>
              </w:rPr>
              <w:t>VVL regionas</w:t>
            </w:r>
          </w:p>
        </w:tc>
        <w:tc>
          <w:tcPr>
            <w:tcW w:w="422" w:type="pct"/>
          </w:tcPr>
          <w:p w14:paraId="7293BFE6" w14:textId="77777777" w:rsidR="00A606E0" w:rsidRPr="004D4A14" w:rsidRDefault="00A606E0" w:rsidP="00A606E0">
            <w:pPr>
              <w:spacing w:after="0" w:line="240" w:lineRule="auto"/>
              <w:jc w:val="both"/>
              <w:rPr>
                <w:rFonts w:eastAsia="Times New Roman" w:cs="Times New Roman"/>
                <w:sz w:val="16"/>
                <w:szCs w:val="16"/>
                <w:lang w:eastAsia="en-GB"/>
              </w:rPr>
            </w:pPr>
            <w:r w:rsidRPr="004D4A14">
              <w:rPr>
                <w:rFonts w:eastAsia="Times New Roman" w:cs="Times New Roman"/>
                <w:sz w:val="16"/>
                <w:szCs w:val="16"/>
                <w:lang w:eastAsia="en-GB"/>
              </w:rPr>
              <w:t xml:space="preserve">Specialusis </w:t>
            </w:r>
          </w:p>
        </w:tc>
        <w:tc>
          <w:tcPr>
            <w:tcW w:w="1313" w:type="pct"/>
          </w:tcPr>
          <w:p w14:paraId="2935CF5C" w14:textId="77777777" w:rsidR="00A606E0" w:rsidRPr="004D4A14" w:rsidRDefault="00A606E0" w:rsidP="00A606E0">
            <w:pPr>
              <w:spacing w:after="0" w:line="240" w:lineRule="auto"/>
              <w:jc w:val="both"/>
              <w:rPr>
                <w:rFonts w:eastAsia="Times New Roman" w:cs="Times New Roman"/>
                <w:sz w:val="16"/>
                <w:szCs w:val="16"/>
              </w:rPr>
            </w:pPr>
            <w:r w:rsidRPr="004D4A14">
              <w:rPr>
                <w:rFonts w:eastAsia="Times New Roman" w:cs="Times New Roman"/>
                <w:noProof/>
                <w:sz w:val="16"/>
                <w:szCs w:val="16"/>
              </w:rPr>
              <w:t>Asmenų, po dalyvavimo veiklose, pagerinusių sveikatos raštingumo kompetenciją, dalis</w:t>
            </w:r>
          </w:p>
        </w:tc>
        <w:tc>
          <w:tcPr>
            <w:tcW w:w="328" w:type="pct"/>
          </w:tcPr>
          <w:p w14:paraId="1060CDDF" w14:textId="77777777" w:rsidR="00A606E0" w:rsidRPr="004D4A14" w:rsidRDefault="00A606E0" w:rsidP="00A606E0">
            <w:pPr>
              <w:spacing w:after="0" w:line="240" w:lineRule="auto"/>
              <w:jc w:val="both"/>
              <w:rPr>
                <w:rFonts w:eastAsia="Times New Roman" w:cs="Times New Roman"/>
                <w:color w:val="000000"/>
                <w:sz w:val="16"/>
                <w:szCs w:val="16"/>
                <w:shd w:val="clear" w:color="auto" w:fill="FFFFFF"/>
              </w:rPr>
            </w:pPr>
            <w:r w:rsidRPr="004D4A14">
              <w:rPr>
                <w:rFonts w:eastAsia="Times New Roman" w:cs="Times New Roman"/>
                <w:noProof/>
                <w:sz w:val="16"/>
                <w:szCs w:val="16"/>
              </w:rPr>
              <w:t>Procentai</w:t>
            </w:r>
          </w:p>
        </w:tc>
        <w:tc>
          <w:tcPr>
            <w:tcW w:w="328" w:type="pct"/>
          </w:tcPr>
          <w:p w14:paraId="6CC6A87E" w14:textId="77777777" w:rsidR="00A606E0" w:rsidRPr="004D4A14" w:rsidRDefault="00A606E0" w:rsidP="00A606E0">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rPr>
              <w:t>0</w:t>
            </w:r>
          </w:p>
        </w:tc>
        <w:tc>
          <w:tcPr>
            <w:tcW w:w="375" w:type="pct"/>
          </w:tcPr>
          <w:p w14:paraId="1C3AEABA" w14:textId="77777777" w:rsidR="00A606E0" w:rsidRPr="004D4A14" w:rsidRDefault="00A606E0" w:rsidP="00A606E0">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rPr>
              <w:t>2024</w:t>
            </w:r>
          </w:p>
        </w:tc>
        <w:tc>
          <w:tcPr>
            <w:tcW w:w="328" w:type="pct"/>
          </w:tcPr>
          <w:p w14:paraId="1B4BAC47" w14:textId="77777777" w:rsidR="00A606E0" w:rsidRPr="004D4A14" w:rsidRDefault="00A606E0" w:rsidP="00A606E0">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rPr>
              <w:t>80</w:t>
            </w:r>
          </w:p>
        </w:tc>
        <w:tc>
          <w:tcPr>
            <w:tcW w:w="305" w:type="pct"/>
          </w:tcPr>
          <w:p w14:paraId="411CD6F1" w14:textId="77777777" w:rsidR="00A606E0" w:rsidRPr="004D4A14" w:rsidRDefault="00A606E0" w:rsidP="00A606E0">
            <w:pPr>
              <w:spacing w:after="0" w:line="240" w:lineRule="auto"/>
              <w:jc w:val="both"/>
              <w:rPr>
                <w:rFonts w:eastAsia="Times New Roman" w:cs="Times New Roman"/>
                <w:noProof/>
                <w:sz w:val="16"/>
                <w:szCs w:val="16"/>
              </w:rPr>
            </w:pPr>
            <w:r w:rsidRPr="004D4A14">
              <w:rPr>
                <w:rFonts w:eastAsia="Times New Roman" w:cs="Times New Roman"/>
                <w:noProof/>
                <w:sz w:val="16"/>
                <w:szCs w:val="16"/>
              </w:rPr>
              <w:t>Projektų duomenys</w:t>
            </w:r>
          </w:p>
        </w:tc>
        <w:tc>
          <w:tcPr>
            <w:tcW w:w="346" w:type="pct"/>
          </w:tcPr>
          <w:p w14:paraId="0A6EA968" w14:textId="77777777" w:rsidR="00A606E0" w:rsidRPr="004D4A14" w:rsidRDefault="00A606E0" w:rsidP="00A606E0">
            <w:pPr>
              <w:spacing w:after="0" w:line="240" w:lineRule="auto"/>
              <w:jc w:val="both"/>
              <w:rPr>
                <w:rFonts w:eastAsia="Times New Roman" w:cs="Times New Roman"/>
                <w:i/>
                <w:noProof/>
                <w:sz w:val="16"/>
                <w:szCs w:val="16"/>
                <w:lang w:eastAsia="lt-LT"/>
              </w:rPr>
            </w:pPr>
          </w:p>
        </w:tc>
      </w:tr>
      <w:tr w:rsidR="00A606E0" w:rsidRPr="004D4A14" w14:paraId="12C1B414" w14:textId="77777777" w:rsidTr="008E427B">
        <w:trPr>
          <w:trHeight w:val="286"/>
        </w:trPr>
        <w:tc>
          <w:tcPr>
            <w:tcW w:w="329" w:type="pct"/>
            <w:vMerge/>
          </w:tcPr>
          <w:p w14:paraId="20459DE3" w14:textId="77777777" w:rsidR="00A606E0" w:rsidRPr="004D4A14" w:rsidRDefault="00A606E0" w:rsidP="00A606E0">
            <w:pPr>
              <w:spacing w:after="0" w:line="240" w:lineRule="auto"/>
              <w:jc w:val="both"/>
              <w:rPr>
                <w:rFonts w:eastAsia="Times New Roman" w:cs="Times New Roman"/>
                <w:noProof/>
                <w:sz w:val="16"/>
                <w:szCs w:val="16"/>
              </w:rPr>
            </w:pPr>
          </w:p>
        </w:tc>
        <w:tc>
          <w:tcPr>
            <w:tcW w:w="334" w:type="pct"/>
            <w:vMerge/>
          </w:tcPr>
          <w:p w14:paraId="29C6C61D" w14:textId="77777777" w:rsidR="00A606E0" w:rsidRPr="004D4A14" w:rsidRDefault="00A606E0" w:rsidP="00A606E0">
            <w:pPr>
              <w:spacing w:after="0" w:line="240" w:lineRule="auto"/>
              <w:jc w:val="both"/>
              <w:rPr>
                <w:rFonts w:eastAsia="Times New Roman" w:cs="Times New Roman"/>
                <w:noProof/>
                <w:sz w:val="16"/>
                <w:szCs w:val="16"/>
              </w:rPr>
            </w:pPr>
          </w:p>
        </w:tc>
        <w:tc>
          <w:tcPr>
            <w:tcW w:w="264" w:type="pct"/>
            <w:vMerge/>
          </w:tcPr>
          <w:p w14:paraId="49AB064D" w14:textId="77777777" w:rsidR="00A606E0" w:rsidRPr="004D4A14" w:rsidRDefault="00A606E0" w:rsidP="00A606E0">
            <w:pPr>
              <w:spacing w:after="0" w:line="240" w:lineRule="auto"/>
              <w:jc w:val="both"/>
              <w:rPr>
                <w:rFonts w:eastAsia="Times New Roman" w:cs="Times New Roman"/>
                <w:noProof/>
                <w:sz w:val="16"/>
                <w:szCs w:val="16"/>
              </w:rPr>
            </w:pPr>
          </w:p>
        </w:tc>
        <w:tc>
          <w:tcPr>
            <w:tcW w:w="328" w:type="pct"/>
          </w:tcPr>
          <w:p w14:paraId="411D818D" w14:textId="77777777" w:rsidR="00A606E0" w:rsidRPr="004D4A14" w:rsidRDefault="00A606E0" w:rsidP="00A606E0">
            <w:pPr>
              <w:spacing w:after="0" w:line="240" w:lineRule="auto"/>
              <w:jc w:val="both"/>
              <w:rPr>
                <w:rFonts w:eastAsia="Times New Roman" w:cs="Arial"/>
                <w:noProof/>
                <w:sz w:val="16"/>
                <w:szCs w:val="16"/>
              </w:rPr>
            </w:pPr>
            <w:r w:rsidRPr="004D4A14">
              <w:rPr>
                <w:rFonts w:eastAsia="Times New Roman" w:cs="Arial"/>
                <w:noProof/>
                <w:sz w:val="16"/>
                <w:szCs w:val="16"/>
              </w:rPr>
              <w:t>VVL regionas</w:t>
            </w:r>
          </w:p>
        </w:tc>
        <w:tc>
          <w:tcPr>
            <w:tcW w:w="422" w:type="pct"/>
          </w:tcPr>
          <w:p w14:paraId="23FFE64D" w14:textId="77777777" w:rsidR="00A606E0" w:rsidRPr="004D4A14" w:rsidRDefault="00A606E0" w:rsidP="00A606E0">
            <w:pPr>
              <w:spacing w:after="0" w:line="240" w:lineRule="auto"/>
              <w:jc w:val="both"/>
              <w:rPr>
                <w:rFonts w:eastAsia="Times New Roman" w:cs="Times New Roman"/>
                <w:sz w:val="16"/>
                <w:szCs w:val="16"/>
                <w:lang w:eastAsia="en-GB"/>
              </w:rPr>
            </w:pPr>
            <w:r w:rsidRPr="004D4A14">
              <w:rPr>
                <w:rFonts w:eastAsia="Times New Roman" w:cs="Times New Roman"/>
                <w:sz w:val="16"/>
                <w:szCs w:val="16"/>
                <w:lang w:eastAsia="en-GB"/>
              </w:rPr>
              <w:t xml:space="preserve">Specialusis </w:t>
            </w:r>
          </w:p>
        </w:tc>
        <w:tc>
          <w:tcPr>
            <w:tcW w:w="1313" w:type="pct"/>
          </w:tcPr>
          <w:p w14:paraId="2B32D6EA" w14:textId="77777777" w:rsidR="00A606E0" w:rsidRPr="004D4A14" w:rsidRDefault="00A606E0" w:rsidP="00A606E0">
            <w:pPr>
              <w:spacing w:after="0" w:line="240" w:lineRule="auto"/>
              <w:jc w:val="both"/>
              <w:rPr>
                <w:rFonts w:eastAsia="Times New Roman" w:cs="Times New Roman"/>
                <w:noProof/>
                <w:sz w:val="16"/>
                <w:szCs w:val="16"/>
              </w:rPr>
            </w:pPr>
            <w:r w:rsidRPr="004D4A14">
              <w:rPr>
                <w:rFonts w:eastAsia="Times New Roman" w:cs="Times New Roman"/>
                <w:noProof/>
                <w:sz w:val="16"/>
                <w:szCs w:val="16"/>
              </w:rPr>
              <w:t>Specialistų, po dalyvavimo veiklose įgijusių / patobulinusių kvalifikaciją, dalis</w:t>
            </w:r>
          </w:p>
        </w:tc>
        <w:tc>
          <w:tcPr>
            <w:tcW w:w="328" w:type="pct"/>
          </w:tcPr>
          <w:p w14:paraId="586B98A9" w14:textId="77777777" w:rsidR="00A606E0" w:rsidRPr="004D4A14" w:rsidRDefault="00A606E0" w:rsidP="00A606E0">
            <w:pPr>
              <w:spacing w:after="0" w:line="240" w:lineRule="auto"/>
              <w:jc w:val="both"/>
              <w:rPr>
                <w:rFonts w:eastAsia="Times New Roman" w:cs="Times New Roman"/>
                <w:noProof/>
                <w:sz w:val="16"/>
                <w:szCs w:val="16"/>
              </w:rPr>
            </w:pPr>
            <w:r w:rsidRPr="004D4A14">
              <w:rPr>
                <w:rFonts w:eastAsia="Times New Roman" w:cs="Times New Roman"/>
                <w:noProof/>
                <w:sz w:val="16"/>
                <w:szCs w:val="16"/>
              </w:rPr>
              <w:t>Procentai</w:t>
            </w:r>
          </w:p>
        </w:tc>
        <w:tc>
          <w:tcPr>
            <w:tcW w:w="328" w:type="pct"/>
          </w:tcPr>
          <w:p w14:paraId="32CC7A70" w14:textId="77777777" w:rsidR="00A606E0" w:rsidRPr="004D4A14" w:rsidRDefault="00A606E0" w:rsidP="00A606E0">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rPr>
              <w:t>0</w:t>
            </w:r>
          </w:p>
        </w:tc>
        <w:tc>
          <w:tcPr>
            <w:tcW w:w="375" w:type="pct"/>
          </w:tcPr>
          <w:p w14:paraId="6981FBDE" w14:textId="77777777" w:rsidR="00A606E0" w:rsidRPr="004D4A14" w:rsidRDefault="00A606E0" w:rsidP="00A606E0">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rPr>
              <w:t>2024</w:t>
            </w:r>
          </w:p>
        </w:tc>
        <w:tc>
          <w:tcPr>
            <w:tcW w:w="328" w:type="pct"/>
          </w:tcPr>
          <w:p w14:paraId="3AA8640B" w14:textId="77777777" w:rsidR="00A606E0" w:rsidRPr="004D4A14" w:rsidRDefault="00A606E0" w:rsidP="00A606E0">
            <w:pPr>
              <w:spacing w:after="0" w:line="240" w:lineRule="auto"/>
              <w:jc w:val="center"/>
              <w:rPr>
                <w:rFonts w:eastAsia="Times New Roman" w:cs="Times New Roman"/>
                <w:iCs/>
                <w:noProof/>
                <w:color w:val="EE0000"/>
                <w:sz w:val="16"/>
                <w:szCs w:val="16"/>
              </w:rPr>
            </w:pPr>
            <w:r w:rsidRPr="004D4A14">
              <w:rPr>
                <w:rFonts w:eastAsia="Times New Roman" w:cs="Times New Roman"/>
                <w:iCs/>
                <w:noProof/>
                <w:sz w:val="16"/>
                <w:szCs w:val="16"/>
              </w:rPr>
              <w:t>90</w:t>
            </w:r>
          </w:p>
        </w:tc>
        <w:tc>
          <w:tcPr>
            <w:tcW w:w="305" w:type="pct"/>
          </w:tcPr>
          <w:p w14:paraId="6912BF27" w14:textId="77777777" w:rsidR="00A606E0" w:rsidRPr="004D4A14" w:rsidRDefault="00A606E0" w:rsidP="00A606E0">
            <w:pPr>
              <w:spacing w:after="0" w:line="240" w:lineRule="auto"/>
              <w:jc w:val="both"/>
              <w:rPr>
                <w:rFonts w:eastAsia="Times New Roman" w:cs="Times New Roman"/>
                <w:noProof/>
                <w:sz w:val="16"/>
                <w:szCs w:val="16"/>
              </w:rPr>
            </w:pPr>
            <w:r w:rsidRPr="004D4A14">
              <w:rPr>
                <w:rFonts w:eastAsia="Times New Roman" w:cs="Times New Roman"/>
                <w:noProof/>
                <w:sz w:val="16"/>
                <w:szCs w:val="16"/>
              </w:rPr>
              <w:t>Projektų duomenys</w:t>
            </w:r>
          </w:p>
        </w:tc>
        <w:tc>
          <w:tcPr>
            <w:tcW w:w="346" w:type="pct"/>
          </w:tcPr>
          <w:p w14:paraId="0F3C2E1C" w14:textId="77777777" w:rsidR="00A606E0" w:rsidRPr="004D4A14" w:rsidRDefault="00A606E0" w:rsidP="00A606E0">
            <w:pPr>
              <w:spacing w:after="0" w:line="240" w:lineRule="auto"/>
              <w:jc w:val="both"/>
              <w:rPr>
                <w:rFonts w:eastAsia="Times New Roman" w:cs="Times New Roman"/>
                <w:i/>
                <w:noProof/>
                <w:sz w:val="16"/>
                <w:szCs w:val="16"/>
                <w:lang w:eastAsia="lt-LT"/>
              </w:rPr>
            </w:pPr>
          </w:p>
        </w:tc>
      </w:tr>
      <w:tr w:rsidR="00A606E0" w:rsidRPr="004D4A14" w14:paraId="2C8B139B" w14:textId="77777777" w:rsidTr="008E427B">
        <w:trPr>
          <w:trHeight w:val="286"/>
        </w:trPr>
        <w:tc>
          <w:tcPr>
            <w:tcW w:w="329" w:type="pct"/>
            <w:vMerge/>
          </w:tcPr>
          <w:p w14:paraId="2C2616D1" w14:textId="77777777" w:rsidR="00A606E0" w:rsidRPr="004D4A14" w:rsidRDefault="00A606E0" w:rsidP="00A606E0">
            <w:pPr>
              <w:spacing w:after="0" w:line="240" w:lineRule="auto"/>
              <w:jc w:val="both"/>
              <w:rPr>
                <w:rFonts w:eastAsia="Times New Roman" w:cs="Times New Roman"/>
                <w:noProof/>
                <w:sz w:val="16"/>
                <w:szCs w:val="16"/>
              </w:rPr>
            </w:pPr>
          </w:p>
        </w:tc>
        <w:tc>
          <w:tcPr>
            <w:tcW w:w="334" w:type="pct"/>
            <w:vMerge/>
          </w:tcPr>
          <w:p w14:paraId="4C462891" w14:textId="77777777" w:rsidR="00A606E0" w:rsidRPr="004D4A14" w:rsidRDefault="00A606E0" w:rsidP="00A606E0">
            <w:pPr>
              <w:spacing w:after="0" w:line="240" w:lineRule="auto"/>
              <w:jc w:val="both"/>
              <w:rPr>
                <w:rFonts w:eastAsia="Times New Roman" w:cs="Times New Roman"/>
                <w:noProof/>
                <w:sz w:val="16"/>
                <w:szCs w:val="16"/>
              </w:rPr>
            </w:pPr>
          </w:p>
        </w:tc>
        <w:tc>
          <w:tcPr>
            <w:tcW w:w="264" w:type="pct"/>
            <w:vMerge/>
          </w:tcPr>
          <w:p w14:paraId="3A8F17F2" w14:textId="77777777" w:rsidR="00A606E0" w:rsidRPr="004D4A14" w:rsidRDefault="00A606E0" w:rsidP="00A606E0">
            <w:pPr>
              <w:spacing w:after="0" w:line="240" w:lineRule="auto"/>
              <w:jc w:val="both"/>
              <w:rPr>
                <w:rFonts w:eastAsia="Times New Roman" w:cs="Times New Roman"/>
                <w:noProof/>
                <w:sz w:val="16"/>
                <w:szCs w:val="16"/>
              </w:rPr>
            </w:pPr>
          </w:p>
        </w:tc>
        <w:tc>
          <w:tcPr>
            <w:tcW w:w="328" w:type="pct"/>
          </w:tcPr>
          <w:p w14:paraId="1E966D84" w14:textId="77777777" w:rsidR="00A606E0" w:rsidRPr="004D4A14" w:rsidRDefault="00A606E0" w:rsidP="00A606E0">
            <w:pPr>
              <w:spacing w:after="0" w:line="240" w:lineRule="auto"/>
              <w:jc w:val="both"/>
              <w:rPr>
                <w:rFonts w:eastAsia="Times New Roman" w:cs="Arial"/>
                <w:noProof/>
                <w:sz w:val="16"/>
                <w:szCs w:val="16"/>
              </w:rPr>
            </w:pPr>
            <w:r w:rsidRPr="004D4A14">
              <w:rPr>
                <w:rFonts w:eastAsia="Times New Roman" w:cs="Arial"/>
                <w:noProof/>
                <w:sz w:val="16"/>
                <w:szCs w:val="16"/>
              </w:rPr>
              <w:t>Sostinės regionas</w:t>
            </w:r>
          </w:p>
        </w:tc>
        <w:tc>
          <w:tcPr>
            <w:tcW w:w="422" w:type="pct"/>
          </w:tcPr>
          <w:p w14:paraId="0BF42930" w14:textId="77777777" w:rsidR="00A606E0" w:rsidRPr="004D4A14" w:rsidRDefault="00A606E0" w:rsidP="00A606E0">
            <w:pPr>
              <w:spacing w:after="0" w:line="240" w:lineRule="auto"/>
              <w:jc w:val="both"/>
              <w:rPr>
                <w:rFonts w:eastAsia="Times New Roman" w:cs="Times New Roman"/>
                <w:sz w:val="16"/>
                <w:szCs w:val="16"/>
                <w:lang w:eastAsia="en-GB"/>
              </w:rPr>
            </w:pPr>
            <w:r w:rsidRPr="004D4A14">
              <w:rPr>
                <w:rFonts w:eastAsia="Times New Roman" w:cs="Times New Roman"/>
                <w:sz w:val="16"/>
                <w:szCs w:val="16"/>
                <w:lang w:eastAsia="en-GB"/>
              </w:rPr>
              <w:t>Specialusis</w:t>
            </w:r>
          </w:p>
        </w:tc>
        <w:tc>
          <w:tcPr>
            <w:tcW w:w="1313" w:type="pct"/>
          </w:tcPr>
          <w:p w14:paraId="30DCCDD0" w14:textId="77777777" w:rsidR="00A606E0" w:rsidRPr="004D4A14" w:rsidRDefault="00A606E0" w:rsidP="00A606E0">
            <w:pPr>
              <w:spacing w:after="0" w:line="240" w:lineRule="auto"/>
              <w:jc w:val="both"/>
              <w:rPr>
                <w:rFonts w:eastAsia="Times New Roman" w:cs="Times New Roman"/>
                <w:noProof/>
                <w:sz w:val="16"/>
                <w:szCs w:val="16"/>
              </w:rPr>
            </w:pPr>
            <w:r w:rsidRPr="004D4A14">
              <w:rPr>
                <w:rFonts w:eastAsia="Times New Roman" w:cs="Arial"/>
                <w:bCs/>
                <w:sz w:val="16"/>
                <w:szCs w:val="16"/>
              </w:rPr>
              <w:t>BIVP projektų veiklų dalyvių (įskaitant visas tikslines grupes)</w:t>
            </w:r>
            <w:r w:rsidRPr="004D4A14">
              <w:rPr>
                <w:rFonts w:eastAsia="Times New Roman" w:cs="Arial"/>
                <w:bCs/>
                <w:sz w:val="16"/>
                <w:szCs w:val="16"/>
                <w:lang w:eastAsia="lt-LT"/>
              </w:rPr>
              <w:t xml:space="preserve">, </w:t>
            </w:r>
            <w:r w:rsidRPr="004D4A14">
              <w:rPr>
                <w:rFonts w:eastAsia="Times New Roman" w:cs="Arial"/>
                <w:bCs/>
                <w:sz w:val="16"/>
                <w:szCs w:val="16"/>
              </w:rPr>
              <w:t xml:space="preserve">kurie dalyvavę </w:t>
            </w:r>
            <w:r w:rsidRPr="004D4A14">
              <w:rPr>
                <w:rFonts w:eastAsia="Times New Roman" w:cs="Arial"/>
                <w:sz w:val="16"/>
                <w:szCs w:val="16"/>
              </w:rPr>
              <w:t>švietimo civilinės saugos klausimais</w:t>
            </w:r>
            <w:r w:rsidRPr="004D4A14">
              <w:rPr>
                <w:rFonts w:eastAsia="Times New Roman" w:cs="Arial"/>
                <w:bCs/>
                <w:sz w:val="16"/>
                <w:szCs w:val="16"/>
              </w:rPr>
              <w:t xml:space="preserve"> veiklose įgijo įgūdžius, dalis</w:t>
            </w:r>
          </w:p>
        </w:tc>
        <w:tc>
          <w:tcPr>
            <w:tcW w:w="328" w:type="pct"/>
          </w:tcPr>
          <w:p w14:paraId="21D060F5" w14:textId="77777777" w:rsidR="00A606E0" w:rsidRPr="004D4A14" w:rsidRDefault="00A606E0" w:rsidP="00A606E0">
            <w:pPr>
              <w:spacing w:after="0" w:line="240" w:lineRule="auto"/>
              <w:jc w:val="both"/>
              <w:rPr>
                <w:rFonts w:eastAsia="Times New Roman" w:cs="Times New Roman"/>
                <w:noProof/>
                <w:sz w:val="16"/>
                <w:szCs w:val="16"/>
              </w:rPr>
            </w:pPr>
            <w:r w:rsidRPr="004D4A14">
              <w:rPr>
                <w:rFonts w:eastAsia="Times New Roman" w:cs="Times New Roman"/>
                <w:noProof/>
                <w:sz w:val="16"/>
                <w:szCs w:val="16"/>
              </w:rPr>
              <w:t>Procentai</w:t>
            </w:r>
            <w:r w:rsidRPr="004D4A14" w:rsidDel="00215606">
              <w:rPr>
                <w:rFonts w:eastAsia="Times New Roman" w:cs="Times New Roman"/>
                <w:noProof/>
                <w:sz w:val="16"/>
                <w:szCs w:val="16"/>
              </w:rPr>
              <w:t xml:space="preserve"> </w:t>
            </w:r>
          </w:p>
        </w:tc>
        <w:tc>
          <w:tcPr>
            <w:tcW w:w="328" w:type="pct"/>
          </w:tcPr>
          <w:p w14:paraId="522459EA" w14:textId="77777777" w:rsidR="00A606E0" w:rsidRPr="004D4A14" w:rsidRDefault="00A606E0" w:rsidP="00A606E0">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rPr>
              <w:t>0</w:t>
            </w:r>
          </w:p>
        </w:tc>
        <w:tc>
          <w:tcPr>
            <w:tcW w:w="375" w:type="pct"/>
          </w:tcPr>
          <w:p w14:paraId="579A47B7" w14:textId="77777777" w:rsidR="00A606E0" w:rsidRPr="004D4A14" w:rsidRDefault="00A606E0" w:rsidP="00A606E0">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lang w:val="en-US"/>
              </w:rPr>
              <w:t>2025</w:t>
            </w:r>
          </w:p>
        </w:tc>
        <w:tc>
          <w:tcPr>
            <w:tcW w:w="328" w:type="pct"/>
          </w:tcPr>
          <w:p w14:paraId="54BE0BEC" w14:textId="77777777" w:rsidR="00A606E0" w:rsidRPr="004D4A14" w:rsidRDefault="00A606E0" w:rsidP="00A606E0">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rPr>
              <w:t>95</w:t>
            </w:r>
          </w:p>
        </w:tc>
        <w:tc>
          <w:tcPr>
            <w:tcW w:w="305" w:type="pct"/>
          </w:tcPr>
          <w:p w14:paraId="19DC51C6" w14:textId="77777777" w:rsidR="00A606E0" w:rsidRPr="004D4A14" w:rsidRDefault="00A606E0" w:rsidP="00A606E0">
            <w:pPr>
              <w:spacing w:after="0" w:line="240" w:lineRule="auto"/>
              <w:jc w:val="both"/>
              <w:rPr>
                <w:rFonts w:eastAsia="Times New Roman" w:cs="Times New Roman"/>
                <w:noProof/>
                <w:sz w:val="16"/>
                <w:szCs w:val="16"/>
              </w:rPr>
            </w:pPr>
            <w:r w:rsidRPr="004D4A14">
              <w:rPr>
                <w:rFonts w:eastAsia="Times New Roman" w:cs="Times New Roman"/>
                <w:noProof/>
                <w:sz w:val="16"/>
                <w:szCs w:val="16"/>
              </w:rPr>
              <w:t>Projektų duomenys</w:t>
            </w:r>
          </w:p>
        </w:tc>
        <w:tc>
          <w:tcPr>
            <w:tcW w:w="346" w:type="pct"/>
          </w:tcPr>
          <w:p w14:paraId="3439E821" w14:textId="77777777" w:rsidR="00A606E0" w:rsidRPr="004D4A14" w:rsidRDefault="00A606E0" w:rsidP="00A606E0">
            <w:pPr>
              <w:spacing w:after="0" w:line="240" w:lineRule="auto"/>
              <w:jc w:val="both"/>
              <w:rPr>
                <w:rFonts w:eastAsia="Times New Roman" w:cs="Times New Roman"/>
                <w:i/>
                <w:noProof/>
                <w:sz w:val="16"/>
                <w:szCs w:val="16"/>
                <w:lang w:eastAsia="lt-LT"/>
              </w:rPr>
            </w:pPr>
          </w:p>
        </w:tc>
      </w:tr>
      <w:tr w:rsidR="00A606E0" w:rsidRPr="004D4A14" w14:paraId="1CEF56CB" w14:textId="77777777" w:rsidTr="008E427B">
        <w:trPr>
          <w:trHeight w:val="286"/>
        </w:trPr>
        <w:tc>
          <w:tcPr>
            <w:tcW w:w="329" w:type="pct"/>
            <w:vMerge/>
          </w:tcPr>
          <w:p w14:paraId="6E7BDE13" w14:textId="77777777" w:rsidR="00A606E0" w:rsidRPr="004D4A14" w:rsidRDefault="00A606E0" w:rsidP="00A606E0">
            <w:pPr>
              <w:spacing w:after="0" w:line="240" w:lineRule="auto"/>
              <w:jc w:val="both"/>
              <w:rPr>
                <w:rFonts w:eastAsia="Times New Roman" w:cs="Times New Roman"/>
                <w:noProof/>
                <w:sz w:val="16"/>
                <w:szCs w:val="16"/>
              </w:rPr>
            </w:pPr>
          </w:p>
        </w:tc>
        <w:tc>
          <w:tcPr>
            <w:tcW w:w="334" w:type="pct"/>
            <w:vMerge/>
          </w:tcPr>
          <w:p w14:paraId="210364A8" w14:textId="77777777" w:rsidR="00A606E0" w:rsidRPr="004D4A14" w:rsidRDefault="00A606E0" w:rsidP="00A606E0">
            <w:pPr>
              <w:spacing w:after="0" w:line="240" w:lineRule="auto"/>
              <w:jc w:val="both"/>
              <w:rPr>
                <w:rFonts w:eastAsia="Times New Roman" w:cs="Times New Roman"/>
                <w:noProof/>
                <w:sz w:val="16"/>
                <w:szCs w:val="16"/>
              </w:rPr>
            </w:pPr>
          </w:p>
        </w:tc>
        <w:tc>
          <w:tcPr>
            <w:tcW w:w="264" w:type="pct"/>
            <w:vMerge/>
          </w:tcPr>
          <w:p w14:paraId="1A394E49" w14:textId="77777777" w:rsidR="00A606E0" w:rsidRPr="004D4A14" w:rsidRDefault="00A606E0" w:rsidP="00A606E0">
            <w:pPr>
              <w:spacing w:after="0" w:line="240" w:lineRule="auto"/>
              <w:jc w:val="both"/>
              <w:rPr>
                <w:rFonts w:eastAsia="Times New Roman" w:cs="Times New Roman"/>
                <w:noProof/>
                <w:sz w:val="16"/>
                <w:szCs w:val="16"/>
              </w:rPr>
            </w:pPr>
          </w:p>
        </w:tc>
        <w:tc>
          <w:tcPr>
            <w:tcW w:w="328" w:type="pct"/>
          </w:tcPr>
          <w:p w14:paraId="237D046A" w14:textId="77777777" w:rsidR="00A606E0" w:rsidRPr="004D4A14" w:rsidRDefault="00A606E0" w:rsidP="00A606E0">
            <w:pPr>
              <w:spacing w:after="0" w:line="240" w:lineRule="auto"/>
              <w:jc w:val="both"/>
              <w:rPr>
                <w:rFonts w:eastAsia="Times New Roman" w:cs="Arial"/>
                <w:noProof/>
                <w:sz w:val="16"/>
                <w:szCs w:val="16"/>
              </w:rPr>
            </w:pPr>
            <w:r w:rsidRPr="004D4A14">
              <w:rPr>
                <w:rFonts w:eastAsia="Times New Roman" w:cs="Arial"/>
                <w:noProof/>
                <w:sz w:val="16"/>
                <w:szCs w:val="16"/>
              </w:rPr>
              <w:t>VVL regionas</w:t>
            </w:r>
          </w:p>
        </w:tc>
        <w:tc>
          <w:tcPr>
            <w:tcW w:w="422" w:type="pct"/>
          </w:tcPr>
          <w:p w14:paraId="0E1F0B56" w14:textId="77777777" w:rsidR="00A606E0" w:rsidRPr="004D4A14" w:rsidRDefault="00A606E0" w:rsidP="00A606E0">
            <w:pPr>
              <w:spacing w:after="0" w:line="240" w:lineRule="auto"/>
              <w:jc w:val="both"/>
              <w:rPr>
                <w:rFonts w:eastAsia="Times New Roman" w:cs="Times New Roman"/>
                <w:sz w:val="16"/>
                <w:szCs w:val="16"/>
                <w:lang w:eastAsia="en-GB"/>
              </w:rPr>
            </w:pPr>
            <w:r w:rsidRPr="004D4A14">
              <w:rPr>
                <w:rFonts w:eastAsia="Times New Roman" w:cs="Times New Roman"/>
                <w:sz w:val="16"/>
                <w:szCs w:val="16"/>
                <w:lang w:eastAsia="en-GB"/>
              </w:rPr>
              <w:t>Specialusis</w:t>
            </w:r>
          </w:p>
        </w:tc>
        <w:tc>
          <w:tcPr>
            <w:tcW w:w="1313" w:type="pct"/>
          </w:tcPr>
          <w:p w14:paraId="580297E4" w14:textId="77777777" w:rsidR="00A606E0" w:rsidRPr="004D4A14" w:rsidRDefault="00A606E0" w:rsidP="00A606E0">
            <w:pPr>
              <w:spacing w:after="0" w:line="240" w:lineRule="auto"/>
              <w:jc w:val="both"/>
              <w:rPr>
                <w:rFonts w:eastAsia="Times New Roman" w:cs="Times New Roman"/>
                <w:sz w:val="16"/>
                <w:szCs w:val="16"/>
              </w:rPr>
            </w:pPr>
            <w:r w:rsidRPr="004D4A14">
              <w:rPr>
                <w:rFonts w:eastAsia="Times New Roman" w:cs="Arial"/>
                <w:bCs/>
                <w:sz w:val="16"/>
                <w:szCs w:val="16"/>
              </w:rPr>
              <w:t>BIVP projektų veiklų dalyvių (įskaitant visas tikslines grupes)</w:t>
            </w:r>
            <w:r w:rsidRPr="004D4A14">
              <w:rPr>
                <w:rFonts w:eastAsia="Times New Roman" w:cs="Arial"/>
                <w:bCs/>
                <w:sz w:val="16"/>
                <w:szCs w:val="16"/>
                <w:lang w:eastAsia="lt-LT"/>
              </w:rPr>
              <w:t xml:space="preserve">, </w:t>
            </w:r>
            <w:r w:rsidRPr="004D4A14">
              <w:rPr>
                <w:rFonts w:eastAsia="Times New Roman" w:cs="Arial"/>
                <w:bCs/>
                <w:sz w:val="16"/>
                <w:szCs w:val="16"/>
              </w:rPr>
              <w:t xml:space="preserve">kurie dalyvavę </w:t>
            </w:r>
            <w:r w:rsidRPr="004D4A14">
              <w:rPr>
                <w:rFonts w:eastAsia="Times New Roman" w:cs="Arial"/>
                <w:sz w:val="16"/>
                <w:szCs w:val="16"/>
              </w:rPr>
              <w:t>švietimo civilinės saugos klausimais</w:t>
            </w:r>
            <w:r w:rsidRPr="004D4A14">
              <w:rPr>
                <w:rFonts w:eastAsia="Times New Roman" w:cs="Arial"/>
                <w:bCs/>
                <w:sz w:val="16"/>
                <w:szCs w:val="16"/>
              </w:rPr>
              <w:t xml:space="preserve"> veiklose įgijo įgūdžius, dalis</w:t>
            </w:r>
          </w:p>
        </w:tc>
        <w:tc>
          <w:tcPr>
            <w:tcW w:w="328" w:type="pct"/>
          </w:tcPr>
          <w:p w14:paraId="7689E1C3" w14:textId="77777777" w:rsidR="00A606E0" w:rsidRPr="004D4A14" w:rsidRDefault="00A606E0" w:rsidP="00A606E0">
            <w:pPr>
              <w:spacing w:after="0" w:line="240" w:lineRule="auto"/>
              <w:jc w:val="both"/>
              <w:rPr>
                <w:rFonts w:eastAsia="Times New Roman" w:cs="Times New Roman"/>
                <w:color w:val="000000"/>
                <w:sz w:val="16"/>
                <w:szCs w:val="16"/>
                <w:shd w:val="clear" w:color="auto" w:fill="FFFFFF"/>
              </w:rPr>
            </w:pPr>
            <w:r w:rsidRPr="004D4A14">
              <w:rPr>
                <w:rFonts w:eastAsia="Times New Roman" w:cs="Times New Roman"/>
                <w:noProof/>
                <w:sz w:val="16"/>
                <w:szCs w:val="16"/>
              </w:rPr>
              <w:t>Procentai</w:t>
            </w:r>
          </w:p>
        </w:tc>
        <w:tc>
          <w:tcPr>
            <w:tcW w:w="328" w:type="pct"/>
          </w:tcPr>
          <w:p w14:paraId="22A6F12D" w14:textId="77777777" w:rsidR="00A606E0" w:rsidRPr="004D4A14" w:rsidRDefault="00A606E0" w:rsidP="00A606E0">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rPr>
              <w:t>0</w:t>
            </w:r>
          </w:p>
        </w:tc>
        <w:tc>
          <w:tcPr>
            <w:tcW w:w="375" w:type="pct"/>
          </w:tcPr>
          <w:p w14:paraId="797EFE39" w14:textId="77777777" w:rsidR="00A606E0" w:rsidRPr="004D4A14" w:rsidRDefault="00A606E0" w:rsidP="00A606E0">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rPr>
              <w:t>2025</w:t>
            </w:r>
          </w:p>
        </w:tc>
        <w:tc>
          <w:tcPr>
            <w:tcW w:w="328" w:type="pct"/>
          </w:tcPr>
          <w:p w14:paraId="17EBB75D" w14:textId="77777777" w:rsidR="00A606E0" w:rsidRPr="004D4A14" w:rsidRDefault="00A606E0" w:rsidP="00A606E0">
            <w:pPr>
              <w:spacing w:after="0" w:line="240" w:lineRule="auto"/>
              <w:jc w:val="center"/>
              <w:rPr>
                <w:rFonts w:eastAsia="Times New Roman" w:cs="Times New Roman"/>
                <w:iCs/>
                <w:noProof/>
                <w:sz w:val="16"/>
                <w:szCs w:val="16"/>
              </w:rPr>
            </w:pPr>
            <w:r w:rsidRPr="004D4A14">
              <w:rPr>
                <w:rFonts w:eastAsia="Times New Roman" w:cs="Times New Roman"/>
                <w:iCs/>
                <w:noProof/>
                <w:sz w:val="16"/>
                <w:szCs w:val="16"/>
              </w:rPr>
              <w:t>95</w:t>
            </w:r>
          </w:p>
        </w:tc>
        <w:tc>
          <w:tcPr>
            <w:tcW w:w="305" w:type="pct"/>
          </w:tcPr>
          <w:p w14:paraId="48E61891" w14:textId="77777777" w:rsidR="00A606E0" w:rsidRPr="004D4A14" w:rsidRDefault="00A606E0" w:rsidP="00A606E0">
            <w:pPr>
              <w:spacing w:after="0" w:line="240" w:lineRule="auto"/>
              <w:jc w:val="both"/>
              <w:rPr>
                <w:rFonts w:eastAsia="Times New Roman" w:cs="Times New Roman"/>
                <w:noProof/>
                <w:sz w:val="16"/>
                <w:szCs w:val="16"/>
              </w:rPr>
            </w:pPr>
            <w:r w:rsidRPr="004D4A14">
              <w:rPr>
                <w:rFonts w:eastAsia="Times New Roman" w:cs="Times New Roman"/>
                <w:noProof/>
                <w:sz w:val="16"/>
                <w:szCs w:val="16"/>
              </w:rPr>
              <w:t>Projektų duomenys</w:t>
            </w:r>
          </w:p>
        </w:tc>
        <w:tc>
          <w:tcPr>
            <w:tcW w:w="346" w:type="pct"/>
          </w:tcPr>
          <w:p w14:paraId="3E494BD7" w14:textId="77777777" w:rsidR="00A606E0" w:rsidRPr="004D4A14" w:rsidRDefault="00A606E0" w:rsidP="00A606E0">
            <w:pPr>
              <w:spacing w:after="0" w:line="240" w:lineRule="auto"/>
              <w:jc w:val="both"/>
              <w:rPr>
                <w:rFonts w:eastAsia="Times New Roman" w:cs="Times New Roman"/>
                <w:i/>
                <w:noProof/>
                <w:sz w:val="16"/>
                <w:szCs w:val="16"/>
                <w:lang w:eastAsia="lt-LT"/>
              </w:rPr>
            </w:pPr>
          </w:p>
        </w:tc>
      </w:tr>
    </w:tbl>
    <w:p w14:paraId="24E15B80" w14:textId="77777777" w:rsidR="00A606E0" w:rsidRPr="004D4A14" w:rsidRDefault="00A606E0" w:rsidP="00A606E0">
      <w:pPr>
        <w:spacing w:after="0" w:line="240" w:lineRule="auto"/>
        <w:jc w:val="both"/>
        <w:rPr>
          <w:rFonts w:eastAsia="Times New Roman" w:cs="Times New Roman"/>
          <w:b/>
          <w:sz w:val="22"/>
        </w:rPr>
      </w:pPr>
    </w:p>
    <w:p w14:paraId="7480085A" w14:textId="77777777" w:rsidR="00A606E0" w:rsidRPr="004D4A14" w:rsidRDefault="00A606E0" w:rsidP="00A606E0">
      <w:pPr>
        <w:spacing w:after="0" w:line="240" w:lineRule="auto"/>
        <w:jc w:val="both"/>
        <w:rPr>
          <w:rFonts w:eastAsia="Times New Roman" w:cs="Times New Roman"/>
          <w:sz w:val="16"/>
          <w:szCs w:val="16"/>
        </w:rPr>
        <w:sectPr w:rsidR="00A606E0" w:rsidRPr="004D4A14" w:rsidSect="00A606E0">
          <w:pgSz w:w="16838" w:h="11906" w:orient="landscape"/>
          <w:pgMar w:top="1701" w:right="1276" w:bottom="567" w:left="1134" w:header="567" w:footer="567" w:gutter="0"/>
          <w:cols w:space="1296"/>
          <w:docGrid w:linePitch="360"/>
        </w:sectPr>
      </w:pPr>
    </w:p>
    <w:p w14:paraId="6ECD5024" w14:textId="77777777" w:rsidR="00A606E0" w:rsidRPr="004D4A14" w:rsidRDefault="00A606E0" w:rsidP="00A606E0">
      <w:pPr>
        <w:tabs>
          <w:tab w:val="center" w:pos="4819"/>
          <w:tab w:val="right" w:pos="9638"/>
        </w:tabs>
        <w:spacing w:before="120" w:after="120" w:line="240" w:lineRule="auto"/>
        <w:rPr>
          <w:rFonts w:eastAsia="Times New Roman" w:cs="Arial"/>
          <w:b/>
          <w:i/>
          <w:noProof/>
          <w:color w:val="1F497D" w:themeColor="text2"/>
          <w:sz w:val="22"/>
          <w:lang w:eastAsia="lt-LT"/>
        </w:rPr>
      </w:pPr>
      <w:r w:rsidRPr="004D4A14">
        <w:rPr>
          <w:rFonts w:eastAsia="Times New Roman" w:cs="Arial"/>
          <w:b/>
          <w:i/>
          <w:noProof/>
          <w:color w:val="1F497D" w:themeColor="text2"/>
          <w:sz w:val="22"/>
          <w:lang w:eastAsia="lt-LT"/>
        </w:rPr>
        <w:lastRenderedPageBreak/>
        <w:t>Preliminarus Programos išteklių suskirstymas pagal intervencinių priemonių rūšį</w:t>
      </w:r>
    </w:p>
    <w:tbl>
      <w:tblPr>
        <w:tblStyle w:val="Lentelstinklelis48"/>
        <w:tblW w:w="9624" w:type="dxa"/>
        <w:tblLayout w:type="fixed"/>
        <w:tblLook w:val="04A0" w:firstRow="1" w:lastRow="0" w:firstColumn="1" w:lastColumn="0" w:noHBand="0" w:noVBand="1"/>
      </w:tblPr>
      <w:tblGrid>
        <w:gridCol w:w="1069"/>
        <w:gridCol w:w="901"/>
        <w:gridCol w:w="1701"/>
        <w:gridCol w:w="1143"/>
        <w:gridCol w:w="3251"/>
        <w:gridCol w:w="1559"/>
      </w:tblGrid>
      <w:tr w:rsidR="00A606E0" w:rsidRPr="004D4A14" w14:paraId="6C05BF8F" w14:textId="77777777" w:rsidTr="002041B2">
        <w:tc>
          <w:tcPr>
            <w:tcW w:w="962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5886133" w14:textId="77777777" w:rsidR="00A606E0" w:rsidRPr="004D4A14" w:rsidRDefault="00A606E0" w:rsidP="00A606E0">
            <w:pPr>
              <w:rPr>
                <w:b/>
                <w:noProof/>
                <w:sz w:val="20"/>
              </w:rPr>
            </w:pPr>
            <w:r w:rsidRPr="004D4A14">
              <w:rPr>
                <w:b/>
                <w:noProof/>
                <w:sz w:val="20"/>
              </w:rPr>
              <w:t>4 lentelė. 1 matmuo. Intervencinių priemonių sritis</w:t>
            </w:r>
          </w:p>
        </w:tc>
      </w:tr>
      <w:tr w:rsidR="00A606E0" w:rsidRPr="004D4A14" w14:paraId="22BB5184" w14:textId="77777777" w:rsidTr="002041B2">
        <w:tc>
          <w:tcPr>
            <w:tcW w:w="10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92CF94" w14:textId="77777777" w:rsidR="00A606E0" w:rsidRPr="004D4A14" w:rsidRDefault="00A606E0" w:rsidP="00A606E0">
            <w:pPr>
              <w:jc w:val="center"/>
              <w:rPr>
                <w:b/>
                <w:iCs/>
                <w:noProof/>
                <w:sz w:val="20"/>
              </w:rPr>
            </w:pPr>
            <w:r w:rsidRPr="004D4A14">
              <w:rPr>
                <w:b/>
                <w:noProof/>
                <w:sz w:val="20"/>
              </w:rPr>
              <w:t>Prioriteto Nr.</w:t>
            </w:r>
          </w:p>
        </w:tc>
        <w:tc>
          <w:tcPr>
            <w:tcW w:w="9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23239B5" w14:textId="77777777" w:rsidR="00A606E0" w:rsidRPr="004D4A14" w:rsidRDefault="00A606E0" w:rsidP="00A606E0">
            <w:pPr>
              <w:jc w:val="center"/>
              <w:rPr>
                <w:b/>
                <w:iCs/>
                <w:noProof/>
                <w:sz w:val="20"/>
              </w:rPr>
            </w:pPr>
            <w:r w:rsidRPr="004D4A14">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BDC9F87" w14:textId="77777777" w:rsidR="00A606E0" w:rsidRPr="004D4A14" w:rsidRDefault="00A606E0" w:rsidP="00A606E0">
            <w:pPr>
              <w:jc w:val="center"/>
              <w:rPr>
                <w:b/>
                <w:iCs/>
                <w:noProof/>
                <w:sz w:val="20"/>
              </w:rPr>
            </w:pPr>
            <w:r w:rsidRPr="004D4A14">
              <w:rPr>
                <w:b/>
                <w:noProof/>
                <w:sz w:val="20"/>
              </w:rPr>
              <w:t>Regiono kategorija</w:t>
            </w:r>
          </w:p>
        </w:tc>
        <w:tc>
          <w:tcPr>
            <w:tcW w:w="114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9E108E2" w14:textId="77777777" w:rsidR="00A606E0" w:rsidRPr="004D4A14" w:rsidRDefault="00A606E0" w:rsidP="00A606E0">
            <w:pPr>
              <w:jc w:val="center"/>
              <w:rPr>
                <w:b/>
                <w:iCs/>
                <w:noProof/>
                <w:sz w:val="20"/>
              </w:rPr>
            </w:pPr>
            <w:r w:rsidRPr="004D4A14">
              <w:rPr>
                <w:b/>
                <w:noProof/>
                <w:sz w:val="20"/>
              </w:rPr>
              <w:t>Konkretus uždavinys</w:t>
            </w:r>
          </w:p>
        </w:tc>
        <w:tc>
          <w:tcPr>
            <w:tcW w:w="325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91EB645" w14:textId="77777777" w:rsidR="00A606E0" w:rsidRPr="004D4A14" w:rsidRDefault="00A606E0" w:rsidP="00A606E0">
            <w:pPr>
              <w:jc w:val="center"/>
              <w:rPr>
                <w:b/>
                <w:iCs/>
                <w:noProof/>
                <w:sz w:val="20"/>
              </w:rPr>
            </w:pPr>
            <w:r w:rsidRPr="004D4A14">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A434BB0" w14:textId="77777777" w:rsidR="00A606E0" w:rsidRPr="004D4A14" w:rsidRDefault="00A606E0" w:rsidP="00A606E0">
            <w:pPr>
              <w:jc w:val="center"/>
              <w:rPr>
                <w:b/>
                <w:iCs/>
                <w:noProof/>
                <w:sz w:val="20"/>
              </w:rPr>
            </w:pPr>
            <w:r w:rsidRPr="004D4A14">
              <w:rPr>
                <w:b/>
                <w:noProof/>
                <w:sz w:val="20"/>
              </w:rPr>
              <w:t>Suma (EUR)</w:t>
            </w:r>
          </w:p>
        </w:tc>
      </w:tr>
      <w:tr w:rsidR="00A606E0" w:rsidRPr="004D4A14" w14:paraId="2C064AC4" w14:textId="77777777" w:rsidTr="002041B2">
        <w:trPr>
          <w:trHeight w:val="549"/>
        </w:trPr>
        <w:tc>
          <w:tcPr>
            <w:tcW w:w="1069" w:type="dxa"/>
            <w:vMerge w:val="restart"/>
            <w:tcBorders>
              <w:top w:val="single" w:sz="12" w:space="0" w:color="auto"/>
            </w:tcBorders>
          </w:tcPr>
          <w:p w14:paraId="0732FFBC" w14:textId="77777777" w:rsidR="00A606E0" w:rsidRPr="004D4A14" w:rsidRDefault="00A606E0" w:rsidP="00A606E0">
            <w:pPr>
              <w:jc w:val="center"/>
              <w:rPr>
                <w:iCs/>
                <w:noProof/>
                <w:sz w:val="20"/>
                <w:szCs w:val="20"/>
              </w:rPr>
            </w:pPr>
            <w:r w:rsidRPr="004D4A14">
              <w:rPr>
                <w:iCs/>
                <w:noProof/>
                <w:sz w:val="20"/>
                <w:szCs w:val="20"/>
              </w:rPr>
              <w:t>16</w:t>
            </w:r>
          </w:p>
        </w:tc>
        <w:tc>
          <w:tcPr>
            <w:tcW w:w="901" w:type="dxa"/>
            <w:vMerge w:val="restart"/>
            <w:tcBorders>
              <w:top w:val="single" w:sz="12" w:space="0" w:color="auto"/>
            </w:tcBorders>
          </w:tcPr>
          <w:p w14:paraId="4A898D6A" w14:textId="77777777" w:rsidR="00A606E0" w:rsidRPr="004D4A14" w:rsidRDefault="00A606E0" w:rsidP="00A606E0">
            <w:pPr>
              <w:jc w:val="center"/>
              <w:rPr>
                <w:iCs/>
                <w:noProof/>
                <w:sz w:val="20"/>
                <w:szCs w:val="20"/>
              </w:rPr>
            </w:pPr>
            <w:r w:rsidRPr="004D4A14">
              <w:rPr>
                <w:iCs/>
                <w:noProof/>
                <w:sz w:val="20"/>
                <w:szCs w:val="20"/>
              </w:rPr>
              <w:t>ESF+</w:t>
            </w:r>
          </w:p>
        </w:tc>
        <w:tc>
          <w:tcPr>
            <w:tcW w:w="1701" w:type="dxa"/>
            <w:tcBorders>
              <w:top w:val="single" w:sz="12" w:space="0" w:color="auto"/>
            </w:tcBorders>
          </w:tcPr>
          <w:p w14:paraId="1A02E53D" w14:textId="77777777" w:rsidR="00A606E0" w:rsidRPr="004D4A14" w:rsidRDefault="00A606E0" w:rsidP="00A606E0">
            <w:pPr>
              <w:rPr>
                <w:iCs/>
                <w:noProof/>
                <w:sz w:val="20"/>
                <w:szCs w:val="20"/>
              </w:rPr>
            </w:pPr>
            <w:r w:rsidRPr="004D4A14">
              <w:rPr>
                <w:noProof/>
                <w:sz w:val="20"/>
                <w:szCs w:val="20"/>
              </w:rPr>
              <w:t>Sostinės regionas</w:t>
            </w:r>
          </w:p>
        </w:tc>
        <w:tc>
          <w:tcPr>
            <w:tcW w:w="1143" w:type="dxa"/>
            <w:vMerge w:val="restart"/>
            <w:tcBorders>
              <w:top w:val="single" w:sz="12" w:space="0" w:color="auto"/>
            </w:tcBorders>
          </w:tcPr>
          <w:p w14:paraId="7C2124CE" w14:textId="77777777" w:rsidR="00A606E0" w:rsidRPr="004D4A14" w:rsidRDefault="00A606E0" w:rsidP="00A606E0">
            <w:pPr>
              <w:jc w:val="center"/>
              <w:rPr>
                <w:iCs/>
                <w:noProof/>
                <w:sz w:val="20"/>
                <w:szCs w:val="20"/>
              </w:rPr>
            </w:pPr>
            <w:r w:rsidRPr="004D4A14">
              <w:rPr>
                <w:iCs/>
                <w:noProof/>
                <w:sz w:val="20"/>
                <w:szCs w:val="20"/>
              </w:rPr>
              <w:t>16.1</w:t>
            </w:r>
          </w:p>
        </w:tc>
        <w:tc>
          <w:tcPr>
            <w:tcW w:w="3251" w:type="dxa"/>
            <w:vMerge w:val="restart"/>
            <w:tcBorders>
              <w:top w:val="single" w:sz="12" w:space="0" w:color="auto"/>
            </w:tcBorders>
          </w:tcPr>
          <w:p w14:paraId="1E8DF643" w14:textId="77777777" w:rsidR="00A606E0" w:rsidRPr="004D4A14" w:rsidRDefault="00A606E0" w:rsidP="00A606E0">
            <w:pPr>
              <w:jc w:val="both"/>
              <w:rPr>
                <w:rFonts w:cs="Times New Roman"/>
                <w:iCs/>
                <w:noProof/>
                <w:sz w:val="20"/>
                <w:szCs w:val="20"/>
              </w:rPr>
            </w:pPr>
            <w:r w:rsidRPr="004D4A14">
              <w:rPr>
                <w:rFonts w:cs="Times New Roman"/>
                <w:iCs/>
                <w:noProof/>
                <w:sz w:val="20"/>
                <w:szCs w:val="20"/>
              </w:rPr>
              <w:t>160 – Priemonės, kuriomis gerinamas sveikatos priežiūros sistemų prieinamumas, efektyvumas ir atsparumas (išskyrus infrastruktūrą)</w:t>
            </w:r>
          </w:p>
        </w:tc>
        <w:tc>
          <w:tcPr>
            <w:tcW w:w="1559" w:type="dxa"/>
            <w:tcBorders>
              <w:top w:val="single" w:sz="12" w:space="0" w:color="auto"/>
            </w:tcBorders>
          </w:tcPr>
          <w:p w14:paraId="472D32E5" w14:textId="77777777" w:rsidR="00A606E0" w:rsidRPr="004D4A14" w:rsidRDefault="00A606E0" w:rsidP="00A606E0">
            <w:pPr>
              <w:jc w:val="right"/>
              <w:rPr>
                <w:rFonts w:cs="Times New Roman"/>
                <w:iCs/>
                <w:noProof/>
                <w:sz w:val="20"/>
                <w:szCs w:val="20"/>
              </w:rPr>
            </w:pPr>
            <w:r w:rsidRPr="004D4A14">
              <w:rPr>
                <w:rFonts w:cs="Times New Roman"/>
                <w:iCs/>
                <w:noProof/>
                <w:sz w:val="20"/>
                <w:szCs w:val="20"/>
              </w:rPr>
              <w:t>84 000,00</w:t>
            </w:r>
          </w:p>
        </w:tc>
      </w:tr>
      <w:tr w:rsidR="00A606E0" w:rsidRPr="004D4A14" w14:paraId="0B51F479" w14:textId="77777777" w:rsidTr="002041B2">
        <w:trPr>
          <w:trHeight w:val="549"/>
        </w:trPr>
        <w:tc>
          <w:tcPr>
            <w:tcW w:w="1069" w:type="dxa"/>
            <w:vMerge/>
            <w:tcBorders>
              <w:top w:val="single" w:sz="12" w:space="0" w:color="auto"/>
            </w:tcBorders>
          </w:tcPr>
          <w:p w14:paraId="086F174D" w14:textId="77777777" w:rsidR="00A606E0" w:rsidRPr="004D4A14" w:rsidRDefault="00A606E0" w:rsidP="00A606E0">
            <w:pPr>
              <w:jc w:val="center"/>
              <w:rPr>
                <w:iCs/>
                <w:noProof/>
                <w:sz w:val="20"/>
                <w:szCs w:val="20"/>
              </w:rPr>
            </w:pPr>
          </w:p>
        </w:tc>
        <w:tc>
          <w:tcPr>
            <w:tcW w:w="901" w:type="dxa"/>
            <w:vMerge/>
            <w:tcBorders>
              <w:top w:val="single" w:sz="12" w:space="0" w:color="auto"/>
            </w:tcBorders>
          </w:tcPr>
          <w:p w14:paraId="28DD8D23" w14:textId="77777777" w:rsidR="00A606E0" w:rsidRPr="004D4A14" w:rsidRDefault="00A606E0" w:rsidP="00A606E0">
            <w:pPr>
              <w:jc w:val="center"/>
              <w:rPr>
                <w:iCs/>
                <w:noProof/>
                <w:sz w:val="20"/>
                <w:szCs w:val="20"/>
              </w:rPr>
            </w:pPr>
          </w:p>
        </w:tc>
        <w:tc>
          <w:tcPr>
            <w:tcW w:w="1701" w:type="dxa"/>
            <w:tcBorders>
              <w:top w:val="single" w:sz="12" w:space="0" w:color="auto"/>
            </w:tcBorders>
          </w:tcPr>
          <w:p w14:paraId="567C38FA" w14:textId="77777777" w:rsidR="00A606E0" w:rsidRPr="004D4A14" w:rsidRDefault="00A606E0" w:rsidP="00A606E0">
            <w:pPr>
              <w:rPr>
                <w:noProof/>
                <w:sz w:val="20"/>
                <w:szCs w:val="20"/>
              </w:rPr>
            </w:pPr>
            <w:r w:rsidRPr="004D4A14">
              <w:rPr>
                <w:noProof/>
                <w:sz w:val="20"/>
                <w:szCs w:val="20"/>
              </w:rPr>
              <w:t>VVL regionas</w:t>
            </w:r>
          </w:p>
        </w:tc>
        <w:tc>
          <w:tcPr>
            <w:tcW w:w="1143" w:type="dxa"/>
            <w:vMerge/>
            <w:tcBorders>
              <w:top w:val="single" w:sz="12" w:space="0" w:color="auto"/>
            </w:tcBorders>
          </w:tcPr>
          <w:p w14:paraId="76A2B0AC" w14:textId="77777777" w:rsidR="00A606E0" w:rsidRPr="004D4A14" w:rsidRDefault="00A606E0" w:rsidP="00A606E0">
            <w:pPr>
              <w:jc w:val="center"/>
              <w:rPr>
                <w:iCs/>
                <w:noProof/>
                <w:sz w:val="20"/>
                <w:szCs w:val="20"/>
              </w:rPr>
            </w:pPr>
          </w:p>
        </w:tc>
        <w:tc>
          <w:tcPr>
            <w:tcW w:w="3251" w:type="dxa"/>
            <w:vMerge/>
            <w:tcBorders>
              <w:top w:val="single" w:sz="12" w:space="0" w:color="auto"/>
            </w:tcBorders>
          </w:tcPr>
          <w:p w14:paraId="5A60BF3A" w14:textId="77777777" w:rsidR="00A606E0" w:rsidRPr="004D4A14" w:rsidRDefault="00A606E0" w:rsidP="00A606E0">
            <w:pPr>
              <w:jc w:val="both"/>
              <w:rPr>
                <w:rFonts w:cs="Times New Roman"/>
                <w:iCs/>
                <w:noProof/>
                <w:sz w:val="20"/>
                <w:szCs w:val="20"/>
              </w:rPr>
            </w:pPr>
          </w:p>
        </w:tc>
        <w:tc>
          <w:tcPr>
            <w:tcW w:w="1559" w:type="dxa"/>
            <w:tcBorders>
              <w:top w:val="single" w:sz="12" w:space="0" w:color="auto"/>
            </w:tcBorders>
          </w:tcPr>
          <w:p w14:paraId="4C9500F1" w14:textId="77777777" w:rsidR="00A606E0" w:rsidRPr="004D4A14" w:rsidRDefault="00A606E0" w:rsidP="00A606E0">
            <w:pPr>
              <w:jc w:val="right"/>
              <w:rPr>
                <w:rFonts w:cs="Times New Roman"/>
                <w:iCs/>
                <w:noProof/>
                <w:sz w:val="20"/>
                <w:szCs w:val="20"/>
              </w:rPr>
            </w:pPr>
            <w:r w:rsidRPr="004D4A14">
              <w:rPr>
                <w:rFonts w:cs="Times New Roman"/>
                <w:iCs/>
                <w:noProof/>
                <w:sz w:val="20"/>
                <w:szCs w:val="20"/>
              </w:rPr>
              <w:t>9 216 389,00</w:t>
            </w:r>
          </w:p>
        </w:tc>
      </w:tr>
      <w:tr w:rsidR="00A606E0" w:rsidRPr="004D4A14" w14:paraId="223D9CDF" w14:textId="77777777" w:rsidTr="002041B2">
        <w:trPr>
          <w:trHeight w:val="549"/>
        </w:trPr>
        <w:tc>
          <w:tcPr>
            <w:tcW w:w="1069" w:type="dxa"/>
            <w:vMerge/>
            <w:tcBorders>
              <w:top w:val="single" w:sz="12" w:space="0" w:color="auto"/>
            </w:tcBorders>
          </w:tcPr>
          <w:p w14:paraId="621C6E0B" w14:textId="77777777" w:rsidR="00A606E0" w:rsidRPr="004D4A14" w:rsidRDefault="00A606E0" w:rsidP="00A606E0">
            <w:pPr>
              <w:jc w:val="center"/>
              <w:rPr>
                <w:iCs/>
                <w:noProof/>
                <w:sz w:val="20"/>
                <w:szCs w:val="20"/>
              </w:rPr>
            </w:pPr>
          </w:p>
        </w:tc>
        <w:tc>
          <w:tcPr>
            <w:tcW w:w="901" w:type="dxa"/>
            <w:vMerge/>
            <w:tcBorders>
              <w:top w:val="single" w:sz="12" w:space="0" w:color="auto"/>
            </w:tcBorders>
          </w:tcPr>
          <w:p w14:paraId="77B67CA7" w14:textId="77777777" w:rsidR="00A606E0" w:rsidRPr="004D4A14" w:rsidRDefault="00A606E0" w:rsidP="00A606E0">
            <w:pPr>
              <w:jc w:val="center"/>
              <w:rPr>
                <w:iCs/>
                <w:noProof/>
                <w:sz w:val="20"/>
                <w:szCs w:val="20"/>
              </w:rPr>
            </w:pPr>
          </w:p>
        </w:tc>
        <w:tc>
          <w:tcPr>
            <w:tcW w:w="1701" w:type="dxa"/>
            <w:tcBorders>
              <w:top w:val="single" w:sz="12" w:space="0" w:color="auto"/>
            </w:tcBorders>
          </w:tcPr>
          <w:p w14:paraId="2ED8F8A6" w14:textId="77777777" w:rsidR="00A606E0" w:rsidRPr="004D4A14" w:rsidRDefault="00A606E0" w:rsidP="00A606E0">
            <w:pPr>
              <w:rPr>
                <w:noProof/>
                <w:sz w:val="20"/>
                <w:szCs w:val="20"/>
              </w:rPr>
            </w:pPr>
            <w:r w:rsidRPr="004D4A14">
              <w:rPr>
                <w:noProof/>
                <w:sz w:val="20"/>
                <w:szCs w:val="20"/>
              </w:rPr>
              <w:t>Sostinės regionas</w:t>
            </w:r>
          </w:p>
        </w:tc>
        <w:tc>
          <w:tcPr>
            <w:tcW w:w="1143" w:type="dxa"/>
            <w:vMerge/>
            <w:tcBorders>
              <w:top w:val="single" w:sz="12" w:space="0" w:color="auto"/>
            </w:tcBorders>
          </w:tcPr>
          <w:p w14:paraId="54C7B406" w14:textId="77777777" w:rsidR="00A606E0" w:rsidRPr="004D4A14" w:rsidRDefault="00A606E0" w:rsidP="00A606E0">
            <w:pPr>
              <w:jc w:val="center"/>
              <w:rPr>
                <w:iCs/>
                <w:noProof/>
                <w:sz w:val="20"/>
                <w:szCs w:val="20"/>
              </w:rPr>
            </w:pPr>
          </w:p>
        </w:tc>
        <w:tc>
          <w:tcPr>
            <w:tcW w:w="3251" w:type="dxa"/>
            <w:vMerge w:val="restart"/>
          </w:tcPr>
          <w:p w14:paraId="0C521B1B" w14:textId="77777777" w:rsidR="00A606E0" w:rsidRPr="004D4A14" w:rsidRDefault="00A606E0" w:rsidP="00A606E0">
            <w:pPr>
              <w:jc w:val="both"/>
              <w:rPr>
                <w:rFonts w:cs="Times New Roman"/>
                <w:iCs/>
                <w:noProof/>
                <w:sz w:val="20"/>
                <w:szCs w:val="20"/>
              </w:rPr>
            </w:pPr>
            <w:r w:rsidRPr="004D4A14">
              <w:rPr>
                <w:iCs/>
                <w:noProof/>
                <w:sz w:val="20"/>
                <w:szCs w:val="20"/>
              </w:rPr>
              <w:t>152 – Priemonės, kuriomis skatinamos lygios galimybės ir aktyvus dalyvavimas visuomenėje</w:t>
            </w:r>
          </w:p>
          <w:p w14:paraId="44E694E1" w14:textId="77777777" w:rsidR="00A606E0" w:rsidRPr="004D4A14" w:rsidRDefault="00A606E0" w:rsidP="00A606E0">
            <w:pPr>
              <w:jc w:val="both"/>
              <w:rPr>
                <w:rFonts w:cs="Times New Roman"/>
                <w:iCs/>
                <w:noProof/>
                <w:sz w:val="20"/>
                <w:szCs w:val="20"/>
              </w:rPr>
            </w:pPr>
          </w:p>
        </w:tc>
        <w:tc>
          <w:tcPr>
            <w:tcW w:w="1559" w:type="dxa"/>
            <w:tcBorders>
              <w:top w:val="single" w:sz="12" w:space="0" w:color="auto"/>
            </w:tcBorders>
          </w:tcPr>
          <w:p w14:paraId="5CEA4CCF" w14:textId="77777777" w:rsidR="00A606E0" w:rsidRPr="004D4A14" w:rsidRDefault="00A606E0" w:rsidP="00A606E0">
            <w:pPr>
              <w:tabs>
                <w:tab w:val="left" w:pos="6379"/>
              </w:tabs>
              <w:jc w:val="right"/>
              <w:rPr>
                <w:rFonts w:cs="Times New Roman"/>
                <w:iCs/>
                <w:noProof/>
                <w:sz w:val="20"/>
                <w:szCs w:val="20"/>
              </w:rPr>
            </w:pPr>
            <w:r w:rsidRPr="004D4A14">
              <w:rPr>
                <w:rFonts w:cs="Times New Roman"/>
                <w:iCs/>
                <w:noProof/>
                <w:sz w:val="20"/>
                <w:szCs w:val="20"/>
                <w:lang w:val="en-US"/>
              </w:rPr>
              <w:t xml:space="preserve">315 790,00 </w:t>
            </w:r>
            <w:r w:rsidRPr="004D4A14">
              <w:rPr>
                <w:rFonts w:cs="Times New Roman"/>
                <w:iCs/>
                <w:noProof/>
                <w:sz w:val="20"/>
                <w:szCs w:val="20"/>
              </w:rPr>
              <w:t xml:space="preserve"> </w:t>
            </w:r>
          </w:p>
          <w:p w14:paraId="23918F92" w14:textId="77777777" w:rsidR="00A606E0" w:rsidRPr="004D4A14" w:rsidRDefault="00A606E0" w:rsidP="00A606E0">
            <w:pPr>
              <w:jc w:val="right"/>
              <w:rPr>
                <w:rFonts w:cs="Times New Roman"/>
                <w:iCs/>
                <w:noProof/>
                <w:sz w:val="20"/>
                <w:szCs w:val="20"/>
              </w:rPr>
            </w:pPr>
          </w:p>
        </w:tc>
      </w:tr>
      <w:tr w:rsidR="00A606E0" w:rsidRPr="004D4A14" w14:paraId="1969F291" w14:textId="77777777" w:rsidTr="002041B2">
        <w:tc>
          <w:tcPr>
            <w:tcW w:w="1069" w:type="dxa"/>
            <w:vMerge/>
            <w:tcBorders>
              <w:top w:val="single" w:sz="12" w:space="0" w:color="auto"/>
            </w:tcBorders>
          </w:tcPr>
          <w:p w14:paraId="30B7DFC5" w14:textId="77777777" w:rsidR="00A606E0" w:rsidRPr="004D4A14" w:rsidRDefault="00A606E0" w:rsidP="00A606E0">
            <w:pPr>
              <w:jc w:val="center"/>
              <w:rPr>
                <w:rFonts w:cs="Times New Roman"/>
                <w:noProof/>
                <w:sz w:val="20"/>
                <w:szCs w:val="20"/>
              </w:rPr>
            </w:pPr>
          </w:p>
        </w:tc>
        <w:tc>
          <w:tcPr>
            <w:tcW w:w="901" w:type="dxa"/>
            <w:vMerge/>
            <w:tcBorders>
              <w:top w:val="single" w:sz="12" w:space="0" w:color="auto"/>
            </w:tcBorders>
          </w:tcPr>
          <w:p w14:paraId="19104A5B" w14:textId="77777777" w:rsidR="00A606E0" w:rsidRPr="004D4A14" w:rsidRDefault="00A606E0" w:rsidP="00A606E0">
            <w:pPr>
              <w:jc w:val="center"/>
              <w:rPr>
                <w:rFonts w:cs="Times New Roman"/>
                <w:noProof/>
                <w:sz w:val="20"/>
                <w:szCs w:val="20"/>
              </w:rPr>
            </w:pPr>
          </w:p>
        </w:tc>
        <w:tc>
          <w:tcPr>
            <w:tcW w:w="1701" w:type="dxa"/>
          </w:tcPr>
          <w:p w14:paraId="21014AF8" w14:textId="77777777" w:rsidR="00A606E0" w:rsidRPr="004D4A14" w:rsidRDefault="00A606E0" w:rsidP="00A606E0">
            <w:pPr>
              <w:rPr>
                <w:rFonts w:cs="Times New Roman"/>
                <w:noProof/>
                <w:sz w:val="20"/>
                <w:szCs w:val="20"/>
              </w:rPr>
            </w:pPr>
            <w:r w:rsidRPr="004D4A14">
              <w:rPr>
                <w:noProof/>
                <w:sz w:val="20"/>
                <w:szCs w:val="20"/>
              </w:rPr>
              <w:t>VVL regionas</w:t>
            </w:r>
          </w:p>
        </w:tc>
        <w:tc>
          <w:tcPr>
            <w:tcW w:w="1143" w:type="dxa"/>
            <w:vMerge/>
            <w:tcBorders>
              <w:top w:val="single" w:sz="12" w:space="0" w:color="auto"/>
            </w:tcBorders>
          </w:tcPr>
          <w:p w14:paraId="49A5D1A0" w14:textId="77777777" w:rsidR="00A606E0" w:rsidRPr="004D4A14" w:rsidRDefault="00A606E0" w:rsidP="00A606E0">
            <w:pPr>
              <w:jc w:val="center"/>
              <w:rPr>
                <w:rFonts w:cs="Times New Roman"/>
                <w:noProof/>
                <w:sz w:val="20"/>
                <w:szCs w:val="20"/>
              </w:rPr>
            </w:pPr>
          </w:p>
        </w:tc>
        <w:tc>
          <w:tcPr>
            <w:tcW w:w="3251" w:type="dxa"/>
            <w:vMerge/>
          </w:tcPr>
          <w:p w14:paraId="7967D68A" w14:textId="77777777" w:rsidR="00A606E0" w:rsidRPr="004D4A14" w:rsidDel="00AA781F" w:rsidRDefault="00A606E0" w:rsidP="00A606E0">
            <w:pPr>
              <w:jc w:val="both"/>
              <w:rPr>
                <w:rFonts w:cs="Times New Roman"/>
                <w:iCs/>
                <w:noProof/>
                <w:sz w:val="20"/>
                <w:szCs w:val="20"/>
              </w:rPr>
            </w:pPr>
          </w:p>
        </w:tc>
        <w:tc>
          <w:tcPr>
            <w:tcW w:w="1559" w:type="dxa"/>
          </w:tcPr>
          <w:p w14:paraId="1F9E7029" w14:textId="77777777" w:rsidR="00A606E0" w:rsidRPr="004D4A14" w:rsidRDefault="00A606E0" w:rsidP="00A606E0">
            <w:pPr>
              <w:tabs>
                <w:tab w:val="left" w:pos="6379"/>
              </w:tabs>
              <w:rPr>
                <w:rFonts w:cs="Times New Roman"/>
                <w:iCs/>
                <w:noProof/>
                <w:sz w:val="20"/>
                <w:szCs w:val="20"/>
              </w:rPr>
            </w:pPr>
          </w:p>
          <w:p w14:paraId="1C418A79" w14:textId="77777777" w:rsidR="00A606E0" w:rsidRPr="004D4A14" w:rsidDel="00A949B6" w:rsidRDefault="00A606E0" w:rsidP="00A606E0">
            <w:pPr>
              <w:jc w:val="right"/>
              <w:rPr>
                <w:rFonts w:cs="Times New Roman"/>
                <w:iCs/>
                <w:noProof/>
                <w:sz w:val="20"/>
                <w:szCs w:val="20"/>
              </w:rPr>
            </w:pPr>
            <w:r w:rsidRPr="004D4A14">
              <w:rPr>
                <w:rFonts w:cs="Times New Roman"/>
                <w:iCs/>
                <w:noProof/>
                <w:sz w:val="20"/>
                <w:szCs w:val="20"/>
              </w:rPr>
              <w:t>4 700 000,00</w:t>
            </w:r>
          </w:p>
        </w:tc>
      </w:tr>
    </w:tbl>
    <w:p w14:paraId="108B5768" w14:textId="77777777" w:rsidR="00A606E0" w:rsidRPr="004D4A14" w:rsidRDefault="00A606E0" w:rsidP="00A606E0">
      <w:pPr>
        <w:spacing w:after="0" w:line="240" w:lineRule="auto"/>
        <w:rPr>
          <w:rFonts w:eastAsia="Times New Roman" w:cs="Arial"/>
          <w:iCs/>
          <w:noProof/>
          <w:sz w:val="20"/>
          <w:szCs w:val="20"/>
        </w:rPr>
      </w:pPr>
    </w:p>
    <w:tbl>
      <w:tblPr>
        <w:tblStyle w:val="Lentelstinklelis48"/>
        <w:tblW w:w="9624" w:type="dxa"/>
        <w:tblLayout w:type="fixed"/>
        <w:tblLook w:val="04A0" w:firstRow="1" w:lastRow="0" w:firstColumn="1" w:lastColumn="0" w:noHBand="0" w:noVBand="1"/>
      </w:tblPr>
      <w:tblGrid>
        <w:gridCol w:w="1101"/>
        <w:gridCol w:w="850"/>
        <w:gridCol w:w="1720"/>
        <w:gridCol w:w="1134"/>
        <w:gridCol w:w="3317"/>
        <w:gridCol w:w="1502"/>
      </w:tblGrid>
      <w:tr w:rsidR="00A606E0" w:rsidRPr="004D4A14" w14:paraId="6CAA6B96" w14:textId="77777777" w:rsidTr="002041B2">
        <w:tc>
          <w:tcPr>
            <w:tcW w:w="962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CA4E322" w14:textId="77777777" w:rsidR="00A606E0" w:rsidRPr="004D4A14" w:rsidRDefault="00A606E0" w:rsidP="00A606E0">
            <w:pPr>
              <w:rPr>
                <w:b/>
                <w:iCs/>
                <w:noProof/>
                <w:sz w:val="20"/>
              </w:rPr>
            </w:pPr>
            <w:r w:rsidRPr="004D4A14">
              <w:rPr>
                <w:b/>
                <w:noProof/>
                <w:sz w:val="20"/>
              </w:rPr>
              <w:t>5 lentelė. 2 matmuo. Finansavimo forma</w:t>
            </w:r>
          </w:p>
        </w:tc>
      </w:tr>
      <w:tr w:rsidR="00A606E0" w:rsidRPr="004D4A14" w14:paraId="405DBCDD" w14:textId="77777777" w:rsidTr="002041B2">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0EE4A55" w14:textId="77777777" w:rsidR="00A606E0" w:rsidRPr="004D4A14" w:rsidRDefault="00A606E0" w:rsidP="00A606E0">
            <w:pPr>
              <w:jc w:val="center"/>
              <w:rPr>
                <w:b/>
                <w:iCs/>
                <w:noProof/>
                <w:sz w:val="20"/>
              </w:rPr>
            </w:pPr>
            <w:r w:rsidRPr="004D4A14">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0A68E00" w14:textId="77777777" w:rsidR="00A606E0" w:rsidRPr="004D4A14" w:rsidRDefault="00A606E0" w:rsidP="00A606E0">
            <w:pPr>
              <w:jc w:val="center"/>
              <w:rPr>
                <w:b/>
                <w:iCs/>
                <w:noProof/>
                <w:sz w:val="20"/>
              </w:rPr>
            </w:pPr>
            <w:r w:rsidRPr="004D4A14">
              <w:rPr>
                <w:b/>
                <w:noProof/>
                <w:sz w:val="20"/>
              </w:rPr>
              <w:t>Fondas</w:t>
            </w:r>
          </w:p>
        </w:tc>
        <w:tc>
          <w:tcPr>
            <w:tcW w:w="172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0A257CB" w14:textId="77777777" w:rsidR="00A606E0" w:rsidRPr="004D4A14" w:rsidRDefault="00A606E0" w:rsidP="00A606E0">
            <w:pPr>
              <w:jc w:val="center"/>
              <w:rPr>
                <w:b/>
                <w:iCs/>
                <w:noProof/>
                <w:sz w:val="20"/>
              </w:rPr>
            </w:pPr>
            <w:r w:rsidRPr="004D4A14">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F0EA64A" w14:textId="77777777" w:rsidR="00A606E0" w:rsidRPr="004D4A14" w:rsidRDefault="00A606E0" w:rsidP="00A606E0">
            <w:pPr>
              <w:jc w:val="center"/>
              <w:rPr>
                <w:b/>
                <w:iCs/>
                <w:noProof/>
                <w:sz w:val="20"/>
              </w:rPr>
            </w:pPr>
            <w:r w:rsidRPr="004D4A14">
              <w:rPr>
                <w:b/>
                <w:noProof/>
                <w:sz w:val="20"/>
              </w:rPr>
              <w:t>Konkretus uždavinys</w:t>
            </w:r>
          </w:p>
        </w:tc>
        <w:tc>
          <w:tcPr>
            <w:tcW w:w="331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00E50C8" w14:textId="77777777" w:rsidR="00A606E0" w:rsidRPr="004D4A14" w:rsidRDefault="00A606E0" w:rsidP="00A606E0">
            <w:pPr>
              <w:jc w:val="center"/>
              <w:rPr>
                <w:b/>
                <w:iCs/>
                <w:noProof/>
                <w:sz w:val="20"/>
              </w:rPr>
            </w:pPr>
            <w:r w:rsidRPr="004D4A14">
              <w:rPr>
                <w:b/>
                <w:noProof/>
                <w:sz w:val="20"/>
              </w:rPr>
              <w:t>Kodas</w:t>
            </w:r>
          </w:p>
        </w:tc>
        <w:tc>
          <w:tcPr>
            <w:tcW w:w="150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03DDD40" w14:textId="77777777" w:rsidR="00A606E0" w:rsidRPr="004D4A14" w:rsidRDefault="00A606E0" w:rsidP="00A606E0">
            <w:pPr>
              <w:jc w:val="center"/>
              <w:rPr>
                <w:b/>
                <w:iCs/>
                <w:noProof/>
                <w:sz w:val="20"/>
              </w:rPr>
            </w:pPr>
            <w:r w:rsidRPr="004D4A14">
              <w:rPr>
                <w:b/>
                <w:noProof/>
                <w:sz w:val="20"/>
              </w:rPr>
              <w:t>Suma (EUR)</w:t>
            </w:r>
          </w:p>
        </w:tc>
      </w:tr>
      <w:tr w:rsidR="00A606E0" w:rsidRPr="004D4A14" w14:paraId="7E6C6B68" w14:textId="77777777" w:rsidTr="002041B2">
        <w:tc>
          <w:tcPr>
            <w:tcW w:w="1101" w:type="dxa"/>
            <w:vMerge w:val="restart"/>
            <w:tcBorders>
              <w:top w:val="single" w:sz="12" w:space="0" w:color="auto"/>
            </w:tcBorders>
          </w:tcPr>
          <w:p w14:paraId="6723313D" w14:textId="77777777" w:rsidR="00A606E0" w:rsidRPr="004D4A14" w:rsidRDefault="00A606E0" w:rsidP="00A606E0">
            <w:pPr>
              <w:jc w:val="center"/>
              <w:rPr>
                <w:iCs/>
                <w:noProof/>
                <w:sz w:val="20"/>
                <w:szCs w:val="20"/>
              </w:rPr>
            </w:pPr>
            <w:r w:rsidRPr="004D4A14">
              <w:rPr>
                <w:iCs/>
                <w:noProof/>
                <w:sz w:val="20"/>
                <w:szCs w:val="20"/>
              </w:rPr>
              <w:t>16</w:t>
            </w:r>
          </w:p>
        </w:tc>
        <w:tc>
          <w:tcPr>
            <w:tcW w:w="850" w:type="dxa"/>
            <w:vMerge w:val="restart"/>
            <w:tcBorders>
              <w:top w:val="single" w:sz="12" w:space="0" w:color="auto"/>
            </w:tcBorders>
          </w:tcPr>
          <w:p w14:paraId="4C24F1E3" w14:textId="77777777" w:rsidR="00A606E0" w:rsidRPr="004D4A14" w:rsidRDefault="00A606E0" w:rsidP="00A606E0">
            <w:pPr>
              <w:jc w:val="center"/>
              <w:rPr>
                <w:iCs/>
                <w:noProof/>
                <w:sz w:val="20"/>
                <w:szCs w:val="20"/>
              </w:rPr>
            </w:pPr>
            <w:r w:rsidRPr="004D4A14">
              <w:rPr>
                <w:iCs/>
                <w:noProof/>
                <w:sz w:val="20"/>
                <w:szCs w:val="20"/>
              </w:rPr>
              <w:t>ESF+</w:t>
            </w:r>
          </w:p>
        </w:tc>
        <w:tc>
          <w:tcPr>
            <w:tcW w:w="1720" w:type="dxa"/>
            <w:tcBorders>
              <w:top w:val="single" w:sz="12" w:space="0" w:color="auto"/>
            </w:tcBorders>
          </w:tcPr>
          <w:p w14:paraId="40606D8D" w14:textId="77777777" w:rsidR="00A606E0" w:rsidRPr="004D4A14" w:rsidRDefault="00A606E0" w:rsidP="00A606E0">
            <w:pPr>
              <w:rPr>
                <w:iCs/>
                <w:noProof/>
                <w:sz w:val="20"/>
                <w:szCs w:val="20"/>
              </w:rPr>
            </w:pPr>
            <w:r w:rsidRPr="004D4A14">
              <w:rPr>
                <w:noProof/>
                <w:sz w:val="20"/>
                <w:szCs w:val="20"/>
              </w:rPr>
              <w:t>Sostinės regionas</w:t>
            </w:r>
          </w:p>
        </w:tc>
        <w:tc>
          <w:tcPr>
            <w:tcW w:w="1134" w:type="dxa"/>
            <w:vMerge w:val="restart"/>
            <w:tcBorders>
              <w:top w:val="single" w:sz="12" w:space="0" w:color="auto"/>
            </w:tcBorders>
          </w:tcPr>
          <w:p w14:paraId="4E579D21" w14:textId="77777777" w:rsidR="00A606E0" w:rsidRPr="004D4A14" w:rsidRDefault="00A606E0" w:rsidP="00A606E0">
            <w:pPr>
              <w:jc w:val="center"/>
              <w:rPr>
                <w:bCs/>
                <w:iCs/>
                <w:noProof/>
                <w:sz w:val="20"/>
                <w:szCs w:val="20"/>
              </w:rPr>
            </w:pPr>
            <w:r w:rsidRPr="004D4A14">
              <w:rPr>
                <w:bCs/>
                <w:iCs/>
                <w:noProof/>
                <w:sz w:val="20"/>
                <w:szCs w:val="20"/>
              </w:rPr>
              <w:t>16.1</w:t>
            </w:r>
          </w:p>
        </w:tc>
        <w:tc>
          <w:tcPr>
            <w:tcW w:w="3317" w:type="dxa"/>
            <w:vMerge w:val="restart"/>
            <w:tcBorders>
              <w:top w:val="single" w:sz="12" w:space="0" w:color="auto"/>
            </w:tcBorders>
          </w:tcPr>
          <w:p w14:paraId="1233CBD7" w14:textId="77777777" w:rsidR="00A606E0" w:rsidRPr="004D4A14" w:rsidRDefault="00A606E0" w:rsidP="00A606E0">
            <w:pPr>
              <w:rPr>
                <w:rFonts w:cs="Times New Roman"/>
                <w:bCs/>
                <w:iCs/>
                <w:noProof/>
                <w:sz w:val="20"/>
                <w:szCs w:val="20"/>
              </w:rPr>
            </w:pPr>
            <w:r w:rsidRPr="004D4A14">
              <w:rPr>
                <w:rFonts w:cs="Times New Roman"/>
                <w:bCs/>
                <w:iCs/>
                <w:noProof/>
                <w:sz w:val="20"/>
                <w:szCs w:val="20"/>
              </w:rPr>
              <w:t>01 – Dotacija</w:t>
            </w:r>
          </w:p>
        </w:tc>
        <w:tc>
          <w:tcPr>
            <w:tcW w:w="1502" w:type="dxa"/>
            <w:tcBorders>
              <w:top w:val="single" w:sz="12" w:space="0" w:color="auto"/>
            </w:tcBorders>
          </w:tcPr>
          <w:p w14:paraId="681FAA34" w14:textId="77777777" w:rsidR="00A606E0" w:rsidRPr="004D4A14" w:rsidRDefault="00A606E0" w:rsidP="00A606E0">
            <w:pPr>
              <w:jc w:val="right"/>
              <w:rPr>
                <w:rFonts w:cs="Times New Roman"/>
                <w:sz w:val="20"/>
                <w:szCs w:val="20"/>
              </w:rPr>
            </w:pPr>
            <w:r w:rsidRPr="004D4A14">
              <w:rPr>
                <w:rFonts w:cs="Times New Roman"/>
                <w:sz w:val="20"/>
                <w:szCs w:val="20"/>
              </w:rPr>
              <w:t>399 790,00</w:t>
            </w:r>
          </w:p>
          <w:p w14:paraId="21D18873" w14:textId="77777777" w:rsidR="00A606E0" w:rsidRPr="004D4A14" w:rsidRDefault="00A606E0" w:rsidP="00A606E0">
            <w:pPr>
              <w:jc w:val="right"/>
              <w:rPr>
                <w:rFonts w:cs="Times New Roman"/>
                <w:sz w:val="20"/>
                <w:szCs w:val="20"/>
              </w:rPr>
            </w:pPr>
          </w:p>
        </w:tc>
      </w:tr>
      <w:tr w:rsidR="00A606E0" w:rsidRPr="004D4A14" w14:paraId="2317B413" w14:textId="77777777" w:rsidTr="002041B2">
        <w:tc>
          <w:tcPr>
            <w:tcW w:w="1101" w:type="dxa"/>
            <w:vMerge/>
            <w:tcBorders>
              <w:top w:val="single" w:sz="12" w:space="0" w:color="auto"/>
            </w:tcBorders>
          </w:tcPr>
          <w:p w14:paraId="20616780" w14:textId="77777777" w:rsidR="00A606E0" w:rsidRPr="004D4A14" w:rsidRDefault="00A606E0" w:rsidP="00A606E0">
            <w:pPr>
              <w:jc w:val="center"/>
              <w:rPr>
                <w:iCs/>
                <w:noProof/>
                <w:sz w:val="20"/>
                <w:szCs w:val="20"/>
              </w:rPr>
            </w:pPr>
          </w:p>
        </w:tc>
        <w:tc>
          <w:tcPr>
            <w:tcW w:w="850" w:type="dxa"/>
            <w:vMerge/>
            <w:tcBorders>
              <w:top w:val="single" w:sz="12" w:space="0" w:color="auto"/>
            </w:tcBorders>
          </w:tcPr>
          <w:p w14:paraId="53CC5092" w14:textId="77777777" w:rsidR="00A606E0" w:rsidRPr="004D4A14" w:rsidRDefault="00A606E0" w:rsidP="00A606E0">
            <w:pPr>
              <w:jc w:val="center"/>
              <w:rPr>
                <w:iCs/>
                <w:noProof/>
                <w:sz w:val="20"/>
                <w:szCs w:val="20"/>
              </w:rPr>
            </w:pPr>
          </w:p>
        </w:tc>
        <w:tc>
          <w:tcPr>
            <w:tcW w:w="1720" w:type="dxa"/>
            <w:tcBorders>
              <w:top w:val="single" w:sz="12" w:space="0" w:color="auto"/>
            </w:tcBorders>
          </w:tcPr>
          <w:p w14:paraId="603BDE48" w14:textId="77777777" w:rsidR="00A606E0" w:rsidRPr="004D4A14" w:rsidRDefault="00A606E0" w:rsidP="00A606E0">
            <w:pPr>
              <w:rPr>
                <w:noProof/>
                <w:sz w:val="20"/>
                <w:szCs w:val="20"/>
              </w:rPr>
            </w:pPr>
            <w:r w:rsidRPr="004D4A14">
              <w:rPr>
                <w:noProof/>
                <w:sz w:val="20"/>
                <w:szCs w:val="20"/>
              </w:rPr>
              <w:t>VVL regionas</w:t>
            </w:r>
          </w:p>
        </w:tc>
        <w:tc>
          <w:tcPr>
            <w:tcW w:w="1134" w:type="dxa"/>
            <w:vMerge/>
            <w:tcBorders>
              <w:top w:val="single" w:sz="12" w:space="0" w:color="auto"/>
            </w:tcBorders>
          </w:tcPr>
          <w:p w14:paraId="73CB69E9" w14:textId="77777777" w:rsidR="00A606E0" w:rsidRPr="004D4A14" w:rsidRDefault="00A606E0" w:rsidP="00A606E0">
            <w:pPr>
              <w:jc w:val="center"/>
              <w:rPr>
                <w:bCs/>
                <w:iCs/>
                <w:noProof/>
                <w:sz w:val="20"/>
                <w:szCs w:val="20"/>
              </w:rPr>
            </w:pPr>
          </w:p>
        </w:tc>
        <w:tc>
          <w:tcPr>
            <w:tcW w:w="3317" w:type="dxa"/>
            <w:vMerge/>
            <w:tcBorders>
              <w:top w:val="single" w:sz="12" w:space="0" w:color="auto"/>
            </w:tcBorders>
          </w:tcPr>
          <w:p w14:paraId="5DAB1637" w14:textId="77777777" w:rsidR="00A606E0" w:rsidRPr="004D4A14" w:rsidRDefault="00A606E0" w:rsidP="00A606E0">
            <w:pPr>
              <w:rPr>
                <w:rFonts w:cs="Times New Roman"/>
                <w:bCs/>
                <w:iCs/>
                <w:noProof/>
                <w:sz w:val="20"/>
                <w:szCs w:val="20"/>
              </w:rPr>
            </w:pPr>
          </w:p>
        </w:tc>
        <w:tc>
          <w:tcPr>
            <w:tcW w:w="1502" w:type="dxa"/>
            <w:tcBorders>
              <w:top w:val="single" w:sz="12" w:space="0" w:color="auto"/>
            </w:tcBorders>
          </w:tcPr>
          <w:p w14:paraId="07801E84" w14:textId="77777777" w:rsidR="00A606E0" w:rsidRPr="004D4A14" w:rsidRDefault="00A606E0" w:rsidP="00A606E0">
            <w:pPr>
              <w:jc w:val="right"/>
              <w:rPr>
                <w:rFonts w:cs="Times New Roman"/>
                <w:sz w:val="20"/>
                <w:szCs w:val="20"/>
              </w:rPr>
            </w:pPr>
            <w:r w:rsidRPr="004D4A14">
              <w:rPr>
                <w:rFonts w:cs="Times New Roman"/>
                <w:sz w:val="20"/>
                <w:szCs w:val="20"/>
              </w:rPr>
              <w:t>13 916 389,00</w:t>
            </w:r>
          </w:p>
          <w:p w14:paraId="591F5BF5" w14:textId="77777777" w:rsidR="00A606E0" w:rsidRPr="004D4A14" w:rsidRDefault="00A606E0" w:rsidP="00A606E0">
            <w:pPr>
              <w:jc w:val="right"/>
              <w:rPr>
                <w:rFonts w:cs="Times New Roman"/>
                <w:sz w:val="20"/>
                <w:szCs w:val="20"/>
              </w:rPr>
            </w:pPr>
          </w:p>
        </w:tc>
      </w:tr>
    </w:tbl>
    <w:p w14:paraId="5F641039" w14:textId="77777777" w:rsidR="00A606E0" w:rsidRPr="004D4A14" w:rsidRDefault="00A606E0" w:rsidP="00A606E0">
      <w:pPr>
        <w:spacing w:after="0" w:line="240" w:lineRule="auto"/>
        <w:rPr>
          <w:rFonts w:eastAsia="Times New Roman" w:cs="Arial"/>
          <w:iCs/>
          <w:noProof/>
          <w:sz w:val="20"/>
          <w:szCs w:val="20"/>
        </w:rPr>
      </w:pPr>
    </w:p>
    <w:tbl>
      <w:tblPr>
        <w:tblStyle w:val="Lentelstinklelis48"/>
        <w:tblW w:w="9624" w:type="dxa"/>
        <w:tblLook w:val="04A0" w:firstRow="1" w:lastRow="0" w:firstColumn="1" w:lastColumn="0" w:noHBand="0" w:noVBand="1"/>
      </w:tblPr>
      <w:tblGrid>
        <w:gridCol w:w="1090"/>
        <w:gridCol w:w="848"/>
        <w:gridCol w:w="1683"/>
        <w:gridCol w:w="1184"/>
        <w:gridCol w:w="3281"/>
        <w:gridCol w:w="1538"/>
      </w:tblGrid>
      <w:tr w:rsidR="00A606E0" w:rsidRPr="004D4A14" w14:paraId="5408B191" w14:textId="77777777" w:rsidTr="002041B2">
        <w:tc>
          <w:tcPr>
            <w:tcW w:w="962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CCF33F3" w14:textId="77777777" w:rsidR="00A606E0" w:rsidRPr="004D4A14" w:rsidRDefault="00A606E0" w:rsidP="00A606E0">
            <w:pPr>
              <w:rPr>
                <w:b/>
                <w:iCs/>
                <w:noProof/>
                <w:sz w:val="20"/>
              </w:rPr>
            </w:pPr>
            <w:r w:rsidRPr="004D4A14">
              <w:rPr>
                <w:b/>
                <w:noProof/>
                <w:sz w:val="20"/>
              </w:rPr>
              <w:t>6 lentelė. 3 matmuo. Teritorinis įgyvendinimo mechanizmas ir pagrindinė teritorinė sritis</w:t>
            </w:r>
          </w:p>
        </w:tc>
      </w:tr>
      <w:tr w:rsidR="00A606E0" w:rsidRPr="004D4A14" w14:paraId="5675C216" w14:textId="77777777" w:rsidTr="002041B2">
        <w:tc>
          <w:tcPr>
            <w:tcW w:w="109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C90DBAB" w14:textId="77777777" w:rsidR="00A606E0" w:rsidRPr="004D4A14" w:rsidRDefault="00A606E0" w:rsidP="00A606E0">
            <w:pPr>
              <w:jc w:val="center"/>
              <w:rPr>
                <w:b/>
                <w:iCs/>
                <w:noProof/>
                <w:sz w:val="20"/>
              </w:rPr>
            </w:pPr>
            <w:r w:rsidRPr="004D4A14">
              <w:rPr>
                <w:b/>
                <w:noProof/>
                <w:sz w:val="20"/>
              </w:rPr>
              <w:t>Prioriteto Nr.</w:t>
            </w:r>
          </w:p>
        </w:tc>
        <w:tc>
          <w:tcPr>
            <w:tcW w:w="84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C4820B7" w14:textId="77777777" w:rsidR="00A606E0" w:rsidRPr="004D4A14" w:rsidRDefault="00A606E0" w:rsidP="00A606E0">
            <w:pPr>
              <w:jc w:val="center"/>
              <w:rPr>
                <w:b/>
                <w:iCs/>
                <w:noProof/>
                <w:sz w:val="20"/>
              </w:rPr>
            </w:pPr>
            <w:r w:rsidRPr="004D4A14">
              <w:rPr>
                <w:b/>
                <w:noProof/>
                <w:sz w:val="20"/>
              </w:rPr>
              <w:t>Fondas</w:t>
            </w:r>
          </w:p>
        </w:tc>
        <w:tc>
          <w:tcPr>
            <w:tcW w:w="168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61BCE0B" w14:textId="77777777" w:rsidR="00A606E0" w:rsidRPr="004D4A14" w:rsidRDefault="00A606E0" w:rsidP="00A606E0">
            <w:pPr>
              <w:jc w:val="center"/>
              <w:rPr>
                <w:b/>
                <w:iCs/>
                <w:noProof/>
                <w:sz w:val="20"/>
              </w:rPr>
            </w:pPr>
            <w:r w:rsidRPr="004D4A14">
              <w:rPr>
                <w:b/>
                <w:noProof/>
                <w:sz w:val="20"/>
              </w:rPr>
              <w:t>Regiono kategorija</w:t>
            </w:r>
          </w:p>
        </w:tc>
        <w:tc>
          <w:tcPr>
            <w:tcW w:w="118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3BC535D" w14:textId="77777777" w:rsidR="00A606E0" w:rsidRPr="004D4A14" w:rsidRDefault="00A606E0" w:rsidP="00A606E0">
            <w:pPr>
              <w:jc w:val="center"/>
              <w:rPr>
                <w:b/>
                <w:iCs/>
                <w:noProof/>
                <w:sz w:val="20"/>
              </w:rPr>
            </w:pPr>
            <w:r w:rsidRPr="004D4A14">
              <w:rPr>
                <w:b/>
                <w:noProof/>
                <w:sz w:val="20"/>
              </w:rPr>
              <w:t>Konkretus uždavinys</w:t>
            </w:r>
          </w:p>
        </w:tc>
        <w:tc>
          <w:tcPr>
            <w:tcW w:w="328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AD6E8AE" w14:textId="77777777" w:rsidR="00A606E0" w:rsidRPr="004D4A14" w:rsidRDefault="00A606E0" w:rsidP="00A606E0">
            <w:pPr>
              <w:jc w:val="center"/>
              <w:rPr>
                <w:b/>
                <w:iCs/>
                <w:noProof/>
                <w:sz w:val="20"/>
              </w:rPr>
            </w:pPr>
            <w:r w:rsidRPr="004D4A14">
              <w:rPr>
                <w:b/>
                <w:noProof/>
                <w:sz w:val="20"/>
              </w:rPr>
              <w:t>Kodas</w:t>
            </w:r>
          </w:p>
        </w:tc>
        <w:tc>
          <w:tcPr>
            <w:tcW w:w="153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1A94982" w14:textId="77777777" w:rsidR="00A606E0" w:rsidRPr="004D4A14" w:rsidRDefault="00A606E0" w:rsidP="00A606E0">
            <w:pPr>
              <w:jc w:val="center"/>
              <w:rPr>
                <w:b/>
                <w:iCs/>
                <w:noProof/>
                <w:sz w:val="20"/>
              </w:rPr>
            </w:pPr>
            <w:r w:rsidRPr="004D4A14">
              <w:rPr>
                <w:b/>
                <w:noProof/>
                <w:sz w:val="20"/>
              </w:rPr>
              <w:t>Suma (EUR)</w:t>
            </w:r>
          </w:p>
        </w:tc>
      </w:tr>
      <w:tr w:rsidR="00A606E0" w:rsidRPr="004D4A14" w14:paraId="07955BB1" w14:textId="77777777" w:rsidTr="002041B2">
        <w:trPr>
          <w:trHeight w:val="303"/>
        </w:trPr>
        <w:tc>
          <w:tcPr>
            <w:tcW w:w="1090" w:type="dxa"/>
            <w:vMerge w:val="restart"/>
          </w:tcPr>
          <w:p w14:paraId="7EA3B93B" w14:textId="77777777" w:rsidR="00A606E0" w:rsidRPr="004D4A14" w:rsidRDefault="00A606E0" w:rsidP="00A606E0">
            <w:pPr>
              <w:jc w:val="center"/>
              <w:rPr>
                <w:iCs/>
                <w:noProof/>
                <w:sz w:val="20"/>
                <w:szCs w:val="20"/>
              </w:rPr>
            </w:pPr>
            <w:r w:rsidRPr="004D4A14">
              <w:rPr>
                <w:iCs/>
                <w:noProof/>
                <w:sz w:val="20"/>
                <w:szCs w:val="20"/>
              </w:rPr>
              <w:t>16</w:t>
            </w:r>
          </w:p>
        </w:tc>
        <w:tc>
          <w:tcPr>
            <w:tcW w:w="848" w:type="dxa"/>
            <w:vMerge w:val="restart"/>
          </w:tcPr>
          <w:p w14:paraId="6A05FFAC" w14:textId="77777777" w:rsidR="00A606E0" w:rsidRPr="004D4A14" w:rsidRDefault="00A606E0" w:rsidP="00A606E0">
            <w:pPr>
              <w:jc w:val="center"/>
              <w:rPr>
                <w:iCs/>
                <w:noProof/>
                <w:sz w:val="20"/>
                <w:szCs w:val="20"/>
              </w:rPr>
            </w:pPr>
            <w:r w:rsidRPr="004D4A14">
              <w:rPr>
                <w:iCs/>
                <w:noProof/>
                <w:sz w:val="20"/>
                <w:szCs w:val="20"/>
              </w:rPr>
              <w:t>ESF+</w:t>
            </w:r>
          </w:p>
        </w:tc>
        <w:tc>
          <w:tcPr>
            <w:tcW w:w="1683" w:type="dxa"/>
            <w:tcBorders>
              <w:top w:val="single" w:sz="12" w:space="0" w:color="auto"/>
            </w:tcBorders>
          </w:tcPr>
          <w:p w14:paraId="032E516A" w14:textId="77777777" w:rsidR="00A606E0" w:rsidRPr="004D4A14" w:rsidRDefault="00A606E0" w:rsidP="00A606E0">
            <w:pPr>
              <w:rPr>
                <w:iCs/>
                <w:noProof/>
                <w:sz w:val="20"/>
                <w:szCs w:val="20"/>
              </w:rPr>
            </w:pPr>
            <w:r w:rsidRPr="004D4A14">
              <w:rPr>
                <w:noProof/>
                <w:sz w:val="20"/>
                <w:szCs w:val="20"/>
              </w:rPr>
              <w:t>Sostinės regionas</w:t>
            </w:r>
          </w:p>
        </w:tc>
        <w:tc>
          <w:tcPr>
            <w:tcW w:w="1184" w:type="dxa"/>
            <w:vMerge w:val="restart"/>
          </w:tcPr>
          <w:p w14:paraId="22F60083" w14:textId="77777777" w:rsidR="00A606E0" w:rsidRPr="004D4A14" w:rsidRDefault="00A606E0" w:rsidP="00A606E0">
            <w:pPr>
              <w:jc w:val="center"/>
              <w:rPr>
                <w:bCs/>
                <w:iCs/>
                <w:noProof/>
                <w:sz w:val="20"/>
                <w:szCs w:val="20"/>
              </w:rPr>
            </w:pPr>
            <w:r w:rsidRPr="004D4A14">
              <w:rPr>
                <w:bCs/>
                <w:iCs/>
                <w:noProof/>
                <w:sz w:val="20"/>
                <w:szCs w:val="20"/>
              </w:rPr>
              <w:t>16.1</w:t>
            </w:r>
          </w:p>
        </w:tc>
        <w:tc>
          <w:tcPr>
            <w:tcW w:w="3281" w:type="dxa"/>
            <w:vMerge w:val="restart"/>
          </w:tcPr>
          <w:p w14:paraId="527E737D" w14:textId="77777777" w:rsidR="00A606E0" w:rsidRPr="004D4A14" w:rsidRDefault="00A606E0" w:rsidP="00A606E0">
            <w:pPr>
              <w:rPr>
                <w:rFonts w:cs="Times New Roman"/>
                <w:bCs/>
                <w:iCs/>
                <w:noProof/>
                <w:sz w:val="20"/>
                <w:szCs w:val="20"/>
              </w:rPr>
            </w:pPr>
            <w:r w:rsidRPr="004D4A14">
              <w:rPr>
                <w:rFonts w:cs="Times New Roman"/>
                <w:bCs/>
                <w:iCs/>
                <w:noProof/>
                <w:sz w:val="20"/>
                <w:szCs w:val="20"/>
              </w:rPr>
              <w:t>33 – Nesiorientuojant į teritoriškumą</w:t>
            </w:r>
          </w:p>
        </w:tc>
        <w:tc>
          <w:tcPr>
            <w:tcW w:w="1538" w:type="dxa"/>
            <w:tcBorders>
              <w:top w:val="single" w:sz="12" w:space="0" w:color="auto"/>
            </w:tcBorders>
          </w:tcPr>
          <w:p w14:paraId="58216158" w14:textId="77777777" w:rsidR="00A606E0" w:rsidRPr="004D4A14" w:rsidRDefault="00A606E0" w:rsidP="00A606E0">
            <w:pPr>
              <w:jc w:val="right"/>
              <w:rPr>
                <w:rFonts w:cs="Times New Roman"/>
                <w:sz w:val="20"/>
                <w:szCs w:val="20"/>
              </w:rPr>
            </w:pPr>
            <w:r w:rsidRPr="004D4A14">
              <w:rPr>
                <w:rFonts w:cs="Times New Roman"/>
                <w:sz w:val="20"/>
                <w:szCs w:val="20"/>
              </w:rPr>
              <w:t>84 000,00</w:t>
            </w:r>
          </w:p>
          <w:p w14:paraId="13A04C21" w14:textId="77777777" w:rsidR="00A606E0" w:rsidRPr="004D4A14" w:rsidRDefault="00A606E0" w:rsidP="00A606E0">
            <w:pPr>
              <w:rPr>
                <w:rFonts w:cs="Times New Roman"/>
                <w:sz w:val="16"/>
                <w:szCs w:val="16"/>
              </w:rPr>
            </w:pPr>
          </w:p>
        </w:tc>
      </w:tr>
      <w:tr w:rsidR="00A606E0" w:rsidRPr="004D4A14" w14:paraId="1E3FC19E" w14:textId="77777777" w:rsidTr="002041B2">
        <w:trPr>
          <w:trHeight w:val="303"/>
        </w:trPr>
        <w:tc>
          <w:tcPr>
            <w:tcW w:w="1090" w:type="dxa"/>
            <w:vMerge/>
          </w:tcPr>
          <w:p w14:paraId="07EB56A4" w14:textId="77777777" w:rsidR="00A606E0" w:rsidRPr="004D4A14" w:rsidRDefault="00A606E0" w:rsidP="00A606E0">
            <w:pPr>
              <w:jc w:val="center"/>
              <w:rPr>
                <w:iCs/>
                <w:noProof/>
                <w:sz w:val="20"/>
                <w:szCs w:val="20"/>
              </w:rPr>
            </w:pPr>
          </w:p>
        </w:tc>
        <w:tc>
          <w:tcPr>
            <w:tcW w:w="848" w:type="dxa"/>
            <w:vMerge/>
          </w:tcPr>
          <w:p w14:paraId="6A67940A" w14:textId="77777777" w:rsidR="00A606E0" w:rsidRPr="004D4A14" w:rsidRDefault="00A606E0" w:rsidP="00A606E0">
            <w:pPr>
              <w:jc w:val="center"/>
              <w:rPr>
                <w:iCs/>
                <w:noProof/>
                <w:sz w:val="20"/>
                <w:szCs w:val="20"/>
              </w:rPr>
            </w:pPr>
          </w:p>
        </w:tc>
        <w:tc>
          <w:tcPr>
            <w:tcW w:w="1683" w:type="dxa"/>
            <w:tcBorders>
              <w:top w:val="single" w:sz="12" w:space="0" w:color="auto"/>
            </w:tcBorders>
          </w:tcPr>
          <w:p w14:paraId="22A721E5" w14:textId="77777777" w:rsidR="00A606E0" w:rsidRPr="004D4A14" w:rsidRDefault="00A606E0" w:rsidP="00A606E0">
            <w:pPr>
              <w:rPr>
                <w:noProof/>
                <w:sz w:val="20"/>
                <w:szCs w:val="20"/>
              </w:rPr>
            </w:pPr>
            <w:r w:rsidRPr="004D4A14">
              <w:rPr>
                <w:noProof/>
                <w:sz w:val="20"/>
                <w:szCs w:val="20"/>
              </w:rPr>
              <w:t>VVL regionas</w:t>
            </w:r>
          </w:p>
        </w:tc>
        <w:tc>
          <w:tcPr>
            <w:tcW w:w="1184" w:type="dxa"/>
            <w:vMerge/>
          </w:tcPr>
          <w:p w14:paraId="00CC1501" w14:textId="77777777" w:rsidR="00A606E0" w:rsidRPr="004D4A14" w:rsidRDefault="00A606E0" w:rsidP="00A606E0">
            <w:pPr>
              <w:jc w:val="center"/>
              <w:rPr>
                <w:bCs/>
                <w:iCs/>
                <w:noProof/>
                <w:sz w:val="20"/>
                <w:szCs w:val="20"/>
              </w:rPr>
            </w:pPr>
          </w:p>
        </w:tc>
        <w:tc>
          <w:tcPr>
            <w:tcW w:w="3281" w:type="dxa"/>
            <w:vMerge/>
          </w:tcPr>
          <w:p w14:paraId="304E6D6E" w14:textId="77777777" w:rsidR="00A606E0" w:rsidRPr="004D4A14" w:rsidRDefault="00A606E0" w:rsidP="00A606E0">
            <w:pPr>
              <w:rPr>
                <w:rFonts w:cs="Times New Roman"/>
                <w:bCs/>
                <w:iCs/>
                <w:noProof/>
                <w:sz w:val="20"/>
                <w:szCs w:val="20"/>
              </w:rPr>
            </w:pPr>
          </w:p>
        </w:tc>
        <w:tc>
          <w:tcPr>
            <w:tcW w:w="1538" w:type="dxa"/>
            <w:tcBorders>
              <w:top w:val="single" w:sz="12" w:space="0" w:color="auto"/>
            </w:tcBorders>
          </w:tcPr>
          <w:p w14:paraId="4BC8D2ED" w14:textId="77777777" w:rsidR="00A606E0" w:rsidRPr="004D4A14" w:rsidRDefault="00A606E0" w:rsidP="00A606E0">
            <w:pPr>
              <w:jc w:val="right"/>
              <w:rPr>
                <w:rFonts w:cs="Times New Roman"/>
                <w:sz w:val="20"/>
                <w:szCs w:val="20"/>
              </w:rPr>
            </w:pPr>
            <w:r w:rsidRPr="004D4A14">
              <w:rPr>
                <w:rFonts w:cs="Times New Roman"/>
                <w:sz w:val="20"/>
                <w:szCs w:val="20"/>
              </w:rPr>
              <w:t>9 216 389,00</w:t>
            </w:r>
          </w:p>
          <w:p w14:paraId="7250BBC1" w14:textId="77777777" w:rsidR="00A606E0" w:rsidRPr="004D4A14" w:rsidRDefault="00A606E0" w:rsidP="00A606E0">
            <w:pPr>
              <w:jc w:val="right"/>
              <w:rPr>
                <w:rFonts w:cs="Times New Roman"/>
                <w:sz w:val="20"/>
                <w:szCs w:val="20"/>
              </w:rPr>
            </w:pPr>
          </w:p>
        </w:tc>
      </w:tr>
      <w:tr w:rsidR="00A606E0" w:rsidRPr="004D4A14" w14:paraId="3EF125B6" w14:textId="77777777" w:rsidTr="002041B2">
        <w:trPr>
          <w:trHeight w:val="303"/>
        </w:trPr>
        <w:tc>
          <w:tcPr>
            <w:tcW w:w="1090" w:type="dxa"/>
            <w:vMerge/>
          </w:tcPr>
          <w:p w14:paraId="0EF39076" w14:textId="77777777" w:rsidR="00A606E0" w:rsidRPr="004D4A14" w:rsidRDefault="00A606E0" w:rsidP="00A606E0">
            <w:pPr>
              <w:jc w:val="center"/>
              <w:rPr>
                <w:iCs/>
                <w:noProof/>
                <w:sz w:val="20"/>
                <w:szCs w:val="20"/>
              </w:rPr>
            </w:pPr>
          </w:p>
        </w:tc>
        <w:tc>
          <w:tcPr>
            <w:tcW w:w="848" w:type="dxa"/>
            <w:vMerge/>
          </w:tcPr>
          <w:p w14:paraId="30F9ABFA" w14:textId="77777777" w:rsidR="00A606E0" w:rsidRPr="004D4A14" w:rsidRDefault="00A606E0" w:rsidP="00A606E0">
            <w:pPr>
              <w:jc w:val="center"/>
              <w:rPr>
                <w:iCs/>
                <w:noProof/>
                <w:sz w:val="20"/>
                <w:szCs w:val="20"/>
              </w:rPr>
            </w:pPr>
          </w:p>
        </w:tc>
        <w:tc>
          <w:tcPr>
            <w:tcW w:w="1683" w:type="dxa"/>
            <w:tcBorders>
              <w:top w:val="single" w:sz="12" w:space="0" w:color="auto"/>
            </w:tcBorders>
          </w:tcPr>
          <w:p w14:paraId="754756A1" w14:textId="77777777" w:rsidR="00A606E0" w:rsidRPr="004D4A14" w:rsidRDefault="00A606E0" w:rsidP="00A606E0">
            <w:pPr>
              <w:rPr>
                <w:noProof/>
                <w:sz w:val="20"/>
                <w:szCs w:val="20"/>
              </w:rPr>
            </w:pPr>
            <w:r w:rsidRPr="004D4A14">
              <w:rPr>
                <w:noProof/>
                <w:sz w:val="20"/>
                <w:szCs w:val="20"/>
              </w:rPr>
              <w:t>Sostinės regionas</w:t>
            </w:r>
          </w:p>
        </w:tc>
        <w:tc>
          <w:tcPr>
            <w:tcW w:w="1184" w:type="dxa"/>
            <w:vMerge/>
          </w:tcPr>
          <w:p w14:paraId="4CD36343" w14:textId="77777777" w:rsidR="00A606E0" w:rsidRPr="004D4A14" w:rsidRDefault="00A606E0" w:rsidP="00A606E0">
            <w:pPr>
              <w:jc w:val="center"/>
              <w:rPr>
                <w:bCs/>
                <w:iCs/>
                <w:noProof/>
                <w:sz w:val="20"/>
                <w:szCs w:val="20"/>
              </w:rPr>
            </w:pPr>
          </w:p>
        </w:tc>
        <w:tc>
          <w:tcPr>
            <w:tcW w:w="3281" w:type="dxa"/>
            <w:vMerge w:val="restart"/>
          </w:tcPr>
          <w:p w14:paraId="6493D615" w14:textId="77777777" w:rsidR="00A606E0" w:rsidRPr="004D4A14" w:rsidRDefault="00A606E0" w:rsidP="00A606E0">
            <w:pPr>
              <w:rPr>
                <w:rFonts w:cs="Times New Roman"/>
                <w:bCs/>
                <w:iCs/>
                <w:noProof/>
                <w:sz w:val="20"/>
                <w:szCs w:val="20"/>
              </w:rPr>
            </w:pPr>
            <w:r w:rsidRPr="004D4A14">
              <w:rPr>
                <w:rFonts w:cs="Times New Roman"/>
                <w:bCs/>
                <w:iCs/>
                <w:noProof/>
                <w:sz w:val="20"/>
                <w:szCs w:val="20"/>
              </w:rPr>
              <w:t>10 – Miestai, miesteliai ir priemiesčiai</w:t>
            </w:r>
          </w:p>
        </w:tc>
        <w:tc>
          <w:tcPr>
            <w:tcW w:w="1538" w:type="dxa"/>
            <w:tcBorders>
              <w:top w:val="single" w:sz="12" w:space="0" w:color="auto"/>
            </w:tcBorders>
          </w:tcPr>
          <w:p w14:paraId="1688CE2E" w14:textId="77777777" w:rsidR="00A606E0" w:rsidRPr="004D4A14" w:rsidRDefault="00A606E0" w:rsidP="00A606E0">
            <w:pPr>
              <w:jc w:val="right"/>
              <w:rPr>
                <w:rFonts w:cs="Times New Roman"/>
                <w:iCs/>
                <w:sz w:val="20"/>
                <w:szCs w:val="20"/>
              </w:rPr>
            </w:pPr>
            <w:r w:rsidRPr="004D4A14">
              <w:rPr>
                <w:rFonts w:cs="Times New Roman"/>
                <w:iCs/>
                <w:sz w:val="20"/>
                <w:szCs w:val="20"/>
              </w:rPr>
              <w:t xml:space="preserve">315 790,00 </w:t>
            </w:r>
          </w:p>
          <w:p w14:paraId="195A796E" w14:textId="77777777" w:rsidR="00A606E0" w:rsidRPr="004D4A14" w:rsidRDefault="00A606E0" w:rsidP="00A606E0">
            <w:pPr>
              <w:jc w:val="right"/>
              <w:rPr>
                <w:rFonts w:cs="Times New Roman"/>
                <w:iCs/>
                <w:sz w:val="20"/>
                <w:szCs w:val="20"/>
              </w:rPr>
            </w:pPr>
          </w:p>
        </w:tc>
      </w:tr>
      <w:tr w:rsidR="00A606E0" w:rsidRPr="004D4A14" w14:paraId="5D7998FF" w14:textId="77777777" w:rsidTr="002041B2">
        <w:trPr>
          <w:trHeight w:val="303"/>
        </w:trPr>
        <w:tc>
          <w:tcPr>
            <w:tcW w:w="1090" w:type="dxa"/>
            <w:vMerge/>
          </w:tcPr>
          <w:p w14:paraId="44408C29" w14:textId="77777777" w:rsidR="00A606E0" w:rsidRPr="004D4A14" w:rsidRDefault="00A606E0" w:rsidP="00A606E0">
            <w:pPr>
              <w:jc w:val="center"/>
              <w:rPr>
                <w:iCs/>
                <w:noProof/>
                <w:sz w:val="20"/>
                <w:szCs w:val="20"/>
              </w:rPr>
            </w:pPr>
          </w:p>
        </w:tc>
        <w:tc>
          <w:tcPr>
            <w:tcW w:w="848" w:type="dxa"/>
            <w:vMerge/>
          </w:tcPr>
          <w:p w14:paraId="7B4DE0F3" w14:textId="77777777" w:rsidR="00A606E0" w:rsidRPr="004D4A14" w:rsidRDefault="00A606E0" w:rsidP="00A606E0">
            <w:pPr>
              <w:jc w:val="center"/>
              <w:rPr>
                <w:iCs/>
                <w:noProof/>
                <w:sz w:val="20"/>
                <w:szCs w:val="20"/>
              </w:rPr>
            </w:pPr>
          </w:p>
        </w:tc>
        <w:tc>
          <w:tcPr>
            <w:tcW w:w="1683" w:type="dxa"/>
          </w:tcPr>
          <w:p w14:paraId="75BBC53B" w14:textId="77777777" w:rsidR="00A606E0" w:rsidRPr="004D4A14" w:rsidRDefault="00A606E0" w:rsidP="00A606E0">
            <w:pPr>
              <w:rPr>
                <w:iCs/>
                <w:noProof/>
                <w:sz w:val="20"/>
                <w:szCs w:val="20"/>
              </w:rPr>
            </w:pPr>
            <w:r w:rsidRPr="004D4A14">
              <w:rPr>
                <w:noProof/>
                <w:sz w:val="20"/>
                <w:szCs w:val="20"/>
              </w:rPr>
              <w:t>VVL regionas</w:t>
            </w:r>
          </w:p>
        </w:tc>
        <w:tc>
          <w:tcPr>
            <w:tcW w:w="1184" w:type="dxa"/>
            <w:vMerge/>
          </w:tcPr>
          <w:p w14:paraId="3F8A6B7C" w14:textId="77777777" w:rsidR="00A606E0" w:rsidRPr="004D4A14" w:rsidRDefault="00A606E0" w:rsidP="00A606E0">
            <w:pPr>
              <w:jc w:val="center"/>
              <w:rPr>
                <w:b/>
                <w:iCs/>
                <w:noProof/>
                <w:sz w:val="20"/>
                <w:szCs w:val="20"/>
              </w:rPr>
            </w:pPr>
          </w:p>
        </w:tc>
        <w:tc>
          <w:tcPr>
            <w:tcW w:w="3281" w:type="dxa"/>
            <w:vMerge/>
          </w:tcPr>
          <w:p w14:paraId="3C4A420C" w14:textId="77777777" w:rsidR="00A606E0" w:rsidRPr="004D4A14" w:rsidRDefault="00A606E0" w:rsidP="00A606E0">
            <w:pPr>
              <w:rPr>
                <w:rFonts w:cs="Times New Roman"/>
                <w:bCs/>
                <w:iCs/>
                <w:noProof/>
                <w:sz w:val="16"/>
                <w:szCs w:val="16"/>
              </w:rPr>
            </w:pPr>
          </w:p>
        </w:tc>
        <w:tc>
          <w:tcPr>
            <w:tcW w:w="1538" w:type="dxa"/>
          </w:tcPr>
          <w:p w14:paraId="07D4A393" w14:textId="77777777" w:rsidR="00A606E0" w:rsidRPr="004D4A14" w:rsidRDefault="00A606E0" w:rsidP="00A606E0">
            <w:pPr>
              <w:jc w:val="right"/>
              <w:rPr>
                <w:rFonts w:cs="Times New Roman"/>
                <w:sz w:val="20"/>
                <w:szCs w:val="20"/>
              </w:rPr>
            </w:pPr>
            <w:r w:rsidRPr="004D4A14">
              <w:rPr>
                <w:rFonts w:cs="Times New Roman"/>
                <w:sz w:val="20"/>
                <w:szCs w:val="20"/>
              </w:rPr>
              <w:t>4 700 000,00</w:t>
            </w:r>
          </w:p>
          <w:p w14:paraId="0393F062" w14:textId="77777777" w:rsidR="00A606E0" w:rsidRPr="004D4A14" w:rsidRDefault="00A606E0" w:rsidP="00A606E0">
            <w:pPr>
              <w:jc w:val="right"/>
              <w:rPr>
                <w:rFonts w:cs="Times New Roman"/>
                <w:sz w:val="16"/>
                <w:szCs w:val="16"/>
              </w:rPr>
            </w:pPr>
          </w:p>
        </w:tc>
      </w:tr>
    </w:tbl>
    <w:p w14:paraId="1CEF4DB9" w14:textId="77777777" w:rsidR="00A606E0" w:rsidRPr="004D4A14" w:rsidRDefault="00A606E0" w:rsidP="00A606E0">
      <w:pPr>
        <w:spacing w:after="0"/>
        <w:rPr>
          <w:rFonts w:eastAsia="Times New Roman" w:cs="Arial"/>
        </w:rPr>
      </w:pPr>
    </w:p>
    <w:tbl>
      <w:tblPr>
        <w:tblStyle w:val="Lentelstinklelis48"/>
        <w:tblW w:w="9624" w:type="dxa"/>
        <w:tblLayout w:type="fixed"/>
        <w:tblLook w:val="04A0" w:firstRow="1" w:lastRow="0" w:firstColumn="1" w:lastColumn="0" w:noHBand="0" w:noVBand="1"/>
      </w:tblPr>
      <w:tblGrid>
        <w:gridCol w:w="1101"/>
        <w:gridCol w:w="850"/>
        <w:gridCol w:w="1701"/>
        <w:gridCol w:w="1134"/>
        <w:gridCol w:w="3279"/>
        <w:gridCol w:w="1559"/>
      </w:tblGrid>
      <w:tr w:rsidR="00A606E0" w:rsidRPr="004D4A14" w14:paraId="527D7B02" w14:textId="77777777" w:rsidTr="002041B2">
        <w:tc>
          <w:tcPr>
            <w:tcW w:w="962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238578F1" w14:textId="77777777" w:rsidR="00A606E0" w:rsidRPr="004D4A14" w:rsidRDefault="00A606E0" w:rsidP="00A606E0">
            <w:pPr>
              <w:rPr>
                <w:b/>
                <w:iCs/>
                <w:noProof/>
                <w:sz w:val="20"/>
              </w:rPr>
            </w:pPr>
            <w:r w:rsidRPr="004D4A14">
              <w:rPr>
                <w:b/>
                <w:noProof/>
                <w:sz w:val="20"/>
              </w:rPr>
              <w:t>7 lentelė. 6 matmuo. ESF+ antrinės temos</w:t>
            </w:r>
          </w:p>
        </w:tc>
      </w:tr>
      <w:tr w:rsidR="00A606E0" w:rsidRPr="004D4A14" w14:paraId="52DAD144" w14:textId="77777777" w:rsidTr="002041B2">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2E4E42D" w14:textId="77777777" w:rsidR="00A606E0" w:rsidRPr="004D4A14" w:rsidRDefault="00A606E0" w:rsidP="00A606E0">
            <w:pPr>
              <w:jc w:val="center"/>
              <w:rPr>
                <w:b/>
                <w:iCs/>
                <w:noProof/>
                <w:sz w:val="20"/>
              </w:rPr>
            </w:pPr>
            <w:r w:rsidRPr="004D4A14">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2127422" w14:textId="77777777" w:rsidR="00A606E0" w:rsidRPr="004D4A14" w:rsidRDefault="00A606E0" w:rsidP="00A606E0">
            <w:pPr>
              <w:jc w:val="center"/>
              <w:rPr>
                <w:b/>
                <w:iCs/>
                <w:noProof/>
                <w:sz w:val="20"/>
              </w:rPr>
            </w:pPr>
            <w:r w:rsidRPr="004D4A14">
              <w:rPr>
                <w:b/>
                <w:noProof/>
                <w:sz w:val="20"/>
              </w:rPr>
              <w:t>Fondas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8FDF166" w14:textId="77777777" w:rsidR="00A606E0" w:rsidRPr="004D4A14" w:rsidRDefault="00A606E0" w:rsidP="00A606E0">
            <w:pPr>
              <w:jc w:val="center"/>
              <w:rPr>
                <w:b/>
                <w:iCs/>
                <w:noProof/>
                <w:sz w:val="20"/>
              </w:rPr>
            </w:pPr>
            <w:r w:rsidRPr="004D4A14">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122C6F8" w14:textId="77777777" w:rsidR="00A606E0" w:rsidRPr="004D4A14" w:rsidRDefault="00A606E0" w:rsidP="00A606E0">
            <w:pPr>
              <w:jc w:val="center"/>
              <w:rPr>
                <w:b/>
                <w:iCs/>
                <w:noProof/>
                <w:sz w:val="20"/>
              </w:rPr>
            </w:pPr>
            <w:r w:rsidRPr="004D4A14">
              <w:rPr>
                <w:b/>
                <w:noProof/>
                <w:sz w:val="20"/>
              </w:rPr>
              <w:t>Konkretus uždavinys</w:t>
            </w:r>
          </w:p>
        </w:tc>
        <w:tc>
          <w:tcPr>
            <w:tcW w:w="327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E380E08" w14:textId="77777777" w:rsidR="00A606E0" w:rsidRPr="004D4A14" w:rsidRDefault="00A606E0" w:rsidP="00A606E0">
            <w:pPr>
              <w:jc w:val="center"/>
              <w:rPr>
                <w:b/>
                <w:iCs/>
                <w:noProof/>
                <w:sz w:val="20"/>
              </w:rPr>
            </w:pPr>
            <w:r w:rsidRPr="004D4A14">
              <w:rPr>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77F1F27" w14:textId="77777777" w:rsidR="00A606E0" w:rsidRPr="004D4A14" w:rsidRDefault="00A606E0" w:rsidP="00A606E0">
            <w:pPr>
              <w:jc w:val="center"/>
              <w:rPr>
                <w:b/>
                <w:iCs/>
                <w:noProof/>
                <w:sz w:val="20"/>
              </w:rPr>
            </w:pPr>
            <w:r w:rsidRPr="004D4A14">
              <w:rPr>
                <w:b/>
                <w:noProof/>
                <w:sz w:val="20"/>
              </w:rPr>
              <w:t>Suma (EUR)</w:t>
            </w:r>
          </w:p>
        </w:tc>
      </w:tr>
      <w:tr w:rsidR="00A606E0" w:rsidRPr="004D4A14" w14:paraId="4F126895" w14:textId="77777777" w:rsidTr="002041B2">
        <w:tc>
          <w:tcPr>
            <w:tcW w:w="1101" w:type="dxa"/>
            <w:vMerge w:val="restart"/>
            <w:tcBorders>
              <w:top w:val="single" w:sz="12" w:space="0" w:color="auto"/>
            </w:tcBorders>
          </w:tcPr>
          <w:p w14:paraId="2F9AFD17" w14:textId="77777777" w:rsidR="00A606E0" w:rsidRPr="004D4A14" w:rsidRDefault="00A606E0" w:rsidP="00A606E0">
            <w:pPr>
              <w:jc w:val="center"/>
              <w:rPr>
                <w:iCs/>
                <w:noProof/>
                <w:sz w:val="20"/>
              </w:rPr>
            </w:pPr>
            <w:r w:rsidRPr="004D4A14">
              <w:rPr>
                <w:iCs/>
                <w:noProof/>
                <w:sz w:val="20"/>
              </w:rPr>
              <w:t>16</w:t>
            </w:r>
          </w:p>
        </w:tc>
        <w:tc>
          <w:tcPr>
            <w:tcW w:w="850" w:type="dxa"/>
            <w:vMerge w:val="restart"/>
            <w:tcBorders>
              <w:top w:val="single" w:sz="12" w:space="0" w:color="auto"/>
            </w:tcBorders>
          </w:tcPr>
          <w:p w14:paraId="67EC1799" w14:textId="77777777" w:rsidR="00A606E0" w:rsidRPr="004D4A14" w:rsidRDefault="00A606E0" w:rsidP="00A606E0">
            <w:pPr>
              <w:jc w:val="center"/>
              <w:rPr>
                <w:iCs/>
                <w:noProof/>
                <w:sz w:val="20"/>
              </w:rPr>
            </w:pPr>
            <w:r w:rsidRPr="004D4A14">
              <w:rPr>
                <w:iCs/>
                <w:noProof/>
                <w:sz w:val="20"/>
              </w:rPr>
              <w:t>ESF+</w:t>
            </w:r>
          </w:p>
        </w:tc>
        <w:tc>
          <w:tcPr>
            <w:tcW w:w="1701" w:type="dxa"/>
            <w:tcBorders>
              <w:top w:val="single" w:sz="12" w:space="0" w:color="auto"/>
            </w:tcBorders>
          </w:tcPr>
          <w:p w14:paraId="675223EB" w14:textId="77777777" w:rsidR="00A606E0" w:rsidRPr="004D4A14" w:rsidRDefault="00A606E0" w:rsidP="00A606E0">
            <w:pPr>
              <w:jc w:val="both"/>
              <w:rPr>
                <w:noProof/>
                <w:sz w:val="20"/>
                <w:szCs w:val="20"/>
              </w:rPr>
            </w:pPr>
            <w:r w:rsidRPr="004D4A14">
              <w:rPr>
                <w:noProof/>
                <w:sz w:val="20"/>
                <w:szCs w:val="20"/>
              </w:rPr>
              <w:t>Sostinės regionas</w:t>
            </w:r>
          </w:p>
        </w:tc>
        <w:tc>
          <w:tcPr>
            <w:tcW w:w="1134" w:type="dxa"/>
            <w:vMerge w:val="restart"/>
            <w:tcBorders>
              <w:top w:val="single" w:sz="12" w:space="0" w:color="auto"/>
            </w:tcBorders>
          </w:tcPr>
          <w:p w14:paraId="5538D852" w14:textId="77777777" w:rsidR="00A606E0" w:rsidRPr="004D4A14" w:rsidRDefault="00A606E0" w:rsidP="00A606E0">
            <w:pPr>
              <w:jc w:val="center"/>
              <w:rPr>
                <w:iCs/>
                <w:noProof/>
                <w:sz w:val="20"/>
              </w:rPr>
            </w:pPr>
            <w:r w:rsidRPr="004D4A14">
              <w:rPr>
                <w:iCs/>
                <w:noProof/>
                <w:sz w:val="20"/>
              </w:rPr>
              <w:t>16.1</w:t>
            </w:r>
          </w:p>
        </w:tc>
        <w:tc>
          <w:tcPr>
            <w:tcW w:w="3279" w:type="dxa"/>
            <w:vMerge w:val="restart"/>
            <w:tcBorders>
              <w:top w:val="single" w:sz="12" w:space="0" w:color="auto"/>
            </w:tcBorders>
          </w:tcPr>
          <w:p w14:paraId="00CF957D" w14:textId="77777777" w:rsidR="00A606E0" w:rsidRPr="004D4A14" w:rsidRDefault="00A606E0" w:rsidP="00A606E0">
            <w:pPr>
              <w:rPr>
                <w:iCs/>
                <w:noProof/>
                <w:sz w:val="20"/>
              </w:rPr>
            </w:pPr>
            <w:r w:rsidRPr="004D4A14">
              <w:rPr>
                <w:iCs/>
                <w:noProof/>
                <w:sz w:val="20"/>
              </w:rPr>
              <w:t>09 – Netaikoma</w:t>
            </w:r>
          </w:p>
        </w:tc>
        <w:tc>
          <w:tcPr>
            <w:tcW w:w="1559" w:type="dxa"/>
            <w:tcBorders>
              <w:top w:val="single" w:sz="12" w:space="0" w:color="auto"/>
            </w:tcBorders>
          </w:tcPr>
          <w:p w14:paraId="36A68BC4" w14:textId="77777777" w:rsidR="00A606E0" w:rsidRPr="004D4A14" w:rsidRDefault="00A606E0" w:rsidP="00A606E0">
            <w:pPr>
              <w:jc w:val="right"/>
              <w:rPr>
                <w:rFonts w:cs="Times New Roman"/>
                <w:sz w:val="20"/>
                <w:szCs w:val="20"/>
              </w:rPr>
            </w:pPr>
            <w:r w:rsidRPr="004D4A14">
              <w:rPr>
                <w:rFonts w:cs="Times New Roman"/>
                <w:sz w:val="20"/>
                <w:szCs w:val="20"/>
              </w:rPr>
              <w:t>399 790,00</w:t>
            </w:r>
          </w:p>
          <w:p w14:paraId="2E4CB041" w14:textId="77777777" w:rsidR="00A606E0" w:rsidRPr="004D4A14" w:rsidRDefault="00A606E0" w:rsidP="00A606E0">
            <w:pPr>
              <w:jc w:val="right"/>
              <w:rPr>
                <w:iCs/>
                <w:noProof/>
                <w:sz w:val="20"/>
              </w:rPr>
            </w:pPr>
          </w:p>
        </w:tc>
      </w:tr>
      <w:tr w:rsidR="00A606E0" w:rsidRPr="004D4A14" w14:paraId="3A873BD2" w14:textId="77777777" w:rsidTr="002041B2">
        <w:tc>
          <w:tcPr>
            <w:tcW w:w="1101" w:type="dxa"/>
            <w:vMerge/>
          </w:tcPr>
          <w:p w14:paraId="1042F419" w14:textId="77777777" w:rsidR="00A606E0" w:rsidRPr="004D4A14" w:rsidRDefault="00A606E0" w:rsidP="00A606E0">
            <w:pPr>
              <w:jc w:val="center"/>
              <w:rPr>
                <w:iCs/>
                <w:noProof/>
                <w:sz w:val="20"/>
              </w:rPr>
            </w:pPr>
          </w:p>
        </w:tc>
        <w:tc>
          <w:tcPr>
            <w:tcW w:w="850" w:type="dxa"/>
            <w:vMerge/>
          </w:tcPr>
          <w:p w14:paraId="739B1FFF" w14:textId="77777777" w:rsidR="00A606E0" w:rsidRPr="004D4A14" w:rsidRDefault="00A606E0" w:rsidP="00A606E0">
            <w:pPr>
              <w:jc w:val="center"/>
              <w:rPr>
                <w:iCs/>
                <w:noProof/>
                <w:sz w:val="20"/>
              </w:rPr>
            </w:pPr>
          </w:p>
        </w:tc>
        <w:tc>
          <w:tcPr>
            <w:tcW w:w="1701" w:type="dxa"/>
          </w:tcPr>
          <w:p w14:paraId="21276D54" w14:textId="77777777" w:rsidR="00A606E0" w:rsidRPr="004D4A14" w:rsidRDefault="00A606E0" w:rsidP="00A606E0">
            <w:pPr>
              <w:jc w:val="both"/>
              <w:rPr>
                <w:noProof/>
                <w:sz w:val="20"/>
                <w:szCs w:val="20"/>
              </w:rPr>
            </w:pPr>
            <w:r w:rsidRPr="004D4A14">
              <w:rPr>
                <w:noProof/>
                <w:sz w:val="20"/>
                <w:szCs w:val="20"/>
              </w:rPr>
              <w:t>VVL regionas</w:t>
            </w:r>
          </w:p>
        </w:tc>
        <w:tc>
          <w:tcPr>
            <w:tcW w:w="1134" w:type="dxa"/>
            <w:vMerge/>
          </w:tcPr>
          <w:p w14:paraId="0099F461" w14:textId="77777777" w:rsidR="00A606E0" w:rsidRPr="004D4A14" w:rsidRDefault="00A606E0" w:rsidP="00A606E0">
            <w:pPr>
              <w:jc w:val="center"/>
              <w:rPr>
                <w:iCs/>
                <w:noProof/>
                <w:sz w:val="20"/>
              </w:rPr>
            </w:pPr>
          </w:p>
        </w:tc>
        <w:tc>
          <w:tcPr>
            <w:tcW w:w="3279" w:type="dxa"/>
            <w:vMerge/>
          </w:tcPr>
          <w:p w14:paraId="2D40DDF1" w14:textId="77777777" w:rsidR="00A606E0" w:rsidRPr="004D4A14" w:rsidRDefault="00A606E0" w:rsidP="00A606E0">
            <w:pPr>
              <w:rPr>
                <w:iCs/>
                <w:noProof/>
                <w:sz w:val="20"/>
              </w:rPr>
            </w:pPr>
          </w:p>
        </w:tc>
        <w:tc>
          <w:tcPr>
            <w:tcW w:w="1559" w:type="dxa"/>
          </w:tcPr>
          <w:p w14:paraId="2C8F42F1" w14:textId="77777777" w:rsidR="00A606E0" w:rsidRPr="004D4A14" w:rsidRDefault="00A606E0" w:rsidP="00A606E0">
            <w:pPr>
              <w:jc w:val="right"/>
              <w:rPr>
                <w:rFonts w:cs="Times New Roman"/>
                <w:sz w:val="20"/>
                <w:szCs w:val="20"/>
              </w:rPr>
            </w:pPr>
            <w:r w:rsidRPr="004D4A14">
              <w:rPr>
                <w:rFonts w:cs="Times New Roman"/>
                <w:sz w:val="20"/>
                <w:szCs w:val="20"/>
              </w:rPr>
              <w:t>13 916 389,00</w:t>
            </w:r>
          </w:p>
          <w:p w14:paraId="0F07D51C" w14:textId="77777777" w:rsidR="00A606E0" w:rsidRPr="004D4A14" w:rsidRDefault="00A606E0" w:rsidP="00A606E0">
            <w:pPr>
              <w:jc w:val="right"/>
              <w:rPr>
                <w:iCs/>
                <w:noProof/>
                <w:sz w:val="20"/>
              </w:rPr>
            </w:pPr>
          </w:p>
        </w:tc>
      </w:tr>
    </w:tbl>
    <w:p w14:paraId="710EC2A9" w14:textId="77777777" w:rsidR="00A606E0" w:rsidRPr="004D4A14" w:rsidRDefault="00A606E0" w:rsidP="00A606E0">
      <w:pPr>
        <w:spacing w:after="0"/>
        <w:rPr>
          <w:rFonts w:eastAsia="Times New Roman" w:cs="Arial"/>
        </w:rPr>
      </w:pPr>
    </w:p>
    <w:p w14:paraId="5E4ECDF8" w14:textId="77777777" w:rsidR="00A606E0" w:rsidRPr="004D4A14" w:rsidRDefault="00A606E0" w:rsidP="00A606E0">
      <w:pPr>
        <w:spacing w:after="0"/>
        <w:rPr>
          <w:rFonts w:eastAsia="Times New Roman" w:cs="Arial"/>
        </w:rPr>
      </w:pPr>
    </w:p>
    <w:tbl>
      <w:tblPr>
        <w:tblStyle w:val="Lentelstinklelis30"/>
        <w:tblW w:w="9624" w:type="dxa"/>
        <w:tblLook w:val="04A0" w:firstRow="1" w:lastRow="0" w:firstColumn="1" w:lastColumn="0" w:noHBand="0" w:noVBand="1"/>
      </w:tblPr>
      <w:tblGrid>
        <w:gridCol w:w="1101"/>
        <w:gridCol w:w="850"/>
        <w:gridCol w:w="1720"/>
        <w:gridCol w:w="1134"/>
        <w:gridCol w:w="3260"/>
        <w:gridCol w:w="1559"/>
      </w:tblGrid>
      <w:tr w:rsidR="00A606E0" w:rsidRPr="004D4A14" w14:paraId="19050075" w14:textId="77777777" w:rsidTr="002041B2">
        <w:tc>
          <w:tcPr>
            <w:tcW w:w="9624"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1040979C" w14:textId="77777777" w:rsidR="00A606E0" w:rsidRPr="004D4A14" w:rsidRDefault="00A606E0" w:rsidP="00A606E0">
            <w:pPr>
              <w:rPr>
                <w:rFonts w:cs="Arial"/>
                <w:b/>
                <w:iCs/>
                <w:noProof/>
                <w:sz w:val="20"/>
                <w:szCs w:val="20"/>
              </w:rPr>
            </w:pPr>
            <w:r w:rsidRPr="004D4A14">
              <w:rPr>
                <w:rFonts w:cs="Arial"/>
                <w:b/>
                <w:noProof/>
                <w:sz w:val="20"/>
                <w:szCs w:val="20"/>
              </w:rPr>
              <w:t xml:space="preserve">8 lentelė. 7 matmuo. </w:t>
            </w:r>
            <w:r w:rsidRPr="004D4A14">
              <w:rPr>
                <w:rFonts w:cs="Arial"/>
                <w:b/>
                <w:sz w:val="20"/>
                <w:szCs w:val="20"/>
              </w:rPr>
              <w:t xml:space="preserve">ESF+, ERPF, </w:t>
            </w:r>
            <w:proofErr w:type="spellStart"/>
            <w:r w:rsidRPr="004D4A14">
              <w:rPr>
                <w:rFonts w:cs="Arial"/>
                <w:b/>
                <w:sz w:val="20"/>
                <w:szCs w:val="20"/>
              </w:rPr>
              <w:t>SaF</w:t>
            </w:r>
            <w:proofErr w:type="spellEnd"/>
            <w:r w:rsidRPr="004D4A14">
              <w:rPr>
                <w:rFonts w:cs="Arial"/>
                <w:b/>
                <w:sz w:val="20"/>
                <w:szCs w:val="20"/>
              </w:rPr>
              <w:t xml:space="preserve"> ir TPF lyčių lygybės matmuo</w:t>
            </w:r>
          </w:p>
        </w:tc>
      </w:tr>
      <w:tr w:rsidR="00A606E0" w:rsidRPr="004D4A14" w14:paraId="51498EC2" w14:textId="77777777" w:rsidTr="002041B2">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FEF589A" w14:textId="77777777" w:rsidR="00A606E0" w:rsidRPr="004D4A14" w:rsidRDefault="00A606E0" w:rsidP="00A606E0">
            <w:pPr>
              <w:jc w:val="center"/>
              <w:rPr>
                <w:rFonts w:cs="Arial"/>
                <w:b/>
                <w:iCs/>
                <w:noProof/>
                <w:sz w:val="20"/>
              </w:rPr>
            </w:pPr>
            <w:r w:rsidRPr="004D4A14">
              <w:rPr>
                <w:rFonts w:cs="Arial"/>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C26EC74" w14:textId="77777777" w:rsidR="00A606E0" w:rsidRPr="004D4A14" w:rsidRDefault="00A606E0" w:rsidP="00A606E0">
            <w:pPr>
              <w:jc w:val="center"/>
              <w:rPr>
                <w:rFonts w:cs="Arial"/>
                <w:b/>
                <w:iCs/>
                <w:noProof/>
                <w:sz w:val="20"/>
              </w:rPr>
            </w:pPr>
            <w:r w:rsidRPr="004D4A14">
              <w:rPr>
                <w:rFonts w:cs="Arial"/>
                <w:b/>
                <w:noProof/>
                <w:sz w:val="20"/>
              </w:rPr>
              <w:t>Fondas</w:t>
            </w:r>
          </w:p>
        </w:tc>
        <w:tc>
          <w:tcPr>
            <w:tcW w:w="172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C49F62F" w14:textId="77777777" w:rsidR="00A606E0" w:rsidRPr="004D4A14" w:rsidRDefault="00A606E0" w:rsidP="00A606E0">
            <w:pPr>
              <w:jc w:val="center"/>
              <w:rPr>
                <w:rFonts w:cs="Arial"/>
                <w:b/>
                <w:iCs/>
                <w:noProof/>
                <w:sz w:val="20"/>
              </w:rPr>
            </w:pPr>
            <w:r w:rsidRPr="004D4A14">
              <w:rPr>
                <w:rFonts w:cs="Arial"/>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C762CF6" w14:textId="77777777" w:rsidR="00A606E0" w:rsidRPr="004D4A14" w:rsidRDefault="00A606E0" w:rsidP="00A606E0">
            <w:pPr>
              <w:jc w:val="center"/>
              <w:rPr>
                <w:rFonts w:cs="Arial"/>
                <w:b/>
                <w:iCs/>
                <w:noProof/>
                <w:sz w:val="20"/>
              </w:rPr>
            </w:pPr>
            <w:r w:rsidRPr="004D4A14">
              <w:rPr>
                <w:rFonts w:cs="Arial"/>
                <w:b/>
                <w:noProof/>
                <w:sz w:val="20"/>
              </w:rPr>
              <w:t>Konkretus uždavinys</w:t>
            </w:r>
          </w:p>
        </w:tc>
        <w:tc>
          <w:tcPr>
            <w:tcW w:w="3260" w:type="dxa"/>
            <w:tcBorders>
              <w:top w:val="single" w:sz="12" w:space="0" w:color="auto"/>
              <w:left w:val="single" w:sz="12" w:space="0" w:color="auto"/>
              <w:right w:val="single" w:sz="12" w:space="0" w:color="auto"/>
            </w:tcBorders>
            <w:shd w:val="clear" w:color="auto" w:fill="DBE5F1" w:themeFill="accent1" w:themeFillTint="33"/>
            <w:vAlign w:val="center"/>
          </w:tcPr>
          <w:p w14:paraId="2CA7A293" w14:textId="77777777" w:rsidR="00A606E0" w:rsidRPr="004D4A14" w:rsidRDefault="00A606E0" w:rsidP="00A606E0">
            <w:pPr>
              <w:jc w:val="center"/>
              <w:rPr>
                <w:rFonts w:cs="Arial"/>
                <w:b/>
                <w:iCs/>
                <w:noProof/>
                <w:sz w:val="20"/>
              </w:rPr>
            </w:pPr>
            <w:r w:rsidRPr="004D4A14">
              <w:rPr>
                <w:rFonts w:cs="Arial"/>
                <w:b/>
                <w:noProof/>
                <w:sz w:val="20"/>
              </w:rPr>
              <w:t>Kodas</w:t>
            </w:r>
          </w:p>
        </w:tc>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14A6A3" w14:textId="77777777" w:rsidR="00A606E0" w:rsidRPr="004D4A14" w:rsidRDefault="00A606E0" w:rsidP="00A606E0">
            <w:pPr>
              <w:jc w:val="center"/>
              <w:rPr>
                <w:rFonts w:cs="Arial"/>
                <w:b/>
                <w:iCs/>
                <w:noProof/>
                <w:sz w:val="20"/>
              </w:rPr>
            </w:pPr>
            <w:r w:rsidRPr="004D4A14">
              <w:rPr>
                <w:rFonts w:cs="Arial"/>
                <w:b/>
                <w:noProof/>
                <w:sz w:val="20"/>
              </w:rPr>
              <w:t>Suma (EUR)</w:t>
            </w:r>
          </w:p>
        </w:tc>
      </w:tr>
      <w:tr w:rsidR="00A606E0" w:rsidRPr="004D4A14" w14:paraId="2877EB37" w14:textId="77777777" w:rsidTr="002041B2">
        <w:tc>
          <w:tcPr>
            <w:tcW w:w="1101" w:type="dxa"/>
            <w:vMerge w:val="restart"/>
            <w:tcBorders>
              <w:top w:val="single" w:sz="12" w:space="0" w:color="auto"/>
            </w:tcBorders>
          </w:tcPr>
          <w:p w14:paraId="0DF696A0" w14:textId="77777777" w:rsidR="00A606E0" w:rsidRPr="004D4A14" w:rsidRDefault="00A606E0" w:rsidP="00A606E0">
            <w:pPr>
              <w:jc w:val="center"/>
              <w:rPr>
                <w:rFonts w:cs="Arial"/>
                <w:iCs/>
                <w:noProof/>
                <w:sz w:val="20"/>
                <w:szCs w:val="20"/>
              </w:rPr>
            </w:pPr>
            <w:r w:rsidRPr="004D4A14">
              <w:rPr>
                <w:rFonts w:cs="Arial"/>
                <w:iCs/>
                <w:noProof/>
                <w:sz w:val="20"/>
                <w:szCs w:val="20"/>
              </w:rPr>
              <w:t>16</w:t>
            </w:r>
          </w:p>
        </w:tc>
        <w:tc>
          <w:tcPr>
            <w:tcW w:w="850" w:type="dxa"/>
            <w:vMerge w:val="restart"/>
            <w:tcBorders>
              <w:top w:val="single" w:sz="12" w:space="0" w:color="auto"/>
            </w:tcBorders>
          </w:tcPr>
          <w:p w14:paraId="47FD2C0D" w14:textId="77777777" w:rsidR="00A606E0" w:rsidRPr="004D4A14" w:rsidRDefault="00A606E0" w:rsidP="00A606E0">
            <w:pPr>
              <w:jc w:val="center"/>
              <w:rPr>
                <w:rFonts w:cs="Arial"/>
                <w:iCs/>
                <w:noProof/>
                <w:sz w:val="20"/>
                <w:szCs w:val="20"/>
              </w:rPr>
            </w:pPr>
            <w:r w:rsidRPr="004D4A14">
              <w:rPr>
                <w:rFonts w:cs="Arial"/>
                <w:iCs/>
                <w:noProof/>
                <w:sz w:val="20"/>
                <w:szCs w:val="20"/>
              </w:rPr>
              <w:t>ESF+</w:t>
            </w:r>
          </w:p>
        </w:tc>
        <w:tc>
          <w:tcPr>
            <w:tcW w:w="1720" w:type="dxa"/>
            <w:tcBorders>
              <w:top w:val="single" w:sz="12" w:space="0" w:color="auto"/>
            </w:tcBorders>
          </w:tcPr>
          <w:p w14:paraId="568FC3D7" w14:textId="77777777" w:rsidR="00A606E0" w:rsidRPr="004D4A14" w:rsidRDefault="00A606E0" w:rsidP="00A606E0">
            <w:pPr>
              <w:rPr>
                <w:rFonts w:cs="Arial"/>
                <w:iCs/>
                <w:noProof/>
                <w:sz w:val="20"/>
                <w:szCs w:val="20"/>
              </w:rPr>
            </w:pPr>
            <w:r w:rsidRPr="004D4A14">
              <w:rPr>
                <w:rFonts w:cs="Arial"/>
                <w:noProof/>
                <w:sz w:val="20"/>
                <w:szCs w:val="20"/>
              </w:rPr>
              <w:t>Sostinės regionas</w:t>
            </w:r>
          </w:p>
        </w:tc>
        <w:tc>
          <w:tcPr>
            <w:tcW w:w="1134" w:type="dxa"/>
            <w:vMerge w:val="restart"/>
            <w:tcBorders>
              <w:top w:val="single" w:sz="12" w:space="0" w:color="auto"/>
            </w:tcBorders>
          </w:tcPr>
          <w:p w14:paraId="6458F621" w14:textId="77777777" w:rsidR="00A606E0" w:rsidRPr="004D4A14" w:rsidRDefault="00A606E0" w:rsidP="00A606E0">
            <w:pPr>
              <w:jc w:val="center"/>
              <w:rPr>
                <w:rFonts w:cs="Arial"/>
                <w:iCs/>
                <w:noProof/>
                <w:sz w:val="20"/>
                <w:szCs w:val="20"/>
              </w:rPr>
            </w:pPr>
            <w:r w:rsidRPr="004D4A14">
              <w:rPr>
                <w:rFonts w:cs="Arial"/>
                <w:iCs/>
                <w:noProof/>
                <w:sz w:val="20"/>
                <w:szCs w:val="20"/>
              </w:rPr>
              <w:t>16.1</w:t>
            </w:r>
          </w:p>
        </w:tc>
        <w:tc>
          <w:tcPr>
            <w:tcW w:w="3260" w:type="dxa"/>
            <w:vMerge w:val="restart"/>
          </w:tcPr>
          <w:p w14:paraId="43E746D3" w14:textId="77777777" w:rsidR="00A606E0" w:rsidRPr="004D4A14" w:rsidRDefault="00A606E0" w:rsidP="00A606E0">
            <w:pPr>
              <w:rPr>
                <w:rFonts w:cs="Arial"/>
                <w:iCs/>
                <w:noProof/>
                <w:sz w:val="20"/>
                <w:szCs w:val="20"/>
              </w:rPr>
            </w:pPr>
            <w:r w:rsidRPr="004D4A14">
              <w:rPr>
                <w:rFonts w:cs="Arial"/>
                <w:iCs/>
                <w:noProof/>
                <w:sz w:val="20"/>
                <w:szCs w:val="20"/>
              </w:rPr>
              <w:t>03 – Neutralumas lyties požiūriu</w:t>
            </w:r>
          </w:p>
        </w:tc>
        <w:tc>
          <w:tcPr>
            <w:tcW w:w="1559" w:type="dxa"/>
            <w:tcBorders>
              <w:top w:val="single" w:sz="12" w:space="0" w:color="auto"/>
            </w:tcBorders>
          </w:tcPr>
          <w:p w14:paraId="1A94E9A4" w14:textId="77777777" w:rsidR="00A606E0" w:rsidRPr="004D4A14" w:rsidRDefault="00A606E0" w:rsidP="00A606E0">
            <w:pPr>
              <w:jc w:val="right"/>
              <w:rPr>
                <w:rFonts w:cs="Arial"/>
                <w:sz w:val="20"/>
                <w:szCs w:val="20"/>
              </w:rPr>
            </w:pPr>
            <w:r w:rsidRPr="004D4A14">
              <w:rPr>
                <w:rFonts w:cs="Arial"/>
                <w:sz w:val="20"/>
                <w:szCs w:val="20"/>
              </w:rPr>
              <w:t>84 000,00</w:t>
            </w:r>
          </w:p>
          <w:p w14:paraId="5DD3FC03" w14:textId="77777777" w:rsidR="00A606E0" w:rsidRPr="004D4A14" w:rsidRDefault="00A606E0" w:rsidP="00A606E0">
            <w:pPr>
              <w:rPr>
                <w:rFonts w:cs="Arial"/>
                <w:iCs/>
                <w:noProof/>
                <w:sz w:val="20"/>
                <w:szCs w:val="20"/>
              </w:rPr>
            </w:pPr>
          </w:p>
        </w:tc>
      </w:tr>
      <w:tr w:rsidR="00A606E0" w:rsidRPr="004D4A14" w14:paraId="75BC08C5" w14:textId="77777777" w:rsidTr="002041B2">
        <w:tc>
          <w:tcPr>
            <w:tcW w:w="1101" w:type="dxa"/>
            <w:vMerge/>
            <w:tcBorders>
              <w:top w:val="single" w:sz="12" w:space="0" w:color="auto"/>
            </w:tcBorders>
          </w:tcPr>
          <w:p w14:paraId="1B875494" w14:textId="77777777" w:rsidR="00A606E0" w:rsidRPr="004D4A14" w:rsidRDefault="00A606E0" w:rsidP="00A606E0">
            <w:pPr>
              <w:jc w:val="center"/>
              <w:rPr>
                <w:rFonts w:cs="Arial"/>
                <w:iCs/>
                <w:noProof/>
                <w:sz w:val="20"/>
                <w:szCs w:val="20"/>
              </w:rPr>
            </w:pPr>
          </w:p>
        </w:tc>
        <w:tc>
          <w:tcPr>
            <w:tcW w:w="850" w:type="dxa"/>
            <w:vMerge/>
            <w:tcBorders>
              <w:top w:val="single" w:sz="12" w:space="0" w:color="auto"/>
            </w:tcBorders>
          </w:tcPr>
          <w:p w14:paraId="31C48310" w14:textId="77777777" w:rsidR="00A606E0" w:rsidRPr="004D4A14" w:rsidRDefault="00A606E0" w:rsidP="00A606E0">
            <w:pPr>
              <w:jc w:val="center"/>
              <w:rPr>
                <w:rFonts w:cs="Arial"/>
                <w:iCs/>
                <w:noProof/>
                <w:sz w:val="20"/>
                <w:szCs w:val="20"/>
              </w:rPr>
            </w:pPr>
          </w:p>
        </w:tc>
        <w:tc>
          <w:tcPr>
            <w:tcW w:w="1720" w:type="dxa"/>
            <w:tcBorders>
              <w:top w:val="single" w:sz="12" w:space="0" w:color="auto"/>
            </w:tcBorders>
          </w:tcPr>
          <w:p w14:paraId="5AE4D9B9" w14:textId="77777777" w:rsidR="00A606E0" w:rsidRPr="004D4A14" w:rsidRDefault="00A606E0" w:rsidP="00A606E0">
            <w:pPr>
              <w:rPr>
                <w:rFonts w:cs="Arial"/>
                <w:noProof/>
                <w:sz w:val="20"/>
                <w:szCs w:val="20"/>
              </w:rPr>
            </w:pPr>
            <w:r w:rsidRPr="004D4A14">
              <w:rPr>
                <w:rFonts w:cs="Arial"/>
                <w:noProof/>
                <w:sz w:val="20"/>
                <w:szCs w:val="20"/>
              </w:rPr>
              <w:t>VVL regionas</w:t>
            </w:r>
          </w:p>
        </w:tc>
        <w:tc>
          <w:tcPr>
            <w:tcW w:w="1134" w:type="dxa"/>
            <w:vMerge/>
            <w:tcBorders>
              <w:top w:val="single" w:sz="12" w:space="0" w:color="auto"/>
            </w:tcBorders>
          </w:tcPr>
          <w:p w14:paraId="1881710A" w14:textId="77777777" w:rsidR="00A606E0" w:rsidRPr="004D4A14" w:rsidRDefault="00A606E0" w:rsidP="00A606E0">
            <w:pPr>
              <w:jc w:val="center"/>
              <w:rPr>
                <w:rFonts w:cs="Arial"/>
                <w:iCs/>
                <w:noProof/>
                <w:sz w:val="20"/>
                <w:szCs w:val="20"/>
              </w:rPr>
            </w:pPr>
          </w:p>
        </w:tc>
        <w:tc>
          <w:tcPr>
            <w:tcW w:w="3260" w:type="dxa"/>
            <w:vMerge/>
            <w:tcBorders>
              <w:top w:val="single" w:sz="12" w:space="0" w:color="auto"/>
            </w:tcBorders>
          </w:tcPr>
          <w:p w14:paraId="38DA5683" w14:textId="77777777" w:rsidR="00A606E0" w:rsidRPr="004D4A14" w:rsidRDefault="00A606E0" w:rsidP="00A606E0">
            <w:pPr>
              <w:rPr>
                <w:rFonts w:cs="Arial"/>
                <w:iCs/>
                <w:noProof/>
                <w:sz w:val="20"/>
                <w:szCs w:val="20"/>
              </w:rPr>
            </w:pPr>
          </w:p>
        </w:tc>
        <w:tc>
          <w:tcPr>
            <w:tcW w:w="1559" w:type="dxa"/>
            <w:tcBorders>
              <w:top w:val="single" w:sz="12" w:space="0" w:color="auto"/>
            </w:tcBorders>
          </w:tcPr>
          <w:p w14:paraId="2B35BD2D" w14:textId="77777777" w:rsidR="00A606E0" w:rsidRPr="004D4A14" w:rsidRDefault="00A606E0" w:rsidP="00A606E0">
            <w:pPr>
              <w:jc w:val="right"/>
              <w:rPr>
                <w:rFonts w:cs="Arial"/>
                <w:sz w:val="20"/>
                <w:szCs w:val="20"/>
              </w:rPr>
            </w:pPr>
            <w:r w:rsidRPr="004D4A14">
              <w:rPr>
                <w:rFonts w:cs="Arial"/>
                <w:sz w:val="20"/>
                <w:szCs w:val="20"/>
              </w:rPr>
              <w:t>9 216 389,00</w:t>
            </w:r>
          </w:p>
          <w:p w14:paraId="47A73C2B" w14:textId="77777777" w:rsidR="00A606E0" w:rsidRPr="004D4A14" w:rsidRDefault="00A606E0" w:rsidP="00A606E0">
            <w:pPr>
              <w:jc w:val="right"/>
              <w:rPr>
                <w:rFonts w:cs="Arial"/>
                <w:sz w:val="20"/>
                <w:szCs w:val="20"/>
              </w:rPr>
            </w:pPr>
          </w:p>
        </w:tc>
      </w:tr>
      <w:tr w:rsidR="00A606E0" w:rsidRPr="004D4A14" w14:paraId="5FC63F88" w14:textId="77777777" w:rsidTr="002041B2">
        <w:tc>
          <w:tcPr>
            <w:tcW w:w="1101" w:type="dxa"/>
            <w:vMerge/>
            <w:tcBorders>
              <w:top w:val="single" w:sz="12" w:space="0" w:color="auto"/>
            </w:tcBorders>
          </w:tcPr>
          <w:p w14:paraId="49A974E3" w14:textId="77777777" w:rsidR="00A606E0" w:rsidRPr="004D4A14" w:rsidRDefault="00A606E0" w:rsidP="00A606E0">
            <w:pPr>
              <w:jc w:val="center"/>
              <w:rPr>
                <w:rFonts w:cs="Arial"/>
                <w:iCs/>
                <w:noProof/>
                <w:sz w:val="20"/>
                <w:szCs w:val="20"/>
              </w:rPr>
            </w:pPr>
          </w:p>
        </w:tc>
        <w:tc>
          <w:tcPr>
            <w:tcW w:w="850" w:type="dxa"/>
            <w:vMerge/>
            <w:tcBorders>
              <w:top w:val="single" w:sz="12" w:space="0" w:color="auto"/>
            </w:tcBorders>
          </w:tcPr>
          <w:p w14:paraId="04F6041B" w14:textId="77777777" w:rsidR="00A606E0" w:rsidRPr="004D4A14" w:rsidRDefault="00A606E0" w:rsidP="00A606E0">
            <w:pPr>
              <w:jc w:val="center"/>
              <w:rPr>
                <w:rFonts w:cs="Arial"/>
                <w:iCs/>
                <w:noProof/>
                <w:sz w:val="20"/>
                <w:szCs w:val="20"/>
              </w:rPr>
            </w:pPr>
          </w:p>
        </w:tc>
        <w:tc>
          <w:tcPr>
            <w:tcW w:w="1720" w:type="dxa"/>
            <w:tcBorders>
              <w:top w:val="single" w:sz="12" w:space="0" w:color="auto"/>
            </w:tcBorders>
          </w:tcPr>
          <w:p w14:paraId="6D0838E7" w14:textId="77777777" w:rsidR="00A606E0" w:rsidRPr="004D4A14" w:rsidRDefault="00A606E0" w:rsidP="00A606E0">
            <w:pPr>
              <w:rPr>
                <w:rFonts w:cs="Arial"/>
                <w:noProof/>
                <w:sz w:val="20"/>
                <w:szCs w:val="20"/>
              </w:rPr>
            </w:pPr>
            <w:r w:rsidRPr="004D4A14">
              <w:rPr>
                <w:rFonts w:cs="Arial"/>
                <w:noProof/>
                <w:sz w:val="20"/>
                <w:szCs w:val="20"/>
              </w:rPr>
              <w:t>Sostinės regionas</w:t>
            </w:r>
          </w:p>
        </w:tc>
        <w:tc>
          <w:tcPr>
            <w:tcW w:w="1134" w:type="dxa"/>
            <w:vMerge/>
            <w:tcBorders>
              <w:top w:val="single" w:sz="12" w:space="0" w:color="auto"/>
            </w:tcBorders>
          </w:tcPr>
          <w:p w14:paraId="6F7BDF7D" w14:textId="77777777" w:rsidR="00A606E0" w:rsidRPr="004D4A14" w:rsidRDefault="00A606E0" w:rsidP="00A606E0">
            <w:pPr>
              <w:jc w:val="center"/>
              <w:rPr>
                <w:rFonts w:cs="Arial"/>
                <w:iCs/>
                <w:noProof/>
                <w:sz w:val="20"/>
                <w:szCs w:val="20"/>
              </w:rPr>
            </w:pPr>
          </w:p>
        </w:tc>
        <w:tc>
          <w:tcPr>
            <w:tcW w:w="3260" w:type="dxa"/>
            <w:vMerge w:val="restart"/>
          </w:tcPr>
          <w:p w14:paraId="7E39BC10" w14:textId="77777777" w:rsidR="00A606E0" w:rsidRPr="004D4A14" w:rsidRDefault="00A606E0" w:rsidP="00A606E0">
            <w:pPr>
              <w:rPr>
                <w:rFonts w:cs="Arial"/>
                <w:iCs/>
                <w:noProof/>
                <w:sz w:val="20"/>
                <w:szCs w:val="20"/>
              </w:rPr>
            </w:pPr>
            <w:r w:rsidRPr="004D4A14">
              <w:rPr>
                <w:rFonts w:cs="Arial"/>
                <w:bCs/>
                <w:iCs/>
                <w:noProof/>
                <w:sz w:val="20"/>
                <w:szCs w:val="20"/>
              </w:rPr>
              <w:t>02 – Lyčių aspekto integravimas</w:t>
            </w:r>
          </w:p>
        </w:tc>
        <w:tc>
          <w:tcPr>
            <w:tcW w:w="1559" w:type="dxa"/>
            <w:tcBorders>
              <w:top w:val="single" w:sz="12" w:space="0" w:color="auto"/>
            </w:tcBorders>
          </w:tcPr>
          <w:p w14:paraId="07F0A32F" w14:textId="77777777" w:rsidR="00A606E0" w:rsidRPr="004D4A14" w:rsidRDefault="00A606E0" w:rsidP="00A606E0">
            <w:pPr>
              <w:jc w:val="right"/>
              <w:rPr>
                <w:rFonts w:cs="Arial"/>
                <w:iCs/>
                <w:sz w:val="20"/>
                <w:szCs w:val="20"/>
              </w:rPr>
            </w:pPr>
            <w:r w:rsidRPr="004D4A14">
              <w:rPr>
                <w:rFonts w:cs="Arial"/>
                <w:iCs/>
                <w:sz w:val="20"/>
                <w:szCs w:val="20"/>
              </w:rPr>
              <w:t xml:space="preserve">315 790,00 </w:t>
            </w:r>
          </w:p>
          <w:p w14:paraId="35B0EECF" w14:textId="77777777" w:rsidR="00A606E0" w:rsidRPr="004D4A14" w:rsidRDefault="00A606E0" w:rsidP="00A606E0">
            <w:pPr>
              <w:jc w:val="right"/>
              <w:rPr>
                <w:rFonts w:cs="Arial"/>
                <w:sz w:val="20"/>
                <w:szCs w:val="20"/>
              </w:rPr>
            </w:pPr>
          </w:p>
        </w:tc>
      </w:tr>
      <w:tr w:rsidR="00A606E0" w:rsidRPr="004D4A14" w14:paraId="7E7BE71A" w14:textId="77777777" w:rsidTr="002041B2">
        <w:trPr>
          <w:trHeight w:val="85"/>
        </w:trPr>
        <w:tc>
          <w:tcPr>
            <w:tcW w:w="1101" w:type="dxa"/>
            <w:vMerge/>
          </w:tcPr>
          <w:p w14:paraId="5380376C" w14:textId="77777777" w:rsidR="00A606E0" w:rsidRPr="004D4A14" w:rsidRDefault="00A606E0" w:rsidP="00A606E0">
            <w:pPr>
              <w:jc w:val="center"/>
              <w:rPr>
                <w:rFonts w:cs="Arial"/>
                <w:iCs/>
                <w:noProof/>
                <w:sz w:val="20"/>
                <w:szCs w:val="20"/>
              </w:rPr>
            </w:pPr>
          </w:p>
        </w:tc>
        <w:tc>
          <w:tcPr>
            <w:tcW w:w="850" w:type="dxa"/>
            <w:vMerge/>
          </w:tcPr>
          <w:p w14:paraId="78DAFD1A" w14:textId="77777777" w:rsidR="00A606E0" w:rsidRPr="004D4A14" w:rsidRDefault="00A606E0" w:rsidP="00A606E0">
            <w:pPr>
              <w:jc w:val="center"/>
              <w:rPr>
                <w:rFonts w:cs="Arial"/>
                <w:iCs/>
                <w:noProof/>
                <w:sz w:val="20"/>
                <w:szCs w:val="20"/>
              </w:rPr>
            </w:pPr>
          </w:p>
        </w:tc>
        <w:tc>
          <w:tcPr>
            <w:tcW w:w="1720" w:type="dxa"/>
          </w:tcPr>
          <w:p w14:paraId="042CCA9B" w14:textId="77777777" w:rsidR="00A606E0" w:rsidRPr="004D4A14" w:rsidRDefault="00A606E0" w:rsidP="00A606E0">
            <w:pPr>
              <w:rPr>
                <w:rFonts w:cs="Arial"/>
                <w:iCs/>
                <w:noProof/>
                <w:sz w:val="20"/>
                <w:szCs w:val="20"/>
              </w:rPr>
            </w:pPr>
            <w:r w:rsidRPr="004D4A14">
              <w:rPr>
                <w:rFonts w:cs="Arial"/>
                <w:noProof/>
                <w:sz w:val="20"/>
                <w:szCs w:val="20"/>
              </w:rPr>
              <w:t>VVL regionas</w:t>
            </w:r>
          </w:p>
        </w:tc>
        <w:tc>
          <w:tcPr>
            <w:tcW w:w="1134" w:type="dxa"/>
            <w:vMerge/>
          </w:tcPr>
          <w:p w14:paraId="45654F09" w14:textId="77777777" w:rsidR="00A606E0" w:rsidRPr="004D4A14" w:rsidRDefault="00A606E0" w:rsidP="00A606E0">
            <w:pPr>
              <w:jc w:val="center"/>
              <w:rPr>
                <w:rFonts w:cs="Arial"/>
                <w:iCs/>
                <w:noProof/>
                <w:sz w:val="20"/>
                <w:szCs w:val="20"/>
              </w:rPr>
            </w:pPr>
          </w:p>
        </w:tc>
        <w:tc>
          <w:tcPr>
            <w:tcW w:w="3260" w:type="dxa"/>
            <w:vMerge/>
          </w:tcPr>
          <w:p w14:paraId="5A95E4FC" w14:textId="77777777" w:rsidR="00A606E0" w:rsidRPr="004D4A14" w:rsidRDefault="00A606E0" w:rsidP="00A606E0">
            <w:pPr>
              <w:rPr>
                <w:rFonts w:cs="Arial"/>
                <w:iCs/>
                <w:noProof/>
                <w:sz w:val="20"/>
                <w:szCs w:val="20"/>
              </w:rPr>
            </w:pPr>
          </w:p>
        </w:tc>
        <w:tc>
          <w:tcPr>
            <w:tcW w:w="1559" w:type="dxa"/>
          </w:tcPr>
          <w:p w14:paraId="437E73C9" w14:textId="77777777" w:rsidR="00A606E0" w:rsidRPr="004D4A14" w:rsidRDefault="00A606E0" w:rsidP="00A606E0">
            <w:pPr>
              <w:jc w:val="right"/>
              <w:rPr>
                <w:rFonts w:cs="Arial"/>
                <w:sz w:val="20"/>
                <w:szCs w:val="20"/>
              </w:rPr>
            </w:pPr>
            <w:r w:rsidRPr="004D4A14">
              <w:rPr>
                <w:rFonts w:cs="Arial"/>
                <w:sz w:val="20"/>
                <w:szCs w:val="20"/>
              </w:rPr>
              <w:t>4 700 000,00</w:t>
            </w:r>
          </w:p>
          <w:p w14:paraId="652CB07F" w14:textId="77777777" w:rsidR="00A606E0" w:rsidRPr="004D4A14" w:rsidRDefault="00A606E0" w:rsidP="00A606E0">
            <w:pPr>
              <w:jc w:val="right"/>
              <w:rPr>
                <w:rFonts w:cs="Arial"/>
                <w:iCs/>
                <w:noProof/>
                <w:sz w:val="20"/>
                <w:szCs w:val="20"/>
              </w:rPr>
            </w:pPr>
          </w:p>
        </w:tc>
      </w:tr>
    </w:tbl>
    <w:p w14:paraId="12F9BE40" w14:textId="77777777" w:rsidR="002041B2" w:rsidRPr="004D4A14" w:rsidRDefault="002041B2" w:rsidP="002041B2">
      <w:pPr>
        <w:pStyle w:val="Antrat1"/>
        <w:jc w:val="both"/>
      </w:pPr>
      <w:r w:rsidRPr="004D4A14">
        <w:lastRenderedPageBreak/>
        <w:t>17. specialus prioritetas. socialinio būsto fondo plėtra</w:t>
      </w:r>
    </w:p>
    <w:p w14:paraId="120468B5" w14:textId="1DF0D683" w:rsidR="002041B2" w:rsidRPr="004D4A14" w:rsidRDefault="002041B2" w:rsidP="002041B2">
      <w:pPr>
        <w:pStyle w:val="Antrat2"/>
        <w:jc w:val="both"/>
      </w:pPr>
      <w:r w:rsidRPr="004D4A14">
        <w:t xml:space="preserve">Konkretus uždavinys – 17.1. </w:t>
      </w:r>
      <w:r w:rsidR="00C8137F" w:rsidRPr="004D4A14">
        <w:t>Skatinti galimybes gauti prieinamą ir tvarų būstą</w:t>
      </w:r>
    </w:p>
    <w:p w14:paraId="4E3197DB" w14:textId="77777777" w:rsidR="002041B2" w:rsidRPr="004D4A14" w:rsidRDefault="002041B2" w:rsidP="002041B2">
      <w:pPr>
        <w:pStyle w:val="Stilius1"/>
      </w:pPr>
      <w:r w:rsidRPr="004D4A14">
        <w:t>Įgyvendinamos veiklos</w:t>
      </w:r>
    </w:p>
    <w:tbl>
      <w:tblPr>
        <w:tblStyle w:val="Lentelstinklelis2"/>
        <w:tblW w:w="9634" w:type="dxa"/>
        <w:tblLook w:val="04A0" w:firstRow="1" w:lastRow="0" w:firstColumn="1" w:lastColumn="0" w:noHBand="0" w:noVBand="1"/>
      </w:tblPr>
      <w:tblGrid>
        <w:gridCol w:w="9634"/>
      </w:tblGrid>
      <w:tr w:rsidR="002041B2" w:rsidRPr="004D4A14" w14:paraId="1212C3F3" w14:textId="77777777" w:rsidTr="002041B2">
        <w:trPr>
          <w:trHeight w:val="283"/>
        </w:trPr>
        <w:tc>
          <w:tcPr>
            <w:tcW w:w="9634" w:type="dxa"/>
          </w:tcPr>
          <w:p w14:paraId="5F9B9DEC" w14:textId="77777777" w:rsidR="002041B2" w:rsidRPr="004D4A14" w:rsidRDefault="002041B2" w:rsidP="0010605B">
            <w:pPr>
              <w:autoSpaceDE w:val="0"/>
              <w:autoSpaceDN w:val="0"/>
              <w:adjustRightInd w:val="0"/>
              <w:spacing w:before="60" w:after="60"/>
              <w:jc w:val="both"/>
              <w:rPr>
                <w:rFonts w:ascii="Times New Roman" w:eastAsia="Calibri" w:hAnsi="Times New Roman" w:cs="Times New Roman"/>
                <w:iCs/>
              </w:rPr>
            </w:pPr>
            <w:r w:rsidRPr="004D4A14">
              <w:rPr>
                <w:rFonts w:ascii="Times New Roman" w:eastAsia="Calibri" w:hAnsi="Times New Roman" w:cs="Times New Roman"/>
                <w:iCs/>
              </w:rPr>
              <w:t>2024 m. į Asmenų ir šeimų, turinčių teisę į socialinio būsto nuomą, sąrašus buvo įrašyti 10378 asmenys (šeimos) (19036 šeimos nariai). Remiantis oficialios statistikos portalo</w:t>
            </w:r>
            <w:r w:rsidRPr="004D4A14">
              <w:rPr>
                <w:rStyle w:val="Puslapioinaosnuoroda"/>
                <w:rFonts w:ascii="Times New Roman" w:eastAsia="Calibri" w:hAnsi="Times New Roman" w:cs="Times New Roman"/>
                <w:iCs/>
              </w:rPr>
              <w:footnoteReference w:id="6"/>
            </w:r>
            <w:r w:rsidRPr="004D4A14">
              <w:rPr>
                <w:rFonts w:ascii="Times New Roman" w:eastAsia="Calibri" w:hAnsi="Times New Roman" w:cs="Times New Roman"/>
                <w:iCs/>
              </w:rPr>
              <w:t xml:space="preserve"> ir savivaldybių teikiamais duomenimis į Socialinės paramos šeimai informacinę sistemą, 2024 m. socialinio būsto fondas sudarė 0,8 proc. bendro būsto fondo Lietuvoje. Tuo pačiu laikotarpiu vidutinė socialinio būsto nuomos laukimo trukmė buvo 5,63 m. (priklausomai nuo savivaldybės vidutinė socialinio būsto laukimo trukmė svyruoja nuo 2 iki 13 m.). Nors savivaldybės kasmet vykdo socialinio būsto fondo plėtrą, pagal anksčiau nurodytus duomenis </w:t>
            </w:r>
            <w:r w:rsidRPr="004D4A14">
              <w:rPr>
                <w:rFonts w:ascii="Times New Roman" w:eastAsia="Calibri" w:hAnsi="Times New Roman" w:cs="Times New Roman"/>
                <w:iCs/>
                <w:lang w:bidi="lt-LT"/>
              </w:rPr>
              <w:t>asmenų (šeimų) aprūpinimo socialiniu būstu problema išlieka vis dar aktuali.</w:t>
            </w:r>
          </w:p>
          <w:p w14:paraId="7006601E" w14:textId="77777777" w:rsidR="002041B2" w:rsidRPr="004D4A14" w:rsidRDefault="002041B2" w:rsidP="0010605B">
            <w:pPr>
              <w:autoSpaceDE w:val="0"/>
              <w:autoSpaceDN w:val="0"/>
              <w:adjustRightInd w:val="0"/>
              <w:spacing w:before="60" w:after="60"/>
              <w:jc w:val="both"/>
              <w:rPr>
                <w:rFonts w:ascii="Times New Roman" w:eastAsia="Calibri" w:hAnsi="Times New Roman" w:cs="Times New Roman"/>
                <w:iCs/>
              </w:rPr>
            </w:pPr>
            <w:r w:rsidRPr="004D4A14">
              <w:rPr>
                <w:rFonts w:ascii="Times New Roman" w:eastAsia="Calibri" w:hAnsi="Times New Roman" w:cs="Times New Roman"/>
                <w:iCs/>
              </w:rPr>
              <w:t>Būstas yra vienas pagrindinių asmens (šeimos) poreikių, todėl būtina stiprinti priemones, siekiant didinti socialinio būsto prieinamumą labiausiai pažeidžiamiems asmenims (šeimoms). Siekiant užkirsti kelią socialinei atskirčiai ir su ja kovoti, ypač svarbu užtikrinti šeimų, auginančių vaikus, teises į tinkamą būstą, tokiu būdu prisidedant prie Vaiko garantijų sistemos įgyvendinimo. Taip pat investicijos į socialinio būsto plėtrą prisidėtų prie Europos Tarybos rekomendacijų Lietuvai, kuriomis siūloma gerinti socialinio būsto prieinamumą ir jo kokybę, įgyvendinimo.</w:t>
            </w:r>
          </w:p>
          <w:p w14:paraId="3FA242A1" w14:textId="77777777" w:rsidR="002041B2" w:rsidRPr="004D4A14" w:rsidRDefault="002041B2" w:rsidP="0010605B">
            <w:pPr>
              <w:autoSpaceDE w:val="0"/>
              <w:autoSpaceDN w:val="0"/>
              <w:adjustRightInd w:val="0"/>
              <w:spacing w:before="60" w:after="60"/>
              <w:jc w:val="both"/>
              <w:rPr>
                <w:rFonts w:ascii="Times New Roman" w:eastAsia="Calibri" w:hAnsi="Times New Roman" w:cs="Times New Roman"/>
                <w:iCs/>
              </w:rPr>
            </w:pPr>
            <w:r w:rsidRPr="004D4A14">
              <w:rPr>
                <w:rFonts w:ascii="Times New Roman" w:eastAsia="Calibri" w:hAnsi="Times New Roman" w:cs="Times New Roman"/>
                <w:iCs/>
              </w:rPr>
              <w:t>Veiksmas, kuriuo siekiama padidinti socialinio būsto prieinamumo teisę į socialinio būsto nuomą turintiems asmenims ir šeimoms:</w:t>
            </w:r>
          </w:p>
          <w:p w14:paraId="4EE2EB56" w14:textId="77777777" w:rsidR="002041B2" w:rsidRPr="004D4A14" w:rsidRDefault="002041B2" w:rsidP="0010605B">
            <w:pPr>
              <w:spacing w:before="120" w:after="120"/>
              <w:jc w:val="both"/>
              <w:rPr>
                <w:rFonts w:ascii="Times New Roman" w:eastAsia="Times New Roman" w:hAnsi="Times New Roman" w:cs="Times New Roman"/>
                <w:bCs/>
              </w:rPr>
            </w:pPr>
            <w:r w:rsidRPr="004D4A14">
              <w:rPr>
                <w:rFonts w:ascii="Times New Roman" w:eastAsia="Times New Roman" w:hAnsi="Times New Roman" w:cs="Times New Roman"/>
                <w:b/>
              </w:rPr>
              <w:t>Plėtoti</w:t>
            </w:r>
            <w:r w:rsidRPr="004D4A14">
              <w:rPr>
                <w:rFonts w:ascii="Times New Roman" w:eastAsia="Times New Roman" w:hAnsi="Times New Roman" w:cs="Times New Roman"/>
                <w:bCs/>
              </w:rPr>
              <w:t xml:space="preserve"> </w:t>
            </w:r>
            <w:r w:rsidRPr="004D4A14">
              <w:rPr>
                <w:rFonts w:ascii="Times New Roman" w:eastAsia="Times New Roman" w:hAnsi="Times New Roman" w:cs="Times New Roman"/>
                <w:b/>
              </w:rPr>
              <w:t>socialinio būsto fondą</w:t>
            </w:r>
            <w:r w:rsidRPr="004D4A14">
              <w:rPr>
                <w:rFonts w:ascii="Times New Roman" w:eastAsia="Times New Roman" w:hAnsi="Times New Roman" w:cs="Times New Roman"/>
                <w:bCs/>
              </w:rPr>
              <w:t xml:space="preserve"> visoms</w:t>
            </w:r>
            <w:r w:rsidRPr="004D4A14">
              <w:rPr>
                <w:rFonts w:ascii="Times New Roman" w:eastAsia="Times New Roman" w:hAnsi="Times New Roman" w:cs="Times New Roman"/>
                <w:noProof/>
                <w:sz w:val="24"/>
                <w:lang w:eastAsia="lt-LT" w:bidi="lt-LT"/>
              </w:rPr>
              <w:t xml:space="preserve"> </w:t>
            </w:r>
            <w:r w:rsidRPr="004D4A14">
              <w:rPr>
                <w:rFonts w:ascii="Times New Roman" w:eastAsia="Times New Roman" w:hAnsi="Times New Roman" w:cs="Times New Roman"/>
                <w:bCs/>
                <w:lang w:bidi="lt-LT"/>
              </w:rPr>
              <w:t>Lietuvos Respublikos paramos būstui įsigyti ar išsinuomoti įstatyme nurodytoms tikslinėms grupėms (jaunoms šeim</w:t>
            </w:r>
            <w:bookmarkStart w:id="10" w:name="part_dfaf8fb318bf4d449f1c7b4c73348551"/>
            <w:bookmarkEnd w:id="10"/>
            <w:r w:rsidRPr="004D4A14">
              <w:rPr>
                <w:rFonts w:ascii="Times New Roman" w:eastAsia="Times New Roman" w:hAnsi="Times New Roman" w:cs="Times New Roman"/>
                <w:bCs/>
                <w:lang w:bidi="lt-LT"/>
              </w:rPr>
              <w:t>oms, šeimoms, auginančioms tris ar daugiau vaikų, likusiems be tėvų globos asmenims ir jų šeimoms, asmenims su negalia ir jų šeimoms ir kt.)</w:t>
            </w:r>
            <w:r w:rsidRPr="004D4A14">
              <w:rPr>
                <w:rFonts w:ascii="Times New Roman" w:eastAsia="Times New Roman" w:hAnsi="Times New Roman" w:cs="Times New Roman"/>
                <w:bCs/>
              </w:rPr>
              <w:t>, siekiant užtikrinti vaiko / šeimos ar asmens teisę į tinkamas gyvenimo sąlygas, ir taip didinti nepalankias sąlygas turinčių asmenų ir šeimų, integraciją, taip pat, atsižvelgiant į bendruosius darnaus vystymosi principus, siekti užtikrinti galimybę naudotis įsidarbinimo, sveikatos priežiūros, švietimo, vaikų priežiūros, socialinėmis, kultūros ir kitomis asmenims (šeimoms) reikalingomis paslaugomis. Ši veikla bus įgyvendinama VVL ir Sostinės regionuose.</w:t>
            </w:r>
          </w:p>
          <w:p w14:paraId="726B1BB4" w14:textId="77777777" w:rsidR="002041B2" w:rsidRPr="004D4A14" w:rsidRDefault="002041B2" w:rsidP="0010605B">
            <w:pPr>
              <w:spacing w:before="120" w:after="120"/>
              <w:jc w:val="both"/>
              <w:rPr>
                <w:rFonts w:ascii="Times New Roman" w:eastAsia="Times New Roman" w:hAnsi="Times New Roman" w:cs="Times New Roman"/>
                <w:bCs/>
              </w:rPr>
            </w:pPr>
            <w:r w:rsidRPr="004D4A14">
              <w:rPr>
                <w:rFonts w:ascii="Times New Roman" w:eastAsia="Times New Roman" w:hAnsi="Times New Roman" w:cs="Times New Roman"/>
                <w:bCs/>
                <w:color w:val="000000" w:themeColor="text1"/>
              </w:rPr>
              <w:t>Uždavinio veiklos (veiksmų rūšys) įvertintos vadovaujantis EGADP NRŽ gairėmis, todėl laikoma, kad atitinka NRŽ principą.</w:t>
            </w:r>
          </w:p>
        </w:tc>
      </w:tr>
    </w:tbl>
    <w:p w14:paraId="74F408FB" w14:textId="77777777" w:rsidR="002041B2" w:rsidRPr="004D4A14" w:rsidRDefault="002041B2" w:rsidP="002041B2">
      <w:pPr>
        <w:pStyle w:val="Stilius1"/>
      </w:pPr>
      <w:r w:rsidRPr="004D4A14">
        <w:t>Pagrindinės tikslinės grupės</w:t>
      </w:r>
    </w:p>
    <w:tbl>
      <w:tblPr>
        <w:tblStyle w:val="Lentelstinklelis2"/>
        <w:tblW w:w="0" w:type="auto"/>
        <w:tblLook w:val="04A0" w:firstRow="1" w:lastRow="0" w:firstColumn="1" w:lastColumn="0" w:noHBand="0" w:noVBand="1"/>
      </w:tblPr>
      <w:tblGrid>
        <w:gridCol w:w="9628"/>
      </w:tblGrid>
      <w:tr w:rsidR="002041B2" w:rsidRPr="004D4A14" w14:paraId="7454E3E3" w14:textId="77777777" w:rsidTr="0010605B">
        <w:tc>
          <w:tcPr>
            <w:tcW w:w="9854" w:type="dxa"/>
          </w:tcPr>
          <w:p w14:paraId="51097EDE" w14:textId="77777777" w:rsidR="002041B2" w:rsidRPr="004D4A14" w:rsidRDefault="002041B2" w:rsidP="0010605B">
            <w:pPr>
              <w:pStyle w:val="Default"/>
              <w:jc w:val="both"/>
              <w:rPr>
                <w:rFonts w:ascii="Times New Roman" w:hAnsi="Times New Roman"/>
              </w:rPr>
            </w:pPr>
            <w:r w:rsidRPr="004D4A14">
              <w:rPr>
                <w:rFonts w:ascii="Times New Roman" w:eastAsia="Times New Roman" w:hAnsi="Times New Roman"/>
                <w:noProof/>
                <w:color w:val="auto"/>
                <w:lang w:eastAsia="lt-LT" w:bidi="lt-LT"/>
              </w:rPr>
              <w:t>Asmenys ir šeimos, pagal Lietuvos Respublikos paramos būstui įsigyti ar išsinuomoti įstatymą įrašyti į Asmenų ir šeimų, turinčių teisę į socialinio būsto nuomą, sąrašus.</w:t>
            </w:r>
          </w:p>
        </w:tc>
      </w:tr>
    </w:tbl>
    <w:p w14:paraId="77B7621D" w14:textId="77777777" w:rsidR="002041B2" w:rsidRPr="004D4A14" w:rsidRDefault="002041B2" w:rsidP="002041B2">
      <w:pPr>
        <w:pStyle w:val="Stilius1"/>
        <w:rPr>
          <w:rFonts w:eastAsia="Times New Roman"/>
          <w:iCs/>
          <w:noProof/>
          <w:lang w:eastAsia="lt-LT" w:bidi="lt-LT"/>
        </w:rPr>
      </w:pPr>
      <w:r w:rsidRPr="004D4A14">
        <w:rPr>
          <w:noProof/>
          <w:lang w:eastAsia="lt-LT" w:bidi="lt-LT"/>
        </w:rPr>
        <w:t xml:space="preserve">Veiksmai, užtikrinantys lygybę, įtrauktį ir nediskriminavimą </w:t>
      </w:r>
    </w:p>
    <w:tbl>
      <w:tblPr>
        <w:tblStyle w:val="Lentelstinklelis"/>
        <w:tblW w:w="0" w:type="auto"/>
        <w:tblLook w:val="04A0" w:firstRow="1" w:lastRow="0" w:firstColumn="1" w:lastColumn="0" w:noHBand="0" w:noVBand="1"/>
      </w:tblPr>
      <w:tblGrid>
        <w:gridCol w:w="9628"/>
      </w:tblGrid>
      <w:tr w:rsidR="002041B2" w:rsidRPr="004D4A14" w14:paraId="6F3A1C72" w14:textId="77777777" w:rsidTr="0010605B">
        <w:trPr>
          <w:trHeight w:val="82"/>
        </w:trPr>
        <w:tc>
          <w:tcPr>
            <w:tcW w:w="9854" w:type="dxa"/>
          </w:tcPr>
          <w:p w14:paraId="513BED0B" w14:textId="77777777" w:rsidR="002041B2" w:rsidRPr="004D4A14" w:rsidRDefault="002041B2" w:rsidP="0010605B">
            <w:pPr>
              <w:spacing w:before="60" w:after="60"/>
              <w:jc w:val="both"/>
              <w:rPr>
                <w:rFonts w:eastAsia="Calibri" w:cs="Times New Roman"/>
                <w:noProof/>
                <w:sz w:val="22"/>
                <w:lang w:eastAsia="lt-LT" w:bidi="lt-LT"/>
              </w:rPr>
            </w:pPr>
            <w:r w:rsidRPr="004D4A14">
              <w:rPr>
                <w:rFonts w:eastAsia="Calibri" w:cs="Times New Roman"/>
                <w:noProof/>
                <w:sz w:val="22"/>
                <w:lang w:eastAsia="lt-LT" w:bidi="lt-LT"/>
              </w:rPr>
              <w:t>Vykdant numatytas veiklas, pagal kurias investuojama į socialinio būsto fondo plėtrą,</w:t>
            </w:r>
            <w:r w:rsidRPr="004D4A14">
              <w:rPr>
                <w:rFonts w:eastAsia="Calibri" w:cs="Times New Roman"/>
                <w:b/>
                <w:bCs/>
                <w:i/>
                <w:iCs/>
                <w:noProof/>
                <w:sz w:val="22"/>
                <w:lang w:eastAsia="lt-LT" w:bidi="lt-LT"/>
              </w:rPr>
              <w:t xml:space="preserve"> </w:t>
            </w:r>
            <w:r w:rsidRPr="004D4A14">
              <w:rPr>
                <w:rFonts w:eastAsia="Calibri" w:cs="Times New Roman"/>
                <w:noProof/>
                <w:sz w:val="22"/>
                <w:lang w:eastAsia="lt-LT" w:bidi="lt-LT"/>
              </w:rPr>
              <w:t>bus įgyvendinamas nediskriminavimo dėl lyties, rasės, tautybės, pilietybės, kalbos, kilmės, socialinės padėties, tikėjimo, įsitikinimų ar pažiūrų, amžiaus, negalios, lytinės orientacijos, etninės priklausomybės, religijos ar kitų tapatybių principas – kuriama infrastruktūra, pagal poreikį, bus pritaikoma pagal universalaus dizaino principus.</w:t>
            </w:r>
          </w:p>
          <w:p w14:paraId="0301983D" w14:textId="77777777" w:rsidR="002041B2" w:rsidRPr="004D4A14" w:rsidRDefault="002041B2" w:rsidP="0010605B">
            <w:pPr>
              <w:spacing w:before="60" w:after="60"/>
              <w:jc w:val="both"/>
              <w:rPr>
                <w:b/>
                <w:bCs/>
                <w:i/>
                <w:iCs/>
                <w:sz w:val="22"/>
              </w:rPr>
            </w:pPr>
            <w:r w:rsidRPr="004D4A14">
              <w:rPr>
                <w:rFonts w:eastAsia="Calibri"/>
                <w:bCs/>
                <w:noProof/>
                <w:sz w:val="22"/>
                <w:lang w:eastAsia="lt-LT" w:bidi="lt-LT"/>
              </w:rPr>
              <w:t>Vadovaujantis nacionaliniais teisės aktais, parama būstui išsinuomoti (nuomojant socialinį būstą) teikiama, be kita ko, vadovaujantis lygiateisiškumo principu – parama būstui išsinuomoti teikiama užtikrinant asmenų ir šeimų lygybę.</w:t>
            </w:r>
          </w:p>
        </w:tc>
      </w:tr>
    </w:tbl>
    <w:p w14:paraId="23623BC7" w14:textId="77777777" w:rsidR="002041B2" w:rsidRPr="004D4A14" w:rsidRDefault="002041B2" w:rsidP="002041B2">
      <w:pPr>
        <w:pStyle w:val="Stilius1"/>
      </w:pPr>
      <w:r w:rsidRPr="004D4A14">
        <w:t>Konkrečios tikslinės teritorijos, įskaitant planuojamą teritorinių priemonių panaudojimą</w:t>
      </w:r>
    </w:p>
    <w:tbl>
      <w:tblPr>
        <w:tblStyle w:val="Lentelstinklelis2"/>
        <w:tblW w:w="0" w:type="auto"/>
        <w:tblLook w:val="04A0" w:firstRow="1" w:lastRow="0" w:firstColumn="1" w:lastColumn="0" w:noHBand="0" w:noVBand="1"/>
      </w:tblPr>
      <w:tblGrid>
        <w:gridCol w:w="9628"/>
      </w:tblGrid>
      <w:tr w:rsidR="002041B2" w:rsidRPr="004D4A14" w14:paraId="1D4BECC2" w14:textId="77777777" w:rsidTr="0010605B">
        <w:tc>
          <w:tcPr>
            <w:tcW w:w="9854" w:type="dxa"/>
          </w:tcPr>
          <w:p w14:paraId="0A9BFD2A" w14:textId="77777777" w:rsidR="002041B2" w:rsidRPr="004D4A14" w:rsidRDefault="002041B2" w:rsidP="0010605B">
            <w:pPr>
              <w:spacing w:before="60" w:after="60"/>
              <w:jc w:val="both"/>
              <w:rPr>
                <w:rFonts w:ascii="Times New Roman" w:hAnsi="Times New Roman" w:cs="Times New Roman"/>
                <w:iCs/>
                <w:spacing w:val="-4"/>
              </w:rPr>
            </w:pPr>
            <w:r w:rsidRPr="004D4A14">
              <w:rPr>
                <w:rFonts w:ascii="Times New Roman" w:eastAsia="Calibri" w:hAnsi="Times New Roman" w:cs="Times New Roman"/>
                <w:noProof/>
                <w:lang w:eastAsia="lt-LT" w:bidi="lt-LT"/>
              </w:rPr>
              <w:t>VVL regionas, Sostinės regionas</w:t>
            </w:r>
          </w:p>
        </w:tc>
      </w:tr>
    </w:tbl>
    <w:p w14:paraId="04C6804F" w14:textId="77777777" w:rsidR="002041B2" w:rsidRPr="004D4A14" w:rsidRDefault="002041B2" w:rsidP="002041B2">
      <w:pPr>
        <w:pStyle w:val="Stilius1"/>
        <w:rPr>
          <w:rFonts w:cs="Times New Roman"/>
          <w:sz w:val="22"/>
        </w:rPr>
      </w:pPr>
      <w:r w:rsidRPr="004D4A14">
        <w:rPr>
          <w:rFonts w:cs="Times New Roman"/>
          <w:sz w:val="22"/>
        </w:rPr>
        <w:t>Tarpregioniniai, tarp sienų ir tarpvalstybiniai veiksmai</w:t>
      </w:r>
    </w:p>
    <w:tbl>
      <w:tblPr>
        <w:tblStyle w:val="Lentelstinklelis2"/>
        <w:tblW w:w="0" w:type="auto"/>
        <w:tblLook w:val="04A0" w:firstRow="1" w:lastRow="0" w:firstColumn="1" w:lastColumn="0" w:noHBand="0" w:noVBand="1"/>
      </w:tblPr>
      <w:tblGrid>
        <w:gridCol w:w="9628"/>
      </w:tblGrid>
      <w:tr w:rsidR="002041B2" w:rsidRPr="004D4A14" w14:paraId="62A09FDB" w14:textId="77777777" w:rsidTr="0010605B">
        <w:tc>
          <w:tcPr>
            <w:tcW w:w="9854" w:type="dxa"/>
          </w:tcPr>
          <w:p w14:paraId="4E350228" w14:textId="77777777" w:rsidR="002041B2" w:rsidRPr="004D4A14" w:rsidRDefault="002041B2" w:rsidP="0010605B">
            <w:pPr>
              <w:spacing w:before="120" w:after="120"/>
              <w:jc w:val="both"/>
              <w:rPr>
                <w:rFonts w:ascii="Times New Roman" w:hAnsi="Times New Roman" w:cs="Times New Roman"/>
              </w:rPr>
            </w:pPr>
            <w:r w:rsidRPr="004D4A14">
              <w:rPr>
                <w:rFonts w:ascii="Times New Roman" w:hAnsi="Times New Roman" w:cs="Times New Roman"/>
              </w:rPr>
              <w:lastRenderedPageBreak/>
              <w:t>-</w:t>
            </w:r>
          </w:p>
        </w:tc>
      </w:tr>
    </w:tbl>
    <w:p w14:paraId="472180E8" w14:textId="77777777" w:rsidR="002041B2" w:rsidRPr="004D4A14" w:rsidRDefault="002041B2" w:rsidP="002041B2">
      <w:pPr>
        <w:pStyle w:val="Stilius1"/>
      </w:pPr>
      <w:r w:rsidRPr="004D4A14">
        <w:t>Planuojamas finansinių priemonių naudojimas</w:t>
      </w:r>
    </w:p>
    <w:tbl>
      <w:tblPr>
        <w:tblStyle w:val="Lentelstinklelis2"/>
        <w:tblW w:w="0" w:type="auto"/>
        <w:tblLook w:val="04A0" w:firstRow="1" w:lastRow="0" w:firstColumn="1" w:lastColumn="0" w:noHBand="0" w:noVBand="1"/>
      </w:tblPr>
      <w:tblGrid>
        <w:gridCol w:w="9628"/>
      </w:tblGrid>
      <w:tr w:rsidR="002041B2" w:rsidRPr="004D4A14" w14:paraId="1F9FB3F5" w14:textId="77777777" w:rsidTr="0010605B">
        <w:tc>
          <w:tcPr>
            <w:tcW w:w="9854" w:type="dxa"/>
          </w:tcPr>
          <w:p w14:paraId="6B5B10C8" w14:textId="77777777" w:rsidR="002041B2" w:rsidRPr="004D4A14" w:rsidRDefault="002041B2" w:rsidP="0010605B">
            <w:pPr>
              <w:spacing w:before="120" w:after="120"/>
              <w:jc w:val="both"/>
              <w:rPr>
                <w:rFonts w:ascii="Times New Roman" w:eastAsia="Calibri" w:hAnsi="Times New Roman" w:cs="Times New Roman"/>
                <w:lang w:eastAsia="lt-LT"/>
              </w:rPr>
            </w:pPr>
            <w:r w:rsidRPr="004D4A14">
              <w:rPr>
                <w:rFonts w:ascii="Times New Roman" w:eastAsia="Calibri" w:hAnsi="Times New Roman" w:cs="Times New Roman"/>
                <w:lang w:eastAsia="lt-LT"/>
              </w:rPr>
              <w:t>-</w:t>
            </w:r>
          </w:p>
        </w:tc>
      </w:tr>
    </w:tbl>
    <w:p w14:paraId="4CC775AD" w14:textId="77777777" w:rsidR="002041B2" w:rsidRPr="004D4A14" w:rsidRDefault="002041B2" w:rsidP="002041B2">
      <w:pPr>
        <w:pStyle w:val="Stilius1"/>
      </w:pPr>
      <w:r w:rsidRPr="004D4A14">
        <w:t>Rodikliai</w:t>
      </w:r>
    </w:p>
    <w:p w14:paraId="1AFA461E" w14:textId="77777777" w:rsidR="002041B2" w:rsidRPr="004D4A14" w:rsidRDefault="002041B2" w:rsidP="002041B2">
      <w:pPr>
        <w:spacing w:before="240" w:after="0" w:line="240" w:lineRule="auto"/>
        <w:jc w:val="both"/>
        <w:rPr>
          <w:rFonts w:cs="Times New Roman"/>
          <w:b/>
          <w:sz w:val="22"/>
        </w:rPr>
      </w:pPr>
      <w:r w:rsidRPr="004D4A14">
        <w:rPr>
          <w:rFonts w:cs="Times New Roman"/>
          <w:b/>
          <w:sz w:val="22"/>
        </w:rPr>
        <w:t>2 lentelė. Produkto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944"/>
        <w:gridCol w:w="830"/>
        <w:gridCol w:w="965"/>
        <w:gridCol w:w="1239"/>
        <w:gridCol w:w="1789"/>
        <w:gridCol w:w="974"/>
        <w:gridCol w:w="967"/>
        <w:gridCol w:w="922"/>
      </w:tblGrid>
      <w:tr w:rsidR="002041B2" w:rsidRPr="004D4A14" w14:paraId="396CFAB5" w14:textId="77777777" w:rsidTr="0010605B">
        <w:trPr>
          <w:trHeight w:val="1043"/>
          <w:tblHeader/>
        </w:trPr>
        <w:tc>
          <w:tcPr>
            <w:tcW w:w="509"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E609F54" w14:textId="77777777" w:rsidR="002041B2" w:rsidRPr="004D4A14" w:rsidRDefault="002041B2" w:rsidP="0010605B">
            <w:pPr>
              <w:spacing w:after="0" w:line="240" w:lineRule="auto"/>
              <w:jc w:val="center"/>
              <w:rPr>
                <w:rFonts w:cs="Times New Roman"/>
                <w:b/>
                <w:noProof/>
                <w:sz w:val="16"/>
                <w:szCs w:val="16"/>
              </w:rPr>
            </w:pPr>
            <w:r w:rsidRPr="004D4A14">
              <w:rPr>
                <w:rFonts w:cs="Times New Roman"/>
                <w:b/>
                <w:noProof/>
                <w:sz w:val="16"/>
                <w:szCs w:val="16"/>
              </w:rPr>
              <w:t>Prioritetas</w:t>
            </w:r>
          </w:p>
        </w:tc>
        <w:tc>
          <w:tcPr>
            <w:tcW w:w="49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BCD165C" w14:textId="77777777" w:rsidR="002041B2" w:rsidRPr="004D4A14" w:rsidRDefault="002041B2" w:rsidP="0010605B">
            <w:pPr>
              <w:spacing w:after="0" w:line="240" w:lineRule="auto"/>
              <w:jc w:val="center"/>
              <w:rPr>
                <w:rFonts w:cs="Times New Roman"/>
                <w:b/>
                <w:noProof/>
                <w:sz w:val="16"/>
                <w:szCs w:val="16"/>
              </w:rPr>
            </w:pPr>
            <w:r w:rsidRPr="004D4A14">
              <w:rPr>
                <w:rFonts w:cs="Times New Roman"/>
                <w:b/>
                <w:noProof/>
                <w:sz w:val="16"/>
                <w:szCs w:val="16"/>
              </w:rPr>
              <w:t>Konkre-tus uždavi-nys</w:t>
            </w:r>
          </w:p>
        </w:tc>
        <w:tc>
          <w:tcPr>
            <w:tcW w:w="43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5DF8DC7" w14:textId="77777777" w:rsidR="002041B2" w:rsidRPr="004D4A14" w:rsidRDefault="002041B2" w:rsidP="0010605B">
            <w:pPr>
              <w:spacing w:after="0" w:line="240" w:lineRule="auto"/>
              <w:jc w:val="center"/>
              <w:rPr>
                <w:rFonts w:cs="Times New Roman"/>
                <w:b/>
                <w:noProof/>
                <w:sz w:val="16"/>
                <w:szCs w:val="16"/>
              </w:rPr>
            </w:pPr>
            <w:r w:rsidRPr="004D4A14">
              <w:rPr>
                <w:rFonts w:cs="Times New Roman"/>
                <w:b/>
                <w:noProof/>
                <w:sz w:val="16"/>
                <w:szCs w:val="16"/>
              </w:rPr>
              <w:t>Fondas</w:t>
            </w:r>
          </w:p>
        </w:tc>
        <w:tc>
          <w:tcPr>
            <w:tcW w:w="502"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C4EFAA4" w14:textId="77777777" w:rsidR="002041B2" w:rsidRPr="004D4A14" w:rsidRDefault="002041B2" w:rsidP="0010605B">
            <w:pPr>
              <w:spacing w:after="0" w:line="240" w:lineRule="auto"/>
              <w:jc w:val="center"/>
              <w:rPr>
                <w:rFonts w:cs="Times New Roman"/>
                <w:b/>
                <w:noProof/>
                <w:sz w:val="16"/>
                <w:szCs w:val="16"/>
              </w:rPr>
            </w:pPr>
            <w:r w:rsidRPr="004D4A14">
              <w:rPr>
                <w:rFonts w:cs="Times New Roman"/>
                <w:b/>
                <w:noProof/>
                <w:sz w:val="16"/>
                <w:szCs w:val="16"/>
              </w:rPr>
              <w:t>Regiono kategorija</w:t>
            </w:r>
          </w:p>
        </w:tc>
        <w:tc>
          <w:tcPr>
            <w:tcW w:w="645"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CF2160F" w14:textId="77777777" w:rsidR="002041B2" w:rsidRPr="004D4A14" w:rsidRDefault="002041B2" w:rsidP="0010605B">
            <w:pPr>
              <w:spacing w:after="0" w:line="240" w:lineRule="auto"/>
              <w:jc w:val="center"/>
              <w:rPr>
                <w:rFonts w:cs="Times New Roman"/>
                <w:b/>
                <w:noProof/>
                <w:sz w:val="16"/>
                <w:szCs w:val="16"/>
              </w:rPr>
            </w:pPr>
            <w:r w:rsidRPr="004D4A14">
              <w:rPr>
                <w:rFonts w:cs="Times New Roman"/>
                <w:b/>
                <w:noProof/>
                <w:sz w:val="16"/>
                <w:szCs w:val="16"/>
              </w:rPr>
              <w:t>Identifikavimo numeris</w:t>
            </w:r>
          </w:p>
        </w:tc>
        <w:tc>
          <w:tcPr>
            <w:tcW w:w="931"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E4504EF" w14:textId="77777777" w:rsidR="002041B2" w:rsidRPr="004D4A14" w:rsidRDefault="002041B2" w:rsidP="0010605B">
            <w:pPr>
              <w:spacing w:after="0" w:line="240" w:lineRule="auto"/>
              <w:jc w:val="center"/>
              <w:rPr>
                <w:rFonts w:cs="Times New Roman"/>
                <w:b/>
                <w:noProof/>
                <w:sz w:val="16"/>
                <w:szCs w:val="16"/>
              </w:rPr>
            </w:pPr>
            <w:r w:rsidRPr="004D4A14">
              <w:rPr>
                <w:rFonts w:cs="Times New Roman"/>
                <w:b/>
                <w:noProof/>
                <w:sz w:val="16"/>
                <w:szCs w:val="16"/>
              </w:rPr>
              <w:t>Rodiklis</w:t>
            </w:r>
          </w:p>
        </w:tc>
        <w:tc>
          <w:tcPr>
            <w:tcW w:w="507"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08DB033E" w14:textId="77777777" w:rsidR="002041B2" w:rsidRPr="004D4A14" w:rsidRDefault="002041B2" w:rsidP="0010605B">
            <w:pPr>
              <w:spacing w:after="0" w:line="240" w:lineRule="auto"/>
              <w:jc w:val="center"/>
              <w:rPr>
                <w:rFonts w:cs="Times New Roman"/>
                <w:b/>
                <w:noProof/>
                <w:sz w:val="16"/>
                <w:szCs w:val="16"/>
              </w:rPr>
            </w:pPr>
            <w:r w:rsidRPr="004D4A14">
              <w:rPr>
                <w:rFonts w:cs="Times New Roman"/>
                <w:b/>
                <w:noProof/>
                <w:sz w:val="16"/>
                <w:szCs w:val="16"/>
              </w:rPr>
              <w:t>Matavimo vienetas</w:t>
            </w:r>
          </w:p>
        </w:tc>
        <w:tc>
          <w:tcPr>
            <w:tcW w:w="503"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51820C3" w14:textId="77777777" w:rsidR="002041B2" w:rsidRPr="004D4A14" w:rsidRDefault="002041B2" w:rsidP="0010605B">
            <w:pPr>
              <w:spacing w:after="0" w:line="240" w:lineRule="auto"/>
              <w:jc w:val="center"/>
              <w:rPr>
                <w:rFonts w:cs="Times New Roman"/>
                <w:b/>
                <w:noProof/>
                <w:sz w:val="16"/>
                <w:szCs w:val="16"/>
              </w:rPr>
            </w:pPr>
            <w:r w:rsidRPr="004D4A14">
              <w:rPr>
                <w:rFonts w:cs="Times New Roman"/>
                <w:b/>
                <w:noProof/>
                <w:sz w:val="16"/>
                <w:szCs w:val="16"/>
              </w:rPr>
              <w:t>Tarpinė reikšmė (2024 m.)</w:t>
            </w:r>
          </w:p>
        </w:tc>
        <w:tc>
          <w:tcPr>
            <w:tcW w:w="480" w:type="pct"/>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9ADBE5F" w14:textId="77777777" w:rsidR="002041B2" w:rsidRPr="004D4A14" w:rsidRDefault="002041B2" w:rsidP="0010605B">
            <w:pPr>
              <w:spacing w:after="0" w:line="240" w:lineRule="auto"/>
              <w:jc w:val="center"/>
              <w:rPr>
                <w:rFonts w:cs="Times New Roman"/>
                <w:b/>
                <w:noProof/>
                <w:sz w:val="16"/>
                <w:szCs w:val="16"/>
              </w:rPr>
            </w:pPr>
            <w:r w:rsidRPr="004D4A14">
              <w:rPr>
                <w:rFonts w:cs="Times New Roman"/>
                <w:b/>
                <w:noProof/>
                <w:sz w:val="16"/>
                <w:szCs w:val="16"/>
              </w:rPr>
              <w:t>Siektina reikšmė (2029 m.)</w:t>
            </w:r>
          </w:p>
        </w:tc>
      </w:tr>
      <w:tr w:rsidR="002041B2" w:rsidRPr="004D4A14" w14:paraId="24BF6792" w14:textId="77777777" w:rsidTr="0010605B">
        <w:trPr>
          <w:trHeight w:val="1676"/>
        </w:trPr>
        <w:tc>
          <w:tcPr>
            <w:tcW w:w="509" w:type="pct"/>
            <w:vMerge w:val="restart"/>
            <w:tcBorders>
              <w:top w:val="single" w:sz="12" w:space="0" w:color="auto"/>
            </w:tcBorders>
          </w:tcPr>
          <w:p w14:paraId="24DAD470" w14:textId="77777777" w:rsidR="002041B2" w:rsidRPr="004D4A14" w:rsidRDefault="002041B2" w:rsidP="0010605B">
            <w:pPr>
              <w:spacing w:after="0" w:line="240" w:lineRule="auto"/>
              <w:jc w:val="both"/>
              <w:rPr>
                <w:rFonts w:cs="Times New Roman"/>
                <w:noProof/>
                <w:sz w:val="16"/>
                <w:szCs w:val="16"/>
              </w:rPr>
            </w:pPr>
            <w:r w:rsidRPr="004D4A14">
              <w:rPr>
                <w:rFonts w:cs="Times New Roman"/>
                <w:noProof/>
                <w:sz w:val="16"/>
                <w:szCs w:val="16"/>
              </w:rPr>
              <w:t xml:space="preserve">17. </w:t>
            </w:r>
          </w:p>
        </w:tc>
        <w:tc>
          <w:tcPr>
            <w:tcW w:w="491" w:type="pct"/>
            <w:vMerge w:val="restart"/>
            <w:tcBorders>
              <w:top w:val="single" w:sz="12" w:space="0" w:color="auto"/>
            </w:tcBorders>
          </w:tcPr>
          <w:p w14:paraId="7A1488A0" w14:textId="77777777" w:rsidR="002041B2" w:rsidRPr="004D4A14" w:rsidRDefault="002041B2" w:rsidP="0010605B">
            <w:pPr>
              <w:spacing w:after="0" w:line="240" w:lineRule="auto"/>
              <w:jc w:val="both"/>
              <w:rPr>
                <w:rFonts w:cs="Times New Roman"/>
                <w:noProof/>
                <w:sz w:val="16"/>
                <w:szCs w:val="16"/>
              </w:rPr>
            </w:pPr>
            <w:r w:rsidRPr="004D4A14">
              <w:rPr>
                <w:rFonts w:cs="Times New Roman"/>
                <w:noProof/>
                <w:sz w:val="16"/>
                <w:szCs w:val="16"/>
              </w:rPr>
              <w:t xml:space="preserve">17.1 </w:t>
            </w:r>
          </w:p>
        </w:tc>
        <w:tc>
          <w:tcPr>
            <w:tcW w:w="432" w:type="pct"/>
            <w:vMerge w:val="restart"/>
            <w:tcBorders>
              <w:top w:val="single" w:sz="12" w:space="0" w:color="auto"/>
            </w:tcBorders>
          </w:tcPr>
          <w:p w14:paraId="00CA6E52" w14:textId="77777777" w:rsidR="002041B2" w:rsidRPr="004D4A14" w:rsidRDefault="002041B2" w:rsidP="0010605B">
            <w:pPr>
              <w:spacing w:after="0" w:line="240" w:lineRule="auto"/>
              <w:jc w:val="both"/>
              <w:rPr>
                <w:rFonts w:cs="Times New Roman"/>
                <w:noProof/>
                <w:sz w:val="16"/>
                <w:szCs w:val="16"/>
              </w:rPr>
            </w:pPr>
            <w:r w:rsidRPr="004D4A14">
              <w:rPr>
                <w:rFonts w:cs="Times New Roman"/>
                <w:noProof/>
                <w:sz w:val="16"/>
                <w:szCs w:val="16"/>
              </w:rPr>
              <w:t>ERPF</w:t>
            </w:r>
          </w:p>
        </w:tc>
        <w:tc>
          <w:tcPr>
            <w:tcW w:w="502" w:type="pct"/>
            <w:tcBorders>
              <w:top w:val="single" w:sz="12" w:space="0" w:color="auto"/>
            </w:tcBorders>
          </w:tcPr>
          <w:p w14:paraId="70F6ED91" w14:textId="77777777" w:rsidR="002041B2" w:rsidRPr="004D4A14" w:rsidRDefault="002041B2" w:rsidP="0010605B">
            <w:pPr>
              <w:spacing w:after="0" w:line="240" w:lineRule="auto"/>
              <w:jc w:val="both"/>
              <w:rPr>
                <w:rFonts w:cs="Times New Roman"/>
                <w:noProof/>
                <w:sz w:val="16"/>
                <w:szCs w:val="16"/>
              </w:rPr>
            </w:pPr>
            <w:r w:rsidRPr="004D4A14">
              <w:rPr>
                <w:rFonts w:cs="Times New Roman"/>
                <w:noProof/>
                <w:sz w:val="16"/>
                <w:szCs w:val="16"/>
              </w:rPr>
              <w:t>Sostinės regionas</w:t>
            </w:r>
          </w:p>
        </w:tc>
        <w:tc>
          <w:tcPr>
            <w:tcW w:w="645" w:type="pct"/>
            <w:tcBorders>
              <w:top w:val="single" w:sz="12" w:space="0" w:color="auto"/>
            </w:tcBorders>
          </w:tcPr>
          <w:p w14:paraId="4C04D334" w14:textId="77777777" w:rsidR="002041B2" w:rsidRPr="004D4A14" w:rsidRDefault="002041B2" w:rsidP="0010605B">
            <w:pPr>
              <w:spacing w:after="0" w:line="240" w:lineRule="auto"/>
              <w:ind w:left="69"/>
              <w:rPr>
                <w:rFonts w:eastAsia="Calibri" w:cs="Times New Roman"/>
                <w:sz w:val="16"/>
                <w:szCs w:val="16"/>
              </w:rPr>
            </w:pPr>
            <w:r w:rsidRPr="004D4A14">
              <w:rPr>
                <w:rFonts w:eastAsia="Calibri" w:cs="Times New Roman"/>
                <w:sz w:val="16"/>
                <w:szCs w:val="16"/>
              </w:rPr>
              <w:t>RCO65 </w:t>
            </w:r>
          </w:p>
          <w:p w14:paraId="70275D1C" w14:textId="77777777" w:rsidR="002041B2" w:rsidRPr="004D4A14" w:rsidRDefault="002041B2" w:rsidP="0010605B">
            <w:pPr>
              <w:spacing w:after="0" w:line="240" w:lineRule="auto"/>
              <w:jc w:val="both"/>
              <w:rPr>
                <w:rFonts w:eastAsia="Calibri" w:cs="Times New Roman"/>
                <w:sz w:val="16"/>
                <w:szCs w:val="16"/>
                <w:lang w:eastAsia="en-GB" w:bidi="lt-LT"/>
              </w:rPr>
            </w:pPr>
          </w:p>
        </w:tc>
        <w:tc>
          <w:tcPr>
            <w:tcW w:w="931" w:type="pct"/>
            <w:tcBorders>
              <w:top w:val="single" w:sz="12" w:space="0" w:color="auto"/>
            </w:tcBorders>
          </w:tcPr>
          <w:p w14:paraId="312BF89A" w14:textId="77777777" w:rsidR="002041B2" w:rsidRPr="004D4A14" w:rsidRDefault="002041B2" w:rsidP="00E01FFD">
            <w:pPr>
              <w:tabs>
                <w:tab w:val="left" w:pos="315"/>
                <w:tab w:val="left" w:pos="457"/>
              </w:tabs>
              <w:spacing w:after="0" w:line="240" w:lineRule="auto"/>
              <w:contextualSpacing/>
              <w:rPr>
                <w:rFonts w:eastAsia="Calibri" w:cs="Times New Roman"/>
                <w:sz w:val="16"/>
                <w:szCs w:val="16"/>
                <w:lang w:eastAsia="en-GB" w:bidi="lt-LT"/>
              </w:rPr>
            </w:pPr>
            <w:r w:rsidRPr="004D4A14">
              <w:rPr>
                <w:rFonts w:eastAsia="Calibri" w:cs="Times New Roman"/>
                <w:sz w:val="16"/>
                <w:szCs w:val="16"/>
              </w:rPr>
              <w:t>Naujų arba modernizuotų prieinamų, tvarių ir socialinių būstų talpumas</w:t>
            </w:r>
          </w:p>
        </w:tc>
        <w:tc>
          <w:tcPr>
            <w:tcW w:w="507" w:type="pct"/>
            <w:tcBorders>
              <w:top w:val="single" w:sz="12" w:space="0" w:color="auto"/>
            </w:tcBorders>
          </w:tcPr>
          <w:p w14:paraId="7EED087A" w14:textId="77777777" w:rsidR="002041B2" w:rsidRPr="004D4A14" w:rsidRDefault="002041B2" w:rsidP="0010605B">
            <w:pPr>
              <w:spacing w:after="0" w:line="240" w:lineRule="auto"/>
              <w:jc w:val="both"/>
              <w:rPr>
                <w:rFonts w:eastAsia="Times New Roman" w:cs="Times New Roman"/>
                <w:iCs/>
                <w:sz w:val="16"/>
                <w:szCs w:val="16"/>
                <w:lang w:eastAsia="lt-LT"/>
              </w:rPr>
            </w:pPr>
            <w:r w:rsidRPr="004D4A14">
              <w:rPr>
                <w:rFonts w:eastAsia="Times New Roman" w:cs="Times New Roman"/>
                <w:iCs/>
                <w:sz w:val="16"/>
                <w:szCs w:val="16"/>
                <w:lang w:eastAsia="lt-LT"/>
              </w:rPr>
              <w:t>Asmenys</w:t>
            </w:r>
          </w:p>
        </w:tc>
        <w:tc>
          <w:tcPr>
            <w:tcW w:w="503" w:type="pct"/>
            <w:tcBorders>
              <w:top w:val="single" w:sz="12" w:space="0" w:color="auto"/>
            </w:tcBorders>
          </w:tcPr>
          <w:p w14:paraId="666B3D09" w14:textId="77777777" w:rsidR="002041B2" w:rsidRPr="004D4A14" w:rsidRDefault="002041B2" w:rsidP="0010605B">
            <w:pPr>
              <w:spacing w:after="0" w:line="240" w:lineRule="auto"/>
              <w:jc w:val="center"/>
              <w:rPr>
                <w:rFonts w:cs="Times New Roman"/>
                <w:bCs/>
                <w:noProof/>
                <w:sz w:val="16"/>
                <w:szCs w:val="16"/>
              </w:rPr>
            </w:pPr>
            <w:r w:rsidRPr="004D4A14">
              <w:rPr>
                <w:rFonts w:cs="Times New Roman"/>
                <w:bCs/>
                <w:noProof/>
                <w:sz w:val="16"/>
                <w:szCs w:val="16"/>
              </w:rPr>
              <w:t>0</w:t>
            </w:r>
          </w:p>
        </w:tc>
        <w:tc>
          <w:tcPr>
            <w:tcW w:w="480" w:type="pct"/>
            <w:tcBorders>
              <w:top w:val="single" w:sz="12" w:space="0" w:color="auto"/>
            </w:tcBorders>
          </w:tcPr>
          <w:p w14:paraId="3B1160E8" w14:textId="77777777" w:rsidR="002041B2" w:rsidRPr="004D4A14" w:rsidRDefault="002041B2" w:rsidP="0010605B">
            <w:pPr>
              <w:spacing w:after="0" w:line="240" w:lineRule="auto"/>
              <w:jc w:val="center"/>
              <w:rPr>
                <w:rFonts w:cs="Times New Roman"/>
                <w:bCs/>
                <w:noProof/>
                <w:sz w:val="16"/>
                <w:szCs w:val="16"/>
              </w:rPr>
            </w:pPr>
            <w:r w:rsidRPr="004D4A14">
              <w:rPr>
                <w:rFonts w:cs="Times New Roman"/>
                <w:bCs/>
                <w:noProof/>
                <w:sz w:val="16"/>
                <w:szCs w:val="16"/>
              </w:rPr>
              <w:t>822</w:t>
            </w:r>
          </w:p>
        </w:tc>
      </w:tr>
      <w:tr w:rsidR="002041B2" w:rsidRPr="004D4A14" w14:paraId="68AC8E55" w14:textId="77777777" w:rsidTr="0010605B">
        <w:trPr>
          <w:trHeight w:val="332"/>
        </w:trPr>
        <w:tc>
          <w:tcPr>
            <w:tcW w:w="509" w:type="pct"/>
            <w:vMerge/>
          </w:tcPr>
          <w:p w14:paraId="5DF503DC" w14:textId="77777777" w:rsidR="002041B2" w:rsidRPr="004D4A14" w:rsidRDefault="002041B2" w:rsidP="0010605B">
            <w:pPr>
              <w:spacing w:after="0" w:line="240" w:lineRule="auto"/>
              <w:jc w:val="both"/>
              <w:rPr>
                <w:rFonts w:cs="Times New Roman"/>
                <w:noProof/>
                <w:sz w:val="20"/>
                <w:szCs w:val="20"/>
              </w:rPr>
            </w:pPr>
          </w:p>
        </w:tc>
        <w:tc>
          <w:tcPr>
            <w:tcW w:w="491" w:type="pct"/>
            <w:vMerge/>
          </w:tcPr>
          <w:p w14:paraId="1BA1F520" w14:textId="77777777" w:rsidR="002041B2" w:rsidRPr="004D4A14" w:rsidRDefault="002041B2" w:rsidP="0010605B">
            <w:pPr>
              <w:spacing w:after="0" w:line="240" w:lineRule="auto"/>
              <w:jc w:val="both"/>
              <w:rPr>
                <w:rFonts w:cs="Times New Roman"/>
                <w:noProof/>
                <w:sz w:val="20"/>
                <w:szCs w:val="20"/>
              </w:rPr>
            </w:pPr>
          </w:p>
        </w:tc>
        <w:tc>
          <w:tcPr>
            <w:tcW w:w="432" w:type="pct"/>
            <w:vMerge/>
          </w:tcPr>
          <w:p w14:paraId="2F459D2D" w14:textId="77777777" w:rsidR="002041B2" w:rsidRPr="004D4A14" w:rsidRDefault="002041B2" w:rsidP="0010605B">
            <w:pPr>
              <w:spacing w:after="0" w:line="240" w:lineRule="auto"/>
              <w:jc w:val="both"/>
              <w:rPr>
                <w:rFonts w:cs="Times New Roman"/>
                <w:noProof/>
                <w:sz w:val="20"/>
                <w:szCs w:val="20"/>
              </w:rPr>
            </w:pPr>
          </w:p>
        </w:tc>
        <w:tc>
          <w:tcPr>
            <w:tcW w:w="502" w:type="pct"/>
          </w:tcPr>
          <w:p w14:paraId="1CAB84F1" w14:textId="77777777" w:rsidR="002041B2" w:rsidRPr="004D4A14" w:rsidRDefault="002041B2" w:rsidP="0010605B">
            <w:pPr>
              <w:spacing w:after="0" w:line="240" w:lineRule="auto"/>
              <w:jc w:val="both"/>
              <w:rPr>
                <w:rFonts w:cs="Times New Roman"/>
                <w:noProof/>
                <w:sz w:val="16"/>
                <w:szCs w:val="16"/>
              </w:rPr>
            </w:pPr>
            <w:r w:rsidRPr="004D4A14">
              <w:rPr>
                <w:rFonts w:cs="Times New Roman"/>
                <w:noProof/>
                <w:sz w:val="16"/>
                <w:szCs w:val="16"/>
              </w:rPr>
              <w:t>VVL regionas</w:t>
            </w:r>
          </w:p>
        </w:tc>
        <w:tc>
          <w:tcPr>
            <w:tcW w:w="645" w:type="pct"/>
            <w:tcBorders>
              <w:top w:val="single" w:sz="4" w:space="0" w:color="auto"/>
              <w:bottom w:val="single" w:sz="4" w:space="0" w:color="auto"/>
            </w:tcBorders>
          </w:tcPr>
          <w:p w14:paraId="7B17D0DD" w14:textId="77777777" w:rsidR="002041B2" w:rsidRPr="004D4A14" w:rsidRDefault="002041B2" w:rsidP="0010605B">
            <w:pPr>
              <w:spacing w:after="0" w:line="240" w:lineRule="auto"/>
              <w:ind w:left="69"/>
              <w:rPr>
                <w:rFonts w:eastAsia="Calibri" w:cs="Times New Roman"/>
                <w:sz w:val="16"/>
                <w:szCs w:val="16"/>
              </w:rPr>
            </w:pPr>
            <w:r w:rsidRPr="004D4A14">
              <w:rPr>
                <w:rFonts w:eastAsia="Calibri" w:cs="Times New Roman"/>
                <w:sz w:val="16"/>
                <w:szCs w:val="16"/>
              </w:rPr>
              <w:t>RCO65 </w:t>
            </w:r>
          </w:p>
          <w:p w14:paraId="5BB49AC8" w14:textId="77777777" w:rsidR="002041B2" w:rsidRPr="004D4A14" w:rsidRDefault="002041B2" w:rsidP="0010605B">
            <w:pPr>
              <w:spacing w:after="0" w:line="240" w:lineRule="auto"/>
              <w:jc w:val="both"/>
              <w:rPr>
                <w:rFonts w:eastAsia="Calibri" w:cs="Times New Roman"/>
                <w:sz w:val="16"/>
                <w:szCs w:val="16"/>
                <w:lang w:eastAsia="en-GB" w:bidi="lt-LT"/>
              </w:rPr>
            </w:pPr>
          </w:p>
        </w:tc>
        <w:tc>
          <w:tcPr>
            <w:tcW w:w="931" w:type="pct"/>
            <w:tcBorders>
              <w:top w:val="single" w:sz="4" w:space="0" w:color="auto"/>
              <w:bottom w:val="single" w:sz="4" w:space="0" w:color="auto"/>
            </w:tcBorders>
          </w:tcPr>
          <w:p w14:paraId="3AA2C518" w14:textId="77777777" w:rsidR="002041B2" w:rsidRPr="004D4A14" w:rsidRDefault="002041B2" w:rsidP="00E01FFD">
            <w:pPr>
              <w:autoSpaceDE w:val="0"/>
              <w:autoSpaceDN w:val="0"/>
              <w:adjustRightInd w:val="0"/>
              <w:spacing w:after="0" w:line="240" w:lineRule="auto"/>
              <w:rPr>
                <w:rFonts w:eastAsia="Calibri" w:cs="Times New Roman"/>
                <w:sz w:val="16"/>
                <w:szCs w:val="16"/>
                <w:lang w:eastAsia="en-GB" w:bidi="lt-LT"/>
              </w:rPr>
            </w:pPr>
            <w:r w:rsidRPr="004D4A14">
              <w:rPr>
                <w:rFonts w:eastAsia="Calibri" w:cs="Times New Roman"/>
                <w:sz w:val="16"/>
                <w:szCs w:val="16"/>
              </w:rPr>
              <w:t>Naujų arba modernizuotų prieinamų, tvarių ir socialinių būstų talpumas</w:t>
            </w:r>
          </w:p>
        </w:tc>
        <w:tc>
          <w:tcPr>
            <w:tcW w:w="507" w:type="pct"/>
            <w:tcBorders>
              <w:top w:val="single" w:sz="4" w:space="0" w:color="auto"/>
              <w:bottom w:val="single" w:sz="4" w:space="0" w:color="auto"/>
            </w:tcBorders>
          </w:tcPr>
          <w:p w14:paraId="11700CC7" w14:textId="77777777" w:rsidR="002041B2" w:rsidRPr="004D4A14" w:rsidRDefault="002041B2" w:rsidP="0010605B">
            <w:pPr>
              <w:spacing w:after="0" w:line="240" w:lineRule="auto"/>
              <w:jc w:val="both"/>
              <w:rPr>
                <w:rFonts w:eastAsia="Times New Roman" w:cs="Times New Roman"/>
                <w:iCs/>
                <w:sz w:val="16"/>
                <w:szCs w:val="16"/>
                <w:lang w:eastAsia="lt-LT"/>
              </w:rPr>
            </w:pPr>
            <w:r w:rsidRPr="004D4A14">
              <w:rPr>
                <w:rFonts w:eastAsia="Times New Roman" w:cs="Times New Roman"/>
                <w:iCs/>
                <w:sz w:val="16"/>
                <w:szCs w:val="16"/>
                <w:lang w:eastAsia="lt-LT"/>
              </w:rPr>
              <w:t>Asmenys</w:t>
            </w:r>
          </w:p>
        </w:tc>
        <w:tc>
          <w:tcPr>
            <w:tcW w:w="503" w:type="pct"/>
            <w:tcBorders>
              <w:top w:val="single" w:sz="4" w:space="0" w:color="auto"/>
              <w:bottom w:val="single" w:sz="4" w:space="0" w:color="auto"/>
            </w:tcBorders>
          </w:tcPr>
          <w:p w14:paraId="12A6E6B8" w14:textId="77777777" w:rsidR="002041B2" w:rsidRPr="004D4A14" w:rsidRDefault="002041B2" w:rsidP="0010605B">
            <w:pPr>
              <w:spacing w:after="0" w:line="240" w:lineRule="auto"/>
              <w:jc w:val="center"/>
              <w:rPr>
                <w:rFonts w:cs="Times New Roman"/>
                <w:bCs/>
                <w:noProof/>
                <w:sz w:val="16"/>
                <w:szCs w:val="16"/>
              </w:rPr>
            </w:pPr>
            <w:r w:rsidRPr="004D4A14">
              <w:rPr>
                <w:rFonts w:cs="Times New Roman"/>
                <w:bCs/>
                <w:noProof/>
                <w:sz w:val="16"/>
                <w:szCs w:val="16"/>
              </w:rPr>
              <w:t>0</w:t>
            </w:r>
          </w:p>
        </w:tc>
        <w:tc>
          <w:tcPr>
            <w:tcW w:w="480" w:type="pct"/>
            <w:tcBorders>
              <w:top w:val="single" w:sz="4" w:space="0" w:color="auto"/>
              <w:bottom w:val="single" w:sz="4" w:space="0" w:color="auto"/>
            </w:tcBorders>
          </w:tcPr>
          <w:p w14:paraId="27EDCBB4" w14:textId="77777777" w:rsidR="002041B2" w:rsidRPr="004D4A14" w:rsidRDefault="002041B2" w:rsidP="0010605B">
            <w:pPr>
              <w:spacing w:after="0" w:line="240" w:lineRule="auto"/>
              <w:jc w:val="center"/>
              <w:rPr>
                <w:rFonts w:cs="Times New Roman"/>
                <w:bCs/>
                <w:noProof/>
                <w:sz w:val="16"/>
                <w:szCs w:val="16"/>
              </w:rPr>
            </w:pPr>
            <w:r w:rsidRPr="004D4A14">
              <w:rPr>
                <w:rFonts w:cs="Times New Roman"/>
                <w:bCs/>
                <w:noProof/>
                <w:sz w:val="16"/>
                <w:szCs w:val="16"/>
              </w:rPr>
              <w:t>968</w:t>
            </w:r>
          </w:p>
        </w:tc>
      </w:tr>
    </w:tbl>
    <w:p w14:paraId="3EDD39D5" w14:textId="77777777" w:rsidR="002041B2" w:rsidRPr="004D4A14" w:rsidRDefault="002041B2" w:rsidP="002041B2">
      <w:pPr>
        <w:spacing w:after="0" w:line="240" w:lineRule="auto"/>
        <w:jc w:val="both"/>
        <w:rPr>
          <w:rFonts w:cs="Times New Roman"/>
          <w:b/>
          <w:sz w:val="22"/>
        </w:rPr>
        <w:sectPr w:rsidR="002041B2" w:rsidRPr="004D4A14" w:rsidSect="002041B2">
          <w:footerReference w:type="first" r:id="rId22"/>
          <w:pgSz w:w="11906" w:h="16838"/>
          <w:pgMar w:top="1276" w:right="567" w:bottom="1134" w:left="1701" w:header="567" w:footer="567" w:gutter="0"/>
          <w:cols w:space="1296"/>
          <w:docGrid w:linePitch="360"/>
        </w:sectPr>
      </w:pPr>
    </w:p>
    <w:p w14:paraId="480069E2" w14:textId="77777777" w:rsidR="002041B2" w:rsidRPr="004D4A14" w:rsidRDefault="002041B2" w:rsidP="002041B2">
      <w:pPr>
        <w:spacing w:after="0" w:line="240" w:lineRule="auto"/>
        <w:jc w:val="both"/>
        <w:rPr>
          <w:rFonts w:cs="Times New Roman"/>
          <w:b/>
          <w:sz w:val="22"/>
        </w:rPr>
      </w:pPr>
      <w:r w:rsidRPr="004D4A14">
        <w:rPr>
          <w:rFonts w:cs="Times New Roman"/>
          <w:b/>
          <w:sz w:val="22"/>
        </w:rPr>
        <w:lastRenderedPageBreak/>
        <w:t>3 lentelė. Rezultato rodikliai</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993"/>
        <w:gridCol w:w="850"/>
        <w:gridCol w:w="993"/>
        <w:gridCol w:w="1275"/>
        <w:gridCol w:w="3404"/>
        <w:gridCol w:w="1136"/>
        <w:gridCol w:w="930"/>
        <w:gridCol w:w="1115"/>
        <w:gridCol w:w="933"/>
        <w:gridCol w:w="1133"/>
        <w:gridCol w:w="841"/>
      </w:tblGrid>
      <w:tr w:rsidR="002041B2" w:rsidRPr="004D4A14" w14:paraId="17B93BDF" w14:textId="77777777" w:rsidTr="0010605B">
        <w:trPr>
          <w:trHeight w:val="1141"/>
          <w:tblHeader/>
        </w:trPr>
        <w:tc>
          <w:tcPr>
            <w:tcW w:w="424" w:type="pct"/>
            <w:tcBorders>
              <w:top w:val="single" w:sz="12" w:space="0" w:color="auto"/>
              <w:left w:val="single" w:sz="12" w:space="0" w:color="auto"/>
              <w:bottom w:val="single" w:sz="12" w:space="0" w:color="auto"/>
              <w:right w:val="single" w:sz="12" w:space="0" w:color="auto"/>
            </w:tcBorders>
            <w:shd w:val="clear" w:color="auto" w:fill="DBE5F1"/>
            <w:vAlign w:val="center"/>
          </w:tcPr>
          <w:p w14:paraId="52EAE435" w14:textId="77777777" w:rsidR="002041B2" w:rsidRPr="004D4A14" w:rsidRDefault="002041B2" w:rsidP="0010605B">
            <w:pPr>
              <w:spacing w:after="0" w:line="240" w:lineRule="auto"/>
              <w:jc w:val="center"/>
              <w:rPr>
                <w:rFonts w:eastAsia="Calibri" w:cs="Times New Roman"/>
                <w:b/>
                <w:noProof/>
                <w:sz w:val="16"/>
                <w:szCs w:val="16"/>
              </w:rPr>
            </w:pPr>
            <w:r w:rsidRPr="004D4A14">
              <w:rPr>
                <w:rFonts w:eastAsia="Calibri" w:cs="Times New Roman"/>
                <w:b/>
                <w:noProof/>
                <w:sz w:val="16"/>
                <w:szCs w:val="16"/>
              </w:rPr>
              <w:t>Prioritetas</w:t>
            </w:r>
          </w:p>
        </w:tc>
        <w:tc>
          <w:tcPr>
            <w:tcW w:w="334" w:type="pct"/>
            <w:tcBorders>
              <w:top w:val="single" w:sz="12" w:space="0" w:color="auto"/>
              <w:left w:val="single" w:sz="12" w:space="0" w:color="auto"/>
              <w:bottom w:val="single" w:sz="12" w:space="0" w:color="auto"/>
              <w:right w:val="single" w:sz="12" w:space="0" w:color="auto"/>
            </w:tcBorders>
            <w:shd w:val="clear" w:color="auto" w:fill="DBE5F1"/>
            <w:vAlign w:val="center"/>
          </w:tcPr>
          <w:p w14:paraId="1841AEAE" w14:textId="77777777" w:rsidR="002041B2" w:rsidRPr="004D4A14" w:rsidRDefault="002041B2" w:rsidP="0010605B">
            <w:pPr>
              <w:spacing w:after="0" w:line="240" w:lineRule="auto"/>
              <w:jc w:val="center"/>
              <w:rPr>
                <w:rFonts w:eastAsia="Calibri" w:cs="Times New Roman"/>
                <w:b/>
                <w:noProof/>
                <w:sz w:val="16"/>
                <w:szCs w:val="16"/>
              </w:rPr>
            </w:pPr>
            <w:r w:rsidRPr="004D4A14">
              <w:rPr>
                <w:rFonts w:eastAsia="Calibri" w:cs="Times New Roman"/>
                <w:b/>
                <w:noProof/>
                <w:sz w:val="16"/>
                <w:szCs w:val="16"/>
              </w:rPr>
              <w:t>Konkretus uždavinys</w:t>
            </w:r>
          </w:p>
        </w:tc>
        <w:tc>
          <w:tcPr>
            <w:tcW w:w="286" w:type="pct"/>
            <w:tcBorders>
              <w:top w:val="single" w:sz="12" w:space="0" w:color="auto"/>
              <w:left w:val="single" w:sz="12" w:space="0" w:color="auto"/>
              <w:bottom w:val="single" w:sz="12" w:space="0" w:color="auto"/>
              <w:right w:val="single" w:sz="12" w:space="0" w:color="auto"/>
            </w:tcBorders>
            <w:shd w:val="clear" w:color="auto" w:fill="DBE5F1"/>
            <w:vAlign w:val="center"/>
          </w:tcPr>
          <w:p w14:paraId="2AD7127E" w14:textId="77777777" w:rsidR="002041B2" w:rsidRPr="004D4A14" w:rsidRDefault="002041B2" w:rsidP="0010605B">
            <w:pPr>
              <w:spacing w:after="0" w:line="240" w:lineRule="auto"/>
              <w:jc w:val="center"/>
              <w:rPr>
                <w:rFonts w:eastAsia="Calibri" w:cs="Times New Roman"/>
                <w:b/>
                <w:noProof/>
                <w:sz w:val="16"/>
                <w:szCs w:val="16"/>
              </w:rPr>
            </w:pPr>
            <w:r w:rsidRPr="004D4A14">
              <w:rPr>
                <w:rFonts w:eastAsia="Calibri" w:cs="Times New Roman"/>
                <w:b/>
                <w:noProof/>
                <w:sz w:val="16"/>
                <w:szCs w:val="16"/>
              </w:rPr>
              <w:t>Fondas</w:t>
            </w:r>
          </w:p>
        </w:tc>
        <w:tc>
          <w:tcPr>
            <w:tcW w:w="334" w:type="pct"/>
            <w:tcBorders>
              <w:top w:val="single" w:sz="12" w:space="0" w:color="auto"/>
              <w:left w:val="single" w:sz="12" w:space="0" w:color="auto"/>
              <w:bottom w:val="single" w:sz="12" w:space="0" w:color="auto"/>
              <w:right w:val="single" w:sz="12" w:space="0" w:color="auto"/>
            </w:tcBorders>
            <w:shd w:val="clear" w:color="auto" w:fill="DBE5F1"/>
            <w:vAlign w:val="center"/>
          </w:tcPr>
          <w:p w14:paraId="17ED37FA" w14:textId="77777777" w:rsidR="002041B2" w:rsidRPr="004D4A14" w:rsidRDefault="002041B2" w:rsidP="0010605B">
            <w:pPr>
              <w:spacing w:after="0" w:line="240" w:lineRule="auto"/>
              <w:jc w:val="center"/>
              <w:rPr>
                <w:rFonts w:eastAsia="Calibri" w:cs="Times New Roman"/>
                <w:b/>
                <w:noProof/>
                <w:sz w:val="16"/>
                <w:szCs w:val="16"/>
              </w:rPr>
            </w:pPr>
            <w:r w:rsidRPr="004D4A14">
              <w:rPr>
                <w:rFonts w:eastAsia="Calibri" w:cs="Times New Roman"/>
                <w:b/>
                <w:noProof/>
                <w:sz w:val="16"/>
                <w:szCs w:val="16"/>
              </w:rPr>
              <w:t>Regiono kategorija</w:t>
            </w:r>
          </w:p>
        </w:tc>
        <w:tc>
          <w:tcPr>
            <w:tcW w:w="429" w:type="pct"/>
            <w:tcBorders>
              <w:top w:val="single" w:sz="12" w:space="0" w:color="auto"/>
              <w:left w:val="single" w:sz="12" w:space="0" w:color="auto"/>
              <w:bottom w:val="single" w:sz="12" w:space="0" w:color="auto"/>
              <w:right w:val="single" w:sz="12" w:space="0" w:color="auto"/>
            </w:tcBorders>
            <w:shd w:val="clear" w:color="auto" w:fill="DBE5F1"/>
            <w:vAlign w:val="center"/>
          </w:tcPr>
          <w:p w14:paraId="02894140" w14:textId="77777777" w:rsidR="002041B2" w:rsidRPr="004D4A14" w:rsidRDefault="002041B2" w:rsidP="0010605B">
            <w:pPr>
              <w:spacing w:after="0" w:line="240" w:lineRule="auto"/>
              <w:jc w:val="center"/>
              <w:rPr>
                <w:rFonts w:eastAsia="Calibri" w:cs="Times New Roman"/>
                <w:b/>
                <w:noProof/>
                <w:sz w:val="16"/>
                <w:szCs w:val="16"/>
              </w:rPr>
            </w:pPr>
            <w:r w:rsidRPr="004D4A14">
              <w:rPr>
                <w:rFonts w:eastAsia="Calibri" w:cs="Times New Roman"/>
                <w:b/>
                <w:noProof/>
                <w:sz w:val="16"/>
                <w:szCs w:val="16"/>
              </w:rPr>
              <w:t>Identifikavimo numeris</w:t>
            </w:r>
          </w:p>
        </w:tc>
        <w:tc>
          <w:tcPr>
            <w:tcW w:w="1145" w:type="pct"/>
            <w:tcBorders>
              <w:top w:val="single" w:sz="12" w:space="0" w:color="auto"/>
              <w:left w:val="single" w:sz="12" w:space="0" w:color="auto"/>
              <w:bottom w:val="single" w:sz="12" w:space="0" w:color="auto"/>
              <w:right w:val="single" w:sz="12" w:space="0" w:color="auto"/>
            </w:tcBorders>
            <w:shd w:val="clear" w:color="auto" w:fill="DBE5F1"/>
            <w:vAlign w:val="center"/>
          </w:tcPr>
          <w:p w14:paraId="6698D60A" w14:textId="77777777" w:rsidR="002041B2" w:rsidRPr="004D4A14" w:rsidRDefault="002041B2" w:rsidP="0010605B">
            <w:pPr>
              <w:spacing w:after="0" w:line="240" w:lineRule="auto"/>
              <w:jc w:val="center"/>
              <w:rPr>
                <w:rFonts w:eastAsia="Calibri" w:cs="Times New Roman"/>
                <w:b/>
                <w:noProof/>
                <w:sz w:val="16"/>
                <w:szCs w:val="16"/>
              </w:rPr>
            </w:pPr>
            <w:r w:rsidRPr="004D4A14">
              <w:rPr>
                <w:rFonts w:eastAsia="Calibri" w:cs="Times New Roman"/>
                <w:b/>
                <w:noProof/>
                <w:sz w:val="16"/>
                <w:szCs w:val="16"/>
              </w:rPr>
              <w:t>Rodiklis</w:t>
            </w:r>
          </w:p>
        </w:tc>
        <w:tc>
          <w:tcPr>
            <w:tcW w:w="382" w:type="pct"/>
            <w:tcBorders>
              <w:top w:val="single" w:sz="12" w:space="0" w:color="auto"/>
              <w:left w:val="single" w:sz="12" w:space="0" w:color="auto"/>
              <w:bottom w:val="single" w:sz="12" w:space="0" w:color="auto"/>
              <w:right w:val="single" w:sz="12" w:space="0" w:color="auto"/>
            </w:tcBorders>
            <w:shd w:val="clear" w:color="auto" w:fill="DBE5F1"/>
            <w:vAlign w:val="center"/>
          </w:tcPr>
          <w:p w14:paraId="10583AC5" w14:textId="77777777" w:rsidR="002041B2" w:rsidRPr="004D4A14" w:rsidRDefault="002041B2" w:rsidP="0010605B">
            <w:pPr>
              <w:spacing w:after="0" w:line="240" w:lineRule="auto"/>
              <w:jc w:val="center"/>
              <w:rPr>
                <w:rFonts w:eastAsia="Calibri" w:cs="Times New Roman"/>
                <w:b/>
                <w:noProof/>
                <w:sz w:val="16"/>
                <w:szCs w:val="16"/>
              </w:rPr>
            </w:pPr>
            <w:r w:rsidRPr="004D4A14">
              <w:rPr>
                <w:rFonts w:eastAsia="Calibri" w:cs="Times New Roman"/>
                <w:b/>
                <w:noProof/>
                <w:sz w:val="16"/>
                <w:szCs w:val="16"/>
              </w:rPr>
              <w:t>Matavimo vienetas</w:t>
            </w:r>
          </w:p>
        </w:tc>
        <w:tc>
          <w:tcPr>
            <w:tcW w:w="313" w:type="pct"/>
            <w:tcBorders>
              <w:top w:val="single" w:sz="12" w:space="0" w:color="auto"/>
              <w:left w:val="single" w:sz="12" w:space="0" w:color="auto"/>
              <w:bottom w:val="single" w:sz="12" w:space="0" w:color="auto"/>
              <w:right w:val="single" w:sz="12" w:space="0" w:color="auto"/>
            </w:tcBorders>
            <w:shd w:val="clear" w:color="auto" w:fill="DBE5F1"/>
            <w:vAlign w:val="center"/>
          </w:tcPr>
          <w:p w14:paraId="23D348B9" w14:textId="77777777" w:rsidR="002041B2" w:rsidRPr="004D4A14" w:rsidRDefault="002041B2" w:rsidP="0010605B">
            <w:pPr>
              <w:spacing w:after="0" w:line="240" w:lineRule="auto"/>
              <w:jc w:val="center"/>
              <w:rPr>
                <w:rFonts w:eastAsia="Calibri" w:cs="Times New Roman"/>
                <w:b/>
                <w:noProof/>
                <w:sz w:val="16"/>
                <w:szCs w:val="16"/>
              </w:rPr>
            </w:pPr>
            <w:r w:rsidRPr="004D4A14">
              <w:rPr>
                <w:rFonts w:eastAsia="Calibri" w:cs="Times New Roman"/>
                <w:b/>
                <w:noProof/>
                <w:sz w:val="16"/>
                <w:szCs w:val="16"/>
              </w:rPr>
              <w:t>Pradinė reikšmė arba pamatinė vertė</w:t>
            </w:r>
          </w:p>
        </w:tc>
        <w:tc>
          <w:tcPr>
            <w:tcW w:w="375" w:type="pct"/>
            <w:tcBorders>
              <w:top w:val="single" w:sz="12" w:space="0" w:color="auto"/>
              <w:left w:val="single" w:sz="12" w:space="0" w:color="auto"/>
              <w:bottom w:val="single" w:sz="12" w:space="0" w:color="auto"/>
              <w:right w:val="single" w:sz="12" w:space="0" w:color="auto"/>
            </w:tcBorders>
            <w:shd w:val="clear" w:color="auto" w:fill="DBE5F1"/>
            <w:vAlign w:val="center"/>
          </w:tcPr>
          <w:p w14:paraId="7B999AAC" w14:textId="77777777" w:rsidR="002041B2" w:rsidRPr="004D4A14" w:rsidRDefault="002041B2" w:rsidP="0010605B">
            <w:pPr>
              <w:spacing w:after="0" w:line="240" w:lineRule="auto"/>
              <w:jc w:val="center"/>
              <w:rPr>
                <w:rFonts w:eastAsia="Calibri" w:cs="Times New Roman"/>
                <w:b/>
                <w:noProof/>
                <w:sz w:val="16"/>
                <w:szCs w:val="16"/>
              </w:rPr>
            </w:pPr>
            <w:r w:rsidRPr="004D4A14">
              <w:rPr>
                <w:rFonts w:eastAsia="Calibri" w:cs="Times New Roman"/>
                <w:b/>
                <w:noProof/>
                <w:sz w:val="16"/>
                <w:szCs w:val="16"/>
              </w:rPr>
              <w:t>Ataskaitiniai metai</w:t>
            </w:r>
          </w:p>
        </w:tc>
        <w:tc>
          <w:tcPr>
            <w:tcW w:w="314" w:type="pct"/>
            <w:tcBorders>
              <w:top w:val="single" w:sz="12" w:space="0" w:color="auto"/>
              <w:left w:val="single" w:sz="12" w:space="0" w:color="auto"/>
              <w:bottom w:val="single" w:sz="12" w:space="0" w:color="auto"/>
              <w:right w:val="single" w:sz="12" w:space="0" w:color="auto"/>
            </w:tcBorders>
            <w:shd w:val="clear" w:color="auto" w:fill="DBE5F1"/>
            <w:vAlign w:val="center"/>
          </w:tcPr>
          <w:p w14:paraId="4ECFC4E6" w14:textId="77777777" w:rsidR="002041B2" w:rsidRPr="004D4A14" w:rsidRDefault="002041B2" w:rsidP="0010605B">
            <w:pPr>
              <w:spacing w:after="0" w:line="240" w:lineRule="auto"/>
              <w:jc w:val="center"/>
              <w:rPr>
                <w:rFonts w:eastAsia="Calibri" w:cs="Times New Roman"/>
                <w:b/>
                <w:noProof/>
                <w:sz w:val="16"/>
                <w:szCs w:val="16"/>
              </w:rPr>
            </w:pPr>
            <w:r w:rsidRPr="004D4A14">
              <w:rPr>
                <w:rFonts w:eastAsia="Calibri" w:cs="Times New Roman"/>
                <w:b/>
                <w:noProof/>
                <w:sz w:val="16"/>
                <w:szCs w:val="16"/>
              </w:rPr>
              <w:t>Siektina reikšmė (2029 m.)</w:t>
            </w:r>
          </w:p>
        </w:tc>
        <w:tc>
          <w:tcPr>
            <w:tcW w:w="381" w:type="pct"/>
            <w:tcBorders>
              <w:top w:val="single" w:sz="12" w:space="0" w:color="auto"/>
              <w:left w:val="single" w:sz="12" w:space="0" w:color="auto"/>
              <w:bottom w:val="single" w:sz="12" w:space="0" w:color="auto"/>
              <w:right w:val="single" w:sz="12" w:space="0" w:color="auto"/>
            </w:tcBorders>
            <w:shd w:val="clear" w:color="auto" w:fill="DBE5F1"/>
            <w:vAlign w:val="center"/>
          </w:tcPr>
          <w:p w14:paraId="13C194AF" w14:textId="77777777" w:rsidR="002041B2" w:rsidRPr="004D4A14" w:rsidRDefault="002041B2" w:rsidP="0010605B">
            <w:pPr>
              <w:spacing w:after="0" w:line="240" w:lineRule="auto"/>
              <w:jc w:val="center"/>
              <w:rPr>
                <w:rFonts w:eastAsia="Calibri" w:cs="Times New Roman"/>
                <w:b/>
                <w:noProof/>
                <w:sz w:val="16"/>
                <w:szCs w:val="16"/>
              </w:rPr>
            </w:pPr>
            <w:r w:rsidRPr="004D4A14">
              <w:rPr>
                <w:rFonts w:eastAsia="Calibri" w:cs="Times New Roman"/>
                <w:b/>
                <w:noProof/>
                <w:sz w:val="16"/>
                <w:szCs w:val="16"/>
              </w:rPr>
              <w:t>Duomenų šaltinis</w:t>
            </w:r>
          </w:p>
        </w:tc>
        <w:tc>
          <w:tcPr>
            <w:tcW w:w="283" w:type="pct"/>
            <w:tcBorders>
              <w:top w:val="single" w:sz="12" w:space="0" w:color="auto"/>
              <w:left w:val="single" w:sz="12" w:space="0" w:color="auto"/>
              <w:bottom w:val="single" w:sz="12" w:space="0" w:color="auto"/>
              <w:right w:val="single" w:sz="12" w:space="0" w:color="auto"/>
            </w:tcBorders>
            <w:shd w:val="clear" w:color="auto" w:fill="DBE5F1"/>
            <w:vAlign w:val="center"/>
          </w:tcPr>
          <w:p w14:paraId="0471AAFC" w14:textId="77777777" w:rsidR="002041B2" w:rsidRPr="004D4A14" w:rsidRDefault="002041B2" w:rsidP="0010605B">
            <w:pPr>
              <w:spacing w:after="0" w:line="240" w:lineRule="auto"/>
              <w:jc w:val="center"/>
              <w:rPr>
                <w:rFonts w:eastAsia="Calibri" w:cs="Times New Roman"/>
                <w:b/>
                <w:noProof/>
                <w:sz w:val="16"/>
                <w:szCs w:val="16"/>
              </w:rPr>
            </w:pPr>
            <w:r w:rsidRPr="004D4A14">
              <w:rPr>
                <w:rFonts w:eastAsia="Calibri" w:cs="Times New Roman"/>
                <w:b/>
                <w:noProof/>
                <w:sz w:val="16"/>
                <w:szCs w:val="16"/>
              </w:rPr>
              <w:t>Pastabos</w:t>
            </w:r>
          </w:p>
        </w:tc>
      </w:tr>
      <w:tr w:rsidR="002041B2" w:rsidRPr="004D4A14" w14:paraId="5AC699EA" w14:textId="77777777" w:rsidTr="0010605B">
        <w:trPr>
          <w:trHeight w:val="1526"/>
        </w:trPr>
        <w:tc>
          <w:tcPr>
            <w:tcW w:w="424" w:type="pct"/>
            <w:vMerge w:val="restart"/>
            <w:tcBorders>
              <w:top w:val="single" w:sz="12" w:space="0" w:color="auto"/>
            </w:tcBorders>
          </w:tcPr>
          <w:p w14:paraId="383AA7F0" w14:textId="77777777" w:rsidR="002041B2" w:rsidRPr="004D4A14" w:rsidRDefault="002041B2" w:rsidP="0010605B">
            <w:pPr>
              <w:spacing w:after="0" w:line="240" w:lineRule="auto"/>
              <w:jc w:val="both"/>
              <w:rPr>
                <w:rFonts w:eastAsia="Calibri" w:cs="Times New Roman"/>
                <w:noProof/>
                <w:sz w:val="16"/>
                <w:szCs w:val="16"/>
              </w:rPr>
            </w:pPr>
            <w:r w:rsidRPr="004D4A14">
              <w:rPr>
                <w:rFonts w:cs="Times New Roman"/>
                <w:noProof/>
                <w:sz w:val="16"/>
                <w:szCs w:val="16"/>
              </w:rPr>
              <w:t>17.</w:t>
            </w:r>
          </w:p>
        </w:tc>
        <w:tc>
          <w:tcPr>
            <w:tcW w:w="334" w:type="pct"/>
            <w:vMerge w:val="restart"/>
            <w:tcBorders>
              <w:top w:val="single" w:sz="12" w:space="0" w:color="auto"/>
            </w:tcBorders>
          </w:tcPr>
          <w:p w14:paraId="3D49786E" w14:textId="77777777" w:rsidR="002041B2" w:rsidRPr="004D4A14" w:rsidRDefault="002041B2" w:rsidP="0010605B">
            <w:pPr>
              <w:spacing w:after="0" w:line="240" w:lineRule="auto"/>
              <w:rPr>
                <w:rFonts w:eastAsia="Calibri" w:cs="Times New Roman"/>
                <w:noProof/>
                <w:sz w:val="16"/>
                <w:szCs w:val="16"/>
              </w:rPr>
            </w:pPr>
            <w:r w:rsidRPr="004D4A14">
              <w:rPr>
                <w:rFonts w:cs="Times New Roman"/>
                <w:noProof/>
                <w:sz w:val="16"/>
                <w:szCs w:val="16"/>
              </w:rPr>
              <w:t xml:space="preserve">17.1 </w:t>
            </w:r>
          </w:p>
        </w:tc>
        <w:tc>
          <w:tcPr>
            <w:tcW w:w="286" w:type="pct"/>
            <w:vMerge w:val="restart"/>
            <w:tcBorders>
              <w:top w:val="single" w:sz="12" w:space="0" w:color="auto"/>
            </w:tcBorders>
          </w:tcPr>
          <w:p w14:paraId="469DF06C" w14:textId="77777777" w:rsidR="002041B2" w:rsidRPr="004D4A14" w:rsidRDefault="002041B2" w:rsidP="0010605B">
            <w:pPr>
              <w:spacing w:after="0" w:line="240" w:lineRule="auto"/>
              <w:jc w:val="both"/>
              <w:rPr>
                <w:rFonts w:eastAsia="Calibri" w:cs="Times New Roman"/>
                <w:noProof/>
                <w:sz w:val="16"/>
                <w:szCs w:val="16"/>
              </w:rPr>
            </w:pPr>
            <w:r w:rsidRPr="004D4A14">
              <w:rPr>
                <w:rFonts w:cs="Times New Roman"/>
                <w:noProof/>
                <w:sz w:val="16"/>
                <w:szCs w:val="16"/>
              </w:rPr>
              <w:t>ERPF</w:t>
            </w:r>
          </w:p>
        </w:tc>
        <w:tc>
          <w:tcPr>
            <w:tcW w:w="334" w:type="pct"/>
            <w:tcBorders>
              <w:top w:val="single" w:sz="12" w:space="0" w:color="auto"/>
            </w:tcBorders>
          </w:tcPr>
          <w:p w14:paraId="341D3E9F" w14:textId="77777777" w:rsidR="002041B2" w:rsidRPr="004D4A14" w:rsidRDefault="002041B2" w:rsidP="0010605B">
            <w:pPr>
              <w:spacing w:after="0" w:line="240" w:lineRule="auto"/>
              <w:jc w:val="both"/>
              <w:rPr>
                <w:rFonts w:eastAsia="Calibri" w:cs="Times New Roman"/>
                <w:noProof/>
                <w:sz w:val="16"/>
                <w:szCs w:val="16"/>
              </w:rPr>
            </w:pPr>
            <w:r w:rsidRPr="004D4A14">
              <w:rPr>
                <w:rFonts w:cs="Times New Roman"/>
                <w:noProof/>
                <w:sz w:val="16"/>
                <w:szCs w:val="16"/>
              </w:rPr>
              <w:t>Sostinės regionas</w:t>
            </w:r>
          </w:p>
          <w:p w14:paraId="60F81601" w14:textId="77777777" w:rsidR="002041B2" w:rsidRPr="004D4A14" w:rsidRDefault="002041B2" w:rsidP="0010605B">
            <w:pPr>
              <w:spacing w:after="0" w:line="240" w:lineRule="auto"/>
              <w:jc w:val="both"/>
              <w:rPr>
                <w:rFonts w:eastAsia="Calibri" w:cs="Times New Roman"/>
                <w:noProof/>
                <w:sz w:val="16"/>
                <w:szCs w:val="16"/>
              </w:rPr>
            </w:pPr>
          </w:p>
        </w:tc>
        <w:tc>
          <w:tcPr>
            <w:tcW w:w="429" w:type="pct"/>
            <w:tcBorders>
              <w:top w:val="single" w:sz="12" w:space="0" w:color="auto"/>
            </w:tcBorders>
          </w:tcPr>
          <w:p w14:paraId="2870FFB4" w14:textId="77777777" w:rsidR="002041B2" w:rsidRPr="004D4A14" w:rsidRDefault="002041B2" w:rsidP="0010605B">
            <w:pPr>
              <w:spacing w:after="0" w:line="240" w:lineRule="auto"/>
              <w:jc w:val="both"/>
              <w:rPr>
                <w:rFonts w:eastAsia="Calibri" w:cs="Times New Roman"/>
                <w:sz w:val="16"/>
                <w:szCs w:val="16"/>
              </w:rPr>
            </w:pPr>
            <w:r w:rsidRPr="004D4A14">
              <w:rPr>
                <w:rFonts w:eastAsia="Calibri" w:cs="Times New Roman"/>
                <w:sz w:val="16"/>
                <w:szCs w:val="16"/>
              </w:rPr>
              <w:t>RCR67 </w:t>
            </w:r>
          </w:p>
          <w:p w14:paraId="120E5FFB" w14:textId="77777777" w:rsidR="002041B2" w:rsidRPr="004D4A14" w:rsidRDefault="002041B2" w:rsidP="0010605B">
            <w:pPr>
              <w:spacing w:after="0" w:line="240" w:lineRule="auto"/>
              <w:jc w:val="both"/>
              <w:rPr>
                <w:rFonts w:eastAsia="Calibri" w:cs="Times New Roman"/>
                <w:sz w:val="16"/>
                <w:szCs w:val="16"/>
                <w:lang w:eastAsia="lt-LT" w:bidi="lt-LT"/>
              </w:rPr>
            </w:pPr>
          </w:p>
        </w:tc>
        <w:tc>
          <w:tcPr>
            <w:tcW w:w="1145" w:type="pct"/>
            <w:tcBorders>
              <w:top w:val="single" w:sz="12" w:space="0" w:color="auto"/>
            </w:tcBorders>
          </w:tcPr>
          <w:p w14:paraId="4C84CD84" w14:textId="77777777" w:rsidR="002041B2" w:rsidRPr="004D4A14" w:rsidRDefault="002041B2" w:rsidP="0010605B">
            <w:pPr>
              <w:spacing w:after="0" w:line="240" w:lineRule="auto"/>
              <w:jc w:val="both"/>
              <w:rPr>
                <w:rFonts w:eastAsia="Calibri" w:cs="Times New Roman"/>
                <w:sz w:val="16"/>
                <w:szCs w:val="16"/>
                <w:lang w:eastAsia="lt-LT" w:bidi="lt-LT"/>
              </w:rPr>
            </w:pPr>
            <w:r w:rsidRPr="004D4A14">
              <w:rPr>
                <w:rFonts w:eastAsia="Calibri" w:cs="Times New Roman"/>
                <w:sz w:val="16"/>
                <w:szCs w:val="16"/>
              </w:rPr>
              <w:t>Naujų arba modernizuotų prieinamų, tvarių ir socialinių būstų naudotojų skaičius per metus </w:t>
            </w:r>
          </w:p>
        </w:tc>
        <w:tc>
          <w:tcPr>
            <w:tcW w:w="382" w:type="pct"/>
            <w:tcBorders>
              <w:top w:val="single" w:sz="12" w:space="0" w:color="auto"/>
            </w:tcBorders>
          </w:tcPr>
          <w:p w14:paraId="1DCD16AC" w14:textId="77777777" w:rsidR="002041B2" w:rsidRPr="004D4A14" w:rsidRDefault="002041B2" w:rsidP="0010605B">
            <w:pPr>
              <w:spacing w:after="0" w:line="240" w:lineRule="auto"/>
              <w:jc w:val="both"/>
              <w:rPr>
                <w:rFonts w:eastAsia="Calibri" w:cs="Times New Roman"/>
                <w:noProof/>
                <w:sz w:val="16"/>
                <w:szCs w:val="16"/>
              </w:rPr>
            </w:pPr>
            <w:r w:rsidRPr="004D4A14">
              <w:rPr>
                <w:rFonts w:eastAsia="Calibri" w:cs="Times New Roman"/>
                <w:noProof/>
                <w:sz w:val="16"/>
                <w:szCs w:val="16"/>
              </w:rPr>
              <w:t>Naudotojai per metus</w:t>
            </w:r>
          </w:p>
          <w:p w14:paraId="5FEB9687" w14:textId="77777777" w:rsidR="002041B2" w:rsidRPr="004D4A14" w:rsidRDefault="002041B2" w:rsidP="0010605B">
            <w:pPr>
              <w:spacing w:after="0" w:line="240" w:lineRule="auto"/>
              <w:jc w:val="both"/>
              <w:rPr>
                <w:rFonts w:eastAsia="Calibri" w:cs="Times New Roman"/>
                <w:noProof/>
                <w:sz w:val="16"/>
                <w:szCs w:val="16"/>
              </w:rPr>
            </w:pPr>
          </w:p>
        </w:tc>
        <w:tc>
          <w:tcPr>
            <w:tcW w:w="313" w:type="pct"/>
            <w:tcBorders>
              <w:top w:val="single" w:sz="12" w:space="0" w:color="auto"/>
            </w:tcBorders>
          </w:tcPr>
          <w:p w14:paraId="6BFAB546" w14:textId="77777777" w:rsidR="002041B2" w:rsidRPr="004D4A14" w:rsidRDefault="002041B2" w:rsidP="0010605B">
            <w:pPr>
              <w:spacing w:after="0" w:line="240" w:lineRule="auto"/>
              <w:jc w:val="center"/>
              <w:rPr>
                <w:rFonts w:eastAsia="Calibri" w:cs="Times New Roman"/>
                <w:iCs/>
                <w:noProof/>
                <w:sz w:val="16"/>
                <w:szCs w:val="16"/>
              </w:rPr>
            </w:pPr>
            <w:r w:rsidRPr="004D4A14">
              <w:rPr>
                <w:rFonts w:eastAsia="Calibri" w:cs="Times New Roman"/>
                <w:iCs/>
                <w:noProof/>
                <w:sz w:val="16"/>
                <w:szCs w:val="16"/>
              </w:rPr>
              <w:t>0</w:t>
            </w:r>
          </w:p>
          <w:p w14:paraId="0C091E6B" w14:textId="77777777" w:rsidR="002041B2" w:rsidRPr="004D4A14" w:rsidRDefault="002041B2" w:rsidP="0010605B">
            <w:pPr>
              <w:spacing w:after="0" w:line="240" w:lineRule="auto"/>
              <w:jc w:val="center"/>
              <w:rPr>
                <w:rFonts w:eastAsia="Calibri" w:cs="Times New Roman"/>
                <w:iCs/>
                <w:noProof/>
                <w:sz w:val="16"/>
                <w:szCs w:val="16"/>
              </w:rPr>
            </w:pPr>
          </w:p>
        </w:tc>
        <w:tc>
          <w:tcPr>
            <w:tcW w:w="375" w:type="pct"/>
            <w:tcBorders>
              <w:top w:val="single" w:sz="12" w:space="0" w:color="auto"/>
            </w:tcBorders>
          </w:tcPr>
          <w:p w14:paraId="54E09635" w14:textId="77777777" w:rsidR="002041B2" w:rsidRPr="004D4A14" w:rsidRDefault="002041B2" w:rsidP="0010605B">
            <w:pPr>
              <w:spacing w:after="0" w:line="240" w:lineRule="auto"/>
              <w:jc w:val="center"/>
              <w:rPr>
                <w:rFonts w:eastAsia="Calibri" w:cs="Times New Roman"/>
                <w:iCs/>
                <w:noProof/>
                <w:sz w:val="16"/>
                <w:szCs w:val="16"/>
              </w:rPr>
            </w:pPr>
            <w:r w:rsidRPr="004D4A14">
              <w:rPr>
                <w:rFonts w:eastAsia="Calibri" w:cs="Times New Roman"/>
                <w:iCs/>
                <w:noProof/>
                <w:sz w:val="16"/>
                <w:szCs w:val="16"/>
              </w:rPr>
              <w:t>2025</w:t>
            </w:r>
          </w:p>
          <w:p w14:paraId="46EF56F4" w14:textId="77777777" w:rsidR="002041B2" w:rsidRPr="004D4A14" w:rsidRDefault="002041B2" w:rsidP="0010605B">
            <w:pPr>
              <w:spacing w:after="0" w:line="240" w:lineRule="auto"/>
              <w:jc w:val="center"/>
              <w:rPr>
                <w:rFonts w:eastAsia="Calibri" w:cs="Times New Roman"/>
                <w:iCs/>
                <w:noProof/>
                <w:sz w:val="16"/>
                <w:szCs w:val="16"/>
              </w:rPr>
            </w:pPr>
          </w:p>
        </w:tc>
        <w:tc>
          <w:tcPr>
            <w:tcW w:w="314" w:type="pct"/>
            <w:tcBorders>
              <w:top w:val="single" w:sz="12" w:space="0" w:color="auto"/>
            </w:tcBorders>
          </w:tcPr>
          <w:p w14:paraId="66E7B777" w14:textId="77777777" w:rsidR="002041B2" w:rsidRPr="004D4A14" w:rsidRDefault="002041B2" w:rsidP="0010605B">
            <w:pPr>
              <w:spacing w:after="0" w:line="240" w:lineRule="auto"/>
              <w:jc w:val="center"/>
              <w:rPr>
                <w:rFonts w:eastAsia="Calibri" w:cs="Times New Roman"/>
                <w:iCs/>
                <w:noProof/>
                <w:sz w:val="16"/>
                <w:szCs w:val="16"/>
              </w:rPr>
            </w:pPr>
            <w:r w:rsidRPr="004D4A14">
              <w:rPr>
                <w:rFonts w:cs="Times New Roman"/>
                <w:iCs/>
                <w:noProof/>
                <w:sz w:val="16"/>
                <w:szCs w:val="16"/>
              </w:rPr>
              <w:t>822</w:t>
            </w:r>
          </w:p>
        </w:tc>
        <w:tc>
          <w:tcPr>
            <w:tcW w:w="381" w:type="pct"/>
            <w:tcBorders>
              <w:top w:val="single" w:sz="12" w:space="0" w:color="auto"/>
            </w:tcBorders>
          </w:tcPr>
          <w:p w14:paraId="62762E7D" w14:textId="77777777" w:rsidR="002041B2" w:rsidRPr="004D4A14" w:rsidRDefault="002041B2" w:rsidP="0010605B">
            <w:pPr>
              <w:spacing w:after="0" w:line="240" w:lineRule="auto"/>
              <w:jc w:val="both"/>
              <w:rPr>
                <w:rFonts w:eastAsia="Calibri" w:cs="Times New Roman"/>
                <w:iCs/>
                <w:noProof/>
                <w:sz w:val="16"/>
                <w:szCs w:val="16"/>
              </w:rPr>
            </w:pPr>
            <w:r w:rsidRPr="004D4A14">
              <w:rPr>
                <w:rFonts w:eastAsia="Calibri" w:cs="Times New Roman"/>
                <w:iCs/>
                <w:noProof/>
                <w:sz w:val="16"/>
                <w:szCs w:val="16"/>
              </w:rPr>
              <w:t>Projektų duomenys</w:t>
            </w:r>
          </w:p>
          <w:p w14:paraId="6AE25E94" w14:textId="77777777" w:rsidR="002041B2" w:rsidRPr="004D4A14" w:rsidRDefault="002041B2" w:rsidP="0010605B">
            <w:pPr>
              <w:spacing w:after="0" w:line="240" w:lineRule="auto"/>
              <w:jc w:val="both"/>
              <w:rPr>
                <w:rFonts w:eastAsia="Calibri" w:cs="Times New Roman"/>
                <w:iCs/>
                <w:noProof/>
                <w:sz w:val="16"/>
                <w:szCs w:val="16"/>
              </w:rPr>
            </w:pPr>
          </w:p>
        </w:tc>
        <w:tc>
          <w:tcPr>
            <w:tcW w:w="283" w:type="pct"/>
            <w:tcBorders>
              <w:top w:val="single" w:sz="12" w:space="0" w:color="auto"/>
            </w:tcBorders>
          </w:tcPr>
          <w:p w14:paraId="0953468F" w14:textId="77777777" w:rsidR="002041B2" w:rsidRPr="004D4A14" w:rsidRDefault="002041B2" w:rsidP="0010605B">
            <w:pPr>
              <w:spacing w:after="0" w:line="240" w:lineRule="auto"/>
              <w:jc w:val="both"/>
              <w:rPr>
                <w:rFonts w:eastAsia="Calibri" w:cs="Times New Roman"/>
                <w:i/>
                <w:noProof/>
                <w:sz w:val="16"/>
                <w:szCs w:val="16"/>
                <w:lang w:eastAsia="lt-LT" w:bidi="lt-LT"/>
              </w:rPr>
            </w:pPr>
          </w:p>
        </w:tc>
      </w:tr>
      <w:tr w:rsidR="002041B2" w:rsidRPr="004D4A14" w14:paraId="6108DC29" w14:textId="77777777" w:rsidTr="0010605B">
        <w:trPr>
          <w:trHeight w:val="286"/>
        </w:trPr>
        <w:tc>
          <w:tcPr>
            <w:tcW w:w="424" w:type="pct"/>
            <w:vMerge/>
          </w:tcPr>
          <w:p w14:paraId="100B882B" w14:textId="77777777" w:rsidR="002041B2" w:rsidRPr="004D4A14" w:rsidRDefault="002041B2" w:rsidP="0010605B">
            <w:pPr>
              <w:spacing w:after="0" w:line="240" w:lineRule="auto"/>
              <w:jc w:val="both"/>
              <w:rPr>
                <w:rFonts w:eastAsia="Calibri" w:cs="Times New Roman"/>
                <w:noProof/>
                <w:sz w:val="16"/>
                <w:szCs w:val="16"/>
              </w:rPr>
            </w:pPr>
          </w:p>
        </w:tc>
        <w:tc>
          <w:tcPr>
            <w:tcW w:w="334" w:type="pct"/>
            <w:vMerge/>
          </w:tcPr>
          <w:p w14:paraId="25738B27" w14:textId="77777777" w:rsidR="002041B2" w:rsidRPr="004D4A14" w:rsidRDefault="002041B2" w:rsidP="0010605B">
            <w:pPr>
              <w:spacing w:after="0" w:line="240" w:lineRule="auto"/>
              <w:jc w:val="both"/>
              <w:rPr>
                <w:rFonts w:eastAsia="Calibri" w:cs="Times New Roman"/>
                <w:noProof/>
                <w:sz w:val="16"/>
                <w:szCs w:val="16"/>
              </w:rPr>
            </w:pPr>
          </w:p>
        </w:tc>
        <w:tc>
          <w:tcPr>
            <w:tcW w:w="286" w:type="pct"/>
            <w:vMerge/>
          </w:tcPr>
          <w:p w14:paraId="5CAE0D1D" w14:textId="77777777" w:rsidR="002041B2" w:rsidRPr="004D4A14" w:rsidRDefault="002041B2" w:rsidP="0010605B">
            <w:pPr>
              <w:spacing w:after="0" w:line="240" w:lineRule="auto"/>
              <w:jc w:val="both"/>
              <w:rPr>
                <w:rFonts w:eastAsia="Calibri" w:cs="Times New Roman"/>
                <w:noProof/>
                <w:sz w:val="16"/>
                <w:szCs w:val="16"/>
              </w:rPr>
            </w:pPr>
          </w:p>
        </w:tc>
        <w:tc>
          <w:tcPr>
            <w:tcW w:w="334" w:type="pct"/>
          </w:tcPr>
          <w:p w14:paraId="1C3A0959" w14:textId="77777777" w:rsidR="002041B2" w:rsidRPr="004D4A14" w:rsidRDefault="002041B2" w:rsidP="0010605B">
            <w:pPr>
              <w:spacing w:after="0" w:line="240" w:lineRule="auto"/>
              <w:jc w:val="both"/>
              <w:rPr>
                <w:rFonts w:eastAsia="Calibri" w:cs="Times New Roman"/>
                <w:noProof/>
                <w:sz w:val="16"/>
                <w:szCs w:val="16"/>
              </w:rPr>
            </w:pPr>
            <w:r w:rsidRPr="004D4A14">
              <w:rPr>
                <w:rFonts w:cs="Times New Roman"/>
                <w:noProof/>
                <w:sz w:val="16"/>
                <w:szCs w:val="16"/>
              </w:rPr>
              <w:t>VVL regionas</w:t>
            </w:r>
          </w:p>
        </w:tc>
        <w:tc>
          <w:tcPr>
            <w:tcW w:w="429" w:type="pct"/>
          </w:tcPr>
          <w:p w14:paraId="79855FD0" w14:textId="77777777" w:rsidR="002041B2" w:rsidRPr="004D4A14" w:rsidRDefault="002041B2" w:rsidP="0010605B">
            <w:pPr>
              <w:spacing w:after="0" w:line="240" w:lineRule="auto"/>
              <w:jc w:val="both"/>
              <w:rPr>
                <w:rFonts w:cs="Times New Roman"/>
                <w:sz w:val="16"/>
                <w:szCs w:val="16"/>
              </w:rPr>
            </w:pPr>
            <w:r w:rsidRPr="004D4A14">
              <w:rPr>
                <w:rFonts w:cs="Times New Roman"/>
                <w:sz w:val="16"/>
                <w:szCs w:val="16"/>
              </w:rPr>
              <w:t>RCR67</w:t>
            </w:r>
          </w:p>
        </w:tc>
        <w:tc>
          <w:tcPr>
            <w:tcW w:w="1145" w:type="pct"/>
          </w:tcPr>
          <w:p w14:paraId="0CB9AF84" w14:textId="77777777" w:rsidR="002041B2" w:rsidRPr="004D4A14" w:rsidRDefault="002041B2" w:rsidP="0010605B">
            <w:pPr>
              <w:spacing w:after="0" w:line="240" w:lineRule="auto"/>
              <w:jc w:val="both"/>
              <w:rPr>
                <w:rFonts w:eastAsia="Calibri" w:cs="Times New Roman"/>
                <w:sz w:val="16"/>
                <w:szCs w:val="16"/>
              </w:rPr>
            </w:pPr>
            <w:r w:rsidRPr="004D4A14">
              <w:rPr>
                <w:rFonts w:eastAsia="Calibri" w:cs="Times New Roman"/>
                <w:sz w:val="16"/>
                <w:szCs w:val="16"/>
              </w:rPr>
              <w:t>Naujų arba modernizuotų prieinamų, tvarių ir socialinių būstų naudotojų skaičius per metus </w:t>
            </w:r>
          </w:p>
        </w:tc>
        <w:tc>
          <w:tcPr>
            <w:tcW w:w="382" w:type="pct"/>
          </w:tcPr>
          <w:p w14:paraId="4A8F25A8" w14:textId="77777777" w:rsidR="002041B2" w:rsidRPr="004D4A14" w:rsidRDefault="002041B2" w:rsidP="0010605B">
            <w:pPr>
              <w:spacing w:after="0" w:line="240" w:lineRule="auto"/>
              <w:jc w:val="both"/>
              <w:rPr>
                <w:rFonts w:eastAsia="Calibri" w:cs="Times New Roman"/>
                <w:noProof/>
                <w:sz w:val="16"/>
                <w:szCs w:val="16"/>
              </w:rPr>
            </w:pPr>
            <w:r w:rsidRPr="004D4A14">
              <w:rPr>
                <w:rFonts w:eastAsia="Calibri" w:cs="Times New Roman"/>
                <w:noProof/>
                <w:sz w:val="16"/>
                <w:szCs w:val="16"/>
              </w:rPr>
              <w:t>Naudotojai per metus</w:t>
            </w:r>
          </w:p>
        </w:tc>
        <w:tc>
          <w:tcPr>
            <w:tcW w:w="313" w:type="pct"/>
          </w:tcPr>
          <w:p w14:paraId="70A47B8A" w14:textId="77777777" w:rsidR="002041B2" w:rsidRPr="004D4A14" w:rsidRDefault="002041B2" w:rsidP="0010605B">
            <w:pPr>
              <w:spacing w:after="0" w:line="240" w:lineRule="auto"/>
              <w:jc w:val="center"/>
              <w:rPr>
                <w:rFonts w:eastAsia="Calibri" w:cs="Times New Roman"/>
                <w:iCs/>
                <w:noProof/>
                <w:sz w:val="16"/>
                <w:szCs w:val="16"/>
              </w:rPr>
            </w:pPr>
            <w:r w:rsidRPr="004D4A14">
              <w:rPr>
                <w:rFonts w:eastAsia="Calibri" w:cs="Times New Roman"/>
                <w:iCs/>
                <w:noProof/>
                <w:sz w:val="16"/>
                <w:szCs w:val="16"/>
              </w:rPr>
              <w:t>0</w:t>
            </w:r>
          </w:p>
        </w:tc>
        <w:tc>
          <w:tcPr>
            <w:tcW w:w="375" w:type="pct"/>
          </w:tcPr>
          <w:p w14:paraId="71245158" w14:textId="77777777" w:rsidR="002041B2" w:rsidRPr="004D4A14" w:rsidRDefault="002041B2" w:rsidP="0010605B">
            <w:pPr>
              <w:spacing w:after="0" w:line="240" w:lineRule="auto"/>
              <w:jc w:val="center"/>
              <w:rPr>
                <w:rFonts w:eastAsia="Calibri" w:cs="Times New Roman"/>
                <w:iCs/>
                <w:noProof/>
                <w:sz w:val="16"/>
                <w:szCs w:val="16"/>
              </w:rPr>
            </w:pPr>
            <w:r w:rsidRPr="004D4A14">
              <w:rPr>
                <w:rFonts w:eastAsia="Calibri" w:cs="Times New Roman"/>
                <w:iCs/>
                <w:noProof/>
                <w:sz w:val="16"/>
                <w:szCs w:val="16"/>
              </w:rPr>
              <w:t>2025</w:t>
            </w:r>
          </w:p>
        </w:tc>
        <w:tc>
          <w:tcPr>
            <w:tcW w:w="314" w:type="pct"/>
          </w:tcPr>
          <w:p w14:paraId="195192AF" w14:textId="77777777" w:rsidR="002041B2" w:rsidRPr="004D4A14" w:rsidRDefault="002041B2" w:rsidP="0010605B">
            <w:pPr>
              <w:spacing w:after="0" w:line="240" w:lineRule="auto"/>
              <w:jc w:val="center"/>
              <w:rPr>
                <w:rFonts w:eastAsia="Calibri" w:cs="Times New Roman"/>
                <w:iCs/>
                <w:noProof/>
                <w:sz w:val="16"/>
                <w:szCs w:val="16"/>
              </w:rPr>
            </w:pPr>
            <w:r w:rsidRPr="004D4A14">
              <w:rPr>
                <w:rFonts w:cs="Times New Roman"/>
                <w:iCs/>
                <w:noProof/>
                <w:sz w:val="16"/>
                <w:szCs w:val="16"/>
              </w:rPr>
              <w:t>968</w:t>
            </w:r>
          </w:p>
        </w:tc>
        <w:tc>
          <w:tcPr>
            <w:tcW w:w="381" w:type="pct"/>
          </w:tcPr>
          <w:p w14:paraId="697504D6" w14:textId="77777777" w:rsidR="002041B2" w:rsidRPr="004D4A14" w:rsidRDefault="002041B2" w:rsidP="0010605B">
            <w:pPr>
              <w:spacing w:after="0" w:line="240" w:lineRule="auto"/>
              <w:jc w:val="both"/>
              <w:rPr>
                <w:rFonts w:eastAsia="Calibri" w:cs="Times New Roman"/>
                <w:iCs/>
                <w:noProof/>
                <w:sz w:val="16"/>
                <w:szCs w:val="16"/>
              </w:rPr>
            </w:pPr>
            <w:r w:rsidRPr="004D4A14">
              <w:rPr>
                <w:rFonts w:eastAsia="Calibri" w:cs="Times New Roman"/>
                <w:iCs/>
                <w:noProof/>
                <w:sz w:val="16"/>
                <w:szCs w:val="16"/>
              </w:rPr>
              <w:t>Projektų duomenys</w:t>
            </w:r>
          </w:p>
          <w:p w14:paraId="49476799" w14:textId="77777777" w:rsidR="002041B2" w:rsidRPr="004D4A14" w:rsidRDefault="002041B2" w:rsidP="0010605B">
            <w:pPr>
              <w:spacing w:after="0" w:line="240" w:lineRule="auto"/>
              <w:jc w:val="both"/>
              <w:rPr>
                <w:rFonts w:eastAsia="Calibri" w:cs="Times New Roman"/>
                <w:iCs/>
                <w:noProof/>
                <w:sz w:val="16"/>
                <w:szCs w:val="16"/>
              </w:rPr>
            </w:pPr>
          </w:p>
        </w:tc>
        <w:tc>
          <w:tcPr>
            <w:tcW w:w="283" w:type="pct"/>
          </w:tcPr>
          <w:p w14:paraId="535E3AF6" w14:textId="77777777" w:rsidR="002041B2" w:rsidRPr="004D4A14" w:rsidRDefault="002041B2" w:rsidP="0010605B">
            <w:pPr>
              <w:spacing w:after="0" w:line="240" w:lineRule="auto"/>
              <w:jc w:val="both"/>
              <w:rPr>
                <w:rFonts w:eastAsia="Calibri" w:cs="Times New Roman"/>
                <w:i/>
                <w:noProof/>
                <w:sz w:val="16"/>
                <w:szCs w:val="16"/>
                <w:lang w:eastAsia="lt-LT" w:bidi="lt-LT"/>
              </w:rPr>
            </w:pPr>
          </w:p>
        </w:tc>
      </w:tr>
    </w:tbl>
    <w:p w14:paraId="2BF30735" w14:textId="77777777" w:rsidR="002041B2" w:rsidRPr="004D4A14" w:rsidRDefault="002041B2" w:rsidP="002041B2">
      <w:pPr>
        <w:spacing w:after="0" w:line="240" w:lineRule="auto"/>
        <w:jc w:val="both"/>
        <w:rPr>
          <w:rFonts w:cs="Times New Roman"/>
          <w:b/>
          <w:sz w:val="22"/>
        </w:rPr>
      </w:pPr>
    </w:p>
    <w:p w14:paraId="25684ED4" w14:textId="77777777" w:rsidR="002041B2" w:rsidRPr="004D4A14" w:rsidRDefault="002041B2" w:rsidP="002041B2">
      <w:pPr>
        <w:spacing w:after="0" w:line="240" w:lineRule="auto"/>
        <w:jc w:val="both"/>
        <w:rPr>
          <w:rFonts w:cs="Times New Roman"/>
          <w:sz w:val="16"/>
          <w:szCs w:val="16"/>
        </w:rPr>
        <w:sectPr w:rsidR="002041B2" w:rsidRPr="004D4A14" w:rsidSect="002041B2">
          <w:pgSz w:w="16838" w:h="11906" w:orient="landscape"/>
          <w:pgMar w:top="1701" w:right="1276" w:bottom="567" w:left="1134" w:header="567" w:footer="567" w:gutter="0"/>
          <w:cols w:space="1296"/>
          <w:docGrid w:linePitch="360"/>
        </w:sectPr>
      </w:pPr>
    </w:p>
    <w:p w14:paraId="2DA4D4F0" w14:textId="77777777" w:rsidR="002041B2" w:rsidRPr="004D4A14" w:rsidRDefault="002041B2" w:rsidP="002041B2">
      <w:pPr>
        <w:pStyle w:val="Stilius1"/>
        <w:rPr>
          <w:noProof/>
          <w:lang w:eastAsia="lt-LT" w:bidi="lt-LT"/>
        </w:rPr>
      </w:pPr>
      <w:r w:rsidRPr="004D4A14">
        <w:rPr>
          <w:noProof/>
          <w:lang w:eastAsia="lt-LT" w:bidi="lt-LT"/>
        </w:rPr>
        <w:lastRenderedPageBreak/>
        <w:t>Preliminarus Programos išteklių suskirstymas pagal intervencinių priemonių rūšį</w:t>
      </w:r>
    </w:p>
    <w:tbl>
      <w:tblPr>
        <w:tblStyle w:val="Lentelstinklelis"/>
        <w:tblW w:w="9766" w:type="dxa"/>
        <w:tblLayout w:type="fixed"/>
        <w:tblLook w:val="04A0" w:firstRow="1" w:lastRow="0" w:firstColumn="1" w:lastColumn="0" w:noHBand="0" w:noVBand="1"/>
      </w:tblPr>
      <w:tblGrid>
        <w:gridCol w:w="1069"/>
        <w:gridCol w:w="843"/>
        <w:gridCol w:w="1192"/>
        <w:gridCol w:w="1134"/>
        <w:gridCol w:w="3827"/>
        <w:gridCol w:w="1701"/>
      </w:tblGrid>
      <w:tr w:rsidR="002041B2" w:rsidRPr="004D4A14" w14:paraId="6A574666" w14:textId="77777777" w:rsidTr="0010605B">
        <w:tc>
          <w:tcPr>
            <w:tcW w:w="9766"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789BE53" w14:textId="77777777" w:rsidR="002041B2" w:rsidRPr="004D4A14" w:rsidRDefault="002041B2" w:rsidP="0010605B">
            <w:pPr>
              <w:rPr>
                <w:b/>
                <w:noProof/>
                <w:sz w:val="20"/>
              </w:rPr>
            </w:pPr>
            <w:r w:rsidRPr="004D4A14">
              <w:rPr>
                <w:b/>
                <w:noProof/>
                <w:sz w:val="20"/>
              </w:rPr>
              <w:t>4 lentelė. 1 matmuo. Intervencinių priemonių sritis</w:t>
            </w:r>
          </w:p>
        </w:tc>
      </w:tr>
      <w:tr w:rsidR="002041B2" w:rsidRPr="004D4A14" w14:paraId="29F2A916" w14:textId="77777777" w:rsidTr="0010605B">
        <w:tc>
          <w:tcPr>
            <w:tcW w:w="10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134A580" w14:textId="77777777" w:rsidR="002041B2" w:rsidRPr="004D4A14" w:rsidRDefault="002041B2" w:rsidP="0010605B">
            <w:pPr>
              <w:jc w:val="center"/>
              <w:rPr>
                <w:rFonts w:eastAsia="Times New Roman"/>
                <w:b/>
                <w:iCs/>
                <w:noProof/>
                <w:sz w:val="20"/>
              </w:rPr>
            </w:pPr>
            <w:r w:rsidRPr="004D4A14">
              <w:rPr>
                <w:b/>
                <w:noProof/>
                <w:sz w:val="20"/>
              </w:rPr>
              <w:t>Prioriteto Nr.</w:t>
            </w:r>
          </w:p>
        </w:tc>
        <w:tc>
          <w:tcPr>
            <w:tcW w:w="84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BBDEF4C" w14:textId="77777777" w:rsidR="002041B2" w:rsidRPr="004D4A14" w:rsidRDefault="002041B2" w:rsidP="0010605B">
            <w:pPr>
              <w:jc w:val="center"/>
              <w:rPr>
                <w:rFonts w:eastAsia="Times New Roman"/>
                <w:b/>
                <w:iCs/>
                <w:noProof/>
                <w:sz w:val="20"/>
              </w:rPr>
            </w:pPr>
            <w:r w:rsidRPr="004D4A14">
              <w:rPr>
                <w:b/>
                <w:noProof/>
                <w:sz w:val="20"/>
              </w:rPr>
              <w:t>Fondas</w:t>
            </w:r>
          </w:p>
        </w:tc>
        <w:tc>
          <w:tcPr>
            <w:tcW w:w="119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092219B" w14:textId="77777777" w:rsidR="002041B2" w:rsidRPr="004D4A14" w:rsidRDefault="002041B2" w:rsidP="0010605B">
            <w:pPr>
              <w:jc w:val="center"/>
              <w:rPr>
                <w:rFonts w:eastAsia="Times New Roman"/>
                <w:b/>
                <w:iCs/>
                <w:noProof/>
                <w:sz w:val="20"/>
              </w:rPr>
            </w:pPr>
            <w:r w:rsidRPr="004D4A14">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1201FD6" w14:textId="77777777" w:rsidR="002041B2" w:rsidRPr="004D4A14" w:rsidRDefault="002041B2" w:rsidP="0010605B">
            <w:pPr>
              <w:jc w:val="center"/>
              <w:rPr>
                <w:rFonts w:eastAsia="Times New Roman"/>
                <w:b/>
                <w:iCs/>
                <w:noProof/>
                <w:sz w:val="20"/>
              </w:rPr>
            </w:pPr>
            <w:r w:rsidRPr="004D4A14">
              <w:rPr>
                <w:b/>
                <w:noProof/>
                <w:sz w:val="20"/>
              </w:rPr>
              <w:t>Konkretus uždavinys</w:t>
            </w:r>
          </w:p>
        </w:tc>
        <w:tc>
          <w:tcPr>
            <w:tcW w:w="382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8721722" w14:textId="77777777" w:rsidR="002041B2" w:rsidRPr="004D4A14" w:rsidRDefault="002041B2" w:rsidP="0010605B">
            <w:pPr>
              <w:jc w:val="center"/>
              <w:rPr>
                <w:rFonts w:eastAsia="Times New Roman"/>
                <w:b/>
                <w:iCs/>
                <w:noProof/>
                <w:sz w:val="20"/>
              </w:rPr>
            </w:pPr>
            <w:r w:rsidRPr="004D4A14">
              <w:rPr>
                <w:b/>
                <w:noProof/>
                <w:sz w:val="20"/>
              </w:rPr>
              <w:t>Kodas</w:t>
            </w:r>
          </w:p>
        </w:tc>
        <w:tc>
          <w:tcPr>
            <w:tcW w:w="17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BEE2447" w14:textId="77777777" w:rsidR="002041B2" w:rsidRPr="004D4A14" w:rsidRDefault="002041B2" w:rsidP="0010605B">
            <w:pPr>
              <w:jc w:val="center"/>
              <w:rPr>
                <w:rFonts w:eastAsia="Times New Roman"/>
                <w:b/>
                <w:iCs/>
                <w:noProof/>
                <w:sz w:val="20"/>
              </w:rPr>
            </w:pPr>
            <w:r w:rsidRPr="004D4A14">
              <w:rPr>
                <w:b/>
                <w:noProof/>
                <w:sz w:val="20"/>
              </w:rPr>
              <w:t>Suma (EUR)</w:t>
            </w:r>
          </w:p>
        </w:tc>
      </w:tr>
      <w:tr w:rsidR="002041B2" w:rsidRPr="004D4A14" w14:paraId="7BFED0EB" w14:textId="77777777" w:rsidTr="0010605B">
        <w:trPr>
          <w:trHeight w:val="549"/>
        </w:trPr>
        <w:tc>
          <w:tcPr>
            <w:tcW w:w="1069" w:type="dxa"/>
            <w:vMerge w:val="restart"/>
            <w:tcBorders>
              <w:top w:val="single" w:sz="12" w:space="0" w:color="auto"/>
            </w:tcBorders>
          </w:tcPr>
          <w:p w14:paraId="5D4D7D0B" w14:textId="77777777" w:rsidR="002041B2" w:rsidRPr="004D4A14" w:rsidRDefault="002041B2" w:rsidP="0010605B">
            <w:pPr>
              <w:jc w:val="center"/>
              <w:rPr>
                <w:rFonts w:eastAsia="Times New Roman"/>
                <w:iCs/>
                <w:noProof/>
                <w:sz w:val="20"/>
                <w:szCs w:val="20"/>
              </w:rPr>
            </w:pPr>
            <w:r w:rsidRPr="004D4A14">
              <w:rPr>
                <w:rFonts w:eastAsia="Times New Roman"/>
                <w:iCs/>
                <w:noProof/>
                <w:sz w:val="20"/>
                <w:szCs w:val="20"/>
              </w:rPr>
              <w:t>17</w:t>
            </w:r>
          </w:p>
        </w:tc>
        <w:tc>
          <w:tcPr>
            <w:tcW w:w="843" w:type="dxa"/>
            <w:vMerge w:val="restart"/>
            <w:tcBorders>
              <w:top w:val="single" w:sz="12" w:space="0" w:color="auto"/>
            </w:tcBorders>
          </w:tcPr>
          <w:p w14:paraId="00C2F6DA" w14:textId="77777777" w:rsidR="002041B2" w:rsidRPr="004D4A14" w:rsidRDefault="002041B2" w:rsidP="0010605B">
            <w:pPr>
              <w:jc w:val="center"/>
              <w:rPr>
                <w:rFonts w:eastAsia="Times New Roman"/>
                <w:iCs/>
                <w:noProof/>
                <w:sz w:val="20"/>
                <w:szCs w:val="20"/>
              </w:rPr>
            </w:pPr>
            <w:r w:rsidRPr="004D4A14">
              <w:rPr>
                <w:rFonts w:eastAsia="Times New Roman"/>
                <w:iCs/>
                <w:noProof/>
                <w:sz w:val="20"/>
                <w:szCs w:val="20"/>
              </w:rPr>
              <w:t>ERPF</w:t>
            </w:r>
          </w:p>
        </w:tc>
        <w:tc>
          <w:tcPr>
            <w:tcW w:w="1192" w:type="dxa"/>
            <w:tcBorders>
              <w:top w:val="single" w:sz="12" w:space="0" w:color="auto"/>
            </w:tcBorders>
          </w:tcPr>
          <w:p w14:paraId="5284B33B" w14:textId="77777777" w:rsidR="002041B2" w:rsidRPr="004D4A14" w:rsidRDefault="002041B2" w:rsidP="0010605B">
            <w:pPr>
              <w:rPr>
                <w:rFonts w:eastAsia="Times New Roman"/>
                <w:iCs/>
                <w:noProof/>
                <w:sz w:val="20"/>
                <w:szCs w:val="20"/>
              </w:rPr>
            </w:pPr>
            <w:r w:rsidRPr="004D4A14">
              <w:rPr>
                <w:rFonts w:eastAsia="Times New Roman"/>
                <w:iCs/>
                <w:noProof/>
                <w:sz w:val="20"/>
                <w:szCs w:val="20"/>
              </w:rPr>
              <w:t>Sostinės regionas</w:t>
            </w:r>
          </w:p>
        </w:tc>
        <w:tc>
          <w:tcPr>
            <w:tcW w:w="1134" w:type="dxa"/>
            <w:vMerge w:val="restart"/>
            <w:tcBorders>
              <w:top w:val="single" w:sz="12" w:space="0" w:color="auto"/>
            </w:tcBorders>
          </w:tcPr>
          <w:p w14:paraId="47DCB474" w14:textId="77777777" w:rsidR="002041B2" w:rsidRPr="004D4A14" w:rsidRDefault="002041B2" w:rsidP="0010605B">
            <w:pPr>
              <w:jc w:val="center"/>
              <w:rPr>
                <w:rFonts w:eastAsia="Times New Roman"/>
                <w:iCs/>
                <w:noProof/>
                <w:sz w:val="20"/>
                <w:szCs w:val="20"/>
              </w:rPr>
            </w:pPr>
            <w:r w:rsidRPr="004D4A14">
              <w:rPr>
                <w:rFonts w:eastAsia="Times New Roman"/>
                <w:iCs/>
                <w:noProof/>
                <w:sz w:val="20"/>
                <w:szCs w:val="20"/>
              </w:rPr>
              <w:t>17.1</w:t>
            </w:r>
          </w:p>
        </w:tc>
        <w:tc>
          <w:tcPr>
            <w:tcW w:w="3827" w:type="dxa"/>
            <w:vMerge w:val="restart"/>
            <w:tcBorders>
              <w:top w:val="single" w:sz="12" w:space="0" w:color="auto"/>
            </w:tcBorders>
          </w:tcPr>
          <w:p w14:paraId="79039928" w14:textId="77777777" w:rsidR="002041B2" w:rsidRPr="004D4A14" w:rsidRDefault="002041B2" w:rsidP="0010605B">
            <w:pPr>
              <w:jc w:val="both"/>
              <w:rPr>
                <w:rFonts w:eastAsia="Times New Roman" w:cs="Times New Roman"/>
                <w:iCs/>
                <w:noProof/>
                <w:sz w:val="20"/>
                <w:szCs w:val="20"/>
              </w:rPr>
            </w:pPr>
            <w:r w:rsidRPr="004D4A14">
              <w:rPr>
                <w:rFonts w:eastAsia="Times New Roman"/>
                <w:iCs/>
                <w:noProof/>
                <w:sz w:val="20"/>
                <w:szCs w:val="20"/>
              </w:rPr>
              <w:t>126 – Būstų infrastruktūra (kitiems asmenims nei migrantai, pabėgėliai ir asmenys, kuriems suteikta tarptautinė apsauga arba kurie prašo suteikti tarptautinę apsaugą)</w:t>
            </w:r>
          </w:p>
        </w:tc>
        <w:tc>
          <w:tcPr>
            <w:tcW w:w="1701" w:type="dxa"/>
            <w:tcBorders>
              <w:top w:val="single" w:sz="12" w:space="0" w:color="auto"/>
            </w:tcBorders>
          </w:tcPr>
          <w:p w14:paraId="1A179DA0" w14:textId="77777777" w:rsidR="002041B2" w:rsidRPr="004D4A14" w:rsidRDefault="002041B2" w:rsidP="0010605B">
            <w:pPr>
              <w:jc w:val="right"/>
              <w:rPr>
                <w:rFonts w:eastAsia="Times New Roman" w:cs="Times New Roman"/>
                <w:iCs/>
                <w:noProof/>
                <w:sz w:val="20"/>
                <w:szCs w:val="20"/>
              </w:rPr>
            </w:pPr>
            <w:r w:rsidRPr="004D4A14">
              <w:rPr>
                <w:rFonts w:eastAsia="Times New Roman" w:cs="Times New Roman"/>
                <w:iCs/>
                <w:noProof/>
                <w:sz w:val="20"/>
                <w:szCs w:val="20"/>
              </w:rPr>
              <w:t>18 500 000,00</w:t>
            </w:r>
          </w:p>
          <w:p w14:paraId="1706D3FA" w14:textId="77777777" w:rsidR="002041B2" w:rsidRPr="004D4A14" w:rsidRDefault="002041B2" w:rsidP="0010605B">
            <w:pPr>
              <w:jc w:val="right"/>
              <w:rPr>
                <w:rFonts w:eastAsia="Times New Roman" w:cs="Times New Roman"/>
                <w:iCs/>
                <w:noProof/>
                <w:sz w:val="20"/>
                <w:szCs w:val="20"/>
              </w:rPr>
            </w:pPr>
          </w:p>
        </w:tc>
      </w:tr>
      <w:tr w:rsidR="002041B2" w:rsidRPr="004D4A14" w14:paraId="5226864D" w14:textId="77777777" w:rsidTr="0010605B">
        <w:tc>
          <w:tcPr>
            <w:tcW w:w="1069" w:type="dxa"/>
            <w:vMerge/>
          </w:tcPr>
          <w:p w14:paraId="79A1C2ED" w14:textId="77777777" w:rsidR="002041B2" w:rsidRPr="004D4A14" w:rsidRDefault="002041B2" w:rsidP="0010605B">
            <w:pPr>
              <w:jc w:val="center"/>
              <w:rPr>
                <w:rFonts w:cs="Times New Roman"/>
                <w:noProof/>
                <w:sz w:val="20"/>
                <w:szCs w:val="20"/>
              </w:rPr>
            </w:pPr>
          </w:p>
        </w:tc>
        <w:tc>
          <w:tcPr>
            <w:tcW w:w="843" w:type="dxa"/>
            <w:vMerge/>
          </w:tcPr>
          <w:p w14:paraId="4DBFEC2B" w14:textId="77777777" w:rsidR="002041B2" w:rsidRPr="004D4A14" w:rsidRDefault="002041B2" w:rsidP="0010605B">
            <w:pPr>
              <w:jc w:val="center"/>
              <w:rPr>
                <w:rFonts w:cs="Times New Roman"/>
                <w:noProof/>
                <w:sz w:val="20"/>
                <w:szCs w:val="20"/>
              </w:rPr>
            </w:pPr>
          </w:p>
        </w:tc>
        <w:tc>
          <w:tcPr>
            <w:tcW w:w="1192" w:type="dxa"/>
            <w:tcBorders>
              <w:top w:val="single" w:sz="12" w:space="0" w:color="auto"/>
            </w:tcBorders>
          </w:tcPr>
          <w:p w14:paraId="56D40104" w14:textId="77777777" w:rsidR="002041B2" w:rsidRPr="004D4A14" w:rsidRDefault="002041B2" w:rsidP="0010605B">
            <w:pPr>
              <w:rPr>
                <w:rFonts w:cs="Times New Roman"/>
                <w:noProof/>
                <w:sz w:val="20"/>
                <w:szCs w:val="20"/>
              </w:rPr>
            </w:pPr>
            <w:r w:rsidRPr="004D4A14">
              <w:rPr>
                <w:rFonts w:cs="Times New Roman"/>
                <w:noProof/>
                <w:sz w:val="20"/>
                <w:szCs w:val="20"/>
              </w:rPr>
              <w:t>VVL regionas</w:t>
            </w:r>
          </w:p>
        </w:tc>
        <w:tc>
          <w:tcPr>
            <w:tcW w:w="1134" w:type="dxa"/>
            <w:vMerge/>
          </w:tcPr>
          <w:p w14:paraId="1E37D6AA" w14:textId="77777777" w:rsidR="002041B2" w:rsidRPr="004D4A14" w:rsidRDefault="002041B2" w:rsidP="0010605B">
            <w:pPr>
              <w:jc w:val="center"/>
              <w:rPr>
                <w:rFonts w:cs="Times New Roman"/>
                <w:noProof/>
                <w:sz w:val="20"/>
                <w:szCs w:val="20"/>
              </w:rPr>
            </w:pPr>
          </w:p>
        </w:tc>
        <w:tc>
          <w:tcPr>
            <w:tcW w:w="3827" w:type="dxa"/>
            <w:vMerge/>
            <w:tcBorders>
              <w:bottom w:val="single" w:sz="4" w:space="0" w:color="auto"/>
            </w:tcBorders>
          </w:tcPr>
          <w:p w14:paraId="5F32F3EC" w14:textId="77777777" w:rsidR="002041B2" w:rsidRPr="004D4A14" w:rsidDel="00AA781F" w:rsidRDefault="002041B2" w:rsidP="0010605B">
            <w:pPr>
              <w:jc w:val="both"/>
              <w:rPr>
                <w:rFonts w:eastAsia="Times New Roman" w:cs="Times New Roman"/>
                <w:iCs/>
                <w:noProof/>
                <w:sz w:val="20"/>
                <w:szCs w:val="20"/>
                <w:lang w:val="en-US"/>
              </w:rPr>
            </w:pPr>
          </w:p>
        </w:tc>
        <w:tc>
          <w:tcPr>
            <w:tcW w:w="1701" w:type="dxa"/>
            <w:tcBorders>
              <w:top w:val="single" w:sz="4" w:space="0" w:color="auto"/>
              <w:bottom w:val="single" w:sz="4" w:space="0" w:color="auto"/>
            </w:tcBorders>
          </w:tcPr>
          <w:p w14:paraId="40C49F78" w14:textId="77777777" w:rsidR="002041B2" w:rsidRPr="004D4A14" w:rsidDel="00A949B6" w:rsidRDefault="002041B2" w:rsidP="0010605B">
            <w:pPr>
              <w:jc w:val="right"/>
              <w:rPr>
                <w:rFonts w:eastAsia="Times New Roman" w:cs="Times New Roman"/>
                <w:iCs/>
                <w:noProof/>
                <w:sz w:val="20"/>
                <w:szCs w:val="20"/>
              </w:rPr>
            </w:pPr>
            <w:r w:rsidRPr="004D4A14">
              <w:rPr>
                <w:rFonts w:eastAsia="Times New Roman" w:cs="Times New Roman"/>
                <w:iCs/>
                <w:noProof/>
                <w:sz w:val="20"/>
                <w:szCs w:val="20"/>
              </w:rPr>
              <w:t>34 500 000,00</w:t>
            </w:r>
          </w:p>
        </w:tc>
      </w:tr>
    </w:tbl>
    <w:p w14:paraId="2AFB0B4B" w14:textId="77777777" w:rsidR="002041B2" w:rsidRPr="004D4A14" w:rsidRDefault="002041B2" w:rsidP="002041B2">
      <w:pPr>
        <w:spacing w:after="0" w:line="240" w:lineRule="auto"/>
        <w:rPr>
          <w:rFonts w:eastAsia="Times New Roman"/>
          <w:iCs/>
          <w:noProof/>
          <w:sz w:val="20"/>
          <w:szCs w:val="20"/>
        </w:rPr>
      </w:pPr>
    </w:p>
    <w:tbl>
      <w:tblPr>
        <w:tblStyle w:val="Lentelstinklelis"/>
        <w:tblW w:w="9747" w:type="dxa"/>
        <w:tblLayout w:type="fixed"/>
        <w:tblLook w:val="04A0" w:firstRow="1" w:lastRow="0" w:firstColumn="1" w:lastColumn="0" w:noHBand="0" w:noVBand="1"/>
      </w:tblPr>
      <w:tblGrid>
        <w:gridCol w:w="1101"/>
        <w:gridCol w:w="850"/>
        <w:gridCol w:w="1134"/>
        <w:gridCol w:w="1134"/>
        <w:gridCol w:w="3903"/>
        <w:gridCol w:w="1625"/>
      </w:tblGrid>
      <w:tr w:rsidR="002041B2" w:rsidRPr="004D4A14" w14:paraId="515E1CB3" w14:textId="77777777" w:rsidTr="0010605B">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BED157B" w14:textId="77777777" w:rsidR="002041B2" w:rsidRPr="004D4A14" w:rsidRDefault="002041B2" w:rsidP="0010605B">
            <w:pPr>
              <w:rPr>
                <w:rFonts w:eastAsia="Times New Roman"/>
                <w:b/>
                <w:iCs/>
                <w:noProof/>
                <w:sz w:val="20"/>
              </w:rPr>
            </w:pPr>
            <w:r w:rsidRPr="004D4A14">
              <w:rPr>
                <w:b/>
                <w:noProof/>
                <w:sz w:val="20"/>
              </w:rPr>
              <w:t>5 lentelė. 2 matmuo. Finansavimo forma</w:t>
            </w:r>
          </w:p>
        </w:tc>
      </w:tr>
      <w:tr w:rsidR="002041B2" w:rsidRPr="004D4A14" w14:paraId="73B08A2F" w14:textId="77777777" w:rsidTr="0010605B">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27FD32D" w14:textId="77777777" w:rsidR="002041B2" w:rsidRPr="004D4A14" w:rsidRDefault="002041B2" w:rsidP="0010605B">
            <w:pPr>
              <w:jc w:val="center"/>
              <w:rPr>
                <w:rFonts w:eastAsia="Times New Roman"/>
                <w:b/>
                <w:iCs/>
                <w:noProof/>
                <w:sz w:val="20"/>
              </w:rPr>
            </w:pPr>
            <w:r w:rsidRPr="004D4A14">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CD51827" w14:textId="77777777" w:rsidR="002041B2" w:rsidRPr="004D4A14" w:rsidRDefault="002041B2" w:rsidP="0010605B">
            <w:pPr>
              <w:jc w:val="center"/>
              <w:rPr>
                <w:rFonts w:eastAsia="Times New Roman"/>
                <w:b/>
                <w:iCs/>
                <w:noProof/>
                <w:sz w:val="20"/>
              </w:rPr>
            </w:pPr>
            <w:r w:rsidRPr="004D4A14">
              <w:rPr>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60C497D" w14:textId="77777777" w:rsidR="002041B2" w:rsidRPr="004D4A14" w:rsidRDefault="002041B2" w:rsidP="0010605B">
            <w:pPr>
              <w:jc w:val="center"/>
              <w:rPr>
                <w:rFonts w:eastAsia="Times New Roman"/>
                <w:b/>
                <w:iCs/>
                <w:noProof/>
                <w:sz w:val="20"/>
              </w:rPr>
            </w:pPr>
            <w:r w:rsidRPr="004D4A14">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06C1887" w14:textId="77777777" w:rsidR="002041B2" w:rsidRPr="004D4A14" w:rsidRDefault="002041B2" w:rsidP="0010605B">
            <w:pPr>
              <w:jc w:val="center"/>
              <w:rPr>
                <w:rFonts w:eastAsia="Times New Roman"/>
                <w:b/>
                <w:iCs/>
                <w:noProof/>
                <w:sz w:val="20"/>
              </w:rPr>
            </w:pPr>
            <w:r w:rsidRPr="004D4A14">
              <w:rPr>
                <w:b/>
                <w:noProof/>
                <w:sz w:val="20"/>
              </w:rPr>
              <w:t>Konkretus uždavinys</w:t>
            </w:r>
          </w:p>
        </w:tc>
        <w:tc>
          <w:tcPr>
            <w:tcW w:w="390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DF5BDE6" w14:textId="77777777" w:rsidR="002041B2" w:rsidRPr="004D4A14" w:rsidRDefault="002041B2" w:rsidP="0010605B">
            <w:pPr>
              <w:jc w:val="center"/>
              <w:rPr>
                <w:rFonts w:eastAsia="Times New Roman"/>
                <w:b/>
                <w:iCs/>
                <w:noProof/>
                <w:sz w:val="20"/>
              </w:rPr>
            </w:pPr>
            <w:r w:rsidRPr="004D4A14">
              <w:rPr>
                <w:b/>
                <w:noProof/>
                <w:sz w:val="20"/>
              </w:rPr>
              <w:t>Kodas</w:t>
            </w:r>
          </w:p>
        </w:tc>
        <w:tc>
          <w:tcPr>
            <w:tcW w:w="162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82E5A3" w14:textId="77777777" w:rsidR="002041B2" w:rsidRPr="004D4A14" w:rsidRDefault="002041B2" w:rsidP="0010605B">
            <w:pPr>
              <w:jc w:val="center"/>
              <w:rPr>
                <w:rFonts w:eastAsia="Times New Roman"/>
                <w:b/>
                <w:iCs/>
                <w:noProof/>
                <w:sz w:val="20"/>
              </w:rPr>
            </w:pPr>
            <w:r w:rsidRPr="004D4A14">
              <w:rPr>
                <w:b/>
                <w:noProof/>
                <w:sz w:val="20"/>
              </w:rPr>
              <w:t>Suma (EUR)</w:t>
            </w:r>
          </w:p>
        </w:tc>
      </w:tr>
      <w:tr w:rsidR="002041B2" w:rsidRPr="004D4A14" w14:paraId="5225BD61" w14:textId="77777777" w:rsidTr="0010605B">
        <w:tc>
          <w:tcPr>
            <w:tcW w:w="1101" w:type="dxa"/>
            <w:vMerge w:val="restart"/>
            <w:tcBorders>
              <w:top w:val="single" w:sz="12" w:space="0" w:color="auto"/>
            </w:tcBorders>
          </w:tcPr>
          <w:p w14:paraId="56B22389" w14:textId="77777777" w:rsidR="002041B2" w:rsidRPr="004D4A14" w:rsidRDefault="002041B2" w:rsidP="0010605B">
            <w:pPr>
              <w:jc w:val="center"/>
              <w:rPr>
                <w:rFonts w:eastAsia="Times New Roman"/>
                <w:iCs/>
                <w:noProof/>
                <w:sz w:val="20"/>
                <w:szCs w:val="20"/>
              </w:rPr>
            </w:pPr>
            <w:r w:rsidRPr="004D4A14">
              <w:rPr>
                <w:rFonts w:eastAsia="Times New Roman"/>
                <w:iCs/>
                <w:noProof/>
                <w:sz w:val="20"/>
                <w:szCs w:val="20"/>
              </w:rPr>
              <w:t>17</w:t>
            </w:r>
          </w:p>
        </w:tc>
        <w:tc>
          <w:tcPr>
            <w:tcW w:w="850" w:type="dxa"/>
            <w:vMerge w:val="restart"/>
            <w:tcBorders>
              <w:top w:val="single" w:sz="12" w:space="0" w:color="auto"/>
            </w:tcBorders>
          </w:tcPr>
          <w:p w14:paraId="0B0A1F5B" w14:textId="77777777" w:rsidR="002041B2" w:rsidRPr="004D4A14" w:rsidRDefault="002041B2" w:rsidP="0010605B">
            <w:pPr>
              <w:jc w:val="center"/>
              <w:rPr>
                <w:rFonts w:eastAsia="Times New Roman"/>
                <w:iCs/>
                <w:noProof/>
                <w:sz w:val="20"/>
                <w:szCs w:val="20"/>
              </w:rPr>
            </w:pPr>
            <w:r w:rsidRPr="004D4A14">
              <w:rPr>
                <w:rFonts w:eastAsia="Times New Roman"/>
                <w:iCs/>
                <w:noProof/>
                <w:sz w:val="20"/>
                <w:szCs w:val="20"/>
              </w:rPr>
              <w:t>ERPF</w:t>
            </w:r>
          </w:p>
        </w:tc>
        <w:tc>
          <w:tcPr>
            <w:tcW w:w="1134" w:type="dxa"/>
            <w:tcBorders>
              <w:top w:val="single" w:sz="12" w:space="0" w:color="auto"/>
              <w:bottom w:val="single" w:sz="12" w:space="0" w:color="auto"/>
            </w:tcBorders>
          </w:tcPr>
          <w:p w14:paraId="1E619EB5" w14:textId="77777777" w:rsidR="002041B2" w:rsidRPr="004D4A14" w:rsidRDefault="002041B2" w:rsidP="0010605B">
            <w:pPr>
              <w:rPr>
                <w:rFonts w:eastAsia="Times New Roman"/>
                <w:iCs/>
                <w:noProof/>
                <w:sz w:val="20"/>
                <w:szCs w:val="20"/>
              </w:rPr>
            </w:pPr>
            <w:r w:rsidRPr="004D4A14">
              <w:rPr>
                <w:rFonts w:eastAsia="Times New Roman"/>
                <w:iCs/>
                <w:noProof/>
                <w:sz w:val="20"/>
                <w:szCs w:val="20"/>
              </w:rPr>
              <w:t>Sostinės regionas</w:t>
            </w:r>
          </w:p>
        </w:tc>
        <w:tc>
          <w:tcPr>
            <w:tcW w:w="1134" w:type="dxa"/>
            <w:vMerge w:val="restart"/>
            <w:tcBorders>
              <w:top w:val="single" w:sz="12" w:space="0" w:color="auto"/>
            </w:tcBorders>
          </w:tcPr>
          <w:p w14:paraId="22124585" w14:textId="77777777" w:rsidR="002041B2" w:rsidRPr="004D4A14" w:rsidRDefault="002041B2" w:rsidP="0010605B">
            <w:pPr>
              <w:jc w:val="center"/>
              <w:rPr>
                <w:rFonts w:eastAsia="Times New Roman"/>
                <w:bCs/>
                <w:iCs/>
                <w:noProof/>
                <w:sz w:val="20"/>
                <w:szCs w:val="20"/>
              </w:rPr>
            </w:pPr>
            <w:r w:rsidRPr="004D4A14">
              <w:rPr>
                <w:rFonts w:eastAsia="Times New Roman"/>
                <w:bCs/>
                <w:iCs/>
                <w:noProof/>
                <w:sz w:val="20"/>
                <w:szCs w:val="20"/>
              </w:rPr>
              <w:t>17.1</w:t>
            </w:r>
          </w:p>
        </w:tc>
        <w:tc>
          <w:tcPr>
            <w:tcW w:w="3903" w:type="dxa"/>
            <w:vMerge w:val="restart"/>
            <w:tcBorders>
              <w:top w:val="single" w:sz="12" w:space="0" w:color="auto"/>
            </w:tcBorders>
          </w:tcPr>
          <w:p w14:paraId="3201C8E6" w14:textId="77777777" w:rsidR="002041B2" w:rsidRPr="004D4A14" w:rsidRDefault="002041B2" w:rsidP="0010605B">
            <w:pPr>
              <w:rPr>
                <w:rFonts w:eastAsia="Times New Roman" w:cs="Times New Roman"/>
                <w:bCs/>
                <w:iCs/>
                <w:noProof/>
                <w:sz w:val="20"/>
                <w:szCs w:val="20"/>
              </w:rPr>
            </w:pPr>
            <w:r w:rsidRPr="004D4A14">
              <w:rPr>
                <w:rFonts w:eastAsia="Times New Roman" w:cs="Times New Roman"/>
                <w:bCs/>
                <w:iCs/>
                <w:noProof/>
                <w:sz w:val="20"/>
                <w:szCs w:val="20"/>
              </w:rPr>
              <w:t>01 – Dotacija</w:t>
            </w:r>
          </w:p>
        </w:tc>
        <w:tc>
          <w:tcPr>
            <w:tcW w:w="1625" w:type="dxa"/>
            <w:tcBorders>
              <w:top w:val="single" w:sz="12" w:space="0" w:color="auto"/>
              <w:bottom w:val="single" w:sz="12" w:space="0" w:color="auto"/>
            </w:tcBorders>
          </w:tcPr>
          <w:p w14:paraId="0984E145" w14:textId="77777777" w:rsidR="002041B2" w:rsidRPr="004D4A14" w:rsidRDefault="002041B2" w:rsidP="0010605B">
            <w:pPr>
              <w:jc w:val="right"/>
              <w:rPr>
                <w:rFonts w:eastAsia="Times New Roman" w:cs="Times New Roman"/>
                <w:iCs/>
                <w:noProof/>
                <w:sz w:val="20"/>
                <w:szCs w:val="20"/>
              </w:rPr>
            </w:pPr>
            <w:r w:rsidRPr="004D4A14">
              <w:rPr>
                <w:rFonts w:eastAsia="Times New Roman" w:cs="Times New Roman"/>
                <w:iCs/>
                <w:noProof/>
                <w:sz w:val="20"/>
                <w:szCs w:val="20"/>
              </w:rPr>
              <w:t>18 500 000,00</w:t>
            </w:r>
          </w:p>
          <w:p w14:paraId="49C2D302" w14:textId="77777777" w:rsidR="002041B2" w:rsidRPr="004D4A14" w:rsidRDefault="002041B2" w:rsidP="0010605B">
            <w:pPr>
              <w:jc w:val="right"/>
              <w:rPr>
                <w:rFonts w:cs="Times New Roman"/>
                <w:sz w:val="20"/>
                <w:szCs w:val="20"/>
              </w:rPr>
            </w:pPr>
          </w:p>
        </w:tc>
      </w:tr>
      <w:tr w:rsidR="002041B2" w:rsidRPr="004D4A14" w14:paraId="5C064BCD" w14:textId="77777777" w:rsidTr="0010605B">
        <w:tc>
          <w:tcPr>
            <w:tcW w:w="1101" w:type="dxa"/>
            <w:vMerge/>
            <w:tcBorders>
              <w:bottom w:val="single" w:sz="4" w:space="0" w:color="auto"/>
            </w:tcBorders>
          </w:tcPr>
          <w:p w14:paraId="0CDF2149" w14:textId="77777777" w:rsidR="002041B2" w:rsidRPr="004D4A14" w:rsidRDefault="002041B2" w:rsidP="0010605B">
            <w:pPr>
              <w:jc w:val="center"/>
              <w:rPr>
                <w:rFonts w:eastAsia="Times New Roman"/>
                <w:iCs/>
                <w:noProof/>
                <w:sz w:val="20"/>
                <w:szCs w:val="20"/>
              </w:rPr>
            </w:pPr>
          </w:p>
        </w:tc>
        <w:tc>
          <w:tcPr>
            <w:tcW w:w="850" w:type="dxa"/>
            <w:vMerge/>
            <w:tcBorders>
              <w:bottom w:val="single" w:sz="4" w:space="0" w:color="auto"/>
            </w:tcBorders>
          </w:tcPr>
          <w:p w14:paraId="670CA856" w14:textId="77777777" w:rsidR="002041B2" w:rsidRPr="004D4A14" w:rsidRDefault="002041B2" w:rsidP="0010605B">
            <w:pPr>
              <w:jc w:val="center"/>
              <w:rPr>
                <w:rFonts w:eastAsia="Times New Roman"/>
                <w:iCs/>
                <w:noProof/>
                <w:sz w:val="20"/>
                <w:szCs w:val="20"/>
              </w:rPr>
            </w:pPr>
          </w:p>
        </w:tc>
        <w:tc>
          <w:tcPr>
            <w:tcW w:w="1134" w:type="dxa"/>
            <w:tcBorders>
              <w:top w:val="single" w:sz="12" w:space="0" w:color="auto"/>
              <w:bottom w:val="single" w:sz="4" w:space="0" w:color="auto"/>
            </w:tcBorders>
          </w:tcPr>
          <w:p w14:paraId="6BA2DBA2" w14:textId="77777777" w:rsidR="002041B2" w:rsidRPr="004D4A14" w:rsidRDefault="002041B2" w:rsidP="0010605B">
            <w:pPr>
              <w:rPr>
                <w:rFonts w:eastAsia="Times New Roman"/>
                <w:iCs/>
                <w:noProof/>
                <w:sz w:val="20"/>
                <w:szCs w:val="20"/>
              </w:rPr>
            </w:pPr>
            <w:r w:rsidRPr="004D4A14">
              <w:rPr>
                <w:rFonts w:cs="Times New Roman"/>
                <w:noProof/>
                <w:sz w:val="20"/>
                <w:szCs w:val="20"/>
              </w:rPr>
              <w:t>VVL regionas</w:t>
            </w:r>
          </w:p>
        </w:tc>
        <w:tc>
          <w:tcPr>
            <w:tcW w:w="1134" w:type="dxa"/>
            <w:vMerge/>
            <w:tcBorders>
              <w:bottom w:val="single" w:sz="4" w:space="0" w:color="auto"/>
            </w:tcBorders>
          </w:tcPr>
          <w:p w14:paraId="61D0C15F" w14:textId="77777777" w:rsidR="002041B2" w:rsidRPr="004D4A14" w:rsidRDefault="002041B2" w:rsidP="0010605B">
            <w:pPr>
              <w:jc w:val="center"/>
              <w:rPr>
                <w:rFonts w:eastAsia="Times New Roman"/>
                <w:b/>
                <w:iCs/>
                <w:noProof/>
                <w:sz w:val="20"/>
                <w:szCs w:val="20"/>
              </w:rPr>
            </w:pPr>
          </w:p>
        </w:tc>
        <w:tc>
          <w:tcPr>
            <w:tcW w:w="3903" w:type="dxa"/>
            <w:vMerge/>
            <w:tcBorders>
              <w:bottom w:val="single" w:sz="4" w:space="0" w:color="auto"/>
            </w:tcBorders>
          </w:tcPr>
          <w:p w14:paraId="20974C87" w14:textId="77777777" w:rsidR="002041B2" w:rsidRPr="004D4A14" w:rsidRDefault="002041B2" w:rsidP="0010605B">
            <w:pPr>
              <w:rPr>
                <w:rFonts w:eastAsia="Times New Roman" w:cs="Times New Roman"/>
                <w:bCs/>
                <w:iCs/>
                <w:noProof/>
                <w:sz w:val="20"/>
                <w:szCs w:val="20"/>
              </w:rPr>
            </w:pPr>
          </w:p>
        </w:tc>
        <w:tc>
          <w:tcPr>
            <w:tcW w:w="1625" w:type="dxa"/>
            <w:tcBorders>
              <w:top w:val="single" w:sz="12" w:space="0" w:color="auto"/>
              <w:bottom w:val="single" w:sz="4" w:space="0" w:color="auto"/>
            </w:tcBorders>
          </w:tcPr>
          <w:p w14:paraId="675FA9E9" w14:textId="77777777" w:rsidR="002041B2" w:rsidRPr="004D4A14" w:rsidRDefault="002041B2" w:rsidP="0010605B">
            <w:pPr>
              <w:jc w:val="right"/>
              <w:rPr>
                <w:rFonts w:cs="Times New Roman"/>
                <w:sz w:val="20"/>
                <w:szCs w:val="20"/>
              </w:rPr>
            </w:pPr>
            <w:r w:rsidRPr="004D4A14">
              <w:rPr>
                <w:rFonts w:eastAsia="Times New Roman" w:cs="Times New Roman"/>
                <w:iCs/>
                <w:noProof/>
                <w:sz w:val="20"/>
                <w:szCs w:val="20"/>
              </w:rPr>
              <w:t>34 500 000,00</w:t>
            </w:r>
          </w:p>
        </w:tc>
      </w:tr>
    </w:tbl>
    <w:p w14:paraId="7896D07C" w14:textId="77777777" w:rsidR="002041B2" w:rsidRPr="004D4A14" w:rsidRDefault="002041B2" w:rsidP="002041B2">
      <w:pPr>
        <w:spacing w:after="0" w:line="240" w:lineRule="auto"/>
        <w:rPr>
          <w:rFonts w:eastAsia="Times New Roman"/>
          <w:iCs/>
          <w:noProof/>
          <w:sz w:val="20"/>
          <w:szCs w:val="20"/>
        </w:rPr>
      </w:pPr>
    </w:p>
    <w:tbl>
      <w:tblPr>
        <w:tblStyle w:val="Lentelstinklelis"/>
        <w:tblW w:w="9766" w:type="dxa"/>
        <w:tblLook w:val="04A0" w:firstRow="1" w:lastRow="0" w:firstColumn="1" w:lastColumn="0" w:noHBand="0" w:noVBand="1"/>
      </w:tblPr>
      <w:tblGrid>
        <w:gridCol w:w="1082"/>
        <w:gridCol w:w="847"/>
        <w:gridCol w:w="1094"/>
        <w:gridCol w:w="1215"/>
        <w:gridCol w:w="3869"/>
        <w:gridCol w:w="1659"/>
      </w:tblGrid>
      <w:tr w:rsidR="002041B2" w:rsidRPr="004D4A14" w14:paraId="5A7067F6" w14:textId="77777777" w:rsidTr="0010605B">
        <w:tc>
          <w:tcPr>
            <w:tcW w:w="9766"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4CC91D28" w14:textId="77777777" w:rsidR="002041B2" w:rsidRPr="004D4A14" w:rsidRDefault="002041B2" w:rsidP="0010605B">
            <w:pPr>
              <w:rPr>
                <w:rFonts w:eastAsia="Times New Roman"/>
                <w:b/>
                <w:iCs/>
                <w:noProof/>
                <w:sz w:val="20"/>
              </w:rPr>
            </w:pPr>
            <w:r w:rsidRPr="004D4A14">
              <w:rPr>
                <w:b/>
                <w:noProof/>
                <w:sz w:val="20"/>
              </w:rPr>
              <w:t>6 lentelė. 3 matmuo. Teritorinis įgyvendinimo mechanizmas ir pagrindinė teritorinė sritis</w:t>
            </w:r>
          </w:p>
        </w:tc>
      </w:tr>
      <w:tr w:rsidR="002041B2" w:rsidRPr="004D4A14" w14:paraId="2717EC6F" w14:textId="77777777" w:rsidTr="0010605B">
        <w:tc>
          <w:tcPr>
            <w:tcW w:w="1082"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5513FCE" w14:textId="77777777" w:rsidR="002041B2" w:rsidRPr="004D4A14" w:rsidRDefault="002041B2" w:rsidP="0010605B">
            <w:pPr>
              <w:jc w:val="center"/>
              <w:rPr>
                <w:rFonts w:eastAsia="Times New Roman"/>
                <w:b/>
                <w:iCs/>
                <w:noProof/>
                <w:sz w:val="20"/>
              </w:rPr>
            </w:pPr>
            <w:r w:rsidRPr="004D4A14">
              <w:rPr>
                <w:b/>
                <w:noProof/>
                <w:sz w:val="20"/>
              </w:rPr>
              <w:t>Prioriteto Nr.</w:t>
            </w:r>
          </w:p>
        </w:tc>
        <w:tc>
          <w:tcPr>
            <w:tcW w:w="84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90989D8" w14:textId="77777777" w:rsidR="002041B2" w:rsidRPr="004D4A14" w:rsidRDefault="002041B2" w:rsidP="0010605B">
            <w:pPr>
              <w:jc w:val="center"/>
              <w:rPr>
                <w:rFonts w:eastAsia="Times New Roman"/>
                <w:b/>
                <w:iCs/>
                <w:noProof/>
                <w:sz w:val="20"/>
              </w:rPr>
            </w:pPr>
            <w:r w:rsidRPr="004D4A14">
              <w:rPr>
                <w:b/>
                <w:noProof/>
                <w:sz w:val="20"/>
              </w:rPr>
              <w:t>Fondas</w:t>
            </w:r>
          </w:p>
        </w:tc>
        <w:tc>
          <w:tcPr>
            <w:tcW w:w="109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DF9EC4D" w14:textId="77777777" w:rsidR="002041B2" w:rsidRPr="004D4A14" w:rsidRDefault="002041B2" w:rsidP="0010605B">
            <w:pPr>
              <w:jc w:val="center"/>
              <w:rPr>
                <w:rFonts w:eastAsia="Times New Roman"/>
                <w:b/>
                <w:iCs/>
                <w:noProof/>
                <w:sz w:val="20"/>
              </w:rPr>
            </w:pPr>
            <w:r w:rsidRPr="004D4A14">
              <w:rPr>
                <w:b/>
                <w:noProof/>
                <w:sz w:val="20"/>
              </w:rPr>
              <w:t>Regiono kategorija</w:t>
            </w:r>
          </w:p>
        </w:tc>
        <w:tc>
          <w:tcPr>
            <w:tcW w:w="1215"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7EB0EBB" w14:textId="77777777" w:rsidR="002041B2" w:rsidRPr="004D4A14" w:rsidRDefault="002041B2" w:rsidP="0010605B">
            <w:pPr>
              <w:jc w:val="center"/>
              <w:rPr>
                <w:rFonts w:eastAsia="Times New Roman"/>
                <w:b/>
                <w:iCs/>
                <w:noProof/>
                <w:sz w:val="20"/>
              </w:rPr>
            </w:pPr>
            <w:r w:rsidRPr="004D4A14">
              <w:rPr>
                <w:b/>
                <w:noProof/>
                <w:sz w:val="20"/>
              </w:rPr>
              <w:t>Konkretus uždavinys</w:t>
            </w:r>
          </w:p>
        </w:tc>
        <w:tc>
          <w:tcPr>
            <w:tcW w:w="386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FA0DDB8" w14:textId="77777777" w:rsidR="002041B2" w:rsidRPr="004D4A14" w:rsidRDefault="002041B2" w:rsidP="0010605B">
            <w:pPr>
              <w:jc w:val="center"/>
              <w:rPr>
                <w:rFonts w:eastAsia="Times New Roman"/>
                <w:b/>
                <w:iCs/>
                <w:noProof/>
                <w:sz w:val="20"/>
              </w:rPr>
            </w:pPr>
            <w:r w:rsidRPr="004D4A14">
              <w:rPr>
                <w:b/>
                <w:noProof/>
                <w:sz w:val="20"/>
              </w:rPr>
              <w:t>Kodas</w:t>
            </w:r>
          </w:p>
        </w:tc>
        <w:tc>
          <w:tcPr>
            <w:tcW w:w="16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966C81D" w14:textId="77777777" w:rsidR="002041B2" w:rsidRPr="004D4A14" w:rsidRDefault="002041B2" w:rsidP="0010605B">
            <w:pPr>
              <w:jc w:val="center"/>
              <w:rPr>
                <w:rFonts w:eastAsia="Times New Roman"/>
                <w:b/>
                <w:iCs/>
                <w:noProof/>
                <w:sz w:val="20"/>
              </w:rPr>
            </w:pPr>
            <w:r w:rsidRPr="004D4A14">
              <w:rPr>
                <w:b/>
                <w:noProof/>
                <w:sz w:val="20"/>
              </w:rPr>
              <w:t>Suma (EUR)</w:t>
            </w:r>
          </w:p>
        </w:tc>
      </w:tr>
      <w:tr w:rsidR="002041B2" w:rsidRPr="004D4A14" w14:paraId="1F207014" w14:textId="77777777" w:rsidTr="0010605B">
        <w:trPr>
          <w:trHeight w:val="303"/>
        </w:trPr>
        <w:tc>
          <w:tcPr>
            <w:tcW w:w="1082" w:type="dxa"/>
            <w:vMerge w:val="restart"/>
          </w:tcPr>
          <w:p w14:paraId="5BD62761" w14:textId="77777777" w:rsidR="002041B2" w:rsidRPr="004D4A14" w:rsidRDefault="002041B2" w:rsidP="0010605B">
            <w:pPr>
              <w:jc w:val="center"/>
              <w:rPr>
                <w:rFonts w:eastAsia="Times New Roman"/>
                <w:iCs/>
                <w:noProof/>
                <w:sz w:val="20"/>
                <w:szCs w:val="20"/>
              </w:rPr>
            </w:pPr>
            <w:bookmarkStart w:id="11" w:name="_Hlk208247339"/>
            <w:r w:rsidRPr="004D4A14">
              <w:rPr>
                <w:rFonts w:eastAsia="Times New Roman"/>
                <w:iCs/>
                <w:noProof/>
                <w:sz w:val="20"/>
                <w:szCs w:val="20"/>
              </w:rPr>
              <w:t>17</w:t>
            </w:r>
          </w:p>
        </w:tc>
        <w:tc>
          <w:tcPr>
            <w:tcW w:w="847" w:type="dxa"/>
            <w:vMerge w:val="restart"/>
          </w:tcPr>
          <w:p w14:paraId="41B191E6" w14:textId="77777777" w:rsidR="002041B2" w:rsidRPr="004D4A14" w:rsidRDefault="002041B2" w:rsidP="0010605B">
            <w:pPr>
              <w:jc w:val="center"/>
              <w:rPr>
                <w:rFonts w:eastAsia="Times New Roman"/>
                <w:iCs/>
                <w:noProof/>
                <w:sz w:val="20"/>
                <w:szCs w:val="20"/>
              </w:rPr>
            </w:pPr>
            <w:r w:rsidRPr="004D4A14">
              <w:rPr>
                <w:rFonts w:eastAsia="Times New Roman"/>
                <w:iCs/>
                <w:noProof/>
                <w:sz w:val="20"/>
                <w:szCs w:val="20"/>
              </w:rPr>
              <w:t>ERPF</w:t>
            </w:r>
          </w:p>
        </w:tc>
        <w:tc>
          <w:tcPr>
            <w:tcW w:w="1094" w:type="dxa"/>
          </w:tcPr>
          <w:p w14:paraId="54370057" w14:textId="77777777" w:rsidR="002041B2" w:rsidRPr="004D4A14" w:rsidRDefault="002041B2" w:rsidP="0010605B">
            <w:pPr>
              <w:rPr>
                <w:rFonts w:eastAsia="Times New Roman"/>
                <w:iCs/>
                <w:noProof/>
                <w:sz w:val="20"/>
                <w:szCs w:val="20"/>
              </w:rPr>
            </w:pPr>
            <w:r w:rsidRPr="004D4A14">
              <w:rPr>
                <w:rFonts w:eastAsia="Times New Roman"/>
                <w:iCs/>
                <w:noProof/>
                <w:sz w:val="20"/>
                <w:szCs w:val="20"/>
              </w:rPr>
              <w:t>Sostinės regionas</w:t>
            </w:r>
          </w:p>
        </w:tc>
        <w:tc>
          <w:tcPr>
            <w:tcW w:w="1215" w:type="dxa"/>
            <w:vMerge w:val="restart"/>
          </w:tcPr>
          <w:p w14:paraId="5D14F700" w14:textId="77777777" w:rsidR="002041B2" w:rsidRPr="004D4A14" w:rsidRDefault="002041B2" w:rsidP="0010605B">
            <w:pPr>
              <w:jc w:val="center"/>
              <w:rPr>
                <w:rFonts w:eastAsia="Times New Roman"/>
                <w:b/>
                <w:iCs/>
                <w:noProof/>
                <w:sz w:val="20"/>
                <w:szCs w:val="20"/>
              </w:rPr>
            </w:pPr>
            <w:r w:rsidRPr="004D4A14">
              <w:rPr>
                <w:rFonts w:eastAsia="Times New Roman"/>
                <w:bCs/>
                <w:iCs/>
                <w:noProof/>
                <w:sz w:val="20"/>
                <w:szCs w:val="20"/>
              </w:rPr>
              <w:t>17.1</w:t>
            </w:r>
          </w:p>
        </w:tc>
        <w:tc>
          <w:tcPr>
            <w:tcW w:w="3869" w:type="dxa"/>
            <w:vMerge w:val="restart"/>
          </w:tcPr>
          <w:p w14:paraId="08549C56" w14:textId="77777777" w:rsidR="002041B2" w:rsidRPr="004D4A14" w:rsidRDefault="002041B2" w:rsidP="0010605B">
            <w:pPr>
              <w:rPr>
                <w:rFonts w:eastAsia="Times New Roman" w:cs="Times New Roman"/>
                <w:bCs/>
                <w:iCs/>
                <w:noProof/>
                <w:sz w:val="20"/>
                <w:szCs w:val="20"/>
              </w:rPr>
            </w:pPr>
            <w:r w:rsidRPr="004D4A14">
              <w:rPr>
                <w:rFonts w:eastAsia="Times New Roman" w:cs="Times New Roman"/>
                <w:bCs/>
                <w:iCs/>
                <w:noProof/>
                <w:sz w:val="20"/>
                <w:szCs w:val="20"/>
              </w:rPr>
              <w:t>33 – Nesiorientuojant į teritoriškumą</w:t>
            </w:r>
          </w:p>
        </w:tc>
        <w:tc>
          <w:tcPr>
            <w:tcW w:w="1659" w:type="dxa"/>
          </w:tcPr>
          <w:p w14:paraId="30FE40D9" w14:textId="77777777" w:rsidR="002041B2" w:rsidRPr="004D4A14" w:rsidRDefault="002041B2" w:rsidP="0010605B">
            <w:pPr>
              <w:jc w:val="right"/>
              <w:rPr>
                <w:rFonts w:eastAsia="Times New Roman" w:cs="Times New Roman"/>
                <w:iCs/>
                <w:noProof/>
                <w:sz w:val="20"/>
                <w:szCs w:val="20"/>
              </w:rPr>
            </w:pPr>
            <w:r w:rsidRPr="004D4A14">
              <w:rPr>
                <w:rFonts w:eastAsia="Times New Roman" w:cs="Times New Roman"/>
                <w:iCs/>
                <w:noProof/>
                <w:sz w:val="20"/>
                <w:szCs w:val="20"/>
              </w:rPr>
              <w:t>18 500 000,00</w:t>
            </w:r>
          </w:p>
          <w:p w14:paraId="250A81C0" w14:textId="77777777" w:rsidR="002041B2" w:rsidRPr="004D4A14" w:rsidRDefault="002041B2" w:rsidP="0010605B">
            <w:pPr>
              <w:jc w:val="right"/>
              <w:rPr>
                <w:rFonts w:cs="Times New Roman"/>
                <w:sz w:val="20"/>
                <w:szCs w:val="20"/>
              </w:rPr>
            </w:pPr>
          </w:p>
        </w:tc>
      </w:tr>
      <w:tr w:rsidR="002041B2" w:rsidRPr="004D4A14" w14:paraId="715330A2" w14:textId="77777777" w:rsidTr="0010605B">
        <w:trPr>
          <w:trHeight w:val="303"/>
        </w:trPr>
        <w:tc>
          <w:tcPr>
            <w:tcW w:w="1082" w:type="dxa"/>
            <w:vMerge/>
          </w:tcPr>
          <w:p w14:paraId="3A787420" w14:textId="77777777" w:rsidR="002041B2" w:rsidRPr="004D4A14" w:rsidRDefault="002041B2" w:rsidP="0010605B">
            <w:pPr>
              <w:jc w:val="center"/>
              <w:rPr>
                <w:rFonts w:eastAsia="Times New Roman"/>
                <w:iCs/>
                <w:noProof/>
                <w:sz w:val="20"/>
                <w:szCs w:val="20"/>
              </w:rPr>
            </w:pPr>
          </w:p>
        </w:tc>
        <w:tc>
          <w:tcPr>
            <w:tcW w:w="847" w:type="dxa"/>
            <w:vMerge/>
          </w:tcPr>
          <w:p w14:paraId="3A0BC6B1" w14:textId="77777777" w:rsidR="002041B2" w:rsidRPr="004D4A14" w:rsidRDefault="002041B2" w:rsidP="0010605B">
            <w:pPr>
              <w:jc w:val="center"/>
              <w:rPr>
                <w:rFonts w:eastAsia="Times New Roman"/>
                <w:iCs/>
                <w:noProof/>
                <w:sz w:val="20"/>
                <w:szCs w:val="20"/>
              </w:rPr>
            </w:pPr>
          </w:p>
        </w:tc>
        <w:tc>
          <w:tcPr>
            <w:tcW w:w="1094" w:type="dxa"/>
          </w:tcPr>
          <w:p w14:paraId="70D250AF" w14:textId="77777777" w:rsidR="002041B2" w:rsidRPr="004D4A14" w:rsidRDefault="002041B2" w:rsidP="0010605B">
            <w:pPr>
              <w:rPr>
                <w:rFonts w:eastAsia="Times New Roman"/>
                <w:iCs/>
                <w:noProof/>
                <w:sz w:val="20"/>
                <w:szCs w:val="20"/>
              </w:rPr>
            </w:pPr>
            <w:r w:rsidRPr="004D4A14">
              <w:rPr>
                <w:rFonts w:cs="Times New Roman"/>
                <w:noProof/>
                <w:sz w:val="20"/>
                <w:szCs w:val="20"/>
              </w:rPr>
              <w:t>VVL regionas</w:t>
            </w:r>
          </w:p>
        </w:tc>
        <w:tc>
          <w:tcPr>
            <w:tcW w:w="1215" w:type="dxa"/>
            <w:vMerge/>
          </w:tcPr>
          <w:p w14:paraId="4F6E485A" w14:textId="77777777" w:rsidR="002041B2" w:rsidRPr="004D4A14" w:rsidRDefault="002041B2" w:rsidP="0010605B">
            <w:pPr>
              <w:jc w:val="center"/>
              <w:rPr>
                <w:rFonts w:eastAsia="Times New Roman"/>
                <w:b/>
                <w:iCs/>
                <w:noProof/>
                <w:sz w:val="20"/>
                <w:szCs w:val="20"/>
              </w:rPr>
            </w:pPr>
          </w:p>
        </w:tc>
        <w:tc>
          <w:tcPr>
            <w:tcW w:w="3869" w:type="dxa"/>
            <w:vMerge/>
          </w:tcPr>
          <w:p w14:paraId="54DA8B6C" w14:textId="77777777" w:rsidR="002041B2" w:rsidRPr="004D4A14" w:rsidRDefault="002041B2" w:rsidP="0010605B">
            <w:pPr>
              <w:rPr>
                <w:rFonts w:eastAsia="Times New Roman" w:cs="Times New Roman"/>
                <w:bCs/>
                <w:iCs/>
                <w:noProof/>
                <w:sz w:val="20"/>
                <w:szCs w:val="20"/>
              </w:rPr>
            </w:pPr>
          </w:p>
        </w:tc>
        <w:tc>
          <w:tcPr>
            <w:tcW w:w="1659" w:type="dxa"/>
          </w:tcPr>
          <w:p w14:paraId="5F238932" w14:textId="77777777" w:rsidR="002041B2" w:rsidRPr="004D4A14" w:rsidRDefault="002041B2" w:rsidP="0010605B">
            <w:pPr>
              <w:jc w:val="right"/>
              <w:rPr>
                <w:rFonts w:cs="Times New Roman"/>
                <w:sz w:val="20"/>
                <w:szCs w:val="20"/>
              </w:rPr>
            </w:pPr>
            <w:r w:rsidRPr="004D4A14">
              <w:rPr>
                <w:rFonts w:eastAsia="Times New Roman" w:cs="Times New Roman"/>
                <w:iCs/>
                <w:noProof/>
                <w:sz w:val="20"/>
                <w:szCs w:val="20"/>
              </w:rPr>
              <w:t>34 500 000,00</w:t>
            </w:r>
          </w:p>
        </w:tc>
      </w:tr>
      <w:bookmarkEnd w:id="11"/>
    </w:tbl>
    <w:p w14:paraId="1F7D9F27" w14:textId="77777777" w:rsidR="002041B2" w:rsidRPr="004D4A14" w:rsidRDefault="002041B2" w:rsidP="002041B2">
      <w:pPr>
        <w:spacing w:after="0"/>
      </w:pPr>
    </w:p>
    <w:tbl>
      <w:tblPr>
        <w:tblStyle w:val="Lentelstinklelis30"/>
        <w:tblW w:w="9747" w:type="dxa"/>
        <w:tblLook w:val="04A0" w:firstRow="1" w:lastRow="0" w:firstColumn="1" w:lastColumn="0" w:noHBand="0" w:noVBand="1"/>
      </w:tblPr>
      <w:tblGrid>
        <w:gridCol w:w="1101"/>
        <w:gridCol w:w="850"/>
        <w:gridCol w:w="1134"/>
        <w:gridCol w:w="1134"/>
        <w:gridCol w:w="4021"/>
        <w:gridCol w:w="1507"/>
      </w:tblGrid>
      <w:tr w:rsidR="002041B2" w:rsidRPr="004D4A14" w14:paraId="4F62A9BE" w14:textId="77777777" w:rsidTr="0010605B">
        <w:tc>
          <w:tcPr>
            <w:tcW w:w="9747" w:type="dxa"/>
            <w:gridSpan w:val="6"/>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14F6F04" w14:textId="77777777" w:rsidR="002041B2" w:rsidRPr="004D4A14" w:rsidRDefault="002041B2" w:rsidP="0010605B">
            <w:pPr>
              <w:rPr>
                <w:b/>
                <w:iCs/>
                <w:noProof/>
                <w:sz w:val="20"/>
                <w:szCs w:val="20"/>
              </w:rPr>
            </w:pPr>
            <w:r w:rsidRPr="004D4A14">
              <w:rPr>
                <w:b/>
                <w:noProof/>
                <w:sz w:val="20"/>
                <w:szCs w:val="20"/>
              </w:rPr>
              <w:t xml:space="preserve">7 lentelė. 7 matmuo. </w:t>
            </w:r>
            <w:r w:rsidRPr="004D4A14">
              <w:rPr>
                <w:b/>
                <w:sz w:val="20"/>
                <w:szCs w:val="20"/>
              </w:rPr>
              <w:t xml:space="preserve">ESF+, ERPF, </w:t>
            </w:r>
            <w:proofErr w:type="spellStart"/>
            <w:r w:rsidRPr="004D4A14">
              <w:rPr>
                <w:b/>
                <w:sz w:val="20"/>
                <w:szCs w:val="20"/>
              </w:rPr>
              <w:t>SaF</w:t>
            </w:r>
            <w:proofErr w:type="spellEnd"/>
            <w:r w:rsidRPr="004D4A14">
              <w:rPr>
                <w:b/>
                <w:sz w:val="20"/>
                <w:szCs w:val="20"/>
              </w:rPr>
              <w:t xml:space="preserve"> ir TPF lyčių lygybės matmuo</w:t>
            </w:r>
          </w:p>
        </w:tc>
      </w:tr>
      <w:tr w:rsidR="002041B2" w:rsidRPr="004D4A14" w14:paraId="4A673ADB" w14:textId="77777777" w:rsidTr="0010605B">
        <w:tc>
          <w:tcPr>
            <w:tcW w:w="110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716CE32" w14:textId="77777777" w:rsidR="002041B2" w:rsidRPr="004D4A14" w:rsidRDefault="002041B2" w:rsidP="0010605B">
            <w:pPr>
              <w:jc w:val="center"/>
              <w:rPr>
                <w:b/>
                <w:iCs/>
                <w:noProof/>
                <w:sz w:val="20"/>
              </w:rPr>
            </w:pPr>
            <w:r w:rsidRPr="004D4A14">
              <w:rPr>
                <w:b/>
                <w:noProof/>
                <w:sz w:val="20"/>
              </w:rPr>
              <w:t>Prioriteto Nr.</w:t>
            </w:r>
          </w:p>
        </w:tc>
        <w:tc>
          <w:tcPr>
            <w:tcW w:w="85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60F1046B" w14:textId="77777777" w:rsidR="002041B2" w:rsidRPr="004D4A14" w:rsidRDefault="002041B2" w:rsidP="0010605B">
            <w:pPr>
              <w:jc w:val="center"/>
              <w:rPr>
                <w:b/>
                <w:iCs/>
                <w:noProof/>
                <w:sz w:val="20"/>
              </w:rPr>
            </w:pPr>
            <w:r w:rsidRPr="004D4A14">
              <w:rPr>
                <w:b/>
                <w:noProof/>
                <w:sz w:val="20"/>
              </w:rPr>
              <w:t>Fondas</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94355D0" w14:textId="77777777" w:rsidR="002041B2" w:rsidRPr="004D4A14" w:rsidRDefault="002041B2" w:rsidP="0010605B">
            <w:pPr>
              <w:jc w:val="center"/>
              <w:rPr>
                <w:b/>
                <w:iCs/>
                <w:noProof/>
                <w:sz w:val="20"/>
              </w:rPr>
            </w:pPr>
            <w:r w:rsidRPr="004D4A14">
              <w:rPr>
                <w:b/>
                <w:noProof/>
                <w:sz w:val="20"/>
              </w:rPr>
              <w:t>Regiono kategorija</w:t>
            </w:r>
          </w:p>
        </w:tc>
        <w:tc>
          <w:tcPr>
            <w:tcW w:w="1134"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73FD757" w14:textId="77777777" w:rsidR="002041B2" w:rsidRPr="004D4A14" w:rsidRDefault="002041B2" w:rsidP="0010605B">
            <w:pPr>
              <w:jc w:val="center"/>
              <w:rPr>
                <w:b/>
                <w:iCs/>
                <w:noProof/>
                <w:sz w:val="20"/>
              </w:rPr>
            </w:pPr>
            <w:r w:rsidRPr="004D4A14">
              <w:rPr>
                <w:b/>
                <w:noProof/>
                <w:sz w:val="20"/>
              </w:rPr>
              <w:t>Konkretus uždavinys</w:t>
            </w:r>
          </w:p>
        </w:tc>
        <w:tc>
          <w:tcPr>
            <w:tcW w:w="4021"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77350915" w14:textId="77777777" w:rsidR="002041B2" w:rsidRPr="004D4A14" w:rsidRDefault="002041B2" w:rsidP="0010605B">
            <w:pPr>
              <w:jc w:val="center"/>
              <w:rPr>
                <w:b/>
                <w:iCs/>
                <w:noProof/>
                <w:sz w:val="20"/>
              </w:rPr>
            </w:pPr>
            <w:r w:rsidRPr="004D4A14">
              <w:rPr>
                <w:b/>
                <w:noProof/>
                <w:sz w:val="20"/>
              </w:rPr>
              <w:t>Kodas</w:t>
            </w:r>
          </w:p>
        </w:tc>
        <w:tc>
          <w:tcPr>
            <w:tcW w:w="1507"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8AA5AB9" w14:textId="77777777" w:rsidR="002041B2" w:rsidRPr="004D4A14" w:rsidRDefault="002041B2" w:rsidP="0010605B">
            <w:pPr>
              <w:jc w:val="center"/>
              <w:rPr>
                <w:b/>
                <w:iCs/>
                <w:noProof/>
                <w:sz w:val="20"/>
              </w:rPr>
            </w:pPr>
            <w:r w:rsidRPr="004D4A14">
              <w:rPr>
                <w:b/>
                <w:noProof/>
                <w:sz w:val="20"/>
              </w:rPr>
              <w:t>Suma (EUR)</w:t>
            </w:r>
          </w:p>
        </w:tc>
      </w:tr>
      <w:tr w:rsidR="002041B2" w:rsidRPr="004D4A14" w14:paraId="27777F60" w14:textId="77777777" w:rsidTr="0010605B">
        <w:tc>
          <w:tcPr>
            <w:tcW w:w="1101" w:type="dxa"/>
            <w:vMerge w:val="restart"/>
            <w:tcBorders>
              <w:top w:val="single" w:sz="12" w:space="0" w:color="auto"/>
            </w:tcBorders>
          </w:tcPr>
          <w:p w14:paraId="7549C09E" w14:textId="77777777" w:rsidR="002041B2" w:rsidRPr="004D4A14" w:rsidRDefault="002041B2" w:rsidP="0010605B">
            <w:pPr>
              <w:jc w:val="center"/>
              <w:rPr>
                <w:iCs/>
                <w:noProof/>
                <w:sz w:val="20"/>
                <w:szCs w:val="20"/>
              </w:rPr>
            </w:pPr>
            <w:r w:rsidRPr="004D4A14">
              <w:rPr>
                <w:iCs/>
                <w:noProof/>
                <w:sz w:val="20"/>
                <w:szCs w:val="20"/>
              </w:rPr>
              <w:t>17</w:t>
            </w:r>
          </w:p>
        </w:tc>
        <w:tc>
          <w:tcPr>
            <w:tcW w:w="850" w:type="dxa"/>
            <w:vMerge w:val="restart"/>
            <w:tcBorders>
              <w:top w:val="single" w:sz="12" w:space="0" w:color="auto"/>
            </w:tcBorders>
          </w:tcPr>
          <w:p w14:paraId="296F5E2B" w14:textId="77777777" w:rsidR="002041B2" w:rsidRPr="004D4A14" w:rsidRDefault="002041B2" w:rsidP="0010605B">
            <w:pPr>
              <w:jc w:val="center"/>
              <w:rPr>
                <w:iCs/>
                <w:noProof/>
                <w:sz w:val="20"/>
                <w:szCs w:val="20"/>
              </w:rPr>
            </w:pPr>
            <w:r w:rsidRPr="004D4A14">
              <w:rPr>
                <w:iCs/>
                <w:noProof/>
                <w:sz w:val="20"/>
                <w:szCs w:val="20"/>
              </w:rPr>
              <w:t>ERPF</w:t>
            </w:r>
          </w:p>
        </w:tc>
        <w:tc>
          <w:tcPr>
            <w:tcW w:w="1134" w:type="dxa"/>
          </w:tcPr>
          <w:p w14:paraId="307C5956" w14:textId="77777777" w:rsidR="002041B2" w:rsidRPr="004D4A14" w:rsidRDefault="002041B2" w:rsidP="0010605B">
            <w:pPr>
              <w:rPr>
                <w:iCs/>
                <w:noProof/>
                <w:sz w:val="20"/>
                <w:szCs w:val="20"/>
              </w:rPr>
            </w:pPr>
            <w:r w:rsidRPr="004D4A14">
              <w:rPr>
                <w:iCs/>
                <w:noProof/>
                <w:sz w:val="20"/>
                <w:szCs w:val="20"/>
              </w:rPr>
              <w:t>Sostinės regionas</w:t>
            </w:r>
          </w:p>
        </w:tc>
        <w:tc>
          <w:tcPr>
            <w:tcW w:w="1134" w:type="dxa"/>
            <w:vMerge w:val="restart"/>
            <w:tcBorders>
              <w:top w:val="single" w:sz="12" w:space="0" w:color="auto"/>
            </w:tcBorders>
          </w:tcPr>
          <w:p w14:paraId="2D7BF72F" w14:textId="77777777" w:rsidR="002041B2" w:rsidRPr="004D4A14" w:rsidRDefault="002041B2" w:rsidP="0010605B">
            <w:pPr>
              <w:jc w:val="center"/>
              <w:rPr>
                <w:iCs/>
                <w:noProof/>
                <w:sz w:val="20"/>
                <w:szCs w:val="20"/>
              </w:rPr>
            </w:pPr>
            <w:r w:rsidRPr="004D4A14">
              <w:rPr>
                <w:iCs/>
                <w:noProof/>
                <w:sz w:val="20"/>
                <w:szCs w:val="20"/>
              </w:rPr>
              <w:t>17.1</w:t>
            </w:r>
          </w:p>
        </w:tc>
        <w:tc>
          <w:tcPr>
            <w:tcW w:w="4021" w:type="dxa"/>
            <w:vMerge w:val="restart"/>
            <w:tcBorders>
              <w:top w:val="single" w:sz="12" w:space="0" w:color="auto"/>
            </w:tcBorders>
          </w:tcPr>
          <w:p w14:paraId="07C68FBC" w14:textId="77777777" w:rsidR="002041B2" w:rsidRPr="004D4A14" w:rsidRDefault="002041B2" w:rsidP="0010605B">
            <w:pPr>
              <w:rPr>
                <w:iCs/>
                <w:noProof/>
                <w:sz w:val="20"/>
                <w:szCs w:val="20"/>
              </w:rPr>
            </w:pPr>
            <w:r w:rsidRPr="004D4A14">
              <w:rPr>
                <w:iCs/>
                <w:noProof/>
                <w:sz w:val="20"/>
                <w:szCs w:val="20"/>
              </w:rPr>
              <w:t>03 – Neutralumas lyties požiūriu</w:t>
            </w:r>
          </w:p>
        </w:tc>
        <w:tc>
          <w:tcPr>
            <w:tcW w:w="1507" w:type="dxa"/>
          </w:tcPr>
          <w:p w14:paraId="6784C19D" w14:textId="77777777" w:rsidR="002041B2" w:rsidRPr="004D4A14" w:rsidRDefault="002041B2" w:rsidP="0010605B">
            <w:pPr>
              <w:jc w:val="right"/>
              <w:rPr>
                <w:iCs/>
                <w:noProof/>
                <w:sz w:val="20"/>
                <w:szCs w:val="20"/>
              </w:rPr>
            </w:pPr>
            <w:r w:rsidRPr="004D4A14">
              <w:rPr>
                <w:iCs/>
                <w:noProof/>
                <w:sz w:val="20"/>
                <w:szCs w:val="20"/>
              </w:rPr>
              <w:t>18 500 000,00</w:t>
            </w:r>
          </w:p>
          <w:p w14:paraId="6B048537" w14:textId="77777777" w:rsidR="002041B2" w:rsidRPr="004D4A14" w:rsidRDefault="002041B2" w:rsidP="0010605B">
            <w:pPr>
              <w:jc w:val="right"/>
              <w:rPr>
                <w:iCs/>
                <w:noProof/>
                <w:sz w:val="20"/>
                <w:szCs w:val="20"/>
              </w:rPr>
            </w:pPr>
          </w:p>
        </w:tc>
      </w:tr>
      <w:tr w:rsidR="002041B2" w:rsidRPr="00306751" w14:paraId="4341AEFD" w14:textId="77777777" w:rsidTr="0010605B">
        <w:tc>
          <w:tcPr>
            <w:tcW w:w="1101" w:type="dxa"/>
            <w:vMerge/>
            <w:tcBorders>
              <w:bottom w:val="single" w:sz="4" w:space="0" w:color="auto"/>
            </w:tcBorders>
          </w:tcPr>
          <w:p w14:paraId="2E5E4B09" w14:textId="77777777" w:rsidR="002041B2" w:rsidRPr="004D4A14" w:rsidRDefault="002041B2" w:rsidP="0010605B">
            <w:pPr>
              <w:jc w:val="center"/>
              <w:rPr>
                <w:iCs/>
                <w:noProof/>
                <w:sz w:val="20"/>
                <w:szCs w:val="20"/>
              </w:rPr>
            </w:pPr>
          </w:p>
        </w:tc>
        <w:tc>
          <w:tcPr>
            <w:tcW w:w="850" w:type="dxa"/>
            <w:vMerge/>
            <w:tcBorders>
              <w:bottom w:val="single" w:sz="4" w:space="0" w:color="auto"/>
            </w:tcBorders>
          </w:tcPr>
          <w:p w14:paraId="727164D8" w14:textId="77777777" w:rsidR="002041B2" w:rsidRPr="004D4A14" w:rsidRDefault="002041B2" w:rsidP="0010605B">
            <w:pPr>
              <w:jc w:val="center"/>
              <w:rPr>
                <w:iCs/>
                <w:noProof/>
                <w:sz w:val="20"/>
                <w:szCs w:val="20"/>
              </w:rPr>
            </w:pPr>
          </w:p>
        </w:tc>
        <w:tc>
          <w:tcPr>
            <w:tcW w:w="1134" w:type="dxa"/>
          </w:tcPr>
          <w:p w14:paraId="0336A4BD" w14:textId="77777777" w:rsidR="002041B2" w:rsidRPr="004D4A14" w:rsidRDefault="002041B2" w:rsidP="0010605B">
            <w:pPr>
              <w:rPr>
                <w:iCs/>
                <w:noProof/>
                <w:sz w:val="20"/>
                <w:szCs w:val="20"/>
              </w:rPr>
            </w:pPr>
            <w:r w:rsidRPr="004D4A14">
              <w:rPr>
                <w:noProof/>
                <w:sz w:val="20"/>
                <w:szCs w:val="20"/>
              </w:rPr>
              <w:t>VVL regionas</w:t>
            </w:r>
          </w:p>
        </w:tc>
        <w:tc>
          <w:tcPr>
            <w:tcW w:w="1134" w:type="dxa"/>
            <w:vMerge/>
            <w:tcBorders>
              <w:bottom w:val="single" w:sz="4" w:space="0" w:color="auto"/>
            </w:tcBorders>
          </w:tcPr>
          <w:p w14:paraId="625A9A49" w14:textId="77777777" w:rsidR="002041B2" w:rsidRPr="004D4A14" w:rsidRDefault="002041B2" w:rsidP="0010605B">
            <w:pPr>
              <w:jc w:val="center"/>
              <w:rPr>
                <w:iCs/>
                <w:noProof/>
                <w:sz w:val="20"/>
                <w:szCs w:val="20"/>
              </w:rPr>
            </w:pPr>
          </w:p>
        </w:tc>
        <w:tc>
          <w:tcPr>
            <w:tcW w:w="4021" w:type="dxa"/>
            <w:vMerge/>
            <w:tcBorders>
              <w:bottom w:val="single" w:sz="4" w:space="0" w:color="auto"/>
            </w:tcBorders>
          </w:tcPr>
          <w:p w14:paraId="48DDC221" w14:textId="77777777" w:rsidR="002041B2" w:rsidRPr="004D4A14" w:rsidRDefault="002041B2" w:rsidP="0010605B">
            <w:pPr>
              <w:rPr>
                <w:iCs/>
                <w:noProof/>
                <w:sz w:val="20"/>
                <w:szCs w:val="20"/>
              </w:rPr>
            </w:pPr>
          </w:p>
        </w:tc>
        <w:tc>
          <w:tcPr>
            <w:tcW w:w="1507" w:type="dxa"/>
          </w:tcPr>
          <w:p w14:paraId="7E6D5423" w14:textId="77777777" w:rsidR="002041B2" w:rsidRPr="004D4A14" w:rsidRDefault="002041B2" w:rsidP="0010605B">
            <w:pPr>
              <w:jc w:val="right"/>
              <w:rPr>
                <w:iCs/>
                <w:noProof/>
                <w:sz w:val="20"/>
                <w:szCs w:val="20"/>
              </w:rPr>
            </w:pPr>
            <w:r w:rsidRPr="004D4A14">
              <w:rPr>
                <w:iCs/>
                <w:noProof/>
                <w:sz w:val="20"/>
                <w:szCs w:val="20"/>
              </w:rPr>
              <w:t>34 500 000,00</w:t>
            </w:r>
          </w:p>
        </w:tc>
      </w:tr>
    </w:tbl>
    <w:p w14:paraId="3B59EE61" w14:textId="77777777" w:rsidR="00B47068" w:rsidRPr="00B47068" w:rsidRDefault="00B47068" w:rsidP="00B47068">
      <w:pPr>
        <w:tabs>
          <w:tab w:val="center" w:pos="4819"/>
          <w:tab w:val="right" w:pos="9638"/>
        </w:tabs>
        <w:spacing w:before="120" w:after="120" w:line="240" w:lineRule="auto"/>
        <w:rPr>
          <w:rFonts w:eastAsia="Times New Roman" w:cs="Arial"/>
        </w:rPr>
      </w:pPr>
    </w:p>
    <w:p w14:paraId="1E81AED9" w14:textId="77777777" w:rsidR="00197FF3" w:rsidRPr="00197FF3" w:rsidRDefault="00197FF3" w:rsidP="00197FF3">
      <w:pPr>
        <w:rPr>
          <w:lang w:bidi="lt-LT"/>
        </w:rPr>
      </w:pPr>
    </w:p>
    <w:sectPr w:rsidR="00197FF3" w:rsidRPr="00197FF3" w:rsidSect="00A606E0">
      <w:headerReference w:type="even" r:id="rId23"/>
      <w:headerReference w:type="default" r:id="rId24"/>
      <w:footerReference w:type="even" r:id="rId25"/>
      <w:footerReference w:type="default" r:id="rId26"/>
      <w:headerReference w:type="first" r:id="rId27"/>
      <w:pgSz w:w="11906" w:h="16838" w:code="9"/>
      <w:pgMar w:top="1418" w:right="567"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B8422" w14:textId="77777777" w:rsidR="006A3614" w:rsidRDefault="006A3614" w:rsidP="00BF3725">
      <w:pPr>
        <w:spacing w:after="0" w:line="240" w:lineRule="auto"/>
      </w:pPr>
      <w:r>
        <w:separator/>
      </w:r>
    </w:p>
  </w:endnote>
  <w:endnote w:type="continuationSeparator" w:id="0">
    <w:p w14:paraId="7DF17956" w14:textId="77777777" w:rsidR="006A3614" w:rsidRDefault="006A3614" w:rsidP="00BF3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Dosis">
    <w:charset w:val="BA"/>
    <w:family w:val="auto"/>
    <w:pitch w:val="variable"/>
    <w:sig w:usb0="A00000BF" w:usb1="4000207B"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453622"/>
      <w:docPartObj>
        <w:docPartGallery w:val="Page Numbers (Bottom of Page)"/>
        <w:docPartUnique/>
      </w:docPartObj>
    </w:sdtPr>
    <w:sdtEndPr>
      <w:rPr>
        <w:noProof/>
      </w:rPr>
    </w:sdtEndPr>
    <w:sdtContent>
      <w:p w14:paraId="4959ABF0" w14:textId="77777777" w:rsidR="00E11E30" w:rsidRDefault="00E11E30">
        <w:pPr>
          <w:pStyle w:val="Porat"/>
          <w:jc w:val="center"/>
        </w:pPr>
        <w:r>
          <w:fldChar w:fldCharType="begin"/>
        </w:r>
        <w:r>
          <w:instrText xml:space="preserve"> PAGE   \* MERGEFORMAT </w:instrText>
        </w:r>
        <w:r>
          <w:fldChar w:fldCharType="separate"/>
        </w:r>
        <w:r w:rsidR="00D66CCB">
          <w:rPr>
            <w:noProof/>
          </w:rPr>
          <w:t>5</w:t>
        </w:r>
        <w:r>
          <w:rPr>
            <w:noProof/>
          </w:rPr>
          <w:fldChar w:fldCharType="end"/>
        </w:r>
      </w:p>
    </w:sdtContent>
  </w:sdt>
  <w:p w14:paraId="1025E2B1" w14:textId="77777777" w:rsidR="00E11E30" w:rsidRDefault="00E11E30">
    <w:pPr>
      <w:pStyle w:val="Por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8D70" w14:textId="77777777" w:rsidR="00E11E30" w:rsidRDefault="00E11E30">
    <w:pPr>
      <w:pStyle w:val="Por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306367"/>
      <w:docPartObj>
        <w:docPartGallery w:val="Page Numbers (Bottom of Page)"/>
        <w:docPartUnique/>
      </w:docPartObj>
    </w:sdtPr>
    <w:sdtEndPr>
      <w:rPr>
        <w:noProof/>
      </w:rPr>
    </w:sdtEndPr>
    <w:sdtContent>
      <w:p w14:paraId="7343D8CF" w14:textId="77777777" w:rsidR="00E11E30" w:rsidRDefault="00E11E30">
        <w:pPr>
          <w:pStyle w:val="Porat"/>
          <w:jc w:val="center"/>
        </w:pPr>
        <w:r>
          <w:fldChar w:fldCharType="begin"/>
        </w:r>
        <w:r>
          <w:instrText xml:space="preserve"> PAGE   \* MERGEFORMAT </w:instrText>
        </w:r>
        <w:r>
          <w:fldChar w:fldCharType="separate"/>
        </w:r>
        <w:r w:rsidR="00D66CCB">
          <w:rPr>
            <w:noProof/>
          </w:rPr>
          <w:t>6</w:t>
        </w:r>
        <w:r>
          <w:rPr>
            <w:noProof/>
          </w:rPr>
          <w:fldChar w:fldCharType="end"/>
        </w:r>
      </w:p>
    </w:sdtContent>
  </w:sdt>
  <w:p w14:paraId="0CE18379" w14:textId="77777777" w:rsidR="00E11E30" w:rsidRDefault="00E11E30">
    <w:pPr>
      <w:pStyle w:val="Porat"/>
      <w:pBdr>
        <w:top w:val="single" w:sz="4" w:space="1" w:color="808080"/>
      </w:pBdr>
      <w:jc w:val="right"/>
      <w:rPr>
        <w:rStyle w:val="Puslapionumeri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4685"/>
      <w:docPartObj>
        <w:docPartGallery w:val="Page Numbers (Bottom of Page)"/>
        <w:docPartUnique/>
      </w:docPartObj>
    </w:sdtPr>
    <w:sdtEndPr>
      <w:rPr>
        <w:noProof/>
      </w:rPr>
    </w:sdtEndPr>
    <w:sdtContent>
      <w:p w14:paraId="158C15EB" w14:textId="77777777" w:rsidR="00D163E2" w:rsidRDefault="00D163E2">
        <w:pPr>
          <w:pStyle w:val="Porat"/>
          <w:jc w:val="center"/>
        </w:pPr>
        <w:r>
          <w:fldChar w:fldCharType="begin"/>
        </w:r>
        <w:r>
          <w:instrText xml:space="preserve"> PAGE   \* MERGEFORMAT </w:instrText>
        </w:r>
        <w:r>
          <w:fldChar w:fldCharType="separate"/>
        </w:r>
        <w:r>
          <w:rPr>
            <w:noProof/>
          </w:rPr>
          <w:t>5</w:t>
        </w:r>
        <w:r>
          <w:rPr>
            <w:noProof/>
          </w:rPr>
          <w:fldChar w:fldCharType="end"/>
        </w:r>
      </w:p>
    </w:sdtContent>
  </w:sdt>
  <w:p w14:paraId="3A319091" w14:textId="77777777" w:rsidR="00D163E2" w:rsidRDefault="00D163E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16730"/>
      <w:docPartObj>
        <w:docPartGallery w:val="Page Numbers (Bottom of Page)"/>
        <w:docPartUnique/>
      </w:docPartObj>
    </w:sdtPr>
    <w:sdtEndPr>
      <w:rPr>
        <w:noProof/>
      </w:rPr>
    </w:sdtEndPr>
    <w:sdtContent>
      <w:p w14:paraId="561BC70C" w14:textId="77777777" w:rsidR="00197FF3" w:rsidRDefault="00197FF3">
        <w:pPr>
          <w:pStyle w:val="Porat"/>
          <w:jc w:val="center"/>
        </w:pPr>
        <w:r>
          <w:fldChar w:fldCharType="begin"/>
        </w:r>
        <w:r>
          <w:instrText xml:space="preserve"> PAGE   \* MERGEFORMAT </w:instrText>
        </w:r>
        <w:r>
          <w:fldChar w:fldCharType="separate"/>
        </w:r>
        <w:r>
          <w:rPr>
            <w:noProof/>
          </w:rPr>
          <w:t>5</w:t>
        </w:r>
        <w:r>
          <w:rPr>
            <w:noProof/>
          </w:rPr>
          <w:fldChar w:fldCharType="end"/>
        </w:r>
      </w:p>
    </w:sdtContent>
  </w:sdt>
  <w:p w14:paraId="02AFF8D8" w14:textId="77777777" w:rsidR="00197FF3" w:rsidRDefault="00197FF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249372"/>
      <w:docPartObj>
        <w:docPartGallery w:val="Page Numbers (Bottom of Page)"/>
        <w:docPartUnique/>
      </w:docPartObj>
    </w:sdtPr>
    <w:sdtEndPr>
      <w:rPr>
        <w:noProof/>
      </w:rPr>
    </w:sdtEndPr>
    <w:sdtContent>
      <w:p w14:paraId="0D6C3346" w14:textId="77777777" w:rsidR="009C14FB" w:rsidRDefault="009C14FB">
        <w:pPr>
          <w:pStyle w:val="Porat"/>
          <w:jc w:val="center"/>
        </w:pPr>
        <w:r>
          <w:fldChar w:fldCharType="begin"/>
        </w:r>
        <w:r>
          <w:instrText xml:space="preserve"> PAGE   \* MERGEFORMAT </w:instrText>
        </w:r>
        <w:r>
          <w:fldChar w:fldCharType="separate"/>
        </w:r>
        <w:r>
          <w:rPr>
            <w:noProof/>
          </w:rPr>
          <w:t>5</w:t>
        </w:r>
        <w:r>
          <w:rPr>
            <w:noProof/>
          </w:rPr>
          <w:fldChar w:fldCharType="end"/>
        </w:r>
      </w:p>
    </w:sdtContent>
  </w:sdt>
  <w:p w14:paraId="0AF7BA3B" w14:textId="77777777" w:rsidR="009C14FB" w:rsidRDefault="009C14FB">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7311" w14:textId="77777777" w:rsidR="00B47068" w:rsidRDefault="00B47068">
    <w:pPr>
      <w:pStyle w:val="Porat"/>
      <w:jc w:val="center"/>
    </w:pPr>
    <w:r>
      <w:fldChar w:fldCharType="begin"/>
    </w:r>
    <w:r>
      <w:instrText xml:space="preserve"> PAGE   \* MERGEFORMAT </w:instrText>
    </w:r>
    <w:r>
      <w:fldChar w:fldCharType="separate"/>
    </w:r>
    <w:r>
      <w:rPr>
        <w:noProof/>
      </w:rPr>
      <w:t>5</w:t>
    </w:r>
    <w:r>
      <w:fldChar w:fldCharType="end"/>
    </w:r>
  </w:p>
  <w:p w14:paraId="368F04DB" w14:textId="77777777" w:rsidR="00B47068" w:rsidRDefault="00B47068">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652A" w14:textId="77777777" w:rsidR="00A606E0" w:rsidRDefault="00A606E0">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C8F3" w14:textId="77777777" w:rsidR="00A606E0" w:rsidRDefault="00A606E0">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EA40" w14:textId="77777777" w:rsidR="00A606E0" w:rsidRDefault="00A606E0">
    <w:pPr>
      <w:pStyle w:val="Porat"/>
      <w:jc w:val="center"/>
    </w:pPr>
    <w:r>
      <w:fldChar w:fldCharType="begin"/>
    </w:r>
    <w:r>
      <w:instrText xml:space="preserve"> PAGE   \* MERGEFORMAT </w:instrText>
    </w:r>
    <w:r>
      <w:fldChar w:fldCharType="separate"/>
    </w:r>
    <w:r>
      <w:rPr>
        <w:noProof/>
      </w:rPr>
      <w:t>5</w:t>
    </w:r>
    <w:r>
      <w:fldChar w:fldCharType="end"/>
    </w:r>
  </w:p>
  <w:p w14:paraId="6FC57B2E" w14:textId="77777777" w:rsidR="00A606E0" w:rsidRDefault="00A606E0">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052691"/>
      <w:docPartObj>
        <w:docPartGallery w:val="Page Numbers (Bottom of Page)"/>
        <w:docPartUnique/>
      </w:docPartObj>
    </w:sdtPr>
    <w:sdtEndPr>
      <w:rPr>
        <w:noProof/>
      </w:rPr>
    </w:sdtEndPr>
    <w:sdtContent>
      <w:p w14:paraId="797D859A" w14:textId="77777777" w:rsidR="002041B2" w:rsidRDefault="002041B2">
        <w:pPr>
          <w:pStyle w:val="Porat"/>
          <w:jc w:val="center"/>
        </w:pPr>
        <w:r>
          <w:fldChar w:fldCharType="begin"/>
        </w:r>
        <w:r>
          <w:instrText xml:space="preserve"> PAGE   \* MERGEFORMAT </w:instrText>
        </w:r>
        <w:r>
          <w:fldChar w:fldCharType="separate"/>
        </w:r>
        <w:r>
          <w:rPr>
            <w:noProof/>
          </w:rPr>
          <w:t>5</w:t>
        </w:r>
        <w:r>
          <w:rPr>
            <w:noProof/>
          </w:rPr>
          <w:fldChar w:fldCharType="end"/>
        </w:r>
      </w:p>
    </w:sdtContent>
  </w:sdt>
  <w:p w14:paraId="5F7B4ED1" w14:textId="77777777" w:rsidR="002041B2" w:rsidRDefault="002041B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A0E87" w14:textId="77777777" w:rsidR="006A3614" w:rsidRDefault="006A3614" w:rsidP="00BF3725">
      <w:pPr>
        <w:spacing w:after="0" w:line="240" w:lineRule="auto"/>
      </w:pPr>
      <w:r>
        <w:separator/>
      </w:r>
    </w:p>
  </w:footnote>
  <w:footnote w:type="continuationSeparator" w:id="0">
    <w:p w14:paraId="4BD21D65" w14:textId="77777777" w:rsidR="006A3614" w:rsidRDefault="006A3614" w:rsidP="00BF3725">
      <w:pPr>
        <w:spacing w:after="0" w:line="240" w:lineRule="auto"/>
      </w:pPr>
      <w:r>
        <w:continuationSeparator/>
      </w:r>
    </w:p>
  </w:footnote>
  <w:footnote w:id="1">
    <w:p w14:paraId="623E53B9" w14:textId="77777777" w:rsidR="00D163E2" w:rsidRPr="00570E13" w:rsidRDefault="00D163E2" w:rsidP="00D163E2">
      <w:pPr>
        <w:pStyle w:val="Puslapioinaostekstas"/>
        <w:rPr>
          <w:rFonts w:cs="Times New Roman"/>
        </w:rPr>
      </w:pPr>
      <w:r w:rsidRPr="00570E13">
        <w:rPr>
          <w:rStyle w:val="Puslapioinaosnuoroda"/>
          <w:rFonts w:cs="Times New Roman"/>
        </w:rPr>
        <w:footnoteRef/>
      </w:r>
      <w:r w:rsidRPr="00570E13">
        <w:rPr>
          <w:rFonts w:cs="Times New Roman"/>
        </w:rPr>
        <w:t xml:space="preserve"> 2022 m. gruodžio 14 d. Europos Parlamento ir Tarybos direktyva (ES) 2022/2557 dėl ypatingos svarbos subjektų atsparumo, kuria panaikinama Tarybos direktyva 2008/114/EB;</w:t>
      </w:r>
    </w:p>
  </w:footnote>
  <w:footnote w:id="2">
    <w:p w14:paraId="0C1EBAE0" w14:textId="77777777" w:rsidR="00D163E2" w:rsidRPr="00570E13" w:rsidRDefault="00D163E2" w:rsidP="00D163E2">
      <w:pPr>
        <w:pStyle w:val="Puslapioinaostekstas"/>
        <w:rPr>
          <w:rFonts w:cs="Times New Roman"/>
        </w:rPr>
      </w:pPr>
      <w:r w:rsidRPr="00570E13">
        <w:rPr>
          <w:rStyle w:val="Puslapioinaosnuoroda"/>
          <w:rFonts w:cs="Times New Roman"/>
        </w:rPr>
        <w:footnoteRef/>
      </w:r>
      <w:r w:rsidRPr="00570E13">
        <w:rPr>
          <w:rFonts w:cs="Times New Roman"/>
        </w:rPr>
        <w:t xml:space="preserve"> 2022 m. gruodžio 14 d. Europos Parlamento ir Tarybos direktyva (ES) 2022/2555 dėl priemonių aukštam bendram kibernetinio saugumo lygiui visoje Sąjungoje užtikrinti, kuria iš dalies keičiamas Reglamentas (ES) Nr. 910/2014 ir Direktyva (ES) 2018/1972 ir panaikinama Direktyva (ES) 2016/1148 (TIS 2 direktyva);</w:t>
      </w:r>
    </w:p>
  </w:footnote>
  <w:footnote w:id="3">
    <w:p w14:paraId="11F3CE9D" w14:textId="77777777" w:rsidR="00D163E2" w:rsidRPr="00570E13" w:rsidRDefault="00D163E2" w:rsidP="00D163E2">
      <w:pPr>
        <w:pStyle w:val="Puslapioinaostekstas"/>
        <w:rPr>
          <w:rFonts w:cs="Times New Roman"/>
        </w:rPr>
      </w:pPr>
      <w:r w:rsidRPr="00570E13">
        <w:rPr>
          <w:rStyle w:val="Puslapioinaosnuoroda"/>
          <w:rFonts w:cs="Times New Roman"/>
        </w:rPr>
        <w:footnoteRef/>
      </w:r>
      <w:r w:rsidRPr="00570E13">
        <w:rPr>
          <w:rFonts w:cs="Times New Roman"/>
        </w:rPr>
        <w:t xml:space="preserve"> 2018 m. birželio 6 d. LRV nutarimas Nr. 558 dėl Konkrečių nacionaliniam saugumui užtikrinti svarbių įrenginių ir turto sąrašo patvirtinimo;</w:t>
      </w:r>
    </w:p>
  </w:footnote>
  <w:footnote w:id="4">
    <w:p w14:paraId="514A0918" w14:textId="77777777" w:rsidR="00D163E2" w:rsidRPr="00570E13" w:rsidRDefault="00D163E2" w:rsidP="00D163E2">
      <w:pPr>
        <w:pStyle w:val="Puslapioinaostekstas"/>
        <w:rPr>
          <w:rFonts w:cs="Times New Roman"/>
        </w:rPr>
      </w:pPr>
      <w:r w:rsidRPr="00570E13">
        <w:rPr>
          <w:rStyle w:val="Puslapioinaosnuoroda"/>
          <w:rFonts w:cs="Times New Roman"/>
        </w:rPr>
        <w:footnoteRef/>
      </w:r>
      <w:r w:rsidRPr="00570E13">
        <w:rPr>
          <w:rFonts w:cs="Times New Roman"/>
        </w:rPr>
        <w:t xml:space="preserve"> </w:t>
      </w:r>
      <w:r w:rsidRPr="00570E13">
        <w:rPr>
          <w:rFonts w:cs="Times New Roman"/>
          <w:lang w:val="lt"/>
        </w:rPr>
        <w:t>Nacionaliniam saugumui užtikrinti svarbių įmonių saugumo planas privalo būti suderintas su Viešojo saugumo tarnyba prie Vidaus reikalų ministerijos, Lietuvos Respublikos krašto apsaugos ministerija, Lietuvos Respublikos aplinkos ministerija, Lietuvos policija;</w:t>
      </w:r>
    </w:p>
  </w:footnote>
  <w:footnote w:id="5">
    <w:p w14:paraId="204BB011" w14:textId="77777777" w:rsidR="00D163E2" w:rsidRPr="00570E13" w:rsidRDefault="00D163E2" w:rsidP="00D163E2">
      <w:pPr>
        <w:pStyle w:val="Puslapioinaostekstas"/>
        <w:rPr>
          <w:rFonts w:cs="Times New Roman"/>
        </w:rPr>
      </w:pPr>
      <w:r w:rsidRPr="00570E13">
        <w:rPr>
          <w:rStyle w:val="Puslapioinaosnuoroda"/>
          <w:rFonts w:cs="Times New Roman"/>
        </w:rPr>
        <w:footnoteRef/>
      </w:r>
      <w:r w:rsidRPr="00570E13">
        <w:rPr>
          <w:rFonts w:cs="Times New Roman"/>
        </w:rPr>
        <w:t xml:space="preserve"> Galimų apsaugos priemonių sąrašas nėra baigtinis.</w:t>
      </w:r>
    </w:p>
  </w:footnote>
  <w:footnote w:id="6">
    <w:p w14:paraId="49E2E585" w14:textId="352F9FEC" w:rsidR="002041B2" w:rsidRPr="00570E13" w:rsidRDefault="002041B2" w:rsidP="002041B2">
      <w:pPr>
        <w:pStyle w:val="Puslapioinaostekstas"/>
        <w:rPr>
          <w:rFonts w:cs="Times New Roman"/>
        </w:rPr>
      </w:pPr>
      <w:r w:rsidRPr="00570E13">
        <w:rPr>
          <w:rStyle w:val="Puslapioinaosnuoroda"/>
          <w:rFonts w:cs="Times New Roman"/>
        </w:rPr>
        <w:footnoteRef/>
      </w:r>
      <w:r w:rsidRPr="00570E13">
        <w:rPr>
          <w:rFonts w:cs="Times New Roman"/>
        </w:rPr>
        <w:t xml:space="preserve"> </w:t>
      </w:r>
      <w:hyperlink r:id="rId1" w:anchor="/" w:history="1">
        <w:r w:rsidR="00570E13" w:rsidRPr="00570E13">
          <w:rPr>
            <w:rStyle w:val="cf01"/>
            <w:rFonts w:ascii="Times New Roman" w:hAnsi="Times New Roman" w:cs="Times New Roman"/>
            <w:color w:val="0000FF"/>
            <w:u w:val="single"/>
          </w:rPr>
          <w:t>Oficialios statistikos portalo duomenys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808C7" w14:textId="0267A39F" w:rsidR="003156CC" w:rsidRPr="008A1BC9" w:rsidRDefault="004D4A14" w:rsidP="00D163E2">
    <w:pPr>
      <w:pStyle w:val="Antrats"/>
      <w:spacing w:before="0" w:after="0"/>
      <w:jc w:val="right"/>
      <w:rPr>
        <w:sz w:val="19"/>
        <w:szCs w:val="19"/>
      </w:rPr>
    </w:pPr>
    <w:r>
      <w:rPr>
        <w:sz w:val="19"/>
        <w:szCs w:val="19"/>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BE216" w14:textId="22877E1E" w:rsidR="00D163E2" w:rsidRPr="008C74E2" w:rsidRDefault="00D163E2" w:rsidP="00A606E0">
    <w:pPr>
      <w:pStyle w:val="Antrats"/>
      <w:jc w:val="right"/>
    </w:pPr>
    <w:r w:rsidRPr="007B5701">
      <w:t>2021–2027 metų Europos Sąjungos fondų investicijų programos keitimo pasiūlym</w:t>
    </w:r>
    <w:r>
      <w:t>o 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71A4" w14:textId="3C68990D" w:rsidR="009C14FB" w:rsidRDefault="009C14FB" w:rsidP="0073561C">
    <w:pPr>
      <w:pStyle w:val="Antrats"/>
      <w:jc w:val="right"/>
    </w:pPr>
    <w:r w:rsidRPr="007B5701">
      <w:t>2021–2027 metų Europos Sąjungos fondų investicijų programos keitimo pasiūlym</w:t>
    </w:r>
    <w:r>
      <w:t xml:space="preserve">o projektas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D105" w14:textId="77777777" w:rsidR="00A606E0" w:rsidRDefault="00A606E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6FBA" w14:textId="51584E04" w:rsidR="00A606E0" w:rsidRDefault="00A606E0" w:rsidP="002041B2">
    <w:pPr>
      <w:pStyle w:val="Antrats"/>
      <w:spacing w:before="0" w:after="0"/>
      <w:jc w:val="right"/>
    </w:pPr>
    <w:r w:rsidRPr="007B5701">
      <w:t>2021–2027 metų Europos Sąjungos fondų investicijų programos keitimo pasiūlym</w:t>
    </w:r>
    <w:r>
      <w:t>o projektas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F6D8" w14:textId="77777777" w:rsidR="00A606E0" w:rsidRDefault="00A606E0">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68CD6" w14:textId="77777777" w:rsidR="00E11E30" w:rsidRDefault="00E11E3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A55BC" w14:textId="77777777" w:rsidR="00E11E30" w:rsidRPr="0035084F" w:rsidRDefault="00E11E30" w:rsidP="0035084F">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58EE3" w14:textId="77777777" w:rsidR="00E11E30" w:rsidRDefault="00E11E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5BE5"/>
    <w:multiLevelType w:val="hybridMultilevel"/>
    <w:tmpl w:val="4FF6F7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5F3C6C"/>
    <w:multiLevelType w:val="hybridMultilevel"/>
    <w:tmpl w:val="718802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567"/>
        </w:tabs>
        <w:ind w:left="56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 w15:restartNumberingAfterBreak="0">
    <w:nsid w:val="1C726D18"/>
    <w:multiLevelType w:val="hybridMultilevel"/>
    <w:tmpl w:val="23B66858"/>
    <w:lvl w:ilvl="0" w:tplc="6E7AB924">
      <w:start w:val="1"/>
      <w:numFmt w:val="decimal"/>
      <w:lvlText w:val="%1)"/>
      <w:lvlJc w:val="left"/>
      <w:pPr>
        <w:ind w:left="1020" w:hanging="360"/>
      </w:pPr>
    </w:lvl>
    <w:lvl w:ilvl="1" w:tplc="2388A56C">
      <w:start w:val="1"/>
      <w:numFmt w:val="decimal"/>
      <w:lvlText w:val="%2)"/>
      <w:lvlJc w:val="left"/>
      <w:pPr>
        <w:ind w:left="1020" w:hanging="360"/>
      </w:pPr>
    </w:lvl>
    <w:lvl w:ilvl="2" w:tplc="9A80C094">
      <w:start w:val="1"/>
      <w:numFmt w:val="decimal"/>
      <w:lvlText w:val="%3)"/>
      <w:lvlJc w:val="left"/>
      <w:pPr>
        <w:ind w:left="1020" w:hanging="360"/>
      </w:pPr>
    </w:lvl>
    <w:lvl w:ilvl="3" w:tplc="9A5C6A06">
      <w:start w:val="1"/>
      <w:numFmt w:val="decimal"/>
      <w:lvlText w:val="%4)"/>
      <w:lvlJc w:val="left"/>
      <w:pPr>
        <w:ind w:left="1020" w:hanging="360"/>
      </w:pPr>
    </w:lvl>
    <w:lvl w:ilvl="4" w:tplc="F32204DE">
      <w:start w:val="1"/>
      <w:numFmt w:val="decimal"/>
      <w:lvlText w:val="%5)"/>
      <w:lvlJc w:val="left"/>
      <w:pPr>
        <w:ind w:left="1020" w:hanging="360"/>
      </w:pPr>
    </w:lvl>
    <w:lvl w:ilvl="5" w:tplc="FDD09F70">
      <w:start w:val="1"/>
      <w:numFmt w:val="decimal"/>
      <w:lvlText w:val="%6)"/>
      <w:lvlJc w:val="left"/>
      <w:pPr>
        <w:ind w:left="1020" w:hanging="360"/>
      </w:pPr>
    </w:lvl>
    <w:lvl w:ilvl="6" w:tplc="FA505446">
      <w:start w:val="1"/>
      <w:numFmt w:val="decimal"/>
      <w:lvlText w:val="%7)"/>
      <w:lvlJc w:val="left"/>
      <w:pPr>
        <w:ind w:left="1020" w:hanging="360"/>
      </w:pPr>
    </w:lvl>
    <w:lvl w:ilvl="7" w:tplc="97F86C52">
      <w:start w:val="1"/>
      <w:numFmt w:val="decimal"/>
      <w:lvlText w:val="%8)"/>
      <w:lvlJc w:val="left"/>
      <w:pPr>
        <w:ind w:left="1020" w:hanging="360"/>
      </w:pPr>
    </w:lvl>
    <w:lvl w:ilvl="8" w:tplc="2146CF1C">
      <w:start w:val="1"/>
      <w:numFmt w:val="decimal"/>
      <w:lvlText w:val="%9)"/>
      <w:lvlJc w:val="left"/>
      <w:pPr>
        <w:ind w:left="1020" w:hanging="360"/>
      </w:pPr>
    </w:lvl>
  </w:abstractNum>
  <w:abstractNum w:abstractNumId="4" w15:restartNumberingAfterBreak="0">
    <w:nsid w:val="1CCF651A"/>
    <w:multiLevelType w:val="hybridMultilevel"/>
    <w:tmpl w:val="AC388466"/>
    <w:lvl w:ilvl="0" w:tplc="75F828F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9566E"/>
    <w:multiLevelType w:val="hybridMultilevel"/>
    <w:tmpl w:val="F2F442BE"/>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CB777A"/>
    <w:multiLevelType w:val="hybridMultilevel"/>
    <w:tmpl w:val="B3F69556"/>
    <w:lvl w:ilvl="0" w:tplc="2AF41D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5856D6"/>
    <w:multiLevelType w:val="hybridMultilevel"/>
    <w:tmpl w:val="B852AD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6E7D60"/>
    <w:multiLevelType w:val="hybridMultilevel"/>
    <w:tmpl w:val="5F34A6EE"/>
    <w:lvl w:ilvl="0" w:tplc="9306DF7A">
      <w:start w:val="1"/>
      <w:numFmt w:val="decimal"/>
      <w:lvlText w:val="%1."/>
      <w:lvlJc w:val="left"/>
      <w:pPr>
        <w:ind w:left="1020" w:hanging="360"/>
      </w:pPr>
    </w:lvl>
    <w:lvl w:ilvl="1" w:tplc="D50A8AA8">
      <w:start w:val="1"/>
      <w:numFmt w:val="decimal"/>
      <w:lvlText w:val="%2."/>
      <w:lvlJc w:val="left"/>
      <w:pPr>
        <w:ind w:left="1020" w:hanging="360"/>
      </w:pPr>
    </w:lvl>
    <w:lvl w:ilvl="2" w:tplc="AF7E11C8">
      <w:start w:val="1"/>
      <w:numFmt w:val="decimal"/>
      <w:lvlText w:val="%3."/>
      <w:lvlJc w:val="left"/>
      <w:pPr>
        <w:ind w:left="1020" w:hanging="360"/>
      </w:pPr>
    </w:lvl>
    <w:lvl w:ilvl="3" w:tplc="87F89600">
      <w:start w:val="1"/>
      <w:numFmt w:val="decimal"/>
      <w:lvlText w:val="%4."/>
      <w:lvlJc w:val="left"/>
      <w:pPr>
        <w:ind w:left="1020" w:hanging="360"/>
      </w:pPr>
    </w:lvl>
    <w:lvl w:ilvl="4" w:tplc="E376C128">
      <w:start w:val="1"/>
      <w:numFmt w:val="decimal"/>
      <w:lvlText w:val="%5."/>
      <w:lvlJc w:val="left"/>
      <w:pPr>
        <w:ind w:left="1020" w:hanging="360"/>
      </w:pPr>
    </w:lvl>
    <w:lvl w:ilvl="5" w:tplc="C302B784">
      <w:start w:val="1"/>
      <w:numFmt w:val="decimal"/>
      <w:lvlText w:val="%6."/>
      <w:lvlJc w:val="left"/>
      <w:pPr>
        <w:ind w:left="1020" w:hanging="360"/>
      </w:pPr>
    </w:lvl>
    <w:lvl w:ilvl="6" w:tplc="F4A85954">
      <w:start w:val="1"/>
      <w:numFmt w:val="decimal"/>
      <w:lvlText w:val="%7."/>
      <w:lvlJc w:val="left"/>
      <w:pPr>
        <w:ind w:left="1020" w:hanging="360"/>
      </w:pPr>
    </w:lvl>
    <w:lvl w:ilvl="7" w:tplc="84B8219E">
      <w:start w:val="1"/>
      <w:numFmt w:val="decimal"/>
      <w:lvlText w:val="%8."/>
      <w:lvlJc w:val="left"/>
      <w:pPr>
        <w:ind w:left="1020" w:hanging="360"/>
      </w:pPr>
    </w:lvl>
    <w:lvl w:ilvl="8" w:tplc="34B22062">
      <w:start w:val="1"/>
      <w:numFmt w:val="decimal"/>
      <w:lvlText w:val="%9."/>
      <w:lvlJc w:val="left"/>
      <w:pPr>
        <w:ind w:left="1020" w:hanging="360"/>
      </w:pPr>
    </w:lvl>
  </w:abstractNum>
  <w:abstractNum w:abstractNumId="9" w15:restartNumberingAfterBreak="0">
    <w:nsid w:val="32AB7CD0"/>
    <w:multiLevelType w:val="hybridMultilevel"/>
    <w:tmpl w:val="23E424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686672D"/>
    <w:multiLevelType w:val="hybridMultilevel"/>
    <w:tmpl w:val="E3CEF0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FC5138"/>
    <w:multiLevelType w:val="hybridMultilevel"/>
    <w:tmpl w:val="1B667AC0"/>
    <w:lvl w:ilvl="0" w:tplc="75F828F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07FC6"/>
    <w:multiLevelType w:val="hybridMultilevel"/>
    <w:tmpl w:val="59B83F78"/>
    <w:lvl w:ilvl="0" w:tplc="71C87AF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BA26EA2"/>
    <w:multiLevelType w:val="hybridMultilevel"/>
    <w:tmpl w:val="0A2EC8A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500CC"/>
    <w:multiLevelType w:val="hybridMultilevel"/>
    <w:tmpl w:val="95543E42"/>
    <w:lvl w:ilvl="0" w:tplc="EB581114">
      <w:start w:val="1"/>
      <w:numFmt w:val="decimal"/>
      <w:lvlText w:val="%1)"/>
      <w:lvlJc w:val="left"/>
      <w:pPr>
        <w:ind w:left="1020" w:hanging="360"/>
      </w:pPr>
    </w:lvl>
    <w:lvl w:ilvl="1" w:tplc="A87E55B8">
      <w:start w:val="1"/>
      <w:numFmt w:val="decimal"/>
      <w:lvlText w:val="%2)"/>
      <w:lvlJc w:val="left"/>
      <w:pPr>
        <w:ind w:left="1020" w:hanging="360"/>
      </w:pPr>
    </w:lvl>
    <w:lvl w:ilvl="2" w:tplc="EC807B32">
      <w:start w:val="1"/>
      <w:numFmt w:val="decimal"/>
      <w:lvlText w:val="%3)"/>
      <w:lvlJc w:val="left"/>
      <w:pPr>
        <w:ind w:left="1020" w:hanging="360"/>
      </w:pPr>
    </w:lvl>
    <w:lvl w:ilvl="3" w:tplc="8F0C5DE2">
      <w:start w:val="1"/>
      <w:numFmt w:val="decimal"/>
      <w:lvlText w:val="%4)"/>
      <w:lvlJc w:val="left"/>
      <w:pPr>
        <w:ind w:left="1020" w:hanging="360"/>
      </w:pPr>
    </w:lvl>
    <w:lvl w:ilvl="4" w:tplc="3FDC5364">
      <w:start w:val="1"/>
      <w:numFmt w:val="decimal"/>
      <w:lvlText w:val="%5)"/>
      <w:lvlJc w:val="left"/>
      <w:pPr>
        <w:ind w:left="1020" w:hanging="360"/>
      </w:pPr>
    </w:lvl>
    <w:lvl w:ilvl="5" w:tplc="7FDCB438">
      <w:start w:val="1"/>
      <w:numFmt w:val="decimal"/>
      <w:lvlText w:val="%6)"/>
      <w:lvlJc w:val="left"/>
      <w:pPr>
        <w:ind w:left="1020" w:hanging="360"/>
      </w:pPr>
    </w:lvl>
    <w:lvl w:ilvl="6" w:tplc="5B4C03BC">
      <w:start w:val="1"/>
      <w:numFmt w:val="decimal"/>
      <w:lvlText w:val="%7)"/>
      <w:lvlJc w:val="left"/>
      <w:pPr>
        <w:ind w:left="1020" w:hanging="360"/>
      </w:pPr>
    </w:lvl>
    <w:lvl w:ilvl="7" w:tplc="BB703532">
      <w:start w:val="1"/>
      <w:numFmt w:val="decimal"/>
      <w:lvlText w:val="%8)"/>
      <w:lvlJc w:val="left"/>
      <w:pPr>
        <w:ind w:left="1020" w:hanging="360"/>
      </w:pPr>
    </w:lvl>
    <w:lvl w:ilvl="8" w:tplc="2884D8B8">
      <w:start w:val="1"/>
      <w:numFmt w:val="decimal"/>
      <w:lvlText w:val="%9)"/>
      <w:lvlJc w:val="left"/>
      <w:pPr>
        <w:ind w:left="1020" w:hanging="360"/>
      </w:pPr>
    </w:lvl>
  </w:abstractNum>
  <w:abstractNum w:abstractNumId="15" w15:restartNumberingAfterBreak="0">
    <w:nsid w:val="40DB4E18"/>
    <w:multiLevelType w:val="multilevel"/>
    <w:tmpl w:val="48F07426"/>
    <w:lvl w:ilvl="0">
      <w:start w:val="1"/>
      <w:numFmt w:val="decimal"/>
      <w:lvlText w:val="%1."/>
      <w:lvlJc w:val="left"/>
      <w:pPr>
        <w:ind w:left="153"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927" w:hanging="720"/>
      </w:pPr>
      <w:rPr>
        <w:rFonts w:cs="Times New Roman" w:hint="default"/>
      </w:rPr>
    </w:lvl>
    <w:lvl w:ilvl="3">
      <w:start w:val="1"/>
      <w:numFmt w:val="decimal"/>
      <w:isLgl/>
      <w:lvlText w:val="%1.%2.%3.%4."/>
      <w:lvlJc w:val="left"/>
      <w:pPr>
        <w:ind w:left="1134" w:hanging="720"/>
      </w:pPr>
      <w:rPr>
        <w:rFonts w:cs="Times New Roman" w:hint="default"/>
      </w:rPr>
    </w:lvl>
    <w:lvl w:ilvl="4">
      <w:start w:val="1"/>
      <w:numFmt w:val="decimal"/>
      <w:isLgl/>
      <w:lvlText w:val="%1.%2.%3.%4.%5."/>
      <w:lvlJc w:val="left"/>
      <w:pPr>
        <w:ind w:left="1701" w:hanging="1080"/>
      </w:pPr>
      <w:rPr>
        <w:rFonts w:cs="Times New Roman" w:hint="default"/>
      </w:rPr>
    </w:lvl>
    <w:lvl w:ilvl="5">
      <w:start w:val="1"/>
      <w:numFmt w:val="decimal"/>
      <w:isLgl/>
      <w:lvlText w:val="%1.%2.%3.%4.%5.%6."/>
      <w:lvlJc w:val="left"/>
      <w:pPr>
        <w:ind w:left="1908" w:hanging="1080"/>
      </w:pPr>
      <w:rPr>
        <w:rFonts w:cs="Times New Roman" w:hint="default"/>
      </w:rPr>
    </w:lvl>
    <w:lvl w:ilvl="6">
      <w:start w:val="1"/>
      <w:numFmt w:val="decimal"/>
      <w:isLgl/>
      <w:lvlText w:val="%1.%2.%3.%4.%5.%6.%7."/>
      <w:lvlJc w:val="left"/>
      <w:pPr>
        <w:ind w:left="2475" w:hanging="1440"/>
      </w:pPr>
      <w:rPr>
        <w:rFonts w:cs="Times New Roman" w:hint="default"/>
      </w:rPr>
    </w:lvl>
    <w:lvl w:ilvl="7">
      <w:start w:val="1"/>
      <w:numFmt w:val="decimal"/>
      <w:isLgl/>
      <w:lvlText w:val="%1.%2.%3.%4.%5.%6.%7.%8."/>
      <w:lvlJc w:val="left"/>
      <w:pPr>
        <w:ind w:left="2682" w:hanging="1440"/>
      </w:pPr>
      <w:rPr>
        <w:rFonts w:cs="Times New Roman" w:hint="default"/>
      </w:rPr>
    </w:lvl>
    <w:lvl w:ilvl="8">
      <w:start w:val="1"/>
      <w:numFmt w:val="decimal"/>
      <w:isLgl/>
      <w:lvlText w:val="%1.%2.%3.%4.%5.%6.%7.%8.%9."/>
      <w:lvlJc w:val="left"/>
      <w:pPr>
        <w:ind w:left="3249" w:hanging="1800"/>
      </w:pPr>
      <w:rPr>
        <w:rFonts w:cs="Times New Roman" w:hint="default"/>
      </w:rPr>
    </w:lvl>
  </w:abstractNum>
  <w:abstractNum w:abstractNumId="16" w15:restartNumberingAfterBreak="0">
    <w:nsid w:val="4827521E"/>
    <w:multiLevelType w:val="hybridMultilevel"/>
    <w:tmpl w:val="4530BE0E"/>
    <w:lvl w:ilvl="0" w:tplc="71C87AFE">
      <w:start w:val="1"/>
      <w:numFmt w:val="bullet"/>
      <w:lvlText w:val="-"/>
      <w:lvlJc w:val="left"/>
      <w:pPr>
        <w:ind w:left="1440" w:hanging="360"/>
      </w:pPr>
      <w:rPr>
        <w:rFonts w:ascii="Calibri" w:eastAsia="Times New Roman" w:hAnsi="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BB3601E"/>
    <w:multiLevelType w:val="hybridMultilevel"/>
    <w:tmpl w:val="F5C630FC"/>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E8453E3"/>
    <w:multiLevelType w:val="multilevel"/>
    <w:tmpl w:val="FD76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C446C1"/>
    <w:multiLevelType w:val="hybridMultilevel"/>
    <w:tmpl w:val="6C92A99C"/>
    <w:lvl w:ilvl="0" w:tplc="08C61784">
      <w:numFmt w:val="bullet"/>
      <w:lvlText w:val="-"/>
      <w:lvlJc w:val="left"/>
      <w:pPr>
        <w:ind w:left="720" w:hanging="360"/>
      </w:pPr>
      <w:rPr>
        <w:rFonts w:ascii="Calibri" w:eastAsia="Times New Roman" w:hAnsi="Calibri"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3646A49"/>
    <w:multiLevelType w:val="hybridMultilevel"/>
    <w:tmpl w:val="5B1CA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5845ED1"/>
    <w:multiLevelType w:val="hybridMultilevel"/>
    <w:tmpl w:val="7834E312"/>
    <w:lvl w:ilvl="0" w:tplc="A36E2088">
      <w:start w:val="1"/>
      <w:numFmt w:val="bullet"/>
      <w:lvlText w:val="-"/>
      <w:lvlJc w:val="left"/>
      <w:pPr>
        <w:ind w:left="1080" w:hanging="360"/>
      </w:pPr>
      <w:rPr>
        <w:rFonts w:ascii="Cambria" w:eastAsia="Times New Roman" w:hAnsi="Cambria"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662C7DFE"/>
    <w:multiLevelType w:val="hybridMultilevel"/>
    <w:tmpl w:val="BB564DDA"/>
    <w:lvl w:ilvl="0" w:tplc="3174AFCC">
      <w:start w:val="1"/>
      <w:numFmt w:val="decimal"/>
      <w:lvlText w:val="%1)"/>
      <w:lvlJc w:val="left"/>
      <w:pPr>
        <w:ind w:left="1020" w:hanging="360"/>
      </w:pPr>
    </w:lvl>
    <w:lvl w:ilvl="1" w:tplc="9CF282E6">
      <w:start w:val="1"/>
      <w:numFmt w:val="decimal"/>
      <w:lvlText w:val="%2)"/>
      <w:lvlJc w:val="left"/>
      <w:pPr>
        <w:ind w:left="1020" w:hanging="360"/>
      </w:pPr>
    </w:lvl>
    <w:lvl w:ilvl="2" w:tplc="2AB01150">
      <w:start w:val="1"/>
      <w:numFmt w:val="decimal"/>
      <w:lvlText w:val="%3)"/>
      <w:lvlJc w:val="left"/>
      <w:pPr>
        <w:ind w:left="1020" w:hanging="360"/>
      </w:pPr>
    </w:lvl>
    <w:lvl w:ilvl="3" w:tplc="A5F09302">
      <w:start w:val="1"/>
      <w:numFmt w:val="decimal"/>
      <w:lvlText w:val="%4)"/>
      <w:lvlJc w:val="left"/>
      <w:pPr>
        <w:ind w:left="1020" w:hanging="360"/>
      </w:pPr>
    </w:lvl>
    <w:lvl w:ilvl="4" w:tplc="5CBE73F0">
      <w:start w:val="1"/>
      <w:numFmt w:val="decimal"/>
      <w:lvlText w:val="%5)"/>
      <w:lvlJc w:val="left"/>
      <w:pPr>
        <w:ind w:left="1020" w:hanging="360"/>
      </w:pPr>
    </w:lvl>
    <w:lvl w:ilvl="5" w:tplc="46BE61A6">
      <w:start w:val="1"/>
      <w:numFmt w:val="decimal"/>
      <w:lvlText w:val="%6)"/>
      <w:lvlJc w:val="left"/>
      <w:pPr>
        <w:ind w:left="1020" w:hanging="360"/>
      </w:pPr>
    </w:lvl>
    <w:lvl w:ilvl="6" w:tplc="90246172">
      <w:start w:val="1"/>
      <w:numFmt w:val="decimal"/>
      <w:lvlText w:val="%7)"/>
      <w:lvlJc w:val="left"/>
      <w:pPr>
        <w:ind w:left="1020" w:hanging="360"/>
      </w:pPr>
    </w:lvl>
    <w:lvl w:ilvl="7" w:tplc="BD6EAC06">
      <w:start w:val="1"/>
      <w:numFmt w:val="decimal"/>
      <w:lvlText w:val="%8)"/>
      <w:lvlJc w:val="left"/>
      <w:pPr>
        <w:ind w:left="1020" w:hanging="360"/>
      </w:pPr>
    </w:lvl>
    <w:lvl w:ilvl="8" w:tplc="E5044562">
      <w:start w:val="1"/>
      <w:numFmt w:val="decimal"/>
      <w:lvlText w:val="%9)"/>
      <w:lvlJc w:val="left"/>
      <w:pPr>
        <w:ind w:left="1020" w:hanging="360"/>
      </w:pPr>
    </w:lvl>
  </w:abstractNum>
  <w:abstractNum w:abstractNumId="23" w15:restartNumberingAfterBreak="0">
    <w:nsid w:val="6DBF0F74"/>
    <w:multiLevelType w:val="hybridMultilevel"/>
    <w:tmpl w:val="3292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197EE8"/>
    <w:multiLevelType w:val="hybridMultilevel"/>
    <w:tmpl w:val="4D08AC1E"/>
    <w:lvl w:ilvl="0" w:tplc="62C6B38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55794E"/>
    <w:multiLevelType w:val="hybridMultilevel"/>
    <w:tmpl w:val="ED9C1542"/>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774435B2"/>
    <w:multiLevelType w:val="multilevel"/>
    <w:tmpl w:val="01C8C776"/>
    <w:lvl w:ilvl="0">
      <w:start w:val="3"/>
      <w:numFmt w:val="decimal"/>
      <w:lvlText w:val="%1."/>
      <w:lvlJc w:val="left"/>
      <w:pPr>
        <w:ind w:left="720" w:hanging="360"/>
      </w:pPr>
      <w:rPr>
        <w:rFonts w:cstheme="minorBidi" w:hint="default"/>
        <w:b/>
      </w:rPr>
    </w:lvl>
    <w:lvl w:ilvl="1">
      <w:start w:val="1"/>
      <w:numFmt w:val="decimal"/>
      <w:isLgl/>
      <w:lvlText w:val="%1.%2"/>
      <w:lvlJc w:val="left"/>
      <w:pPr>
        <w:ind w:left="780" w:hanging="420"/>
      </w:pPr>
      <w:rPr>
        <w:rFonts w:hint="default"/>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8065D2F"/>
    <w:multiLevelType w:val="hybridMultilevel"/>
    <w:tmpl w:val="48CE6740"/>
    <w:lvl w:ilvl="0" w:tplc="89BC5A86">
      <w:start w:val="1"/>
      <w:numFmt w:val="decimal"/>
      <w:lvlText w:val="%1)"/>
      <w:lvlJc w:val="left"/>
      <w:pPr>
        <w:ind w:left="1020" w:hanging="360"/>
      </w:pPr>
    </w:lvl>
    <w:lvl w:ilvl="1" w:tplc="37D0A91C">
      <w:start w:val="1"/>
      <w:numFmt w:val="decimal"/>
      <w:lvlText w:val="%2)"/>
      <w:lvlJc w:val="left"/>
      <w:pPr>
        <w:ind w:left="1020" w:hanging="360"/>
      </w:pPr>
    </w:lvl>
    <w:lvl w:ilvl="2" w:tplc="1BB8B37C">
      <w:start w:val="1"/>
      <w:numFmt w:val="decimal"/>
      <w:lvlText w:val="%3)"/>
      <w:lvlJc w:val="left"/>
      <w:pPr>
        <w:ind w:left="1020" w:hanging="360"/>
      </w:pPr>
    </w:lvl>
    <w:lvl w:ilvl="3" w:tplc="0D8E4B3E">
      <w:start w:val="1"/>
      <w:numFmt w:val="decimal"/>
      <w:lvlText w:val="%4)"/>
      <w:lvlJc w:val="left"/>
      <w:pPr>
        <w:ind w:left="1020" w:hanging="360"/>
      </w:pPr>
    </w:lvl>
    <w:lvl w:ilvl="4" w:tplc="0720C900">
      <w:start w:val="1"/>
      <w:numFmt w:val="decimal"/>
      <w:lvlText w:val="%5)"/>
      <w:lvlJc w:val="left"/>
      <w:pPr>
        <w:ind w:left="1020" w:hanging="360"/>
      </w:pPr>
    </w:lvl>
    <w:lvl w:ilvl="5" w:tplc="83D022BA">
      <w:start w:val="1"/>
      <w:numFmt w:val="decimal"/>
      <w:lvlText w:val="%6)"/>
      <w:lvlJc w:val="left"/>
      <w:pPr>
        <w:ind w:left="1020" w:hanging="360"/>
      </w:pPr>
    </w:lvl>
    <w:lvl w:ilvl="6" w:tplc="9C0626BE">
      <w:start w:val="1"/>
      <w:numFmt w:val="decimal"/>
      <w:lvlText w:val="%7)"/>
      <w:lvlJc w:val="left"/>
      <w:pPr>
        <w:ind w:left="1020" w:hanging="360"/>
      </w:pPr>
    </w:lvl>
    <w:lvl w:ilvl="7" w:tplc="A470D38A">
      <w:start w:val="1"/>
      <w:numFmt w:val="decimal"/>
      <w:lvlText w:val="%8)"/>
      <w:lvlJc w:val="left"/>
      <w:pPr>
        <w:ind w:left="1020" w:hanging="360"/>
      </w:pPr>
    </w:lvl>
    <w:lvl w:ilvl="8" w:tplc="E71E093A">
      <w:start w:val="1"/>
      <w:numFmt w:val="decimal"/>
      <w:lvlText w:val="%9)"/>
      <w:lvlJc w:val="left"/>
      <w:pPr>
        <w:ind w:left="1020" w:hanging="360"/>
      </w:pPr>
    </w:lvl>
  </w:abstractNum>
  <w:num w:numId="1" w16cid:durableId="1730610202">
    <w:abstractNumId w:val="2"/>
  </w:num>
  <w:num w:numId="2" w16cid:durableId="1080761356">
    <w:abstractNumId w:val="20"/>
  </w:num>
  <w:num w:numId="3" w16cid:durableId="316614892">
    <w:abstractNumId w:val="9"/>
  </w:num>
  <w:num w:numId="4" w16cid:durableId="1373456302">
    <w:abstractNumId w:val="24"/>
  </w:num>
  <w:num w:numId="5" w16cid:durableId="1623343155">
    <w:abstractNumId w:val="12"/>
  </w:num>
  <w:num w:numId="6" w16cid:durableId="1499535104">
    <w:abstractNumId w:val="4"/>
  </w:num>
  <w:num w:numId="7" w16cid:durableId="7559892">
    <w:abstractNumId w:val="23"/>
  </w:num>
  <w:num w:numId="8" w16cid:durableId="2125802637">
    <w:abstractNumId w:val="26"/>
  </w:num>
  <w:num w:numId="9" w16cid:durableId="1203402040">
    <w:abstractNumId w:val="11"/>
  </w:num>
  <w:num w:numId="10" w16cid:durableId="1671834053">
    <w:abstractNumId w:val="7"/>
  </w:num>
  <w:num w:numId="11" w16cid:durableId="705177702">
    <w:abstractNumId w:val="25"/>
  </w:num>
  <w:num w:numId="12" w16cid:durableId="317349408">
    <w:abstractNumId w:val="19"/>
  </w:num>
  <w:num w:numId="13" w16cid:durableId="1588804492">
    <w:abstractNumId w:val="5"/>
  </w:num>
  <w:num w:numId="14" w16cid:durableId="904294125">
    <w:abstractNumId w:val="16"/>
  </w:num>
  <w:num w:numId="15" w16cid:durableId="615337048">
    <w:abstractNumId w:val="0"/>
  </w:num>
  <w:num w:numId="16" w16cid:durableId="2119712449">
    <w:abstractNumId w:val="13"/>
  </w:num>
  <w:num w:numId="17" w16cid:durableId="1014846974">
    <w:abstractNumId w:val="6"/>
  </w:num>
  <w:num w:numId="18" w16cid:durableId="709115024">
    <w:abstractNumId w:val="10"/>
  </w:num>
  <w:num w:numId="19" w16cid:durableId="1182433162">
    <w:abstractNumId w:val="21"/>
  </w:num>
  <w:num w:numId="20" w16cid:durableId="1476487503">
    <w:abstractNumId w:val="17"/>
  </w:num>
  <w:num w:numId="21" w16cid:durableId="670186233">
    <w:abstractNumId w:val="15"/>
  </w:num>
  <w:num w:numId="22" w16cid:durableId="306134116">
    <w:abstractNumId w:val="1"/>
  </w:num>
  <w:num w:numId="23" w16cid:durableId="220294682">
    <w:abstractNumId w:val="22"/>
  </w:num>
  <w:num w:numId="24" w16cid:durableId="1252006911">
    <w:abstractNumId w:val="14"/>
  </w:num>
  <w:num w:numId="25" w16cid:durableId="1903367905">
    <w:abstractNumId w:val="3"/>
  </w:num>
  <w:num w:numId="26" w16cid:durableId="1311599675">
    <w:abstractNumId w:val="8"/>
  </w:num>
  <w:num w:numId="27" w16cid:durableId="894858508">
    <w:abstractNumId w:val="27"/>
  </w:num>
  <w:num w:numId="28" w16cid:durableId="6765475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165"/>
    <w:rsid w:val="000003F8"/>
    <w:rsid w:val="000004C1"/>
    <w:rsid w:val="00000C17"/>
    <w:rsid w:val="00001E74"/>
    <w:rsid w:val="000021DB"/>
    <w:rsid w:val="0000346C"/>
    <w:rsid w:val="000052C0"/>
    <w:rsid w:val="00005FFE"/>
    <w:rsid w:val="00006C3E"/>
    <w:rsid w:val="000074B9"/>
    <w:rsid w:val="0000751F"/>
    <w:rsid w:val="00007592"/>
    <w:rsid w:val="00007DD9"/>
    <w:rsid w:val="00010600"/>
    <w:rsid w:val="00011A9A"/>
    <w:rsid w:val="00011CCE"/>
    <w:rsid w:val="0001300B"/>
    <w:rsid w:val="0001329C"/>
    <w:rsid w:val="000138E4"/>
    <w:rsid w:val="000139A2"/>
    <w:rsid w:val="00013A2B"/>
    <w:rsid w:val="00013EAF"/>
    <w:rsid w:val="00014C4D"/>
    <w:rsid w:val="00015A7B"/>
    <w:rsid w:val="0001616E"/>
    <w:rsid w:val="00016367"/>
    <w:rsid w:val="00016855"/>
    <w:rsid w:val="0001725A"/>
    <w:rsid w:val="0001727A"/>
    <w:rsid w:val="00017D0D"/>
    <w:rsid w:val="00017ED5"/>
    <w:rsid w:val="0002099C"/>
    <w:rsid w:val="00020A05"/>
    <w:rsid w:val="00021039"/>
    <w:rsid w:val="000229C3"/>
    <w:rsid w:val="0002305D"/>
    <w:rsid w:val="000235C0"/>
    <w:rsid w:val="00023DBC"/>
    <w:rsid w:val="0002506B"/>
    <w:rsid w:val="00025474"/>
    <w:rsid w:val="00025838"/>
    <w:rsid w:val="00025CAA"/>
    <w:rsid w:val="00025FED"/>
    <w:rsid w:val="00026EB6"/>
    <w:rsid w:val="0002726A"/>
    <w:rsid w:val="0002743E"/>
    <w:rsid w:val="000277ED"/>
    <w:rsid w:val="00030428"/>
    <w:rsid w:val="000305EC"/>
    <w:rsid w:val="000313C0"/>
    <w:rsid w:val="0003180E"/>
    <w:rsid w:val="00031E60"/>
    <w:rsid w:val="00032358"/>
    <w:rsid w:val="000332F5"/>
    <w:rsid w:val="0003340D"/>
    <w:rsid w:val="0003345C"/>
    <w:rsid w:val="0003392A"/>
    <w:rsid w:val="00034301"/>
    <w:rsid w:val="00035E44"/>
    <w:rsid w:val="0003692E"/>
    <w:rsid w:val="00037194"/>
    <w:rsid w:val="000400D7"/>
    <w:rsid w:val="00040174"/>
    <w:rsid w:val="00040FD7"/>
    <w:rsid w:val="00040FEB"/>
    <w:rsid w:val="000410A8"/>
    <w:rsid w:val="00041626"/>
    <w:rsid w:val="0004189D"/>
    <w:rsid w:val="00041C9E"/>
    <w:rsid w:val="00041CBD"/>
    <w:rsid w:val="000421C0"/>
    <w:rsid w:val="00042271"/>
    <w:rsid w:val="000422E2"/>
    <w:rsid w:val="0004234E"/>
    <w:rsid w:val="00044527"/>
    <w:rsid w:val="00045DD1"/>
    <w:rsid w:val="000468AB"/>
    <w:rsid w:val="000469BC"/>
    <w:rsid w:val="00047082"/>
    <w:rsid w:val="000470FA"/>
    <w:rsid w:val="000476F6"/>
    <w:rsid w:val="00047712"/>
    <w:rsid w:val="0004779C"/>
    <w:rsid w:val="00050095"/>
    <w:rsid w:val="0005072D"/>
    <w:rsid w:val="0005081B"/>
    <w:rsid w:val="00050A2E"/>
    <w:rsid w:val="00050AF8"/>
    <w:rsid w:val="00050BB6"/>
    <w:rsid w:val="00052295"/>
    <w:rsid w:val="00052319"/>
    <w:rsid w:val="00052852"/>
    <w:rsid w:val="00052FB3"/>
    <w:rsid w:val="0005320A"/>
    <w:rsid w:val="000536BE"/>
    <w:rsid w:val="00054321"/>
    <w:rsid w:val="000550C8"/>
    <w:rsid w:val="00055543"/>
    <w:rsid w:val="00055771"/>
    <w:rsid w:val="00055C93"/>
    <w:rsid w:val="00055F15"/>
    <w:rsid w:val="000561A5"/>
    <w:rsid w:val="00056957"/>
    <w:rsid w:val="00056EF1"/>
    <w:rsid w:val="000572E8"/>
    <w:rsid w:val="00061D19"/>
    <w:rsid w:val="00061DB9"/>
    <w:rsid w:val="00061E8A"/>
    <w:rsid w:val="0006233D"/>
    <w:rsid w:val="000624FC"/>
    <w:rsid w:val="00062FED"/>
    <w:rsid w:val="00064A64"/>
    <w:rsid w:val="00064E93"/>
    <w:rsid w:val="00065348"/>
    <w:rsid w:val="00065816"/>
    <w:rsid w:val="0006629E"/>
    <w:rsid w:val="000662C3"/>
    <w:rsid w:val="0006634B"/>
    <w:rsid w:val="00066DA2"/>
    <w:rsid w:val="000701C4"/>
    <w:rsid w:val="00070C9F"/>
    <w:rsid w:val="00070E82"/>
    <w:rsid w:val="000713CA"/>
    <w:rsid w:val="00071BC7"/>
    <w:rsid w:val="000731A9"/>
    <w:rsid w:val="000731ED"/>
    <w:rsid w:val="00073A3E"/>
    <w:rsid w:val="00073EE8"/>
    <w:rsid w:val="0007460D"/>
    <w:rsid w:val="00075337"/>
    <w:rsid w:val="00075420"/>
    <w:rsid w:val="00075B2B"/>
    <w:rsid w:val="0007617D"/>
    <w:rsid w:val="00076D4B"/>
    <w:rsid w:val="00076F56"/>
    <w:rsid w:val="0007702A"/>
    <w:rsid w:val="00077151"/>
    <w:rsid w:val="0008019E"/>
    <w:rsid w:val="0008030E"/>
    <w:rsid w:val="00080572"/>
    <w:rsid w:val="00080AF8"/>
    <w:rsid w:val="00080B1F"/>
    <w:rsid w:val="0008189A"/>
    <w:rsid w:val="0008219C"/>
    <w:rsid w:val="000827DA"/>
    <w:rsid w:val="0008291F"/>
    <w:rsid w:val="00082EAB"/>
    <w:rsid w:val="000851B3"/>
    <w:rsid w:val="00085D01"/>
    <w:rsid w:val="00085EB6"/>
    <w:rsid w:val="0008692A"/>
    <w:rsid w:val="000871A1"/>
    <w:rsid w:val="00087477"/>
    <w:rsid w:val="00087852"/>
    <w:rsid w:val="00090CFD"/>
    <w:rsid w:val="00090D0F"/>
    <w:rsid w:val="00090FB8"/>
    <w:rsid w:val="0009238E"/>
    <w:rsid w:val="00092410"/>
    <w:rsid w:val="00092715"/>
    <w:rsid w:val="00092E62"/>
    <w:rsid w:val="00092ECD"/>
    <w:rsid w:val="000930D6"/>
    <w:rsid w:val="0009392D"/>
    <w:rsid w:val="000939D0"/>
    <w:rsid w:val="00093FA7"/>
    <w:rsid w:val="00094381"/>
    <w:rsid w:val="0009483A"/>
    <w:rsid w:val="00094C5A"/>
    <w:rsid w:val="00095039"/>
    <w:rsid w:val="0009520A"/>
    <w:rsid w:val="000958FE"/>
    <w:rsid w:val="00095E78"/>
    <w:rsid w:val="00096177"/>
    <w:rsid w:val="00096725"/>
    <w:rsid w:val="00097354"/>
    <w:rsid w:val="00097C2D"/>
    <w:rsid w:val="000A0814"/>
    <w:rsid w:val="000A0920"/>
    <w:rsid w:val="000A09DE"/>
    <w:rsid w:val="000A17B1"/>
    <w:rsid w:val="000A249E"/>
    <w:rsid w:val="000A2DEB"/>
    <w:rsid w:val="000A3120"/>
    <w:rsid w:val="000A37C3"/>
    <w:rsid w:val="000A37FF"/>
    <w:rsid w:val="000A38C9"/>
    <w:rsid w:val="000A3C7C"/>
    <w:rsid w:val="000A4251"/>
    <w:rsid w:val="000A4C22"/>
    <w:rsid w:val="000A5615"/>
    <w:rsid w:val="000A5778"/>
    <w:rsid w:val="000A57DD"/>
    <w:rsid w:val="000A58AF"/>
    <w:rsid w:val="000A63E9"/>
    <w:rsid w:val="000A6627"/>
    <w:rsid w:val="000A6E4C"/>
    <w:rsid w:val="000B0819"/>
    <w:rsid w:val="000B0A4A"/>
    <w:rsid w:val="000B0EB0"/>
    <w:rsid w:val="000B2300"/>
    <w:rsid w:val="000B2D94"/>
    <w:rsid w:val="000B2DEE"/>
    <w:rsid w:val="000B4816"/>
    <w:rsid w:val="000B4840"/>
    <w:rsid w:val="000B511F"/>
    <w:rsid w:val="000B567E"/>
    <w:rsid w:val="000B59AC"/>
    <w:rsid w:val="000B70C9"/>
    <w:rsid w:val="000B7997"/>
    <w:rsid w:val="000B7D44"/>
    <w:rsid w:val="000C0CE9"/>
    <w:rsid w:val="000C0FD1"/>
    <w:rsid w:val="000C1260"/>
    <w:rsid w:val="000C23F3"/>
    <w:rsid w:val="000C2ABE"/>
    <w:rsid w:val="000C2BAC"/>
    <w:rsid w:val="000C2E74"/>
    <w:rsid w:val="000C4363"/>
    <w:rsid w:val="000C44A0"/>
    <w:rsid w:val="000C4556"/>
    <w:rsid w:val="000C58EE"/>
    <w:rsid w:val="000C599C"/>
    <w:rsid w:val="000C61A7"/>
    <w:rsid w:val="000C711E"/>
    <w:rsid w:val="000D08E8"/>
    <w:rsid w:val="000D16BF"/>
    <w:rsid w:val="000D1C77"/>
    <w:rsid w:val="000D274F"/>
    <w:rsid w:val="000D3627"/>
    <w:rsid w:val="000D3C0B"/>
    <w:rsid w:val="000D4869"/>
    <w:rsid w:val="000D529E"/>
    <w:rsid w:val="000D7BED"/>
    <w:rsid w:val="000E0556"/>
    <w:rsid w:val="000E083C"/>
    <w:rsid w:val="000E089B"/>
    <w:rsid w:val="000E097C"/>
    <w:rsid w:val="000E0B69"/>
    <w:rsid w:val="000E0FB7"/>
    <w:rsid w:val="000E2A9C"/>
    <w:rsid w:val="000E2C4D"/>
    <w:rsid w:val="000E3316"/>
    <w:rsid w:val="000E3528"/>
    <w:rsid w:val="000E380D"/>
    <w:rsid w:val="000E3E2E"/>
    <w:rsid w:val="000E4C1F"/>
    <w:rsid w:val="000E64FC"/>
    <w:rsid w:val="000E65C9"/>
    <w:rsid w:val="000E6933"/>
    <w:rsid w:val="000E6E03"/>
    <w:rsid w:val="000E7397"/>
    <w:rsid w:val="000E74BB"/>
    <w:rsid w:val="000E757B"/>
    <w:rsid w:val="000F179C"/>
    <w:rsid w:val="000F1B0E"/>
    <w:rsid w:val="000F24B5"/>
    <w:rsid w:val="000F2691"/>
    <w:rsid w:val="000F3B3A"/>
    <w:rsid w:val="000F3C4D"/>
    <w:rsid w:val="000F4123"/>
    <w:rsid w:val="000F58E5"/>
    <w:rsid w:val="000F7A36"/>
    <w:rsid w:val="00101D06"/>
    <w:rsid w:val="00102148"/>
    <w:rsid w:val="00102511"/>
    <w:rsid w:val="001026B8"/>
    <w:rsid w:val="00102840"/>
    <w:rsid w:val="00102BF7"/>
    <w:rsid w:val="001038D5"/>
    <w:rsid w:val="001041F6"/>
    <w:rsid w:val="001047A9"/>
    <w:rsid w:val="00104BDA"/>
    <w:rsid w:val="0010505F"/>
    <w:rsid w:val="001058D3"/>
    <w:rsid w:val="00106063"/>
    <w:rsid w:val="001067D9"/>
    <w:rsid w:val="00107A41"/>
    <w:rsid w:val="00107BB3"/>
    <w:rsid w:val="001102B2"/>
    <w:rsid w:val="001104B4"/>
    <w:rsid w:val="001108B9"/>
    <w:rsid w:val="001111FE"/>
    <w:rsid w:val="00111803"/>
    <w:rsid w:val="00112141"/>
    <w:rsid w:val="0011222B"/>
    <w:rsid w:val="00112323"/>
    <w:rsid w:val="00112FD3"/>
    <w:rsid w:val="00113CB0"/>
    <w:rsid w:val="00114217"/>
    <w:rsid w:val="00116189"/>
    <w:rsid w:val="0011627E"/>
    <w:rsid w:val="0011690C"/>
    <w:rsid w:val="00116C5C"/>
    <w:rsid w:val="001176F6"/>
    <w:rsid w:val="00120842"/>
    <w:rsid w:val="0012101C"/>
    <w:rsid w:val="00122134"/>
    <w:rsid w:val="00122448"/>
    <w:rsid w:val="001224B3"/>
    <w:rsid w:val="00122DC3"/>
    <w:rsid w:val="00122E47"/>
    <w:rsid w:val="00122F91"/>
    <w:rsid w:val="00123155"/>
    <w:rsid w:val="00123712"/>
    <w:rsid w:val="00123AAB"/>
    <w:rsid w:val="0012401E"/>
    <w:rsid w:val="001242C4"/>
    <w:rsid w:val="00124440"/>
    <w:rsid w:val="00124BC4"/>
    <w:rsid w:val="001256CF"/>
    <w:rsid w:val="00125B96"/>
    <w:rsid w:val="001267F5"/>
    <w:rsid w:val="00126BF8"/>
    <w:rsid w:val="00130583"/>
    <w:rsid w:val="001305CD"/>
    <w:rsid w:val="00130C04"/>
    <w:rsid w:val="001314CD"/>
    <w:rsid w:val="00132D02"/>
    <w:rsid w:val="00132D25"/>
    <w:rsid w:val="0013390F"/>
    <w:rsid w:val="00133942"/>
    <w:rsid w:val="00134B78"/>
    <w:rsid w:val="00134C75"/>
    <w:rsid w:val="00135A20"/>
    <w:rsid w:val="001370A7"/>
    <w:rsid w:val="00137CFE"/>
    <w:rsid w:val="0014006F"/>
    <w:rsid w:val="0014079B"/>
    <w:rsid w:val="0014124D"/>
    <w:rsid w:val="001412AC"/>
    <w:rsid w:val="00141C67"/>
    <w:rsid w:val="00143185"/>
    <w:rsid w:val="00143A13"/>
    <w:rsid w:val="00143A22"/>
    <w:rsid w:val="00143A73"/>
    <w:rsid w:val="00143D60"/>
    <w:rsid w:val="00144056"/>
    <w:rsid w:val="001442B9"/>
    <w:rsid w:val="00144D62"/>
    <w:rsid w:val="00145626"/>
    <w:rsid w:val="001460C7"/>
    <w:rsid w:val="00146E5C"/>
    <w:rsid w:val="00147C38"/>
    <w:rsid w:val="0015015F"/>
    <w:rsid w:val="00150440"/>
    <w:rsid w:val="001509CD"/>
    <w:rsid w:val="00150CF7"/>
    <w:rsid w:val="001512E4"/>
    <w:rsid w:val="001517E2"/>
    <w:rsid w:val="00152044"/>
    <w:rsid w:val="0015295A"/>
    <w:rsid w:val="00153A35"/>
    <w:rsid w:val="00153C86"/>
    <w:rsid w:val="00153D45"/>
    <w:rsid w:val="00153EEB"/>
    <w:rsid w:val="00153FB5"/>
    <w:rsid w:val="00154658"/>
    <w:rsid w:val="00154715"/>
    <w:rsid w:val="00154B52"/>
    <w:rsid w:val="001564A3"/>
    <w:rsid w:val="001569EA"/>
    <w:rsid w:val="0015773B"/>
    <w:rsid w:val="00157C73"/>
    <w:rsid w:val="00157E09"/>
    <w:rsid w:val="00160172"/>
    <w:rsid w:val="00160909"/>
    <w:rsid w:val="00161756"/>
    <w:rsid w:val="00162177"/>
    <w:rsid w:val="00163A9E"/>
    <w:rsid w:val="00163B6D"/>
    <w:rsid w:val="00163D35"/>
    <w:rsid w:val="00164369"/>
    <w:rsid w:val="001647C5"/>
    <w:rsid w:val="00164CFA"/>
    <w:rsid w:val="001662AE"/>
    <w:rsid w:val="00166DEF"/>
    <w:rsid w:val="00166EC1"/>
    <w:rsid w:val="001674D6"/>
    <w:rsid w:val="0016782C"/>
    <w:rsid w:val="00167E6C"/>
    <w:rsid w:val="00170B44"/>
    <w:rsid w:val="00170FD8"/>
    <w:rsid w:val="00171164"/>
    <w:rsid w:val="00172F2A"/>
    <w:rsid w:val="00173164"/>
    <w:rsid w:val="00173243"/>
    <w:rsid w:val="00173702"/>
    <w:rsid w:val="00173C1D"/>
    <w:rsid w:val="00174343"/>
    <w:rsid w:val="00175016"/>
    <w:rsid w:val="001776AF"/>
    <w:rsid w:val="001778C2"/>
    <w:rsid w:val="00177C24"/>
    <w:rsid w:val="00180244"/>
    <w:rsid w:val="00180527"/>
    <w:rsid w:val="00180843"/>
    <w:rsid w:val="00180860"/>
    <w:rsid w:val="00180D4E"/>
    <w:rsid w:val="001811B8"/>
    <w:rsid w:val="00181705"/>
    <w:rsid w:val="001818C5"/>
    <w:rsid w:val="0018199E"/>
    <w:rsid w:val="00181CC1"/>
    <w:rsid w:val="0018272A"/>
    <w:rsid w:val="00182C0B"/>
    <w:rsid w:val="00183710"/>
    <w:rsid w:val="00183823"/>
    <w:rsid w:val="001839DC"/>
    <w:rsid w:val="00184655"/>
    <w:rsid w:val="00185033"/>
    <w:rsid w:val="0018544F"/>
    <w:rsid w:val="001859F2"/>
    <w:rsid w:val="00185C64"/>
    <w:rsid w:val="00185D39"/>
    <w:rsid w:val="00185F5D"/>
    <w:rsid w:val="0018604F"/>
    <w:rsid w:val="00186FB8"/>
    <w:rsid w:val="001870A7"/>
    <w:rsid w:val="00187303"/>
    <w:rsid w:val="00187C26"/>
    <w:rsid w:val="0019035A"/>
    <w:rsid w:val="001905F4"/>
    <w:rsid w:val="00190FD9"/>
    <w:rsid w:val="00191B1F"/>
    <w:rsid w:val="00191DE7"/>
    <w:rsid w:val="00192446"/>
    <w:rsid w:val="00192628"/>
    <w:rsid w:val="00192ED8"/>
    <w:rsid w:val="00192EDD"/>
    <w:rsid w:val="00192F79"/>
    <w:rsid w:val="00192FC3"/>
    <w:rsid w:val="00193865"/>
    <w:rsid w:val="00193AB8"/>
    <w:rsid w:val="00195241"/>
    <w:rsid w:val="00196AD4"/>
    <w:rsid w:val="00197115"/>
    <w:rsid w:val="00197F94"/>
    <w:rsid w:val="00197FF3"/>
    <w:rsid w:val="001A02AD"/>
    <w:rsid w:val="001A04BA"/>
    <w:rsid w:val="001A04BE"/>
    <w:rsid w:val="001A07D4"/>
    <w:rsid w:val="001A0AAD"/>
    <w:rsid w:val="001A0CCB"/>
    <w:rsid w:val="001A0E9D"/>
    <w:rsid w:val="001A0FA9"/>
    <w:rsid w:val="001A170F"/>
    <w:rsid w:val="001A1E58"/>
    <w:rsid w:val="001A3458"/>
    <w:rsid w:val="001A35D3"/>
    <w:rsid w:val="001A38B3"/>
    <w:rsid w:val="001A413C"/>
    <w:rsid w:val="001A47D7"/>
    <w:rsid w:val="001A5215"/>
    <w:rsid w:val="001A549F"/>
    <w:rsid w:val="001A5F6C"/>
    <w:rsid w:val="001A6813"/>
    <w:rsid w:val="001A78D8"/>
    <w:rsid w:val="001A7F92"/>
    <w:rsid w:val="001B0906"/>
    <w:rsid w:val="001B0CD8"/>
    <w:rsid w:val="001B0EFE"/>
    <w:rsid w:val="001B1EF7"/>
    <w:rsid w:val="001B21F3"/>
    <w:rsid w:val="001B2E75"/>
    <w:rsid w:val="001B3DAE"/>
    <w:rsid w:val="001B4633"/>
    <w:rsid w:val="001B467A"/>
    <w:rsid w:val="001B4E21"/>
    <w:rsid w:val="001B51B8"/>
    <w:rsid w:val="001B5EAC"/>
    <w:rsid w:val="001B653D"/>
    <w:rsid w:val="001B71A8"/>
    <w:rsid w:val="001B7BE1"/>
    <w:rsid w:val="001B7D58"/>
    <w:rsid w:val="001B7E11"/>
    <w:rsid w:val="001C0AF1"/>
    <w:rsid w:val="001C19CF"/>
    <w:rsid w:val="001C1A23"/>
    <w:rsid w:val="001C205A"/>
    <w:rsid w:val="001C2983"/>
    <w:rsid w:val="001C3C47"/>
    <w:rsid w:val="001C3C9A"/>
    <w:rsid w:val="001C3D2F"/>
    <w:rsid w:val="001C4777"/>
    <w:rsid w:val="001C5974"/>
    <w:rsid w:val="001C6FEB"/>
    <w:rsid w:val="001C7776"/>
    <w:rsid w:val="001C7D77"/>
    <w:rsid w:val="001C7DD4"/>
    <w:rsid w:val="001D066F"/>
    <w:rsid w:val="001D230A"/>
    <w:rsid w:val="001D33CA"/>
    <w:rsid w:val="001D3731"/>
    <w:rsid w:val="001D392A"/>
    <w:rsid w:val="001D3B11"/>
    <w:rsid w:val="001D3F00"/>
    <w:rsid w:val="001D4710"/>
    <w:rsid w:val="001D4F08"/>
    <w:rsid w:val="001D5605"/>
    <w:rsid w:val="001D5B2F"/>
    <w:rsid w:val="001D5B51"/>
    <w:rsid w:val="001D66A7"/>
    <w:rsid w:val="001D6C05"/>
    <w:rsid w:val="001D7337"/>
    <w:rsid w:val="001D73A3"/>
    <w:rsid w:val="001D7AAE"/>
    <w:rsid w:val="001D7B61"/>
    <w:rsid w:val="001D7C12"/>
    <w:rsid w:val="001E0092"/>
    <w:rsid w:val="001E0B3B"/>
    <w:rsid w:val="001E190C"/>
    <w:rsid w:val="001E1995"/>
    <w:rsid w:val="001E2424"/>
    <w:rsid w:val="001E36B3"/>
    <w:rsid w:val="001E46B0"/>
    <w:rsid w:val="001E46F0"/>
    <w:rsid w:val="001E4D00"/>
    <w:rsid w:val="001E4F6A"/>
    <w:rsid w:val="001E5B12"/>
    <w:rsid w:val="001E60B7"/>
    <w:rsid w:val="001E6827"/>
    <w:rsid w:val="001E68A2"/>
    <w:rsid w:val="001E69B4"/>
    <w:rsid w:val="001E6A6F"/>
    <w:rsid w:val="001E71F9"/>
    <w:rsid w:val="001E7CA5"/>
    <w:rsid w:val="001E7CD2"/>
    <w:rsid w:val="001F004B"/>
    <w:rsid w:val="001F04A2"/>
    <w:rsid w:val="001F159E"/>
    <w:rsid w:val="001F286F"/>
    <w:rsid w:val="001F2987"/>
    <w:rsid w:val="001F2E7C"/>
    <w:rsid w:val="001F36D6"/>
    <w:rsid w:val="001F3724"/>
    <w:rsid w:val="001F4128"/>
    <w:rsid w:val="001F44B8"/>
    <w:rsid w:val="001F4AD1"/>
    <w:rsid w:val="001F4C82"/>
    <w:rsid w:val="001F4E94"/>
    <w:rsid w:val="001F55F0"/>
    <w:rsid w:val="001F56E6"/>
    <w:rsid w:val="001F56EE"/>
    <w:rsid w:val="001F5B40"/>
    <w:rsid w:val="001F5CA6"/>
    <w:rsid w:val="001F6E55"/>
    <w:rsid w:val="001F7355"/>
    <w:rsid w:val="00200711"/>
    <w:rsid w:val="00200DA2"/>
    <w:rsid w:val="00200E19"/>
    <w:rsid w:val="00201ECA"/>
    <w:rsid w:val="00202709"/>
    <w:rsid w:val="002035A7"/>
    <w:rsid w:val="002041B2"/>
    <w:rsid w:val="00204D52"/>
    <w:rsid w:val="002053AA"/>
    <w:rsid w:val="002073A6"/>
    <w:rsid w:val="0021004C"/>
    <w:rsid w:val="0021047B"/>
    <w:rsid w:val="0021206E"/>
    <w:rsid w:val="0021211C"/>
    <w:rsid w:val="00212239"/>
    <w:rsid w:val="00212A92"/>
    <w:rsid w:val="00213019"/>
    <w:rsid w:val="002143A2"/>
    <w:rsid w:val="00214DB2"/>
    <w:rsid w:val="002159ED"/>
    <w:rsid w:val="00215DD6"/>
    <w:rsid w:val="00215F5B"/>
    <w:rsid w:val="002170B5"/>
    <w:rsid w:val="00217B08"/>
    <w:rsid w:val="00220AAD"/>
    <w:rsid w:val="00220EE8"/>
    <w:rsid w:val="002213DA"/>
    <w:rsid w:val="002218E9"/>
    <w:rsid w:val="002243FC"/>
    <w:rsid w:val="00224C32"/>
    <w:rsid w:val="00224F3F"/>
    <w:rsid w:val="002255F0"/>
    <w:rsid w:val="00225691"/>
    <w:rsid w:val="00225AC2"/>
    <w:rsid w:val="002271B2"/>
    <w:rsid w:val="002271FF"/>
    <w:rsid w:val="00227CDF"/>
    <w:rsid w:val="00227EB9"/>
    <w:rsid w:val="00227FD6"/>
    <w:rsid w:val="00230234"/>
    <w:rsid w:val="002302BF"/>
    <w:rsid w:val="002316A6"/>
    <w:rsid w:val="00231E87"/>
    <w:rsid w:val="00232404"/>
    <w:rsid w:val="00232A76"/>
    <w:rsid w:val="00232C86"/>
    <w:rsid w:val="00233F35"/>
    <w:rsid w:val="00234EE8"/>
    <w:rsid w:val="0023525F"/>
    <w:rsid w:val="002354ED"/>
    <w:rsid w:val="00235800"/>
    <w:rsid w:val="00235E8E"/>
    <w:rsid w:val="002372E0"/>
    <w:rsid w:val="00237B61"/>
    <w:rsid w:val="00237E99"/>
    <w:rsid w:val="0024055B"/>
    <w:rsid w:val="00240A19"/>
    <w:rsid w:val="00240EC4"/>
    <w:rsid w:val="002410CE"/>
    <w:rsid w:val="00241178"/>
    <w:rsid w:val="002411CB"/>
    <w:rsid w:val="002419DB"/>
    <w:rsid w:val="002422CF"/>
    <w:rsid w:val="0024244C"/>
    <w:rsid w:val="00242BC8"/>
    <w:rsid w:val="002437AF"/>
    <w:rsid w:val="00243B20"/>
    <w:rsid w:val="00243BAF"/>
    <w:rsid w:val="002440E3"/>
    <w:rsid w:val="00244116"/>
    <w:rsid w:val="0024446C"/>
    <w:rsid w:val="00244C11"/>
    <w:rsid w:val="00245A71"/>
    <w:rsid w:val="00245B32"/>
    <w:rsid w:val="00245DA3"/>
    <w:rsid w:val="00245FB1"/>
    <w:rsid w:val="0024632D"/>
    <w:rsid w:val="00246C52"/>
    <w:rsid w:val="002479CC"/>
    <w:rsid w:val="00247DE7"/>
    <w:rsid w:val="00247EEE"/>
    <w:rsid w:val="002501CF"/>
    <w:rsid w:val="0025136F"/>
    <w:rsid w:val="00251C89"/>
    <w:rsid w:val="00251F76"/>
    <w:rsid w:val="002520C6"/>
    <w:rsid w:val="002526CB"/>
    <w:rsid w:val="002528B7"/>
    <w:rsid w:val="002546B6"/>
    <w:rsid w:val="002548C3"/>
    <w:rsid w:val="00254C79"/>
    <w:rsid w:val="002560F8"/>
    <w:rsid w:val="002571F3"/>
    <w:rsid w:val="00257329"/>
    <w:rsid w:val="00257358"/>
    <w:rsid w:val="002574E8"/>
    <w:rsid w:val="00260902"/>
    <w:rsid w:val="00260A74"/>
    <w:rsid w:val="00260E33"/>
    <w:rsid w:val="002612CD"/>
    <w:rsid w:val="0026189E"/>
    <w:rsid w:val="00261A74"/>
    <w:rsid w:val="00261A8E"/>
    <w:rsid w:val="00261FDC"/>
    <w:rsid w:val="002635AC"/>
    <w:rsid w:val="00263B8F"/>
    <w:rsid w:val="0026432B"/>
    <w:rsid w:val="002643B0"/>
    <w:rsid w:val="0026447D"/>
    <w:rsid w:val="00264E8F"/>
    <w:rsid w:val="00265133"/>
    <w:rsid w:val="002653CD"/>
    <w:rsid w:val="002654AE"/>
    <w:rsid w:val="0026559A"/>
    <w:rsid w:val="00265813"/>
    <w:rsid w:val="00265D5E"/>
    <w:rsid w:val="00265D7E"/>
    <w:rsid w:val="002661A7"/>
    <w:rsid w:val="00266E17"/>
    <w:rsid w:val="00267416"/>
    <w:rsid w:val="00267609"/>
    <w:rsid w:val="00267A67"/>
    <w:rsid w:val="002702D7"/>
    <w:rsid w:val="00270CA5"/>
    <w:rsid w:val="00270FBB"/>
    <w:rsid w:val="002715D7"/>
    <w:rsid w:val="002737E0"/>
    <w:rsid w:val="002744F1"/>
    <w:rsid w:val="00274553"/>
    <w:rsid w:val="00274756"/>
    <w:rsid w:val="002747BD"/>
    <w:rsid w:val="002747E1"/>
    <w:rsid w:val="00274E72"/>
    <w:rsid w:val="00275A08"/>
    <w:rsid w:val="00275DFD"/>
    <w:rsid w:val="00276408"/>
    <w:rsid w:val="00276F25"/>
    <w:rsid w:val="00277908"/>
    <w:rsid w:val="0028049A"/>
    <w:rsid w:val="002804DD"/>
    <w:rsid w:val="00280861"/>
    <w:rsid w:val="00281321"/>
    <w:rsid w:val="002817CC"/>
    <w:rsid w:val="00281F2E"/>
    <w:rsid w:val="00282AEC"/>
    <w:rsid w:val="00282E64"/>
    <w:rsid w:val="002831CE"/>
    <w:rsid w:val="002832D6"/>
    <w:rsid w:val="002841B9"/>
    <w:rsid w:val="00284635"/>
    <w:rsid w:val="0028475B"/>
    <w:rsid w:val="0028495E"/>
    <w:rsid w:val="00284A0B"/>
    <w:rsid w:val="00284A84"/>
    <w:rsid w:val="00284D47"/>
    <w:rsid w:val="00285375"/>
    <w:rsid w:val="002856B4"/>
    <w:rsid w:val="00286AD7"/>
    <w:rsid w:val="00287035"/>
    <w:rsid w:val="002906C5"/>
    <w:rsid w:val="00290FEE"/>
    <w:rsid w:val="0029120A"/>
    <w:rsid w:val="002918CC"/>
    <w:rsid w:val="00291923"/>
    <w:rsid w:val="00291DDB"/>
    <w:rsid w:val="00291ED5"/>
    <w:rsid w:val="002921F3"/>
    <w:rsid w:val="002922F5"/>
    <w:rsid w:val="0029294E"/>
    <w:rsid w:val="00292B4E"/>
    <w:rsid w:val="00292C3D"/>
    <w:rsid w:val="0029304E"/>
    <w:rsid w:val="00293170"/>
    <w:rsid w:val="00293EB3"/>
    <w:rsid w:val="0029422B"/>
    <w:rsid w:val="00294434"/>
    <w:rsid w:val="0029456D"/>
    <w:rsid w:val="002953B2"/>
    <w:rsid w:val="0029572C"/>
    <w:rsid w:val="00295AE3"/>
    <w:rsid w:val="00295EB6"/>
    <w:rsid w:val="00296C1E"/>
    <w:rsid w:val="00297251"/>
    <w:rsid w:val="00297A07"/>
    <w:rsid w:val="00297D68"/>
    <w:rsid w:val="002A03EE"/>
    <w:rsid w:val="002A0978"/>
    <w:rsid w:val="002A0DF7"/>
    <w:rsid w:val="002A105E"/>
    <w:rsid w:val="002A126F"/>
    <w:rsid w:val="002A1B90"/>
    <w:rsid w:val="002A2827"/>
    <w:rsid w:val="002A29B3"/>
    <w:rsid w:val="002A2E48"/>
    <w:rsid w:val="002A3DF2"/>
    <w:rsid w:val="002A3F1E"/>
    <w:rsid w:val="002A3FCE"/>
    <w:rsid w:val="002A40CB"/>
    <w:rsid w:val="002A56F2"/>
    <w:rsid w:val="002A7D91"/>
    <w:rsid w:val="002B0172"/>
    <w:rsid w:val="002B0BAA"/>
    <w:rsid w:val="002B1044"/>
    <w:rsid w:val="002B13A9"/>
    <w:rsid w:val="002B180E"/>
    <w:rsid w:val="002B1AE9"/>
    <w:rsid w:val="002B22DC"/>
    <w:rsid w:val="002B2A4E"/>
    <w:rsid w:val="002B33D9"/>
    <w:rsid w:val="002B4214"/>
    <w:rsid w:val="002B441C"/>
    <w:rsid w:val="002B4432"/>
    <w:rsid w:val="002B5AF3"/>
    <w:rsid w:val="002B5B20"/>
    <w:rsid w:val="002B61A9"/>
    <w:rsid w:val="002B6576"/>
    <w:rsid w:val="002B7C75"/>
    <w:rsid w:val="002C1924"/>
    <w:rsid w:val="002C1A04"/>
    <w:rsid w:val="002C233B"/>
    <w:rsid w:val="002C23AB"/>
    <w:rsid w:val="002C28E5"/>
    <w:rsid w:val="002C2E64"/>
    <w:rsid w:val="002C44F3"/>
    <w:rsid w:val="002C4EF3"/>
    <w:rsid w:val="002C5529"/>
    <w:rsid w:val="002C5593"/>
    <w:rsid w:val="002C57AF"/>
    <w:rsid w:val="002C5857"/>
    <w:rsid w:val="002C65EA"/>
    <w:rsid w:val="002C66CF"/>
    <w:rsid w:val="002C6AAC"/>
    <w:rsid w:val="002C7E36"/>
    <w:rsid w:val="002D0203"/>
    <w:rsid w:val="002D036A"/>
    <w:rsid w:val="002D0396"/>
    <w:rsid w:val="002D0498"/>
    <w:rsid w:val="002D06CC"/>
    <w:rsid w:val="002D087B"/>
    <w:rsid w:val="002D1424"/>
    <w:rsid w:val="002D1A44"/>
    <w:rsid w:val="002D2139"/>
    <w:rsid w:val="002D2DAD"/>
    <w:rsid w:val="002D37CD"/>
    <w:rsid w:val="002D43E3"/>
    <w:rsid w:val="002D4C4E"/>
    <w:rsid w:val="002D4E54"/>
    <w:rsid w:val="002D52D1"/>
    <w:rsid w:val="002D5A98"/>
    <w:rsid w:val="002D7143"/>
    <w:rsid w:val="002D72D5"/>
    <w:rsid w:val="002D749C"/>
    <w:rsid w:val="002D7A13"/>
    <w:rsid w:val="002D7A41"/>
    <w:rsid w:val="002D7F06"/>
    <w:rsid w:val="002E01E6"/>
    <w:rsid w:val="002E0C35"/>
    <w:rsid w:val="002E0C6A"/>
    <w:rsid w:val="002E10D1"/>
    <w:rsid w:val="002E1861"/>
    <w:rsid w:val="002E1B03"/>
    <w:rsid w:val="002E254F"/>
    <w:rsid w:val="002E27DD"/>
    <w:rsid w:val="002E3EDE"/>
    <w:rsid w:val="002E3F79"/>
    <w:rsid w:val="002F0349"/>
    <w:rsid w:val="002F03A2"/>
    <w:rsid w:val="002F0AD5"/>
    <w:rsid w:val="002F1224"/>
    <w:rsid w:val="002F2396"/>
    <w:rsid w:val="002F277F"/>
    <w:rsid w:val="002F291D"/>
    <w:rsid w:val="002F3C1B"/>
    <w:rsid w:val="002F4119"/>
    <w:rsid w:val="002F5142"/>
    <w:rsid w:val="002F5370"/>
    <w:rsid w:val="002F5D56"/>
    <w:rsid w:val="002F632C"/>
    <w:rsid w:val="002F6415"/>
    <w:rsid w:val="002F7612"/>
    <w:rsid w:val="002F76B5"/>
    <w:rsid w:val="002F78A6"/>
    <w:rsid w:val="002F7BD6"/>
    <w:rsid w:val="0030037A"/>
    <w:rsid w:val="00301C93"/>
    <w:rsid w:val="00302496"/>
    <w:rsid w:val="00302CD0"/>
    <w:rsid w:val="00304636"/>
    <w:rsid w:val="00306751"/>
    <w:rsid w:val="00306A42"/>
    <w:rsid w:val="00306CD6"/>
    <w:rsid w:val="00306EA5"/>
    <w:rsid w:val="00307123"/>
    <w:rsid w:val="003075E8"/>
    <w:rsid w:val="00307883"/>
    <w:rsid w:val="00307A1E"/>
    <w:rsid w:val="00307E16"/>
    <w:rsid w:val="00307F9E"/>
    <w:rsid w:val="003107A0"/>
    <w:rsid w:val="00310DEF"/>
    <w:rsid w:val="0031135B"/>
    <w:rsid w:val="00312A11"/>
    <w:rsid w:val="0031314D"/>
    <w:rsid w:val="003132F3"/>
    <w:rsid w:val="00313783"/>
    <w:rsid w:val="003153D8"/>
    <w:rsid w:val="003156CC"/>
    <w:rsid w:val="00315D40"/>
    <w:rsid w:val="00315EB2"/>
    <w:rsid w:val="00315FE5"/>
    <w:rsid w:val="0031600C"/>
    <w:rsid w:val="00316179"/>
    <w:rsid w:val="00316CC5"/>
    <w:rsid w:val="0031714F"/>
    <w:rsid w:val="003176D2"/>
    <w:rsid w:val="00317A3C"/>
    <w:rsid w:val="003200EF"/>
    <w:rsid w:val="003207F4"/>
    <w:rsid w:val="00320B6B"/>
    <w:rsid w:val="00320D6D"/>
    <w:rsid w:val="0032111C"/>
    <w:rsid w:val="00321AA4"/>
    <w:rsid w:val="00321C23"/>
    <w:rsid w:val="003223D1"/>
    <w:rsid w:val="00323549"/>
    <w:rsid w:val="00324455"/>
    <w:rsid w:val="00324638"/>
    <w:rsid w:val="003246CB"/>
    <w:rsid w:val="00324948"/>
    <w:rsid w:val="00324CA9"/>
    <w:rsid w:val="00325162"/>
    <w:rsid w:val="00325BF0"/>
    <w:rsid w:val="00325FDB"/>
    <w:rsid w:val="0032674A"/>
    <w:rsid w:val="00326EB5"/>
    <w:rsid w:val="00326F43"/>
    <w:rsid w:val="003273DF"/>
    <w:rsid w:val="00327EAB"/>
    <w:rsid w:val="00330EB5"/>
    <w:rsid w:val="00331EB4"/>
    <w:rsid w:val="003323A8"/>
    <w:rsid w:val="00332671"/>
    <w:rsid w:val="003326B6"/>
    <w:rsid w:val="00333415"/>
    <w:rsid w:val="00333BF3"/>
    <w:rsid w:val="003343F1"/>
    <w:rsid w:val="003344B3"/>
    <w:rsid w:val="00334B0C"/>
    <w:rsid w:val="00334ED1"/>
    <w:rsid w:val="0033553F"/>
    <w:rsid w:val="00335853"/>
    <w:rsid w:val="00335E1D"/>
    <w:rsid w:val="00335EDB"/>
    <w:rsid w:val="00336526"/>
    <w:rsid w:val="003366FC"/>
    <w:rsid w:val="00336DFA"/>
    <w:rsid w:val="00337610"/>
    <w:rsid w:val="00340B0C"/>
    <w:rsid w:val="00340CB1"/>
    <w:rsid w:val="003412BC"/>
    <w:rsid w:val="003412E7"/>
    <w:rsid w:val="00341651"/>
    <w:rsid w:val="0034175E"/>
    <w:rsid w:val="00341A0A"/>
    <w:rsid w:val="0034239F"/>
    <w:rsid w:val="0034312A"/>
    <w:rsid w:val="0034330C"/>
    <w:rsid w:val="00344476"/>
    <w:rsid w:val="00344597"/>
    <w:rsid w:val="0034640E"/>
    <w:rsid w:val="00346F55"/>
    <w:rsid w:val="00347819"/>
    <w:rsid w:val="00347AB0"/>
    <w:rsid w:val="0035084F"/>
    <w:rsid w:val="00351582"/>
    <w:rsid w:val="00351E43"/>
    <w:rsid w:val="00352597"/>
    <w:rsid w:val="00352D2A"/>
    <w:rsid w:val="003535F1"/>
    <w:rsid w:val="00353F7D"/>
    <w:rsid w:val="003541EE"/>
    <w:rsid w:val="00354358"/>
    <w:rsid w:val="00354424"/>
    <w:rsid w:val="00354627"/>
    <w:rsid w:val="003550D3"/>
    <w:rsid w:val="003558D4"/>
    <w:rsid w:val="00356FD9"/>
    <w:rsid w:val="0035764C"/>
    <w:rsid w:val="0035793D"/>
    <w:rsid w:val="00357A2B"/>
    <w:rsid w:val="00360153"/>
    <w:rsid w:val="00360CCF"/>
    <w:rsid w:val="00360CED"/>
    <w:rsid w:val="003610EE"/>
    <w:rsid w:val="003613F6"/>
    <w:rsid w:val="003616B2"/>
    <w:rsid w:val="003617C9"/>
    <w:rsid w:val="00362FF3"/>
    <w:rsid w:val="00363F41"/>
    <w:rsid w:val="00364026"/>
    <w:rsid w:val="0036466B"/>
    <w:rsid w:val="00364C46"/>
    <w:rsid w:val="00365143"/>
    <w:rsid w:val="003654EF"/>
    <w:rsid w:val="00366D36"/>
    <w:rsid w:val="0036732B"/>
    <w:rsid w:val="00367964"/>
    <w:rsid w:val="0037014A"/>
    <w:rsid w:val="003707F1"/>
    <w:rsid w:val="00370BEA"/>
    <w:rsid w:val="00372040"/>
    <w:rsid w:val="0037282C"/>
    <w:rsid w:val="0037286A"/>
    <w:rsid w:val="00373087"/>
    <w:rsid w:val="0037314A"/>
    <w:rsid w:val="003733DA"/>
    <w:rsid w:val="00373CD9"/>
    <w:rsid w:val="00373F89"/>
    <w:rsid w:val="0037675F"/>
    <w:rsid w:val="003767E7"/>
    <w:rsid w:val="0037685A"/>
    <w:rsid w:val="00376B80"/>
    <w:rsid w:val="00377A4C"/>
    <w:rsid w:val="00380913"/>
    <w:rsid w:val="00380EC6"/>
    <w:rsid w:val="003811EC"/>
    <w:rsid w:val="0038184E"/>
    <w:rsid w:val="00381A44"/>
    <w:rsid w:val="00381E61"/>
    <w:rsid w:val="003823EA"/>
    <w:rsid w:val="0038255B"/>
    <w:rsid w:val="00382A6D"/>
    <w:rsid w:val="003832C0"/>
    <w:rsid w:val="003832E5"/>
    <w:rsid w:val="00384036"/>
    <w:rsid w:val="003840FA"/>
    <w:rsid w:val="00384417"/>
    <w:rsid w:val="003849DC"/>
    <w:rsid w:val="00384CEB"/>
    <w:rsid w:val="00384FB9"/>
    <w:rsid w:val="00385134"/>
    <w:rsid w:val="0038516A"/>
    <w:rsid w:val="00385681"/>
    <w:rsid w:val="003863F4"/>
    <w:rsid w:val="00386895"/>
    <w:rsid w:val="003870C2"/>
    <w:rsid w:val="00387D47"/>
    <w:rsid w:val="0039026B"/>
    <w:rsid w:val="00390851"/>
    <w:rsid w:val="003914C6"/>
    <w:rsid w:val="00391EB0"/>
    <w:rsid w:val="003922D4"/>
    <w:rsid w:val="00393C43"/>
    <w:rsid w:val="003943D8"/>
    <w:rsid w:val="0039443C"/>
    <w:rsid w:val="0039467C"/>
    <w:rsid w:val="00394955"/>
    <w:rsid w:val="00395A17"/>
    <w:rsid w:val="00395C82"/>
    <w:rsid w:val="00395F92"/>
    <w:rsid w:val="00396D2E"/>
    <w:rsid w:val="003973B0"/>
    <w:rsid w:val="003A092A"/>
    <w:rsid w:val="003A10F5"/>
    <w:rsid w:val="003A1708"/>
    <w:rsid w:val="003A1FD8"/>
    <w:rsid w:val="003A33F6"/>
    <w:rsid w:val="003A45B2"/>
    <w:rsid w:val="003A6F9E"/>
    <w:rsid w:val="003A7391"/>
    <w:rsid w:val="003A774B"/>
    <w:rsid w:val="003B041B"/>
    <w:rsid w:val="003B113E"/>
    <w:rsid w:val="003B115C"/>
    <w:rsid w:val="003B178C"/>
    <w:rsid w:val="003B1FDB"/>
    <w:rsid w:val="003B2631"/>
    <w:rsid w:val="003B2B34"/>
    <w:rsid w:val="003B2F5D"/>
    <w:rsid w:val="003B3AF4"/>
    <w:rsid w:val="003B3CBF"/>
    <w:rsid w:val="003B4607"/>
    <w:rsid w:val="003B561A"/>
    <w:rsid w:val="003B5704"/>
    <w:rsid w:val="003B5729"/>
    <w:rsid w:val="003B5AB5"/>
    <w:rsid w:val="003B5BEC"/>
    <w:rsid w:val="003B6D2A"/>
    <w:rsid w:val="003B798B"/>
    <w:rsid w:val="003C353E"/>
    <w:rsid w:val="003C35B6"/>
    <w:rsid w:val="003C42E2"/>
    <w:rsid w:val="003C443B"/>
    <w:rsid w:val="003C463E"/>
    <w:rsid w:val="003C4DE7"/>
    <w:rsid w:val="003C5C7B"/>
    <w:rsid w:val="003C606E"/>
    <w:rsid w:val="003C74B0"/>
    <w:rsid w:val="003D1E1F"/>
    <w:rsid w:val="003D1E9E"/>
    <w:rsid w:val="003D1F06"/>
    <w:rsid w:val="003D2008"/>
    <w:rsid w:val="003D23EF"/>
    <w:rsid w:val="003D2835"/>
    <w:rsid w:val="003D2857"/>
    <w:rsid w:val="003D3016"/>
    <w:rsid w:val="003D3298"/>
    <w:rsid w:val="003D338E"/>
    <w:rsid w:val="003D3550"/>
    <w:rsid w:val="003D3602"/>
    <w:rsid w:val="003D4ED8"/>
    <w:rsid w:val="003D59AF"/>
    <w:rsid w:val="003D6A98"/>
    <w:rsid w:val="003D6FE2"/>
    <w:rsid w:val="003D77B6"/>
    <w:rsid w:val="003D7EBB"/>
    <w:rsid w:val="003E01B7"/>
    <w:rsid w:val="003E01E3"/>
    <w:rsid w:val="003E066A"/>
    <w:rsid w:val="003E070E"/>
    <w:rsid w:val="003E14AC"/>
    <w:rsid w:val="003E15D6"/>
    <w:rsid w:val="003E16A9"/>
    <w:rsid w:val="003E24A1"/>
    <w:rsid w:val="003E2776"/>
    <w:rsid w:val="003E34FD"/>
    <w:rsid w:val="003E3982"/>
    <w:rsid w:val="003E3AAE"/>
    <w:rsid w:val="003E437B"/>
    <w:rsid w:val="003E4A17"/>
    <w:rsid w:val="003E5225"/>
    <w:rsid w:val="003E54DA"/>
    <w:rsid w:val="003E671F"/>
    <w:rsid w:val="003E698C"/>
    <w:rsid w:val="003E729E"/>
    <w:rsid w:val="003E73D0"/>
    <w:rsid w:val="003E7CFD"/>
    <w:rsid w:val="003E7E2B"/>
    <w:rsid w:val="003E7F58"/>
    <w:rsid w:val="003F0D9F"/>
    <w:rsid w:val="003F0EA6"/>
    <w:rsid w:val="003F100C"/>
    <w:rsid w:val="003F1040"/>
    <w:rsid w:val="003F1297"/>
    <w:rsid w:val="003F2BD2"/>
    <w:rsid w:val="003F358D"/>
    <w:rsid w:val="003F3876"/>
    <w:rsid w:val="003F39B6"/>
    <w:rsid w:val="003F3E30"/>
    <w:rsid w:val="003F458B"/>
    <w:rsid w:val="003F5982"/>
    <w:rsid w:val="003F643D"/>
    <w:rsid w:val="003F66AF"/>
    <w:rsid w:val="003F6BF0"/>
    <w:rsid w:val="003F7123"/>
    <w:rsid w:val="003F7372"/>
    <w:rsid w:val="003F7D24"/>
    <w:rsid w:val="00400124"/>
    <w:rsid w:val="004001F4"/>
    <w:rsid w:val="00400F2D"/>
    <w:rsid w:val="00401218"/>
    <w:rsid w:val="00401413"/>
    <w:rsid w:val="004014E7"/>
    <w:rsid w:val="00401887"/>
    <w:rsid w:val="0040279A"/>
    <w:rsid w:val="00402BDA"/>
    <w:rsid w:val="00402E9B"/>
    <w:rsid w:val="00402FD5"/>
    <w:rsid w:val="004032AA"/>
    <w:rsid w:val="004033C2"/>
    <w:rsid w:val="00403454"/>
    <w:rsid w:val="00403D52"/>
    <w:rsid w:val="00403FF5"/>
    <w:rsid w:val="004040FF"/>
    <w:rsid w:val="00404ABE"/>
    <w:rsid w:val="0040561A"/>
    <w:rsid w:val="004066BA"/>
    <w:rsid w:val="00406FF1"/>
    <w:rsid w:val="004075EB"/>
    <w:rsid w:val="004125F6"/>
    <w:rsid w:val="00412B59"/>
    <w:rsid w:val="00413971"/>
    <w:rsid w:val="00414AFB"/>
    <w:rsid w:val="00415694"/>
    <w:rsid w:val="00415914"/>
    <w:rsid w:val="004165F7"/>
    <w:rsid w:val="004168C9"/>
    <w:rsid w:val="004172BE"/>
    <w:rsid w:val="00417303"/>
    <w:rsid w:val="00417519"/>
    <w:rsid w:val="00417BE0"/>
    <w:rsid w:val="00421842"/>
    <w:rsid w:val="004218CF"/>
    <w:rsid w:val="00421E10"/>
    <w:rsid w:val="00423E07"/>
    <w:rsid w:val="00423E48"/>
    <w:rsid w:val="00424077"/>
    <w:rsid w:val="00424127"/>
    <w:rsid w:val="00424290"/>
    <w:rsid w:val="004242A1"/>
    <w:rsid w:val="004253D0"/>
    <w:rsid w:val="00425AFF"/>
    <w:rsid w:val="004264C4"/>
    <w:rsid w:val="00426CE3"/>
    <w:rsid w:val="00426E78"/>
    <w:rsid w:val="00430DC3"/>
    <w:rsid w:val="00431BCE"/>
    <w:rsid w:val="00432661"/>
    <w:rsid w:val="00432B4A"/>
    <w:rsid w:val="00432C8E"/>
    <w:rsid w:val="0043332D"/>
    <w:rsid w:val="00433BF7"/>
    <w:rsid w:val="00433D74"/>
    <w:rsid w:val="004344ED"/>
    <w:rsid w:val="00434889"/>
    <w:rsid w:val="00434E5A"/>
    <w:rsid w:val="00435181"/>
    <w:rsid w:val="00435474"/>
    <w:rsid w:val="00435D82"/>
    <w:rsid w:val="00435F9B"/>
    <w:rsid w:val="0043624A"/>
    <w:rsid w:val="004363FC"/>
    <w:rsid w:val="00436421"/>
    <w:rsid w:val="00436B4B"/>
    <w:rsid w:val="00436F94"/>
    <w:rsid w:val="0043716D"/>
    <w:rsid w:val="00437194"/>
    <w:rsid w:val="004373B4"/>
    <w:rsid w:val="00437FF2"/>
    <w:rsid w:val="004429BC"/>
    <w:rsid w:val="00442D45"/>
    <w:rsid w:val="004436E1"/>
    <w:rsid w:val="0044416B"/>
    <w:rsid w:val="00444522"/>
    <w:rsid w:val="00444FAE"/>
    <w:rsid w:val="00445105"/>
    <w:rsid w:val="00445449"/>
    <w:rsid w:val="00445AE0"/>
    <w:rsid w:val="00445E19"/>
    <w:rsid w:val="00447739"/>
    <w:rsid w:val="00447A3A"/>
    <w:rsid w:val="004502B6"/>
    <w:rsid w:val="00450C7D"/>
    <w:rsid w:val="00450E81"/>
    <w:rsid w:val="004513A1"/>
    <w:rsid w:val="004515B1"/>
    <w:rsid w:val="00451925"/>
    <w:rsid w:val="00451F65"/>
    <w:rsid w:val="004523D3"/>
    <w:rsid w:val="00452890"/>
    <w:rsid w:val="00452E31"/>
    <w:rsid w:val="00453577"/>
    <w:rsid w:val="004540BB"/>
    <w:rsid w:val="004541BC"/>
    <w:rsid w:val="00454B8B"/>
    <w:rsid w:val="00455AAD"/>
    <w:rsid w:val="00456B41"/>
    <w:rsid w:val="00456C6A"/>
    <w:rsid w:val="004572AB"/>
    <w:rsid w:val="004572D9"/>
    <w:rsid w:val="00457B42"/>
    <w:rsid w:val="0046096B"/>
    <w:rsid w:val="004609A0"/>
    <w:rsid w:val="00460E46"/>
    <w:rsid w:val="00461998"/>
    <w:rsid w:val="00461B7C"/>
    <w:rsid w:val="00461B80"/>
    <w:rsid w:val="00462F0E"/>
    <w:rsid w:val="00463247"/>
    <w:rsid w:val="00464ACE"/>
    <w:rsid w:val="0046516D"/>
    <w:rsid w:val="00465D84"/>
    <w:rsid w:val="00467A17"/>
    <w:rsid w:val="00467AB0"/>
    <w:rsid w:val="00467B2A"/>
    <w:rsid w:val="00470825"/>
    <w:rsid w:val="0047092A"/>
    <w:rsid w:val="00471A41"/>
    <w:rsid w:val="00472632"/>
    <w:rsid w:val="00473AA3"/>
    <w:rsid w:val="004746F9"/>
    <w:rsid w:val="00474B9B"/>
    <w:rsid w:val="00475496"/>
    <w:rsid w:val="00475A90"/>
    <w:rsid w:val="00475D28"/>
    <w:rsid w:val="00476205"/>
    <w:rsid w:val="00476320"/>
    <w:rsid w:val="004767AF"/>
    <w:rsid w:val="00476AD0"/>
    <w:rsid w:val="0047791A"/>
    <w:rsid w:val="00477C11"/>
    <w:rsid w:val="00480328"/>
    <w:rsid w:val="0048182B"/>
    <w:rsid w:val="0048329A"/>
    <w:rsid w:val="00483986"/>
    <w:rsid w:val="00483BB6"/>
    <w:rsid w:val="00483CEC"/>
    <w:rsid w:val="004855DF"/>
    <w:rsid w:val="0048561A"/>
    <w:rsid w:val="004856FD"/>
    <w:rsid w:val="00486F6E"/>
    <w:rsid w:val="00487201"/>
    <w:rsid w:val="0048765D"/>
    <w:rsid w:val="00487889"/>
    <w:rsid w:val="00487CE8"/>
    <w:rsid w:val="004900C2"/>
    <w:rsid w:val="00490E93"/>
    <w:rsid w:val="00490F4C"/>
    <w:rsid w:val="0049122F"/>
    <w:rsid w:val="0049178B"/>
    <w:rsid w:val="00491C9F"/>
    <w:rsid w:val="00491CF8"/>
    <w:rsid w:val="00491ED6"/>
    <w:rsid w:val="00491F0B"/>
    <w:rsid w:val="00492B83"/>
    <w:rsid w:val="004938B7"/>
    <w:rsid w:val="0049394D"/>
    <w:rsid w:val="004939F6"/>
    <w:rsid w:val="00493EF2"/>
    <w:rsid w:val="00494435"/>
    <w:rsid w:val="00494DE0"/>
    <w:rsid w:val="00495308"/>
    <w:rsid w:val="00495663"/>
    <w:rsid w:val="00495787"/>
    <w:rsid w:val="00495F25"/>
    <w:rsid w:val="0049648E"/>
    <w:rsid w:val="00496EDB"/>
    <w:rsid w:val="004971C0"/>
    <w:rsid w:val="004975DB"/>
    <w:rsid w:val="0049775D"/>
    <w:rsid w:val="00497D49"/>
    <w:rsid w:val="00497F2D"/>
    <w:rsid w:val="004A025E"/>
    <w:rsid w:val="004A1770"/>
    <w:rsid w:val="004A1EAE"/>
    <w:rsid w:val="004A2AFB"/>
    <w:rsid w:val="004A45F3"/>
    <w:rsid w:val="004A468C"/>
    <w:rsid w:val="004A46DC"/>
    <w:rsid w:val="004A497A"/>
    <w:rsid w:val="004A4F70"/>
    <w:rsid w:val="004A4FBA"/>
    <w:rsid w:val="004A55D4"/>
    <w:rsid w:val="004A5DD3"/>
    <w:rsid w:val="004A6075"/>
    <w:rsid w:val="004A664D"/>
    <w:rsid w:val="004A6976"/>
    <w:rsid w:val="004A6AB5"/>
    <w:rsid w:val="004A73D7"/>
    <w:rsid w:val="004B0019"/>
    <w:rsid w:val="004B2830"/>
    <w:rsid w:val="004B2853"/>
    <w:rsid w:val="004B3048"/>
    <w:rsid w:val="004B3337"/>
    <w:rsid w:val="004B3833"/>
    <w:rsid w:val="004B40D9"/>
    <w:rsid w:val="004B4884"/>
    <w:rsid w:val="004B4EEA"/>
    <w:rsid w:val="004B51D9"/>
    <w:rsid w:val="004B52AF"/>
    <w:rsid w:val="004B5432"/>
    <w:rsid w:val="004B5C48"/>
    <w:rsid w:val="004B5DAC"/>
    <w:rsid w:val="004B6340"/>
    <w:rsid w:val="004B635A"/>
    <w:rsid w:val="004B6804"/>
    <w:rsid w:val="004B69FD"/>
    <w:rsid w:val="004B6A84"/>
    <w:rsid w:val="004B6ADD"/>
    <w:rsid w:val="004B6C99"/>
    <w:rsid w:val="004B6DBA"/>
    <w:rsid w:val="004B7769"/>
    <w:rsid w:val="004B7AB3"/>
    <w:rsid w:val="004B7CDD"/>
    <w:rsid w:val="004C12BB"/>
    <w:rsid w:val="004C18B1"/>
    <w:rsid w:val="004C2FDD"/>
    <w:rsid w:val="004C333C"/>
    <w:rsid w:val="004C34A5"/>
    <w:rsid w:val="004C4353"/>
    <w:rsid w:val="004C4EE8"/>
    <w:rsid w:val="004C758A"/>
    <w:rsid w:val="004D01F2"/>
    <w:rsid w:val="004D0424"/>
    <w:rsid w:val="004D11F7"/>
    <w:rsid w:val="004D209E"/>
    <w:rsid w:val="004D231C"/>
    <w:rsid w:val="004D23AD"/>
    <w:rsid w:val="004D23FF"/>
    <w:rsid w:val="004D24B2"/>
    <w:rsid w:val="004D2B92"/>
    <w:rsid w:val="004D314E"/>
    <w:rsid w:val="004D3F1C"/>
    <w:rsid w:val="004D4A14"/>
    <w:rsid w:val="004D4B8F"/>
    <w:rsid w:val="004D4CC1"/>
    <w:rsid w:val="004D69CE"/>
    <w:rsid w:val="004D6A4F"/>
    <w:rsid w:val="004D7510"/>
    <w:rsid w:val="004D75AD"/>
    <w:rsid w:val="004D7727"/>
    <w:rsid w:val="004E250D"/>
    <w:rsid w:val="004E25F8"/>
    <w:rsid w:val="004E2B91"/>
    <w:rsid w:val="004E342C"/>
    <w:rsid w:val="004E36A7"/>
    <w:rsid w:val="004E4C77"/>
    <w:rsid w:val="004E51DE"/>
    <w:rsid w:val="004E5216"/>
    <w:rsid w:val="004E5304"/>
    <w:rsid w:val="004E5EF0"/>
    <w:rsid w:val="004E6024"/>
    <w:rsid w:val="004E679F"/>
    <w:rsid w:val="004E6A6E"/>
    <w:rsid w:val="004E7043"/>
    <w:rsid w:val="004E79D1"/>
    <w:rsid w:val="004F0650"/>
    <w:rsid w:val="004F0861"/>
    <w:rsid w:val="004F20EF"/>
    <w:rsid w:val="004F2296"/>
    <w:rsid w:val="004F2513"/>
    <w:rsid w:val="004F2DB9"/>
    <w:rsid w:val="004F36EF"/>
    <w:rsid w:val="004F44DC"/>
    <w:rsid w:val="004F505C"/>
    <w:rsid w:val="004F54C6"/>
    <w:rsid w:val="004F54DA"/>
    <w:rsid w:val="004F5778"/>
    <w:rsid w:val="004F6571"/>
    <w:rsid w:val="004F7597"/>
    <w:rsid w:val="004F7750"/>
    <w:rsid w:val="004F77A7"/>
    <w:rsid w:val="0050004A"/>
    <w:rsid w:val="005000C6"/>
    <w:rsid w:val="00502680"/>
    <w:rsid w:val="005032CE"/>
    <w:rsid w:val="00503322"/>
    <w:rsid w:val="00503407"/>
    <w:rsid w:val="00503B63"/>
    <w:rsid w:val="00503C6D"/>
    <w:rsid w:val="005043C0"/>
    <w:rsid w:val="005046D0"/>
    <w:rsid w:val="005058DA"/>
    <w:rsid w:val="00505B7C"/>
    <w:rsid w:val="00506603"/>
    <w:rsid w:val="00511971"/>
    <w:rsid w:val="005127BB"/>
    <w:rsid w:val="0051342E"/>
    <w:rsid w:val="00513E72"/>
    <w:rsid w:val="00513F7E"/>
    <w:rsid w:val="00514098"/>
    <w:rsid w:val="00514480"/>
    <w:rsid w:val="00514D03"/>
    <w:rsid w:val="0051545B"/>
    <w:rsid w:val="005159A1"/>
    <w:rsid w:val="00515AC9"/>
    <w:rsid w:val="00515DCC"/>
    <w:rsid w:val="00516AE1"/>
    <w:rsid w:val="00517001"/>
    <w:rsid w:val="00517368"/>
    <w:rsid w:val="00517381"/>
    <w:rsid w:val="00517BE1"/>
    <w:rsid w:val="00517CE2"/>
    <w:rsid w:val="00520211"/>
    <w:rsid w:val="005206B7"/>
    <w:rsid w:val="00520AFB"/>
    <w:rsid w:val="0052130F"/>
    <w:rsid w:val="005216EA"/>
    <w:rsid w:val="00522263"/>
    <w:rsid w:val="005222EB"/>
    <w:rsid w:val="005225A1"/>
    <w:rsid w:val="00522A79"/>
    <w:rsid w:val="00522DE6"/>
    <w:rsid w:val="005230FC"/>
    <w:rsid w:val="00523268"/>
    <w:rsid w:val="00523B83"/>
    <w:rsid w:val="00523D20"/>
    <w:rsid w:val="00524933"/>
    <w:rsid w:val="00524DD8"/>
    <w:rsid w:val="005255E0"/>
    <w:rsid w:val="00525EB9"/>
    <w:rsid w:val="00526750"/>
    <w:rsid w:val="00526B47"/>
    <w:rsid w:val="00527264"/>
    <w:rsid w:val="005276DA"/>
    <w:rsid w:val="0053107A"/>
    <w:rsid w:val="0053219C"/>
    <w:rsid w:val="00532309"/>
    <w:rsid w:val="00533028"/>
    <w:rsid w:val="005338C3"/>
    <w:rsid w:val="00534959"/>
    <w:rsid w:val="0053503F"/>
    <w:rsid w:val="00535867"/>
    <w:rsid w:val="00536D2D"/>
    <w:rsid w:val="00536E08"/>
    <w:rsid w:val="00536E1E"/>
    <w:rsid w:val="00536F80"/>
    <w:rsid w:val="00536FCB"/>
    <w:rsid w:val="00540079"/>
    <w:rsid w:val="00540871"/>
    <w:rsid w:val="00541146"/>
    <w:rsid w:val="005411D8"/>
    <w:rsid w:val="00541E5F"/>
    <w:rsid w:val="00542971"/>
    <w:rsid w:val="00542C71"/>
    <w:rsid w:val="00542FB7"/>
    <w:rsid w:val="005435A3"/>
    <w:rsid w:val="00543783"/>
    <w:rsid w:val="00543D74"/>
    <w:rsid w:val="00543FA2"/>
    <w:rsid w:val="005445FF"/>
    <w:rsid w:val="00545923"/>
    <w:rsid w:val="00546008"/>
    <w:rsid w:val="0054691F"/>
    <w:rsid w:val="00547824"/>
    <w:rsid w:val="00547870"/>
    <w:rsid w:val="005478E3"/>
    <w:rsid w:val="00547B01"/>
    <w:rsid w:val="00547D17"/>
    <w:rsid w:val="00547E92"/>
    <w:rsid w:val="00550243"/>
    <w:rsid w:val="005504EA"/>
    <w:rsid w:val="00550769"/>
    <w:rsid w:val="00550B26"/>
    <w:rsid w:val="005511A8"/>
    <w:rsid w:val="005517AE"/>
    <w:rsid w:val="005519EC"/>
    <w:rsid w:val="00551C15"/>
    <w:rsid w:val="0055220F"/>
    <w:rsid w:val="0055296E"/>
    <w:rsid w:val="00553049"/>
    <w:rsid w:val="005532A9"/>
    <w:rsid w:val="0055348A"/>
    <w:rsid w:val="005539D7"/>
    <w:rsid w:val="005553E6"/>
    <w:rsid w:val="00555495"/>
    <w:rsid w:val="00555820"/>
    <w:rsid w:val="005562DA"/>
    <w:rsid w:val="00556447"/>
    <w:rsid w:val="00556B0C"/>
    <w:rsid w:val="005603BB"/>
    <w:rsid w:val="005605CF"/>
    <w:rsid w:val="005607B8"/>
    <w:rsid w:val="0056150C"/>
    <w:rsid w:val="0056163A"/>
    <w:rsid w:val="00561880"/>
    <w:rsid w:val="005620D9"/>
    <w:rsid w:val="005621C9"/>
    <w:rsid w:val="005629BC"/>
    <w:rsid w:val="00563411"/>
    <w:rsid w:val="00563643"/>
    <w:rsid w:val="00563927"/>
    <w:rsid w:val="005643B9"/>
    <w:rsid w:val="0056465F"/>
    <w:rsid w:val="0056557F"/>
    <w:rsid w:val="00566241"/>
    <w:rsid w:val="005669CB"/>
    <w:rsid w:val="0056704D"/>
    <w:rsid w:val="00570E13"/>
    <w:rsid w:val="005715EA"/>
    <w:rsid w:val="00571606"/>
    <w:rsid w:val="005720EF"/>
    <w:rsid w:val="0057228E"/>
    <w:rsid w:val="0057331B"/>
    <w:rsid w:val="005733C2"/>
    <w:rsid w:val="005734EB"/>
    <w:rsid w:val="00573DF8"/>
    <w:rsid w:val="005745DF"/>
    <w:rsid w:val="00574C0F"/>
    <w:rsid w:val="00574FD5"/>
    <w:rsid w:val="005752D1"/>
    <w:rsid w:val="00575B6F"/>
    <w:rsid w:val="005764A0"/>
    <w:rsid w:val="005769CE"/>
    <w:rsid w:val="005773FA"/>
    <w:rsid w:val="00577515"/>
    <w:rsid w:val="00577E6B"/>
    <w:rsid w:val="00577E8F"/>
    <w:rsid w:val="0058035F"/>
    <w:rsid w:val="00580D26"/>
    <w:rsid w:val="00580FCA"/>
    <w:rsid w:val="00581A9B"/>
    <w:rsid w:val="00581D4D"/>
    <w:rsid w:val="00581FA8"/>
    <w:rsid w:val="005820D7"/>
    <w:rsid w:val="005827F6"/>
    <w:rsid w:val="00583AEC"/>
    <w:rsid w:val="00583B6D"/>
    <w:rsid w:val="00583E21"/>
    <w:rsid w:val="005841A0"/>
    <w:rsid w:val="0058424D"/>
    <w:rsid w:val="005845D5"/>
    <w:rsid w:val="00585A80"/>
    <w:rsid w:val="0058601B"/>
    <w:rsid w:val="00586844"/>
    <w:rsid w:val="005873C4"/>
    <w:rsid w:val="005877C4"/>
    <w:rsid w:val="00587EFA"/>
    <w:rsid w:val="00590442"/>
    <w:rsid w:val="0059129E"/>
    <w:rsid w:val="005912FC"/>
    <w:rsid w:val="00591A5F"/>
    <w:rsid w:val="00591B81"/>
    <w:rsid w:val="0059213B"/>
    <w:rsid w:val="005921C1"/>
    <w:rsid w:val="005924F5"/>
    <w:rsid w:val="0059279F"/>
    <w:rsid w:val="00592B05"/>
    <w:rsid w:val="00593465"/>
    <w:rsid w:val="0059348C"/>
    <w:rsid w:val="00593538"/>
    <w:rsid w:val="005952BB"/>
    <w:rsid w:val="005957AE"/>
    <w:rsid w:val="00595B07"/>
    <w:rsid w:val="00596394"/>
    <w:rsid w:val="00596A88"/>
    <w:rsid w:val="00597086"/>
    <w:rsid w:val="00597BAD"/>
    <w:rsid w:val="005A0F58"/>
    <w:rsid w:val="005A1B87"/>
    <w:rsid w:val="005A1D5F"/>
    <w:rsid w:val="005A1D66"/>
    <w:rsid w:val="005A24F1"/>
    <w:rsid w:val="005A2A65"/>
    <w:rsid w:val="005A2C9E"/>
    <w:rsid w:val="005A3AFB"/>
    <w:rsid w:val="005A412C"/>
    <w:rsid w:val="005A43E2"/>
    <w:rsid w:val="005A4A86"/>
    <w:rsid w:val="005A5AE8"/>
    <w:rsid w:val="005A66CE"/>
    <w:rsid w:val="005A6973"/>
    <w:rsid w:val="005A6CE6"/>
    <w:rsid w:val="005A71B3"/>
    <w:rsid w:val="005A71CF"/>
    <w:rsid w:val="005A7794"/>
    <w:rsid w:val="005A7863"/>
    <w:rsid w:val="005A7DE3"/>
    <w:rsid w:val="005B0024"/>
    <w:rsid w:val="005B1D50"/>
    <w:rsid w:val="005B22D5"/>
    <w:rsid w:val="005B368E"/>
    <w:rsid w:val="005B4A31"/>
    <w:rsid w:val="005B4AE7"/>
    <w:rsid w:val="005B4BB6"/>
    <w:rsid w:val="005B5089"/>
    <w:rsid w:val="005B56EF"/>
    <w:rsid w:val="005B5892"/>
    <w:rsid w:val="005B62FA"/>
    <w:rsid w:val="005B66F2"/>
    <w:rsid w:val="005C0126"/>
    <w:rsid w:val="005C01BE"/>
    <w:rsid w:val="005C12F3"/>
    <w:rsid w:val="005C1FE8"/>
    <w:rsid w:val="005C2192"/>
    <w:rsid w:val="005C2639"/>
    <w:rsid w:val="005C3941"/>
    <w:rsid w:val="005C3A1B"/>
    <w:rsid w:val="005C3AF8"/>
    <w:rsid w:val="005C3FAC"/>
    <w:rsid w:val="005C4155"/>
    <w:rsid w:val="005C455E"/>
    <w:rsid w:val="005C4DB8"/>
    <w:rsid w:val="005C4DCD"/>
    <w:rsid w:val="005C4F35"/>
    <w:rsid w:val="005C6A3C"/>
    <w:rsid w:val="005C6EA4"/>
    <w:rsid w:val="005C7396"/>
    <w:rsid w:val="005C7813"/>
    <w:rsid w:val="005D02EB"/>
    <w:rsid w:val="005D05F6"/>
    <w:rsid w:val="005D12E0"/>
    <w:rsid w:val="005D1EA8"/>
    <w:rsid w:val="005D25AF"/>
    <w:rsid w:val="005D28CC"/>
    <w:rsid w:val="005D4863"/>
    <w:rsid w:val="005D4C01"/>
    <w:rsid w:val="005D4C49"/>
    <w:rsid w:val="005D520F"/>
    <w:rsid w:val="005D53AF"/>
    <w:rsid w:val="005D5D13"/>
    <w:rsid w:val="005D619B"/>
    <w:rsid w:val="005D6827"/>
    <w:rsid w:val="005D6B51"/>
    <w:rsid w:val="005D6B67"/>
    <w:rsid w:val="005D6E6B"/>
    <w:rsid w:val="005D6FCB"/>
    <w:rsid w:val="005D76A4"/>
    <w:rsid w:val="005D76BC"/>
    <w:rsid w:val="005D7AA4"/>
    <w:rsid w:val="005E0E60"/>
    <w:rsid w:val="005E0F6C"/>
    <w:rsid w:val="005E14BB"/>
    <w:rsid w:val="005E1521"/>
    <w:rsid w:val="005E1710"/>
    <w:rsid w:val="005E17B4"/>
    <w:rsid w:val="005E1DB5"/>
    <w:rsid w:val="005E28BF"/>
    <w:rsid w:val="005E2C3E"/>
    <w:rsid w:val="005E3340"/>
    <w:rsid w:val="005E3652"/>
    <w:rsid w:val="005E3C5D"/>
    <w:rsid w:val="005E3F43"/>
    <w:rsid w:val="005E401A"/>
    <w:rsid w:val="005E44B6"/>
    <w:rsid w:val="005E69E4"/>
    <w:rsid w:val="005E6B22"/>
    <w:rsid w:val="005E6DC7"/>
    <w:rsid w:val="005E7445"/>
    <w:rsid w:val="005E7457"/>
    <w:rsid w:val="005E7FCE"/>
    <w:rsid w:val="005F0142"/>
    <w:rsid w:val="005F036B"/>
    <w:rsid w:val="005F086F"/>
    <w:rsid w:val="005F08D3"/>
    <w:rsid w:val="005F0BE2"/>
    <w:rsid w:val="005F0D95"/>
    <w:rsid w:val="005F0DA4"/>
    <w:rsid w:val="005F0F10"/>
    <w:rsid w:val="005F10B9"/>
    <w:rsid w:val="005F135B"/>
    <w:rsid w:val="005F15FB"/>
    <w:rsid w:val="005F197E"/>
    <w:rsid w:val="005F225E"/>
    <w:rsid w:val="005F237B"/>
    <w:rsid w:val="005F29ED"/>
    <w:rsid w:val="005F2CA2"/>
    <w:rsid w:val="005F3BF5"/>
    <w:rsid w:val="005F460E"/>
    <w:rsid w:val="005F4891"/>
    <w:rsid w:val="005F5CC3"/>
    <w:rsid w:val="005F6D47"/>
    <w:rsid w:val="005F6DC6"/>
    <w:rsid w:val="005F7046"/>
    <w:rsid w:val="005F79CA"/>
    <w:rsid w:val="005F7B0B"/>
    <w:rsid w:val="005F7B38"/>
    <w:rsid w:val="005F7F7B"/>
    <w:rsid w:val="0060051F"/>
    <w:rsid w:val="00600CF5"/>
    <w:rsid w:val="00600CFE"/>
    <w:rsid w:val="00600D38"/>
    <w:rsid w:val="00601ADC"/>
    <w:rsid w:val="00602AE9"/>
    <w:rsid w:val="00602B58"/>
    <w:rsid w:val="00602E13"/>
    <w:rsid w:val="006038F7"/>
    <w:rsid w:val="00603ED4"/>
    <w:rsid w:val="0060492F"/>
    <w:rsid w:val="00604AFF"/>
    <w:rsid w:val="006055E4"/>
    <w:rsid w:val="00605ED3"/>
    <w:rsid w:val="00605FE0"/>
    <w:rsid w:val="0060607F"/>
    <w:rsid w:val="006060F2"/>
    <w:rsid w:val="006070B6"/>
    <w:rsid w:val="00607297"/>
    <w:rsid w:val="00607788"/>
    <w:rsid w:val="0060795E"/>
    <w:rsid w:val="00607B03"/>
    <w:rsid w:val="00610090"/>
    <w:rsid w:val="0061053B"/>
    <w:rsid w:val="0061274F"/>
    <w:rsid w:val="00615324"/>
    <w:rsid w:val="0061553D"/>
    <w:rsid w:val="00615833"/>
    <w:rsid w:val="00615EEA"/>
    <w:rsid w:val="0061603F"/>
    <w:rsid w:val="00616042"/>
    <w:rsid w:val="00616804"/>
    <w:rsid w:val="006202A9"/>
    <w:rsid w:val="00620539"/>
    <w:rsid w:val="00620F5C"/>
    <w:rsid w:val="0062153E"/>
    <w:rsid w:val="00621779"/>
    <w:rsid w:val="006217E0"/>
    <w:rsid w:val="006224F1"/>
    <w:rsid w:val="006230CF"/>
    <w:rsid w:val="006242C5"/>
    <w:rsid w:val="006258C4"/>
    <w:rsid w:val="00626CD1"/>
    <w:rsid w:val="00626DB1"/>
    <w:rsid w:val="00627780"/>
    <w:rsid w:val="006277DE"/>
    <w:rsid w:val="00627B7C"/>
    <w:rsid w:val="00627E7E"/>
    <w:rsid w:val="00631A38"/>
    <w:rsid w:val="006324DC"/>
    <w:rsid w:val="006330A1"/>
    <w:rsid w:val="0063443A"/>
    <w:rsid w:val="00634946"/>
    <w:rsid w:val="00634F24"/>
    <w:rsid w:val="00635971"/>
    <w:rsid w:val="006360AF"/>
    <w:rsid w:val="00636181"/>
    <w:rsid w:val="0063670C"/>
    <w:rsid w:val="006368E3"/>
    <w:rsid w:val="00636A11"/>
    <w:rsid w:val="00636EB2"/>
    <w:rsid w:val="006373B5"/>
    <w:rsid w:val="00637BA8"/>
    <w:rsid w:val="00640CBB"/>
    <w:rsid w:val="00640FCB"/>
    <w:rsid w:val="006410ED"/>
    <w:rsid w:val="006413FF"/>
    <w:rsid w:val="00642001"/>
    <w:rsid w:val="00642083"/>
    <w:rsid w:val="0064230A"/>
    <w:rsid w:val="0064251A"/>
    <w:rsid w:val="006434EF"/>
    <w:rsid w:val="00643DFD"/>
    <w:rsid w:val="00645592"/>
    <w:rsid w:val="006460C2"/>
    <w:rsid w:val="006463E6"/>
    <w:rsid w:val="00646C5F"/>
    <w:rsid w:val="00647580"/>
    <w:rsid w:val="006476C2"/>
    <w:rsid w:val="00647CDE"/>
    <w:rsid w:val="006502FA"/>
    <w:rsid w:val="006507C3"/>
    <w:rsid w:val="00651B40"/>
    <w:rsid w:val="00651B84"/>
    <w:rsid w:val="006523B4"/>
    <w:rsid w:val="006526D1"/>
    <w:rsid w:val="00652AC9"/>
    <w:rsid w:val="00652CD5"/>
    <w:rsid w:val="0065311E"/>
    <w:rsid w:val="0065317F"/>
    <w:rsid w:val="00653837"/>
    <w:rsid w:val="00653FEE"/>
    <w:rsid w:val="00654D57"/>
    <w:rsid w:val="00655720"/>
    <w:rsid w:val="006559B7"/>
    <w:rsid w:val="00657E75"/>
    <w:rsid w:val="006600EE"/>
    <w:rsid w:val="00661418"/>
    <w:rsid w:val="00661F67"/>
    <w:rsid w:val="00661FF2"/>
    <w:rsid w:val="0066383D"/>
    <w:rsid w:val="00663BB1"/>
    <w:rsid w:val="00663F37"/>
    <w:rsid w:val="006642C2"/>
    <w:rsid w:val="00664929"/>
    <w:rsid w:val="006649D1"/>
    <w:rsid w:val="00665E0A"/>
    <w:rsid w:val="006663A7"/>
    <w:rsid w:val="00666506"/>
    <w:rsid w:val="006669F5"/>
    <w:rsid w:val="00666CEE"/>
    <w:rsid w:val="0067005A"/>
    <w:rsid w:val="006700BD"/>
    <w:rsid w:val="00670479"/>
    <w:rsid w:val="006708E9"/>
    <w:rsid w:val="00670D1E"/>
    <w:rsid w:val="00671855"/>
    <w:rsid w:val="00671C02"/>
    <w:rsid w:val="00671FFE"/>
    <w:rsid w:val="0067361E"/>
    <w:rsid w:val="00674829"/>
    <w:rsid w:val="00676390"/>
    <w:rsid w:val="00676615"/>
    <w:rsid w:val="00676F1B"/>
    <w:rsid w:val="00676F63"/>
    <w:rsid w:val="00677177"/>
    <w:rsid w:val="0067765E"/>
    <w:rsid w:val="006805DF"/>
    <w:rsid w:val="0068069B"/>
    <w:rsid w:val="006810FB"/>
    <w:rsid w:val="00681418"/>
    <w:rsid w:val="00682891"/>
    <w:rsid w:val="00683AFC"/>
    <w:rsid w:val="00683FC1"/>
    <w:rsid w:val="00684855"/>
    <w:rsid w:val="006851ED"/>
    <w:rsid w:val="00685490"/>
    <w:rsid w:val="00686762"/>
    <w:rsid w:val="00686969"/>
    <w:rsid w:val="00686BE0"/>
    <w:rsid w:val="00687EC9"/>
    <w:rsid w:val="00690306"/>
    <w:rsid w:val="006904D6"/>
    <w:rsid w:val="006915BD"/>
    <w:rsid w:val="00691690"/>
    <w:rsid w:val="00692C6B"/>
    <w:rsid w:val="00692DCB"/>
    <w:rsid w:val="00693A09"/>
    <w:rsid w:val="00693E60"/>
    <w:rsid w:val="0069488F"/>
    <w:rsid w:val="00694C3F"/>
    <w:rsid w:val="00694F40"/>
    <w:rsid w:val="00695561"/>
    <w:rsid w:val="006955CA"/>
    <w:rsid w:val="00695E1F"/>
    <w:rsid w:val="00696255"/>
    <w:rsid w:val="00696863"/>
    <w:rsid w:val="00696DF7"/>
    <w:rsid w:val="00697FA4"/>
    <w:rsid w:val="006A0FCF"/>
    <w:rsid w:val="006A186A"/>
    <w:rsid w:val="006A188E"/>
    <w:rsid w:val="006A198B"/>
    <w:rsid w:val="006A1C51"/>
    <w:rsid w:val="006A21FA"/>
    <w:rsid w:val="006A3614"/>
    <w:rsid w:val="006A38A0"/>
    <w:rsid w:val="006A5226"/>
    <w:rsid w:val="006A528B"/>
    <w:rsid w:val="006A5362"/>
    <w:rsid w:val="006A54A6"/>
    <w:rsid w:val="006A6E15"/>
    <w:rsid w:val="006A70E1"/>
    <w:rsid w:val="006A7754"/>
    <w:rsid w:val="006B04D3"/>
    <w:rsid w:val="006B08A8"/>
    <w:rsid w:val="006B0A85"/>
    <w:rsid w:val="006B123F"/>
    <w:rsid w:val="006B1567"/>
    <w:rsid w:val="006B185C"/>
    <w:rsid w:val="006B1BAB"/>
    <w:rsid w:val="006B256F"/>
    <w:rsid w:val="006B4CBB"/>
    <w:rsid w:val="006B5099"/>
    <w:rsid w:val="006B6B00"/>
    <w:rsid w:val="006B7097"/>
    <w:rsid w:val="006B787E"/>
    <w:rsid w:val="006C0812"/>
    <w:rsid w:val="006C157E"/>
    <w:rsid w:val="006C16AF"/>
    <w:rsid w:val="006C1EB4"/>
    <w:rsid w:val="006C231E"/>
    <w:rsid w:val="006C3A78"/>
    <w:rsid w:val="006C416C"/>
    <w:rsid w:val="006C45DD"/>
    <w:rsid w:val="006C471F"/>
    <w:rsid w:val="006C4B9A"/>
    <w:rsid w:val="006C5945"/>
    <w:rsid w:val="006C5F87"/>
    <w:rsid w:val="006C65AE"/>
    <w:rsid w:val="006C75F5"/>
    <w:rsid w:val="006C78D3"/>
    <w:rsid w:val="006C7D3D"/>
    <w:rsid w:val="006D04CA"/>
    <w:rsid w:val="006D0A66"/>
    <w:rsid w:val="006D18AB"/>
    <w:rsid w:val="006D1D8A"/>
    <w:rsid w:val="006D1E9D"/>
    <w:rsid w:val="006D235C"/>
    <w:rsid w:val="006D24DF"/>
    <w:rsid w:val="006D29AF"/>
    <w:rsid w:val="006D2BE0"/>
    <w:rsid w:val="006D2C55"/>
    <w:rsid w:val="006D2FC0"/>
    <w:rsid w:val="006D35B3"/>
    <w:rsid w:val="006D411F"/>
    <w:rsid w:val="006D483A"/>
    <w:rsid w:val="006D49AC"/>
    <w:rsid w:val="006D4E33"/>
    <w:rsid w:val="006D4F0E"/>
    <w:rsid w:val="006D5191"/>
    <w:rsid w:val="006D56AC"/>
    <w:rsid w:val="006D5A95"/>
    <w:rsid w:val="006D61A5"/>
    <w:rsid w:val="006D667E"/>
    <w:rsid w:val="006D6C89"/>
    <w:rsid w:val="006D7EA2"/>
    <w:rsid w:val="006E0438"/>
    <w:rsid w:val="006E2EE4"/>
    <w:rsid w:val="006E2FB8"/>
    <w:rsid w:val="006E3A1A"/>
    <w:rsid w:val="006E3C21"/>
    <w:rsid w:val="006E40D9"/>
    <w:rsid w:val="006E4167"/>
    <w:rsid w:val="006E6211"/>
    <w:rsid w:val="006E6458"/>
    <w:rsid w:val="006E724B"/>
    <w:rsid w:val="006E72F5"/>
    <w:rsid w:val="006E7DE1"/>
    <w:rsid w:val="006F05BC"/>
    <w:rsid w:val="006F06B2"/>
    <w:rsid w:val="006F0AB1"/>
    <w:rsid w:val="006F12FA"/>
    <w:rsid w:val="006F151F"/>
    <w:rsid w:val="006F2ADD"/>
    <w:rsid w:val="006F2B69"/>
    <w:rsid w:val="006F2D77"/>
    <w:rsid w:val="006F33E8"/>
    <w:rsid w:val="006F3AE9"/>
    <w:rsid w:val="006F56FA"/>
    <w:rsid w:val="006F5A0C"/>
    <w:rsid w:val="00700ADE"/>
    <w:rsid w:val="00701966"/>
    <w:rsid w:val="00701A1F"/>
    <w:rsid w:val="0070277B"/>
    <w:rsid w:val="00702A92"/>
    <w:rsid w:val="00702AD5"/>
    <w:rsid w:val="00702B1D"/>
    <w:rsid w:val="0070369F"/>
    <w:rsid w:val="00703F17"/>
    <w:rsid w:val="007046A2"/>
    <w:rsid w:val="00704E99"/>
    <w:rsid w:val="00705139"/>
    <w:rsid w:val="007059D7"/>
    <w:rsid w:val="00705DAD"/>
    <w:rsid w:val="0070633A"/>
    <w:rsid w:val="007064C3"/>
    <w:rsid w:val="007067DD"/>
    <w:rsid w:val="00706BC4"/>
    <w:rsid w:val="00707C15"/>
    <w:rsid w:val="00710388"/>
    <w:rsid w:val="0071086D"/>
    <w:rsid w:val="00710BA7"/>
    <w:rsid w:val="007119B9"/>
    <w:rsid w:val="00711A73"/>
    <w:rsid w:val="00711CBD"/>
    <w:rsid w:val="007123BB"/>
    <w:rsid w:val="007125AF"/>
    <w:rsid w:val="00712A03"/>
    <w:rsid w:val="00713082"/>
    <w:rsid w:val="00713440"/>
    <w:rsid w:val="00713E06"/>
    <w:rsid w:val="007141C1"/>
    <w:rsid w:val="007142F4"/>
    <w:rsid w:val="007167BE"/>
    <w:rsid w:val="00716D1E"/>
    <w:rsid w:val="0072018B"/>
    <w:rsid w:val="00720FC0"/>
    <w:rsid w:val="00721DED"/>
    <w:rsid w:val="00721E1F"/>
    <w:rsid w:val="00722599"/>
    <w:rsid w:val="00722A24"/>
    <w:rsid w:val="0072431B"/>
    <w:rsid w:val="00724D41"/>
    <w:rsid w:val="00725B56"/>
    <w:rsid w:val="007261FF"/>
    <w:rsid w:val="007265E0"/>
    <w:rsid w:val="007266FA"/>
    <w:rsid w:val="00726EAB"/>
    <w:rsid w:val="00730D12"/>
    <w:rsid w:val="00730D5F"/>
    <w:rsid w:val="00731073"/>
    <w:rsid w:val="0073259E"/>
    <w:rsid w:val="00732E32"/>
    <w:rsid w:val="007334EF"/>
    <w:rsid w:val="007336D6"/>
    <w:rsid w:val="00733FCB"/>
    <w:rsid w:val="00734154"/>
    <w:rsid w:val="0073450E"/>
    <w:rsid w:val="00734512"/>
    <w:rsid w:val="00734839"/>
    <w:rsid w:val="0073561C"/>
    <w:rsid w:val="00735B65"/>
    <w:rsid w:val="00736A59"/>
    <w:rsid w:val="00736BB0"/>
    <w:rsid w:val="00736F6D"/>
    <w:rsid w:val="0073708D"/>
    <w:rsid w:val="007370A6"/>
    <w:rsid w:val="007371FE"/>
    <w:rsid w:val="007372F1"/>
    <w:rsid w:val="0074012F"/>
    <w:rsid w:val="007406DE"/>
    <w:rsid w:val="00740C8B"/>
    <w:rsid w:val="0074332A"/>
    <w:rsid w:val="00743681"/>
    <w:rsid w:val="00743A53"/>
    <w:rsid w:val="007447CD"/>
    <w:rsid w:val="00745CBE"/>
    <w:rsid w:val="00745EF3"/>
    <w:rsid w:val="0074654D"/>
    <w:rsid w:val="00746759"/>
    <w:rsid w:val="00746825"/>
    <w:rsid w:val="00746A55"/>
    <w:rsid w:val="00746AA9"/>
    <w:rsid w:val="00746F41"/>
    <w:rsid w:val="00746F51"/>
    <w:rsid w:val="00747258"/>
    <w:rsid w:val="00747741"/>
    <w:rsid w:val="0074794D"/>
    <w:rsid w:val="00747C70"/>
    <w:rsid w:val="00747FEB"/>
    <w:rsid w:val="00750671"/>
    <w:rsid w:val="00750EAA"/>
    <w:rsid w:val="007526A3"/>
    <w:rsid w:val="007535D7"/>
    <w:rsid w:val="007536AB"/>
    <w:rsid w:val="00753BFB"/>
    <w:rsid w:val="00754AAE"/>
    <w:rsid w:val="00754EE8"/>
    <w:rsid w:val="00755AF3"/>
    <w:rsid w:val="00755D9F"/>
    <w:rsid w:val="00756144"/>
    <w:rsid w:val="007562CE"/>
    <w:rsid w:val="00756732"/>
    <w:rsid w:val="007574AE"/>
    <w:rsid w:val="0075777E"/>
    <w:rsid w:val="00760F92"/>
    <w:rsid w:val="0076116B"/>
    <w:rsid w:val="007618E4"/>
    <w:rsid w:val="00761E25"/>
    <w:rsid w:val="00761EA1"/>
    <w:rsid w:val="007633AE"/>
    <w:rsid w:val="007641AC"/>
    <w:rsid w:val="007649DC"/>
    <w:rsid w:val="00764AC5"/>
    <w:rsid w:val="00764E86"/>
    <w:rsid w:val="0076551B"/>
    <w:rsid w:val="00766256"/>
    <w:rsid w:val="0076696F"/>
    <w:rsid w:val="00766D17"/>
    <w:rsid w:val="00766F14"/>
    <w:rsid w:val="00767901"/>
    <w:rsid w:val="00767B7E"/>
    <w:rsid w:val="007702D8"/>
    <w:rsid w:val="00770E64"/>
    <w:rsid w:val="00771BF7"/>
    <w:rsid w:val="0077315E"/>
    <w:rsid w:val="007739F5"/>
    <w:rsid w:val="00774479"/>
    <w:rsid w:val="0077476E"/>
    <w:rsid w:val="00774786"/>
    <w:rsid w:val="00774967"/>
    <w:rsid w:val="00774DED"/>
    <w:rsid w:val="00774E52"/>
    <w:rsid w:val="007752C3"/>
    <w:rsid w:val="007766BB"/>
    <w:rsid w:val="00776703"/>
    <w:rsid w:val="007772C3"/>
    <w:rsid w:val="00777E3A"/>
    <w:rsid w:val="007801F7"/>
    <w:rsid w:val="0078060E"/>
    <w:rsid w:val="00780760"/>
    <w:rsid w:val="00780BBF"/>
    <w:rsid w:val="00780FA7"/>
    <w:rsid w:val="007815BC"/>
    <w:rsid w:val="007816FB"/>
    <w:rsid w:val="00781B7F"/>
    <w:rsid w:val="00781D69"/>
    <w:rsid w:val="00781DD4"/>
    <w:rsid w:val="00782E17"/>
    <w:rsid w:val="00783835"/>
    <w:rsid w:val="00783D09"/>
    <w:rsid w:val="007851C6"/>
    <w:rsid w:val="00785BB1"/>
    <w:rsid w:val="007861D7"/>
    <w:rsid w:val="00786759"/>
    <w:rsid w:val="00786B14"/>
    <w:rsid w:val="00786CD2"/>
    <w:rsid w:val="00786CE1"/>
    <w:rsid w:val="007876A6"/>
    <w:rsid w:val="007878B9"/>
    <w:rsid w:val="007905B8"/>
    <w:rsid w:val="00790698"/>
    <w:rsid w:val="00791790"/>
    <w:rsid w:val="0079209D"/>
    <w:rsid w:val="00793255"/>
    <w:rsid w:val="007939C6"/>
    <w:rsid w:val="00793E42"/>
    <w:rsid w:val="0079434F"/>
    <w:rsid w:val="007943CE"/>
    <w:rsid w:val="00794DCF"/>
    <w:rsid w:val="00795030"/>
    <w:rsid w:val="00796382"/>
    <w:rsid w:val="00796586"/>
    <w:rsid w:val="00797526"/>
    <w:rsid w:val="007978FF"/>
    <w:rsid w:val="007A00E7"/>
    <w:rsid w:val="007A0221"/>
    <w:rsid w:val="007A2014"/>
    <w:rsid w:val="007A2CD5"/>
    <w:rsid w:val="007A3AFD"/>
    <w:rsid w:val="007A466C"/>
    <w:rsid w:val="007A4D30"/>
    <w:rsid w:val="007A54CA"/>
    <w:rsid w:val="007A54F4"/>
    <w:rsid w:val="007A56FD"/>
    <w:rsid w:val="007A5A2A"/>
    <w:rsid w:val="007A677D"/>
    <w:rsid w:val="007A6E38"/>
    <w:rsid w:val="007B001A"/>
    <w:rsid w:val="007B06FA"/>
    <w:rsid w:val="007B0F82"/>
    <w:rsid w:val="007B190D"/>
    <w:rsid w:val="007B243A"/>
    <w:rsid w:val="007B2E76"/>
    <w:rsid w:val="007B2ECC"/>
    <w:rsid w:val="007B3703"/>
    <w:rsid w:val="007B43A9"/>
    <w:rsid w:val="007B442F"/>
    <w:rsid w:val="007B4BB2"/>
    <w:rsid w:val="007B5397"/>
    <w:rsid w:val="007B5D55"/>
    <w:rsid w:val="007B6165"/>
    <w:rsid w:val="007B6C1E"/>
    <w:rsid w:val="007B700D"/>
    <w:rsid w:val="007B76B8"/>
    <w:rsid w:val="007B7B7F"/>
    <w:rsid w:val="007C0361"/>
    <w:rsid w:val="007C0A1B"/>
    <w:rsid w:val="007C1013"/>
    <w:rsid w:val="007C1383"/>
    <w:rsid w:val="007C169D"/>
    <w:rsid w:val="007C183A"/>
    <w:rsid w:val="007C1B6D"/>
    <w:rsid w:val="007C1C66"/>
    <w:rsid w:val="007C35A6"/>
    <w:rsid w:val="007C4D57"/>
    <w:rsid w:val="007C5779"/>
    <w:rsid w:val="007C5B53"/>
    <w:rsid w:val="007C5DA1"/>
    <w:rsid w:val="007C6281"/>
    <w:rsid w:val="007C630A"/>
    <w:rsid w:val="007C6E16"/>
    <w:rsid w:val="007C6E20"/>
    <w:rsid w:val="007D01FD"/>
    <w:rsid w:val="007D0527"/>
    <w:rsid w:val="007D0A48"/>
    <w:rsid w:val="007D1F57"/>
    <w:rsid w:val="007D2C86"/>
    <w:rsid w:val="007D320F"/>
    <w:rsid w:val="007D3641"/>
    <w:rsid w:val="007D3D16"/>
    <w:rsid w:val="007D4FEF"/>
    <w:rsid w:val="007D5F50"/>
    <w:rsid w:val="007D67AD"/>
    <w:rsid w:val="007D6D84"/>
    <w:rsid w:val="007D7718"/>
    <w:rsid w:val="007D7AC9"/>
    <w:rsid w:val="007D7B2B"/>
    <w:rsid w:val="007E00FD"/>
    <w:rsid w:val="007E029E"/>
    <w:rsid w:val="007E0A20"/>
    <w:rsid w:val="007E0C6F"/>
    <w:rsid w:val="007E0F8D"/>
    <w:rsid w:val="007E2C67"/>
    <w:rsid w:val="007E360F"/>
    <w:rsid w:val="007E3FEA"/>
    <w:rsid w:val="007E44A8"/>
    <w:rsid w:val="007E4586"/>
    <w:rsid w:val="007E467F"/>
    <w:rsid w:val="007E4FE3"/>
    <w:rsid w:val="007E5172"/>
    <w:rsid w:val="007E5292"/>
    <w:rsid w:val="007E5768"/>
    <w:rsid w:val="007E5886"/>
    <w:rsid w:val="007E5C85"/>
    <w:rsid w:val="007E6591"/>
    <w:rsid w:val="007E69E3"/>
    <w:rsid w:val="007E6B38"/>
    <w:rsid w:val="007E775F"/>
    <w:rsid w:val="007E7CE0"/>
    <w:rsid w:val="007F073F"/>
    <w:rsid w:val="007F0B41"/>
    <w:rsid w:val="007F1085"/>
    <w:rsid w:val="007F207B"/>
    <w:rsid w:val="007F2692"/>
    <w:rsid w:val="007F3170"/>
    <w:rsid w:val="007F3DB7"/>
    <w:rsid w:val="007F3EBB"/>
    <w:rsid w:val="007F46D4"/>
    <w:rsid w:val="007F518C"/>
    <w:rsid w:val="007F57A6"/>
    <w:rsid w:val="007F5B1D"/>
    <w:rsid w:val="007F60E9"/>
    <w:rsid w:val="007F63EB"/>
    <w:rsid w:val="007F6814"/>
    <w:rsid w:val="007F6FC3"/>
    <w:rsid w:val="007F7A0A"/>
    <w:rsid w:val="007F7F03"/>
    <w:rsid w:val="00800EA1"/>
    <w:rsid w:val="008024ED"/>
    <w:rsid w:val="00802586"/>
    <w:rsid w:val="00802AB6"/>
    <w:rsid w:val="00803200"/>
    <w:rsid w:val="00803699"/>
    <w:rsid w:val="008040B2"/>
    <w:rsid w:val="0080488F"/>
    <w:rsid w:val="008059FE"/>
    <w:rsid w:val="008062B2"/>
    <w:rsid w:val="00806773"/>
    <w:rsid w:val="00806824"/>
    <w:rsid w:val="00806FE3"/>
    <w:rsid w:val="0080732B"/>
    <w:rsid w:val="0080777A"/>
    <w:rsid w:val="00810313"/>
    <w:rsid w:val="008109BE"/>
    <w:rsid w:val="008111DF"/>
    <w:rsid w:val="008112E1"/>
    <w:rsid w:val="00811505"/>
    <w:rsid w:val="008124FC"/>
    <w:rsid w:val="00814BB8"/>
    <w:rsid w:val="008151C2"/>
    <w:rsid w:val="00815CC2"/>
    <w:rsid w:val="00816250"/>
    <w:rsid w:val="00816713"/>
    <w:rsid w:val="00816F51"/>
    <w:rsid w:val="0081765E"/>
    <w:rsid w:val="0081777C"/>
    <w:rsid w:val="00817F9E"/>
    <w:rsid w:val="0082031A"/>
    <w:rsid w:val="00820F2B"/>
    <w:rsid w:val="00821D6E"/>
    <w:rsid w:val="00821DB2"/>
    <w:rsid w:val="00824F22"/>
    <w:rsid w:val="00824FA9"/>
    <w:rsid w:val="00824FD4"/>
    <w:rsid w:val="008259A7"/>
    <w:rsid w:val="008267B8"/>
    <w:rsid w:val="008271C0"/>
    <w:rsid w:val="00827306"/>
    <w:rsid w:val="008277A5"/>
    <w:rsid w:val="008300D2"/>
    <w:rsid w:val="00830290"/>
    <w:rsid w:val="00830FA9"/>
    <w:rsid w:val="008310CF"/>
    <w:rsid w:val="00831553"/>
    <w:rsid w:val="00831A40"/>
    <w:rsid w:val="0083261F"/>
    <w:rsid w:val="00832732"/>
    <w:rsid w:val="00832774"/>
    <w:rsid w:val="008327AE"/>
    <w:rsid w:val="00833290"/>
    <w:rsid w:val="00833871"/>
    <w:rsid w:val="00833899"/>
    <w:rsid w:val="0083408B"/>
    <w:rsid w:val="008347D6"/>
    <w:rsid w:val="00834A6D"/>
    <w:rsid w:val="00834B44"/>
    <w:rsid w:val="00834F28"/>
    <w:rsid w:val="00835DEA"/>
    <w:rsid w:val="00837E85"/>
    <w:rsid w:val="00840751"/>
    <w:rsid w:val="00840915"/>
    <w:rsid w:val="00840B60"/>
    <w:rsid w:val="008410BC"/>
    <w:rsid w:val="008415FC"/>
    <w:rsid w:val="0084202E"/>
    <w:rsid w:val="00842182"/>
    <w:rsid w:val="00842572"/>
    <w:rsid w:val="00843DB2"/>
    <w:rsid w:val="00843F85"/>
    <w:rsid w:val="00844080"/>
    <w:rsid w:val="00844936"/>
    <w:rsid w:val="0084516E"/>
    <w:rsid w:val="00846119"/>
    <w:rsid w:val="00846300"/>
    <w:rsid w:val="0084688E"/>
    <w:rsid w:val="00846BC2"/>
    <w:rsid w:val="00847284"/>
    <w:rsid w:val="008477B8"/>
    <w:rsid w:val="00847C09"/>
    <w:rsid w:val="00850640"/>
    <w:rsid w:val="0085066B"/>
    <w:rsid w:val="00850BEF"/>
    <w:rsid w:val="00851158"/>
    <w:rsid w:val="00851312"/>
    <w:rsid w:val="0085134D"/>
    <w:rsid w:val="0085176C"/>
    <w:rsid w:val="0085186F"/>
    <w:rsid w:val="00851BB9"/>
    <w:rsid w:val="00851DCE"/>
    <w:rsid w:val="00852095"/>
    <w:rsid w:val="0085364F"/>
    <w:rsid w:val="00853B4B"/>
    <w:rsid w:val="00853DCF"/>
    <w:rsid w:val="00855276"/>
    <w:rsid w:val="0085587E"/>
    <w:rsid w:val="00855C38"/>
    <w:rsid w:val="0085688F"/>
    <w:rsid w:val="00857716"/>
    <w:rsid w:val="00857759"/>
    <w:rsid w:val="00857E56"/>
    <w:rsid w:val="00857F72"/>
    <w:rsid w:val="0086013D"/>
    <w:rsid w:val="00860C59"/>
    <w:rsid w:val="00860CFD"/>
    <w:rsid w:val="008610C5"/>
    <w:rsid w:val="00861319"/>
    <w:rsid w:val="0086169D"/>
    <w:rsid w:val="00861E34"/>
    <w:rsid w:val="00861E94"/>
    <w:rsid w:val="00861F64"/>
    <w:rsid w:val="008626C9"/>
    <w:rsid w:val="008629DA"/>
    <w:rsid w:val="00862C1B"/>
    <w:rsid w:val="008635CD"/>
    <w:rsid w:val="00863980"/>
    <w:rsid w:val="00863C59"/>
    <w:rsid w:val="00863CEA"/>
    <w:rsid w:val="00864526"/>
    <w:rsid w:val="008649C6"/>
    <w:rsid w:val="00864B96"/>
    <w:rsid w:val="00864C22"/>
    <w:rsid w:val="008657CB"/>
    <w:rsid w:val="00866688"/>
    <w:rsid w:val="0086695C"/>
    <w:rsid w:val="00866E00"/>
    <w:rsid w:val="00867505"/>
    <w:rsid w:val="00867617"/>
    <w:rsid w:val="008702DF"/>
    <w:rsid w:val="008704C3"/>
    <w:rsid w:val="008713A6"/>
    <w:rsid w:val="008715BE"/>
    <w:rsid w:val="008716E6"/>
    <w:rsid w:val="00871A74"/>
    <w:rsid w:val="0087288C"/>
    <w:rsid w:val="00872FEE"/>
    <w:rsid w:val="00874126"/>
    <w:rsid w:val="00875B65"/>
    <w:rsid w:val="0087602F"/>
    <w:rsid w:val="0087660D"/>
    <w:rsid w:val="0087785F"/>
    <w:rsid w:val="00877C9E"/>
    <w:rsid w:val="0088005B"/>
    <w:rsid w:val="0088033A"/>
    <w:rsid w:val="00881199"/>
    <w:rsid w:val="00881FA1"/>
    <w:rsid w:val="00882D81"/>
    <w:rsid w:val="00882E0C"/>
    <w:rsid w:val="0088338B"/>
    <w:rsid w:val="008834F1"/>
    <w:rsid w:val="0088351B"/>
    <w:rsid w:val="00883C90"/>
    <w:rsid w:val="00883E38"/>
    <w:rsid w:val="0088407F"/>
    <w:rsid w:val="008849FA"/>
    <w:rsid w:val="008869A1"/>
    <w:rsid w:val="00886A04"/>
    <w:rsid w:val="00887AC5"/>
    <w:rsid w:val="008903EB"/>
    <w:rsid w:val="00890FC0"/>
    <w:rsid w:val="00891298"/>
    <w:rsid w:val="00891568"/>
    <w:rsid w:val="00891C75"/>
    <w:rsid w:val="00891CA2"/>
    <w:rsid w:val="00892678"/>
    <w:rsid w:val="00893029"/>
    <w:rsid w:val="00893262"/>
    <w:rsid w:val="008932B6"/>
    <w:rsid w:val="0089392C"/>
    <w:rsid w:val="00893D2C"/>
    <w:rsid w:val="00895372"/>
    <w:rsid w:val="00895AF8"/>
    <w:rsid w:val="00895B18"/>
    <w:rsid w:val="00895CAF"/>
    <w:rsid w:val="00896EFF"/>
    <w:rsid w:val="00897CCA"/>
    <w:rsid w:val="008A0965"/>
    <w:rsid w:val="008A0CE0"/>
    <w:rsid w:val="008A129B"/>
    <w:rsid w:val="008A1513"/>
    <w:rsid w:val="008A17C1"/>
    <w:rsid w:val="008A1BC9"/>
    <w:rsid w:val="008A1C6A"/>
    <w:rsid w:val="008A1CD6"/>
    <w:rsid w:val="008A208F"/>
    <w:rsid w:val="008A20C4"/>
    <w:rsid w:val="008A2814"/>
    <w:rsid w:val="008A2E1B"/>
    <w:rsid w:val="008A35C6"/>
    <w:rsid w:val="008A3626"/>
    <w:rsid w:val="008A3B63"/>
    <w:rsid w:val="008A4063"/>
    <w:rsid w:val="008A4130"/>
    <w:rsid w:val="008A510C"/>
    <w:rsid w:val="008A54FE"/>
    <w:rsid w:val="008A5F6A"/>
    <w:rsid w:val="008A669E"/>
    <w:rsid w:val="008A71A1"/>
    <w:rsid w:val="008A7397"/>
    <w:rsid w:val="008A7D57"/>
    <w:rsid w:val="008A7FF7"/>
    <w:rsid w:val="008B0912"/>
    <w:rsid w:val="008B1213"/>
    <w:rsid w:val="008B14EA"/>
    <w:rsid w:val="008B1602"/>
    <w:rsid w:val="008B1B9B"/>
    <w:rsid w:val="008B213F"/>
    <w:rsid w:val="008B218A"/>
    <w:rsid w:val="008B30E0"/>
    <w:rsid w:val="008B441C"/>
    <w:rsid w:val="008B443B"/>
    <w:rsid w:val="008B48E8"/>
    <w:rsid w:val="008B7309"/>
    <w:rsid w:val="008C0087"/>
    <w:rsid w:val="008C0ADC"/>
    <w:rsid w:val="008C1660"/>
    <w:rsid w:val="008C17DB"/>
    <w:rsid w:val="008C224A"/>
    <w:rsid w:val="008C301C"/>
    <w:rsid w:val="008C3A69"/>
    <w:rsid w:val="008C414B"/>
    <w:rsid w:val="008C48AE"/>
    <w:rsid w:val="008C4CF8"/>
    <w:rsid w:val="008C6C3D"/>
    <w:rsid w:val="008C7241"/>
    <w:rsid w:val="008C7D61"/>
    <w:rsid w:val="008C7FFC"/>
    <w:rsid w:val="008D0093"/>
    <w:rsid w:val="008D06C2"/>
    <w:rsid w:val="008D0710"/>
    <w:rsid w:val="008D1E62"/>
    <w:rsid w:val="008D29D5"/>
    <w:rsid w:val="008D33FD"/>
    <w:rsid w:val="008D3982"/>
    <w:rsid w:val="008D4DE7"/>
    <w:rsid w:val="008D5595"/>
    <w:rsid w:val="008D592A"/>
    <w:rsid w:val="008D5DB2"/>
    <w:rsid w:val="008D6A02"/>
    <w:rsid w:val="008D6ECE"/>
    <w:rsid w:val="008D6F04"/>
    <w:rsid w:val="008D7673"/>
    <w:rsid w:val="008D783C"/>
    <w:rsid w:val="008E01CB"/>
    <w:rsid w:val="008E0204"/>
    <w:rsid w:val="008E10FC"/>
    <w:rsid w:val="008E25B4"/>
    <w:rsid w:val="008E2B46"/>
    <w:rsid w:val="008E2C5D"/>
    <w:rsid w:val="008E2EF8"/>
    <w:rsid w:val="008E4BC2"/>
    <w:rsid w:val="008E4F06"/>
    <w:rsid w:val="008E50BF"/>
    <w:rsid w:val="008E5C74"/>
    <w:rsid w:val="008E5E50"/>
    <w:rsid w:val="008E6492"/>
    <w:rsid w:val="008E6517"/>
    <w:rsid w:val="008E67CC"/>
    <w:rsid w:val="008E726D"/>
    <w:rsid w:val="008E75B3"/>
    <w:rsid w:val="008E7D29"/>
    <w:rsid w:val="008F142D"/>
    <w:rsid w:val="008F1B0B"/>
    <w:rsid w:val="008F2A82"/>
    <w:rsid w:val="008F2AC6"/>
    <w:rsid w:val="008F2E87"/>
    <w:rsid w:val="008F31B0"/>
    <w:rsid w:val="008F33A0"/>
    <w:rsid w:val="008F3966"/>
    <w:rsid w:val="008F3AD5"/>
    <w:rsid w:val="008F3EFF"/>
    <w:rsid w:val="008F4204"/>
    <w:rsid w:val="008F42CD"/>
    <w:rsid w:val="008F4837"/>
    <w:rsid w:val="008F54F5"/>
    <w:rsid w:val="008F5745"/>
    <w:rsid w:val="008F5B8D"/>
    <w:rsid w:val="008F65A3"/>
    <w:rsid w:val="008F68E8"/>
    <w:rsid w:val="008F6E79"/>
    <w:rsid w:val="008F72BC"/>
    <w:rsid w:val="008F76C7"/>
    <w:rsid w:val="008F7BBA"/>
    <w:rsid w:val="008F7C2D"/>
    <w:rsid w:val="00900035"/>
    <w:rsid w:val="0090057E"/>
    <w:rsid w:val="00900C09"/>
    <w:rsid w:val="00900D46"/>
    <w:rsid w:val="00900F08"/>
    <w:rsid w:val="00901200"/>
    <w:rsid w:val="0090312D"/>
    <w:rsid w:val="0090328B"/>
    <w:rsid w:val="0090331A"/>
    <w:rsid w:val="0090338E"/>
    <w:rsid w:val="009038B5"/>
    <w:rsid w:val="00903AFF"/>
    <w:rsid w:val="00904BCB"/>
    <w:rsid w:val="009051A1"/>
    <w:rsid w:val="009053D6"/>
    <w:rsid w:val="00906790"/>
    <w:rsid w:val="00906807"/>
    <w:rsid w:val="00906F7F"/>
    <w:rsid w:val="00907136"/>
    <w:rsid w:val="0091045B"/>
    <w:rsid w:val="00910BA2"/>
    <w:rsid w:val="00911074"/>
    <w:rsid w:val="009110F9"/>
    <w:rsid w:val="00911CC9"/>
    <w:rsid w:val="00913048"/>
    <w:rsid w:val="00913252"/>
    <w:rsid w:val="00914B67"/>
    <w:rsid w:val="00915323"/>
    <w:rsid w:val="00916133"/>
    <w:rsid w:val="009164F7"/>
    <w:rsid w:val="00917482"/>
    <w:rsid w:val="009177FF"/>
    <w:rsid w:val="0092034B"/>
    <w:rsid w:val="00920596"/>
    <w:rsid w:val="0092097E"/>
    <w:rsid w:val="0092136E"/>
    <w:rsid w:val="00922EE2"/>
    <w:rsid w:val="0092310B"/>
    <w:rsid w:val="0092324D"/>
    <w:rsid w:val="00923E59"/>
    <w:rsid w:val="00924365"/>
    <w:rsid w:val="009255E9"/>
    <w:rsid w:val="00925AC1"/>
    <w:rsid w:val="00925C37"/>
    <w:rsid w:val="00925F25"/>
    <w:rsid w:val="009260AE"/>
    <w:rsid w:val="00926465"/>
    <w:rsid w:val="009264B6"/>
    <w:rsid w:val="00926741"/>
    <w:rsid w:val="009274AA"/>
    <w:rsid w:val="00930CAB"/>
    <w:rsid w:val="00931C78"/>
    <w:rsid w:val="009323E8"/>
    <w:rsid w:val="009333D2"/>
    <w:rsid w:val="00933628"/>
    <w:rsid w:val="00933695"/>
    <w:rsid w:val="00933E08"/>
    <w:rsid w:val="00934E54"/>
    <w:rsid w:val="009351A6"/>
    <w:rsid w:val="009351C0"/>
    <w:rsid w:val="009351E6"/>
    <w:rsid w:val="0093528A"/>
    <w:rsid w:val="00935436"/>
    <w:rsid w:val="00936143"/>
    <w:rsid w:val="00937378"/>
    <w:rsid w:val="00937C7A"/>
    <w:rsid w:val="00937F01"/>
    <w:rsid w:val="00940B74"/>
    <w:rsid w:val="00940D9C"/>
    <w:rsid w:val="00940EDA"/>
    <w:rsid w:val="00941382"/>
    <w:rsid w:val="00941402"/>
    <w:rsid w:val="0094144A"/>
    <w:rsid w:val="009419F9"/>
    <w:rsid w:val="00942465"/>
    <w:rsid w:val="00942DFB"/>
    <w:rsid w:val="009430A3"/>
    <w:rsid w:val="009430D8"/>
    <w:rsid w:val="00943248"/>
    <w:rsid w:val="00943B8D"/>
    <w:rsid w:val="009445B3"/>
    <w:rsid w:val="00944933"/>
    <w:rsid w:val="0094514A"/>
    <w:rsid w:val="0094532D"/>
    <w:rsid w:val="00945769"/>
    <w:rsid w:val="0094613A"/>
    <w:rsid w:val="009462EF"/>
    <w:rsid w:val="0094684F"/>
    <w:rsid w:val="009473EF"/>
    <w:rsid w:val="00947624"/>
    <w:rsid w:val="00947A7E"/>
    <w:rsid w:val="00951F07"/>
    <w:rsid w:val="0095215F"/>
    <w:rsid w:val="009525A5"/>
    <w:rsid w:val="00952B3B"/>
    <w:rsid w:val="00952CB2"/>
    <w:rsid w:val="00952EA4"/>
    <w:rsid w:val="00953113"/>
    <w:rsid w:val="009531DB"/>
    <w:rsid w:val="009538C3"/>
    <w:rsid w:val="009541DC"/>
    <w:rsid w:val="009548E2"/>
    <w:rsid w:val="00954954"/>
    <w:rsid w:val="009550C5"/>
    <w:rsid w:val="00955E0D"/>
    <w:rsid w:val="00955F1C"/>
    <w:rsid w:val="00956930"/>
    <w:rsid w:val="00956E04"/>
    <w:rsid w:val="00957D6F"/>
    <w:rsid w:val="009605B9"/>
    <w:rsid w:val="00961389"/>
    <w:rsid w:val="00961B85"/>
    <w:rsid w:val="00962545"/>
    <w:rsid w:val="009626A6"/>
    <w:rsid w:val="009631B3"/>
    <w:rsid w:val="0096445F"/>
    <w:rsid w:val="00964CDB"/>
    <w:rsid w:val="009657DB"/>
    <w:rsid w:val="0096595F"/>
    <w:rsid w:val="00965A12"/>
    <w:rsid w:val="00966138"/>
    <w:rsid w:val="0096642F"/>
    <w:rsid w:val="00967005"/>
    <w:rsid w:val="00967442"/>
    <w:rsid w:val="00967BF4"/>
    <w:rsid w:val="00970104"/>
    <w:rsid w:val="00970327"/>
    <w:rsid w:val="00970FCC"/>
    <w:rsid w:val="00971A89"/>
    <w:rsid w:val="00971C34"/>
    <w:rsid w:val="0097349B"/>
    <w:rsid w:val="009738C3"/>
    <w:rsid w:val="0097424C"/>
    <w:rsid w:val="00974603"/>
    <w:rsid w:val="00974948"/>
    <w:rsid w:val="00974F1C"/>
    <w:rsid w:val="009750A4"/>
    <w:rsid w:val="00975898"/>
    <w:rsid w:val="009758F0"/>
    <w:rsid w:val="009763DB"/>
    <w:rsid w:val="009763E8"/>
    <w:rsid w:val="00976A77"/>
    <w:rsid w:val="00976D3B"/>
    <w:rsid w:val="00977076"/>
    <w:rsid w:val="009773DC"/>
    <w:rsid w:val="00977B9B"/>
    <w:rsid w:val="00980541"/>
    <w:rsid w:val="0098114C"/>
    <w:rsid w:val="0098177A"/>
    <w:rsid w:val="009817C0"/>
    <w:rsid w:val="00982BA7"/>
    <w:rsid w:val="00983620"/>
    <w:rsid w:val="009846A4"/>
    <w:rsid w:val="00984D4A"/>
    <w:rsid w:val="00984F48"/>
    <w:rsid w:val="0098616B"/>
    <w:rsid w:val="00986D1B"/>
    <w:rsid w:val="00986E78"/>
    <w:rsid w:val="0098703D"/>
    <w:rsid w:val="009873ED"/>
    <w:rsid w:val="009900AE"/>
    <w:rsid w:val="009900FA"/>
    <w:rsid w:val="0099021F"/>
    <w:rsid w:val="00990887"/>
    <w:rsid w:val="00990FDE"/>
    <w:rsid w:val="00991912"/>
    <w:rsid w:val="0099199B"/>
    <w:rsid w:val="00991AB5"/>
    <w:rsid w:val="00992515"/>
    <w:rsid w:val="009926B4"/>
    <w:rsid w:val="00992F4A"/>
    <w:rsid w:val="00993B5D"/>
    <w:rsid w:val="00993C1C"/>
    <w:rsid w:val="00993C21"/>
    <w:rsid w:val="00994A30"/>
    <w:rsid w:val="009952AB"/>
    <w:rsid w:val="009952B9"/>
    <w:rsid w:val="00995A18"/>
    <w:rsid w:val="00995B5A"/>
    <w:rsid w:val="00995C6E"/>
    <w:rsid w:val="00995F65"/>
    <w:rsid w:val="00996103"/>
    <w:rsid w:val="0099638D"/>
    <w:rsid w:val="0099704A"/>
    <w:rsid w:val="0099711F"/>
    <w:rsid w:val="0099722A"/>
    <w:rsid w:val="009976D6"/>
    <w:rsid w:val="00997A66"/>
    <w:rsid w:val="009A04B2"/>
    <w:rsid w:val="009A0B7B"/>
    <w:rsid w:val="009A10AD"/>
    <w:rsid w:val="009A1A71"/>
    <w:rsid w:val="009A1F75"/>
    <w:rsid w:val="009A23AF"/>
    <w:rsid w:val="009A301C"/>
    <w:rsid w:val="009A3484"/>
    <w:rsid w:val="009A49B0"/>
    <w:rsid w:val="009A543F"/>
    <w:rsid w:val="009A56BD"/>
    <w:rsid w:val="009A5A4A"/>
    <w:rsid w:val="009A5D98"/>
    <w:rsid w:val="009A61F6"/>
    <w:rsid w:val="009A6DBB"/>
    <w:rsid w:val="009A736D"/>
    <w:rsid w:val="009A73A9"/>
    <w:rsid w:val="009A78EF"/>
    <w:rsid w:val="009B0AD2"/>
    <w:rsid w:val="009B0FE9"/>
    <w:rsid w:val="009B15FD"/>
    <w:rsid w:val="009B182D"/>
    <w:rsid w:val="009B1E55"/>
    <w:rsid w:val="009B2430"/>
    <w:rsid w:val="009B27D1"/>
    <w:rsid w:val="009B2A43"/>
    <w:rsid w:val="009B2F6C"/>
    <w:rsid w:val="009B34B6"/>
    <w:rsid w:val="009B3E9E"/>
    <w:rsid w:val="009B40A3"/>
    <w:rsid w:val="009B4679"/>
    <w:rsid w:val="009B47B8"/>
    <w:rsid w:val="009B508F"/>
    <w:rsid w:val="009B55C1"/>
    <w:rsid w:val="009B5726"/>
    <w:rsid w:val="009B75BC"/>
    <w:rsid w:val="009B78FD"/>
    <w:rsid w:val="009C0B4F"/>
    <w:rsid w:val="009C0CB7"/>
    <w:rsid w:val="009C1020"/>
    <w:rsid w:val="009C11BC"/>
    <w:rsid w:val="009C14FB"/>
    <w:rsid w:val="009C1666"/>
    <w:rsid w:val="009C1B39"/>
    <w:rsid w:val="009C25EF"/>
    <w:rsid w:val="009C31AA"/>
    <w:rsid w:val="009C33A5"/>
    <w:rsid w:val="009C4403"/>
    <w:rsid w:val="009C487E"/>
    <w:rsid w:val="009C4EB1"/>
    <w:rsid w:val="009C51E0"/>
    <w:rsid w:val="009C612E"/>
    <w:rsid w:val="009C6543"/>
    <w:rsid w:val="009C66BD"/>
    <w:rsid w:val="009C6DA1"/>
    <w:rsid w:val="009C7378"/>
    <w:rsid w:val="009C7558"/>
    <w:rsid w:val="009D0895"/>
    <w:rsid w:val="009D13CD"/>
    <w:rsid w:val="009D1A14"/>
    <w:rsid w:val="009D1DD9"/>
    <w:rsid w:val="009D2B10"/>
    <w:rsid w:val="009D3953"/>
    <w:rsid w:val="009D4862"/>
    <w:rsid w:val="009D4C9D"/>
    <w:rsid w:val="009D4CCE"/>
    <w:rsid w:val="009D5172"/>
    <w:rsid w:val="009D6D47"/>
    <w:rsid w:val="009D6F1D"/>
    <w:rsid w:val="009D7E3E"/>
    <w:rsid w:val="009E00CB"/>
    <w:rsid w:val="009E0BEC"/>
    <w:rsid w:val="009E0DAD"/>
    <w:rsid w:val="009E164C"/>
    <w:rsid w:val="009E1F2B"/>
    <w:rsid w:val="009E2C0D"/>
    <w:rsid w:val="009E397C"/>
    <w:rsid w:val="009E3DCA"/>
    <w:rsid w:val="009E57CF"/>
    <w:rsid w:val="009E58AD"/>
    <w:rsid w:val="009E5BFD"/>
    <w:rsid w:val="009E6326"/>
    <w:rsid w:val="009E6435"/>
    <w:rsid w:val="009E6604"/>
    <w:rsid w:val="009E6BF4"/>
    <w:rsid w:val="009E6C8D"/>
    <w:rsid w:val="009E6D53"/>
    <w:rsid w:val="009E7668"/>
    <w:rsid w:val="009E7817"/>
    <w:rsid w:val="009E7BA5"/>
    <w:rsid w:val="009E7C00"/>
    <w:rsid w:val="009E7E03"/>
    <w:rsid w:val="009F066C"/>
    <w:rsid w:val="009F0C64"/>
    <w:rsid w:val="009F0D85"/>
    <w:rsid w:val="009F1AA5"/>
    <w:rsid w:val="009F26D1"/>
    <w:rsid w:val="009F2B7D"/>
    <w:rsid w:val="009F36AD"/>
    <w:rsid w:val="009F4658"/>
    <w:rsid w:val="009F490C"/>
    <w:rsid w:val="009F4AEE"/>
    <w:rsid w:val="009F56C3"/>
    <w:rsid w:val="009F5834"/>
    <w:rsid w:val="009F62F6"/>
    <w:rsid w:val="009F6648"/>
    <w:rsid w:val="009F69B5"/>
    <w:rsid w:val="009F6D32"/>
    <w:rsid w:val="009F783B"/>
    <w:rsid w:val="00A00283"/>
    <w:rsid w:val="00A0031F"/>
    <w:rsid w:val="00A0079D"/>
    <w:rsid w:val="00A007FE"/>
    <w:rsid w:val="00A00ABA"/>
    <w:rsid w:val="00A0205A"/>
    <w:rsid w:val="00A02329"/>
    <w:rsid w:val="00A02CB5"/>
    <w:rsid w:val="00A03560"/>
    <w:rsid w:val="00A0415D"/>
    <w:rsid w:val="00A04701"/>
    <w:rsid w:val="00A04BCA"/>
    <w:rsid w:val="00A04F11"/>
    <w:rsid w:val="00A055BA"/>
    <w:rsid w:val="00A05EAE"/>
    <w:rsid w:val="00A0604D"/>
    <w:rsid w:val="00A06311"/>
    <w:rsid w:val="00A069A3"/>
    <w:rsid w:val="00A069AD"/>
    <w:rsid w:val="00A06CD7"/>
    <w:rsid w:val="00A06D27"/>
    <w:rsid w:val="00A10980"/>
    <w:rsid w:val="00A10FA9"/>
    <w:rsid w:val="00A1163D"/>
    <w:rsid w:val="00A11FE9"/>
    <w:rsid w:val="00A123D7"/>
    <w:rsid w:val="00A130E7"/>
    <w:rsid w:val="00A13AF7"/>
    <w:rsid w:val="00A13B21"/>
    <w:rsid w:val="00A145C4"/>
    <w:rsid w:val="00A15692"/>
    <w:rsid w:val="00A1676A"/>
    <w:rsid w:val="00A16936"/>
    <w:rsid w:val="00A16A93"/>
    <w:rsid w:val="00A17C84"/>
    <w:rsid w:val="00A20696"/>
    <w:rsid w:val="00A20759"/>
    <w:rsid w:val="00A2171F"/>
    <w:rsid w:val="00A21811"/>
    <w:rsid w:val="00A21C73"/>
    <w:rsid w:val="00A21F7C"/>
    <w:rsid w:val="00A21FBB"/>
    <w:rsid w:val="00A2235D"/>
    <w:rsid w:val="00A22F7A"/>
    <w:rsid w:val="00A22FD8"/>
    <w:rsid w:val="00A23619"/>
    <w:rsid w:val="00A23D4D"/>
    <w:rsid w:val="00A25297"/>
    <w:rsid w:val="00A2580C"/>
    <w:rsid w:val="00A26E70"/>
    <w:rsid w:val="00A27249"/>
    <w:rsid w:val="00A272E1"/>
    <w:rsid w:val="00A273B7"/>
    <w:rsid w:val="00A27694"/>
    <w:rsid w:val="00A2775D"/>
    <w:rsid w:val="00A3002D"/>
    <w:rsid w:val="00A302E4"/>
    <w:rsid w:val="00A3030E"/>
    <w:rsid w:val="00A31069"/>
    <w:rsid w:val="00A32770"/>
    <w:rsid w:val="00A32E3B"/>
    <w:rsid w:val="00A33701"/>
    <w:rsid w:val="00A34580"/>
    <w:rsid w:val="00A350AB"/>
    <w:rsid w:val="00A35C9D"/>
    <w:rsid w:val="00A36BCF"/>
    <w:rsid w:val="00A36D2A"/>
    <w:rsid w:val="00A370C6"/>
    <w:rsid w:val="00A377A1"/>
    <w:rsid w:val="00A401D8"/>
    <w:rsid w:val="00A41482"/>
    <w:rsid w:val="00A42546"/>
    <w:rsid w:val="00A4270D"/>
    <w:rsid w:val="00A42AA9"/>
    <w:rsid w:val="00A42D99"/>
    <w:rsid w:val="00A4305F"/>
    <w:rsid w:val="00A437AD"/>
    <w:rsid w:val="00A44246"/>
    <w:rsid w:val="00A44644"/>
    <w:rsid w:val="00A44FAA"/>
    <w:rsid w:val="00A46350"/>
    <w:rsid w:val="00A4692A"/>
    <w:rsid w:val="00A46DB9"/>
    <w:rsid w:val="00A47EE6"/>
    <w:rsid w:val="00A47EFF"/>
    <w:rsid w:val="00A510E7"/>
    <w:rsid w:val="00A520A0"/>
    <w:rsid w:val="00A522E9"/>
    <w:rsid w:val="00A52773"/>
    <w:rsid w:val="00A52FFB"/>
    <w:rsid w:val="00A53B90"/>
    <w:rsid w:val="00A54510"/>
    <w:rsid w:val="00A559FC"/>
    <w:rsid w:val="00A55A3C"/>
    <w:rsid w:val="00A55ED5"/>
    <w:rsid w:val="00A56A0B"/>
    <w:rsid w:val="00A5707F"/>
    <w:rsid w:val="00A5731A"/>
    <w:rsid w:val="00A5787C"/>
    <w:rsid w:val="00A57AEE"/>
    <w:rsid w:val="00A57CAB"/>
    <w:rsid w:val="00A605D3"/>
    <w:rsid w:val="00A606E0"/>
    <w:rsid w:val="00A61752"/>
    <w:rsid w:val="00A61C7F"/>
    <w:rsid w:val="00A621FC"/>
    <w:rsid w:val="00A62417"/>
    <w:rsid w:val="00A62BFC"/>
    <w:rsid w:val="00A62FFF"/>
    <w:rsid w:val="00A63545"/>
    <w:rsid w:val="00A63B60"/>
    <w:rsid w:val="00A63FAD"/>
    <w:rsid w:val="00A65580"/>
    <w:rsid w:val="00A66380"/>
    <w:rsid w:val="00A66B04"/>
    <w:rsid w:val="00A70421"/>
    <w:rsid w:val="00A71282"/>
    <w:rsid w:val="00A7243D"/>
    <w:rsid w:val="00A72AA2"/>
    <w:rsid w:val="00A72CA4"/>
    <w:rsid w:val="00A731C3"/>
    <w:rsid w:val="00A73B47"/>
    <w:rsid w:val="00A74AFA"/>
    <w:rsid w:val="00A7507D"/>
    <w:rsid w:val="00A75A45"/>
    <w:rsid w:val="00A76140"/>
    <w:rsid w:val="00A7672B"/>
    <w:rsid w:val="00A76D71"/>
    <w:rsid w:val="00A770D9"/>
    <w:rsid w:val="00A77773"/>
    <w:rsid w:val="00A805F4"/>
    <w:rsid w:val="00A80CEA"/>
    <w:rsid w:val="00A81781"/>
    <w:rsid w:val="00A817C1"/>
    <w:rsid w:val="00A818F4"/>
    <w:rsid w:val="00A82375"/>
    <w:rsid w:val="00A82891"/>
    <w:rsid w:val="00A82C62"/>
    <w:rsid w:val="00A82D4A"/>
    <w:rsid w:val="00A84B9F"/>
    <w:rsid w:val="00A85357"/>
    <w:rsid w:val="00A856A2"/>
    <w:rsid w:val="00A856F4"/>
    <w:rsid w:val="00A85A53"/>
    <w:rsid w:val="00A86786"/>
    <w:rsid w:val="00A86A49"/>
    <w:rsid w:val="00A86A7B"/>
    <w:rsid w:val="00A87AEE"/>
    <w:rsid w:val="00A9186D"/>
    <w:rsid w:val="00A928F8"/>
    <w:rsid w:val="00A93955"/>
    <w:rsid w:val="00A949B6"/>
    <w:rsid w:val="00A9571D"/>
    <w:rsid w:val="00A95770"/>
    <w:rsid w:val="00A95C34"/>
    <w:rsid w:val="00A962AA"/>
    <w:rsid w:val="00A96320"/>
    <w:rsid w:val="00A96334"/>
    <w:rsid w:val="00A96CF6"/>
    <w:rsid w:val="00A9763F"/>
    <w:rsid w:val="00AA0148"/>
    <w:rsid w:val="00AA0E2C"/>
    <w:rsid w:val="00AA1617"/>
    <w:rsid w:val="00AA1EEC"/>
    <w:rsid w:val="00AA3921"/>
    <w:rsid w:val="00AA3A96"/>
    <w:rsid w:val="00AA3EA5"/>
    <w:rsid w:val="00AA4501"/>
    <w:rsid w:val="00AA4F4D"/>
    <w:rsid w:val="00AA5240"/>
    <w:rsid w:val="00AA63DC"/>
    <w:rsid w:val="00AA65A7"/>
    <w:rsid w:val="00AA781F"/>
    <w:rsid w:val="00AA7B2B"/>
    <w:rsid w:val="00AB0F14"/>
    <w:rsid w:val="00AB14B6"/>
    <w:rsid w:val="00AB14BD"/>
    <w:rsid w:val="00AB25FD"/>
    <w:rsid w:val="00AB3181"/>
    <w:rsid w:val="00AB32F7"/>
    <w:rsid w:val="00AB37FC"/>
    <w:rsid w:val="00AB3CC9"/>
    <w:rsid w:val="00AB423B"/>
    <w:rsid w:val="00AB4687"/>
    <w:rsid w:val="00AB475E"/>
    <w:rsid w:val="00AB4FB5"/>
    <w:rsid w:val="00AB5288"/>
    <w:rsid w:val="00AB52CC"/>
    <w:rsid w:val="00AB5572"/>
    <w:rsid w:val="00AB5B00"/>
    <w:rsid w:val="00AB60E1"/>
    <w:rsid w:val="00AB66ED"/>
    <w:rsid w:val="00AB6D07"/>
    <w:rsid w:val="00AB72E6"/>
    <w:rsid w:val="00AB7D3A"/>
    <w:rsid w:val="00AC088F"/>
    <w:rsid w:val="00AC0D7E"/>
    <w:rsid w:val="00AC100D"/>
    <w:rsid w:val="00AC143A"/>
    <w:rsid w:val="00AC1E5B"/>
    <w:rsid w:val="00AC27F6"/>
    <w:rsid w:val="00AC357B"/>
    <w:rsid w:val="00AC3C79"/>
    <w:rsid w:val="00AC3E19"/>
    <w:rsid w:val="00AC3FC5"/>
    <w:rsid w:val="00AC4B3D"/>
    <w:rsid w:val="00AC5103"/>
    <w:rsid w:val="00AC6395"/>
    <w:rsid w:val="00AC6615"/>
    <w:rsid w:val="00AC6618"/>
    <w:rsid w:val="00AC7167"/>
    <w:rsid w:val="00AC7470"/>
    <w:rsid w:val="00AC783C"/>
    <w:rsid w:val="00AC7FE3"/>
    <w:rsid w:val="00AD0083"/>
    <w:rsid w:val="00AD0564"/>
    <w:rsid w:val="00AD084E"/>
    <w:rsid w:val="00AD0D35"/>
    <w:rsid w:val="00AD1269"/>
    <w:rsid w:val="00AD13F3"/>
    <w:rsid w:val="00AD149C"/>
    <w:rsid w:val="00AD280A"/>
    <w:rsid w:val="00AD2EA8"/>
    <w:rsid w:val="00AD3E21"/>
    <w:rsid w:val="00AD4400"/>
    <w:rsid w:val="00AD475E"/>
    <w:rsid w:val="00AD4AB0"/>
    <w:rsid w:val="00AD4E54"/>
    <w:rsid w:val="00AD5339"/>
    <w:rsid w:val="00AD5AA0"/>
    <w:rsid w:val="00AD62E0"/>
    <w:rsid w:val="00AD66B4"/>
    <w:rsid w:val="00AD6710"/>
    <w:rsid w:val="00AD6ED8"/>
    <w:rsid w:val="00AD6F91"/>
    <w:rsid w:val="00AD7308"/>
    <w:rsid w:val="00AD7419"/>
    <w:rsid w:val="00AD7563"/>
    <w:rsid w:val="00AD759B"/>
    <w:rsid w:val="00AD7C1D"/>
    <w:rsid w:val="00AE05AB"/>
    <w:rsid w:val="00AE0D3A"/>
    <w:rsid w:val="00AE1320"/>
    <w:rsid w:val="00AE27C7"/>
    <w:rsid w:val="00AE2B94"/>
    <w:rsid w:val="00AE37BC"/>
    <w:rsid w:val="00AE43EF"/>
    <w:rsid w:val="00AE4434"/>
    <w:rsid w:val="00AE47EF"/>
    <w:rsid w:val="00AE4D40"/>
    <w:rsid w:val="00AE5165"/>
    <w:rsid w:val="00AE5943"/>
    <w:rsid w:val="00AE5AFA"/>
    <w:rsid w:val="00AE5F48"/>
    <w:rsid w:val="00AE6385"/>
    <w:rsid w:val="00AE6895"/>
    <w:rsid w:val="00AE6914"/>
    <w:rsid w:val="00AE73CC"/>
    <w:rsid w:val="00AE7C65"/>
    <w:rsid w:val="00AF0208"/>
    <w:rsid w:val="00AF0430"/>
    <w:rsid w:val="00AF1C14"/>
    <w:rsid w:val="00AF2751"/>
    <w:rsid w:val="00AF42B6"/>
    <w:rsid w:val="00AF4450"/>
    <w:rsid w:val="00AF49FD"/>
    <w:rsid w:val="00AF4D6B"/>
    <w:rsid w:val="00AF4DED"/>
    <w:rsid w:val="00AF56B7"/>
    <w:rsid w:val="00AF5F0B"/>
    <w:rsid w:val="00AF5FD9"/>
    <w:rsid w:val="00AF6259"/>
    <w:rsid w:val="00AF6733"/>
    <w:rsid w:val="00AF67C4"/>
    <w:rsid w:val="00AF6F0F"/>
    <w:rsid w:val="00AF73E4"/>
    <w:rsid w:val="00AF7A52"/>
    <w:rsid w:val="00AF7EB9"/>
    <w:rsid w:val="00B00948"/>
    <w:rsid w:val="00B00CB9"/>
    <w:rsid w:val="00B011D6"/>
    <w:rsid w:val="00B01A00"/>
    <w:rsid w:val="00B0328D"/>
    <w:rsid w:val="00B03AAE"/>
    <w:rsid w:val="00B03F4A"/>
    <w:rsid w:val="00B04B53"/>
    <w:rsid w:val="00B04C18"/>
    <w:rsid w:val="00B050A4"/>
    <w:rsid w:val="00B0543A"/>
    <w:rsid w:val="00B05ED9"/>
    <w:rsid w:val="00B06069"/>
    <w:rsid w:val="00B0663E"/>
    <w:rsid w:val="00B06CF9"/>
    <w:rsid w:val="00B06EFE"/>
    <w:rsid w:val="00B0715B"/>
    <w:rsid w:val="00B07A1A"/>
    <w:rsid w:val="00B1046C"/>
    <w:rsid w:val="00B108E3"/>
    <w:rsid w:val="00B10A46"/>
    <w:rsid w:val="00B10D8F"/>
    <w:rsid w:val="00B10E80"/>
    <w:rsid w:val="00B115AC"/>
    <w:rsid w:val="00B11745"/>
    <w:rsid w:val="00B133AE"/>
    <w:rsid w:val="00B138E0"/>
    <w:rsid w:val="00B14080"/>
    <w:rsid w:val="00B14803"/>
    <w:rsid w:val="00B16FE0"/>
    <w:rsid w:val="00B17B0F"/>
    <w:rsid w:val="00B17B14"/>
    <w:rsid w:val="00B20DC1"/>
    <w:rsid w:val="00B20E1B"/>
    <w:rsid w:val="00B20FB3"/>
    <w:rsid w:val="00B20FF1"/>
    <w:rsid w:val="00B22095"/>
    <w:rsid w:val="00B22871"/>
    <w:rsid w:val="00B229DC"/>
    <w:rsid w:val="00B22EE1"/>
    <w:rsid w:val="00B232EA"/>
    <w:rsid w:val="00B237E4"/>
    <w:rsid w:val="00B24741"/>
    <w:rsid w:val="00B2490B"/>
    <w:rsid w:val="00B2500A"/>
    <w:rsid w:val="00B2585A"/>
    <w:rsid w:val="00B25BF4"/>
    <w:rsid w:val="00B26A08"/>
    <w:rsid w:val="00B26A67"/>
    <w:rsid w:val="00B276F8"/>
    <w:rsid w:val="00B32655"/>
    <w:rsid w:val="00B32797"/>
    <w:rsid w:val="00B32CC1"/>
    <w:rsid w:val="00B332D7"/>
    <w:rsid w:val="00B34120"/>
    <w:rsid w:val="00B34556"/>
    <w:rsid w:val="00B345F5"/>
    <w:rsid w:val="00B34DED"/>
    <w:rsid w:val="00B34E97"/>
    <w:rsid w:val="00B353B4"/>
    <w:rsid w:val="00B35CCB"/>
    <w:rsid w:val="00B360B5"/>
    <w:rsid w:val="00B3661C"/>
    <w:rsid w:val="00B366B4"/>
    <w:rsid w:val="00B376AD"/>
    <w:rsid w:val="00B3787C"/>
    <w:rsid w:val="00B41F2A"/>
    <w:rsid w:val="00B42AA3"/>
    <w:rsid w:val="00B42AF5"/>
    <w:rsid w:val="00B43A24"/>
    <w:rsid w:val="00B43C57"/>
    <w:rsid w:val="00B4552A"/>
    <w:rsid w:val="00B4575C"/>
    <w:rsid w:val="00B45B28"/>
    <w:rsid w:val="00B46E78"/>
    <w:rsid w:val="00B47068"/>
    <w:rsid w:val="00B47181"/>
    <w:rsid w:val="00B479B8"/>
    <w:rsid w:val="00B47DBB"/>
    <w:rsid w:val="00B47DCB"/>
    <w:rsid w:val="00B50272"/>
    <w:rsid w:val="00B51423"/>
    <w:rsid w:val="00B516EF"/>
    <w:rsid w:val="00B51947"/>
    <w:rsid w:val="00B51A61"/>
    <w:rsid w:val="00B51C21"/>
    <w:rsid w:val="00B51C62"/>
    <w:rsid w:val="00B520E6"/>
    <w:rsid w:val="00B521C6"/>
    <w:rsid w:val="00B52DA7"/>
    <w:rsid w:val="00B52E7E"/>
    <w:rsid w:val="00B53139"/>
    <w:rsid w:val="00B533DF"/>
    <w:rsid w:val="00B53652"/>
    <w:rsid w:val="00B53DCF"/>
    <w:rsid w:val="00B54A3F"/>
    <w:rsid w:val="00B54E86"/>
    <w:rsid w:val="00B5567A"/>
    <w:rsid w:val="00B55F9D"/>
    <w:rsid w:val="00B5627E"/>
    <w:rsid w:val="00B56717"/>
    <w:rsid w:val="00B56A44"/>
    <w:rsid w:val="00B56B42"/>
    <w:rsid w:val="00B57843"/>
    <w:rsid w:val="00B57B27"/>
    <w:rsid w:val="00B57C93"/>
    <w:rsid w:val="00B60BC7"/>
    <w:rsid w:val="00B60ECC"/>
    <w:rsid w:val="00B611E4"/>
    <w:rsid w:val="00B620A8"/>
    <w:rsid w:val="00B620CB"/>
    <w:rsid w:val="00B62BBA"/>
    <w:rsid w:val="00B63C5D"/>
    <w:rsid w:val="00B63E32"/>
    <w:rsid w:val="00B6449C"/>
    <w:rsid w:val="00B6475A"/>
    <w:rsid w:val="00B647E6"/>
    <w:rsid w:val="00B6573F"/>
    <w:rsid w:val="00B65EC1"/>
    <w:rsid w:val="00B66058"/>
    <w:rsid w:val="00B664DA"/>
    <w:rsid w:val="00B6733E"/>
    <w:rsid w:val="00B676AD"/>
    <w:rsid w:val="00B676D8"/>
    <w:rsid w:val="00B67714"/>
    <w:rsid w:val="00B67845"/>
    <w:rsid w:val="00B705A9"/>
    <w:rsid w:val="00B70642"/>
    <w:rsid w:val="00B71443"/>
    <w:rsid w:val="00B72E48"/>
    <w:rsid w:val="00B72FAE"/>
    <w:rsid w:val="00B73261"/>
    <w:rsid w:val="00B7391A"/>
    <w:rsid w:val="00B74951"/>
    <w:rsid w:val="00B74ABD"/>
    <w:rsid w:val="00B74BD4"/>
    <w:rsid w:val="00B754F8"/>
    <w:rsid w:val="00B76EFF"/>
    <w:rsid w:val="00B772C5"/>
    <w:rsid w:val="00B776F6"/>
    <w:rsid w:val="00B80489"/>
    <w:rsid w:val="00B80A81"/>
    <w:rsid w:val="00B81002"/>
    <w:rsid w:val="00B810F8"/>
    <w:rsid w:val="00B81845"/>
    <w:rsid w:val="00B818ED"/>
    <w:rsid w:val="00B81F57"/>
    <w:rsid w:val="00B839FC"/>
    <w:rsid w:val="00B83AF1"/>
    <w:rsid w:val="00B83B47"/>
    <w:rsid w:val="00B83CDA"/>
    <w:rsid w:val="00B8412C"/>
    <w:rsid w:val="00B84260"/>
    <w:rsid w:val="00B84851"/>
    <w:rsid w:val="00B86786"/>
    <w:rsid w:val="00B86DEC"/>
    <w:rsid w:val="00B86E92"/>
    <w:rsid w:val="00B87627"/>
    <w:rsid w:val="00B87EEA"/>
    <w:rsid w:val="00B87F2A"/>
    <w:rsid w:val="00B900F8"/>
    <w:rsid w:val="00B90153"/>
    <w:rsid w:val="00B90231"/>
    <w:rsid w:val="00B91F86"/>
    <w:rsid w:val="00B922FE"/>
    <w:rsid w:val="00B9244C"/>
    <w:rsid w:val="00B927F2"/>
    <w:rsid w:val="00B92CE9"/>
    <w:rsid w:val="00B9303D"/>
    <w:rsid w:val="00B930A1"/>
    <w:rsid w:val="00B93A17"/>
    <w:rsid w:val="00B93B4F"/>
    <w:rsid w:val="00B9409E"/>
    <w:rsid w:val="00B94AD2"/>
    <w:rsid w:val="00B94D8D"/>
    <w:rsid w:val="00B94DA0"/>
    <w:rsid w:val="00B96622"/>
    <w:rsid w:val="00B97A01"/>
    <w:rsid w:val="00BA0409"/>
    <w:rsid w:val="00BA067F"/>
    <w:rsid w:val="00BA0F12"/>
    <w:rsid w:val="00BA10C8"/>
    <w:rsid w:val="00BA25FA"/>
    <w:rsid w:val="00BA3229"/>
    <w:rsid w:val="00BA358E"/>
    <w:rsid w:val="00BA52AC"/>
    <w:rsid w:val="00BA52CF"/>
    <w:rsid w:val="00BA535F"/>
    <w:rsid w:val="00BA57A3"/>
    <w:rsid w:val="00BA5906"/>
    <w:rsid w:val="00BA5AD8"/>
    <w:rsid w:val="00BA75CE"/>
    <w:rsid w:val="00BA77C9"/>
    <w:rsid w:val="00BA7E70"/>
    <w:rsid w:val="00BB0721"/>
    <w:rsid w:val="00BB0B15"/>
    <w:rsid w:val="00BB0D1D"/>
    <w:rsid w:val="00BB0D6C"/>
    <w:rsid w:val="00BB0D9B"/>
    <w:rsid w:val="00BB1A1E"/>
    <w:rsid w:val="00BB1A6D"/>
    <w:rsid w:val="00BB1F3D"/>
    <w:rsid w:val="00BB220A"/>
    <w:rsid w:val="00BB2736"/>
    <w:rsid w:val="00BB2954"/>
    <w:rsid w:val="00BB38DD"/>
    <w:rsid w:val="00BB39EB"/>
    <w:rsid w:val="00BB4111"/>
    <w:rsid w:val="00BB4192"/>
    <w:rsid w:val="00BB4593"/>
    <w:rsid w:val="00BB4657"/>
    <w:rsid w:val="00BB502B"/>
    <w:rsid w:val="00BB5588"/>
    <w:rsid w:val="00BB5659"/>
    <w:rsid w:val="00BB59DF"/>
    <w:rsid w:val="00BB776A"/>
    <w:rsid w:val="00BC0F7C"/>
    <w:rsid w:val="00BC2185"/>
    <w:rsid w:val="00BC2234"/>
    <w:rsid w:val="00BC2626"/>
    <w:rsid w:val="00BC30BF"/>
    <w:rsid w:val="00BC3D55"/>
    <w:rsid w:val="00BC445A"/>
    <w:rsid w:val="00BC474E"/>
    <w:rsid w:val="00BC4895"/>
    <w:rsid w:val="00BC49B0"/>
    <w:rsid w:val="00BC4C57"/>
    <w:rsid w:val="00BC4C9E"/>
    <w:rsid w:val="00BC4ECE"/>
    <w:rsid w:val="00BC5310"/>
    <w:rsid w:val="00BC556D"/>
    <w:rsid w:val="00BC56AA"/>
    <w:rsid w:val="00BC59A2"/>
    <w:rsid w:val="00BC5AF5"/>
    <w:rsid w:val="00BC5B9E"/>
    <w:rsid w:val="00BC6245"/>
    <w:rsid w:val="00BC62ED"/>
    <w:rsid w:val="00BC633F"/>
    <w:rsid w:val="00BC6C1A"/>
    <w:rsid w:val="00BD01A3"/>
    <w:rsid w:val="00BD07CD"/>
    <w:rsid w:val="00BD0AC4"/>
    <w:rsid w:val="00BD2406"/>
    <w:rsid w:val="00BD3386"/>
    <w:rsid w:val="00BD3ED2"/>
    <w:rsid w:val="00BD402B"/>
    <w:rsid w:val="00BD4772"/>
    <w:rsid w:val="00BD4A5C"/>
    <w:rsid w:val="00BD4BF6"/>
    <w:rsid w:val="00BD4DF6"/>
    <w:rsid w:val="00BD509C"/>
    <w:rsid w:val="00BD593F"/>
    <w:rsid w:val="00BD5E86"/>
    <w:rsid w:val="00BD7E49"/>
    <w:rsid w:val="00BE040E"/>
    <w:rsid w:val="00BE04C6"/>
    <w:rsid w:val="00BE09DE"/>
    <w:rsid w:val="00BE1006"/>
    <w:rsid w:val="00BE1170"/>
    <w:rsid w:val="00BE17AB"/>
    <w:rsid w:val="00BE17C2"/>
    <w:rsid w:val="00BE26E1"/>
    <w:rsid w:val="00BE3C83"/>
    <w:rsid w:val="00BE444E"/>
    <w:rsid w:val="00BE4E41"/>
    <w:rsid w:val="00BE4FDA"/>
    <w:rsid w:val="00BE5816"/>
    <w:rsid w:val="00BE6E6C"/>
    <w:rsid w:val="00BE731B"/>
    <w:rsid w:val="00BE7488"/>
    <w:rsid w:val="00BE77C8"/>
    <w:rsid w:val="00BF05CA"/>
    <w:rsid w:val="00BF0698"/>
    <w:rsid w:val="00BF0B5E"/>
    <w:rsid w:val="00BF18E1"/>
    <w:rsid w:val="00BF20CA"/>
    <w:rsid w:val="00BF2DD2"/>
    <w:rsid w:val="00BF3025"/>
    <w:rsid w:val="00BF3725"/>
    <w:rsid w:val="00BF56CE"/>
    <w:rsid w:val="00BF5C17"/>
    <w:rsid w:val="00BF5FE5"/>
    <w:rsid w:val="00BF62F0"/>
    <w:rsid w:val="00C004FC"/>
    <w:rsid w:val="00C016B8"/>
    <w:rsid w:val="00C0176F"/>
    <w:rsid w:val="00C019B3"/>
    <w:rsid w:val="00C020ED"/>
    <w:rsid w:val="00C02A4C"/>
    <w:rsid w:val="00C02C0D"/>
    <w:rsid w:val="00C0302E"/>
    <w:rsid w:val="00C03AC4"/>
    <w:rsid w:val="00C03D01"/>
    <w:rsid w:val="00C03DC4"/>
    <w:rsid w:val="00C04AF3"/>
    <w:rsid w:val="00C0509A"/>
    <w:rsid w:val="00C058C6"/>
    <w:rsid w:val="00C05B1B"/>
    <w:rsid w:val="00C05CD7"/>
    <w:rsid w:val="00C05D44"/>
    <w:rsid w:val="00C05DDA"/>
    <w:rsid w:val="00C07A62"/>
    <w:rsid w:val="00C100C7"/>
    <w:rsid w:val="00C107F0"/>
    <w:rsid w:val="00C109C5"/>
    <w:rsid w:val="00C109C7"/>
    <w:rsid w:val="00C10C8C"/>
    <w:rsid w:val="00C10D28"/>
    <w:rsid w:val="00C10D5B"/>
    <w:rsid w:val="00C1161C"/>
    <w:rsid w:val="00C12F5A"/>
    <w:rsid w:val="00C13256"/>
    <w:rsid w:val="00C13FD7"/>
    <w:rsid w:val="00C14840"/>
    <w:rsid w:val="00C14EA4"/>
    <w:rsid w:val="00C1632D"/>
    <w:rsid w:val="00C16649"/>
    <w:rsid w:val="00C16BDD"/>
    <w:rsid w:val="00C16BFD"/>
    <w:rsid w:val="00C16D49"/>
    <w:rsid w:val="00C2049C"/>
    <w:rsid w:val="00C2089C"/>
    <w:rsid w:val="00C21208"/>
    <w:rsid w:val="00C22213"/>
    <w:rsid w:val="00C230BC"/>
    <w:rsid w:val="00C24373"/>
    <w:rsid w:val="00C24BAB"/>
    <w:rsid w:val="00C250BC"/>
    <w:rsid w:val="00C25179"/>
    <w:rsid w:val="00C25622"/>
    <w:rsid w:val="00C2602F"/>
    <w:rsid w:val="00C267DB"/>
    <w:rsid w:val="00C2783E"/>
    <w:rsid w:val="00C30389"/>
    <w:rsid w:val="00C304A3"/>
    <w:rsid w:val="00C3054B"/>
    <w:rsid w:val="00C30B3A"/>
    <w:rsid w:val="00C30BDD"/>
    <w:rsid w:val="00C3196F"/>
    <w:rsid w:val="00C328F1"/>
    <w:rsid w:val="00C3328E"/>
    <w:rsid w:val="00C33D25"/>
    <w:rsid w:val="00C34645"/>
    <w:rsid w:val="00C366B4"/>
    <w:rsid w:val="00C36967"/>
    <w:rsid w:val="00C36E16"/>
    <w:rsid w:val="00C376B3"/>
    <w:rsid w:val="00C407E2"/>
    <w:rsid w:val="00C409CF"/>
    <w:rsid w:val="00C41BAA"/>
    <w:rsid w:val="00C41C07"/>
    <w:rsid w:val="00C426D8"/>
    <w:rsid w:val="00C432CA"/>
    <w:rsid w:val="00C435FF"/>
    <w:rsid w:val="00C43642"/>
    <w:rsid w:val="00C43C7B"/>
    <w:rsid w:val="00C43D5D"/>
    <w:rsid w:val="00C43E15"/>
    <w:rsid w:val="00C44375"/>
    <w:rsid w:val="00C446E4"/>
    <w:rsid w:val="00C4496A"/>
    <w:rsid w:val="00C44E49"/>
    <w:rsid w:val="00C45045"/>
    <w:rsid w:val="00C47333"/>
    <w:rsid w:val="00C47AE4"/>
    <w:rsid w:val="00C50068"/>
    <w:rsid w:val="00C50ACA"/>
    <w:rsid w:val="00C50CB6"/>
    <w:rsid w:val="00C52031"/>
    <w:rsid w:val="00C52155"/>
    <w:rsid w:val="00C5262E"/>
    <w:rsid w:val="00C53115"/>
    <w:rsid w:val="00C5316B"/>
    <w:rsid w:val="00C538F1"/>
    <w:rsid w:val="00C53DA3"/>
    <w:rsid w:val="00C54CAD"/>
    <w:rsid w:val="00C555C8"/>
    <w:rsid w:val="00C5597A"/>
    <w:rsid w:val="00C56B9C"/>
    <w:rsid w:val="00C56DB4"/>
    <w:rsid w:val="00C602F3"/>
    <w:rsid w:val="00C609EB"/>
    <w:rsid w:val="00C60A41"/>
    <w:rsid w:val="00C61544"/>
    <w:rsid w:val="00C61569"/>
    <w:rsid w:val="00C61692"/>
    <w:rsid w:val="00C61985"/>
    <w:rsid w:val="00C61B4D"/>
    <w:rsid w:val="00C61D3D"/>
    <w:rsid w:val="00C61E5F"/>
    <w:rsid w:val="00C626FD"/>
    <w:rsid w:val="00C63A28"/>
    <w:rsid w:val="00C63DCA"/>
    <w:rsid w:val="00C64305"/>
    <w:rsid w:val="00C6507C"/>
    <w:rsid w:val="00C659A3"/>
    <w:rsid w:val="00C67011"/>
    <w:rsid w:val="00C67ECE"/>
    <w:rsid w:val="00C70FEA"/>
    <w:rsid w:val="00C71104"/>
    <w:rsid w:val="00C7184F"/>
    <w:rsid w:val="00C72294"/>
    <w:rsid w:val="00C725C6"/>
    <w:rsid w:val="00C728A3"/>
    <w:rsid w:val="00C731F4"/>
    <w:rsid w:val="00C737C5"/>
    <w:rsid w:val="00C73AE6"/>
    <w:rsid w:val="00C74172"/>
    <w:rsid w:val="00C74600"/>
    <w:rsid w:val="00C74DBF"/>
    <w:rsid w:val="00C75119"/>
    <w:rsid w:val="00C7521A"/>
    <w:rsid w:val="00C75297"/>
    <w:rsid w:val="00C754E1"/>
    <w:rsid w:val="00C757A9"/>
    <w:rsid w:val="00C757B6"/>
    <w:rsid w:val="00C758AB"/>
    <w:rsid w:val="00C75C9F"/>
    <w:rsid w:val="00C76208"/>
    <w:rsid w:val="00C766F6"/>
    <w:rsid w:val="00C76C4A"/>
    <w:rsid w:val="00C7705B"/>
    <w:rsid w:val="00C77A01"/>
    <w:rsid w:val="00C800DC"/>
    <w:rsid w:val="00C8137F"/>
    <w:rsid w:val="00C81975"/>
    <w:rsid w:val="00C81A69"/>
    <w:rsid w:val="00C81C86"/>
    <w:rsid w:val="00C82A55"/>
    <w:rsid w:val="00C82D11"/>
    <w:rsid w:val="00C82D2E"/>
    <w:rsid w:val="00C82E32"/>
    <w:rsid w:val="00C82E3B"/>
    <w:rsid w:val="00C83AAA"/>
    <w:rsid w:val="00C8439F"/>
    <w:rsid w:val="00C848B4"/>
    <w:rsid w:val="00C84E7B"/>
    <w:rsid w:val="00C873E5"/>
    <w:rsid w:val="00C875C7"/>
    <w:rsid w:val="00C877F5"/>
    <w:rsid w:val="00C87B30"/>
    <w:rsid w:val="00C9027D"/>
    <w:rsid w:val="00C90555"/>
    <w:rsid w:val="00C90AAC"/>
    <w:rsid w:val="00C90F5A"/>
    <w:rsid w:val="00C91458"/>
    <w:rsid w:val="00C92248"/>
    <w:rsid w:val="00C92BB5"/>
    <w:rsid w:val="00C92BE3"/>
    <w:rsid w:val="00C9330C"/>
    <w:rsid w:val="00C93877"/>
    <w:rsid w:val="00C93CCD"/>
    <w:rsid w:val="00C93D8C"/>
    <w:rsid w:val="00C941FB"/>
    <w:rsid w:val="00C9421F"/>
    <w:rsid w:val="00C945C4"/>
    <w:rsid w:val="00C948A4"/>
    <w:rsid w:val="00C94E9C"/>
    <w:rsid w:val="00C94FE9"/>
    <w:rsid w:val="00C94FEF"/>
    <w:rsid w:val="00C9518B"/>
    <w:rsid w:val="00C96C84"/>
    <w:rsid w:val="00C96FF9"/>
    <w:rsid w:val="00C97506"/>
    <w:rsid w:val="00C97EEF"/>
    <w:rsid w:val="00CA01A8"/>
    <w:rsid w:val="00CA0665"/>
    <w:rsid w:val="00CA0A09"/>
    <w:rsid w:val="00CA0B50"/>
    <w:rsid w:val="00CA144F"/>
    <w:rsid w:val="00CA3974"/>
    <w:rsid w:val="00CA49A4"/>
    <w:rsid w:val="00CA5318"/>
    <w:rsid w:val="00CA5BD3"/>
    <w:rsid w:val="00CA5C6B"/>
    <w:rsid w:val="00CA6325"/>
    <w:rsid w:val="00CA7E49"/>
    <w:rsid w:val="00CB10F2"/>
    <w:rsid w:val="00CB1105"/>
    <w:rsid w:val="00CB16B5"/>
    <w:rsid w:val="00CB16C1"/>
    <w:rsid w:val="00CB26C9"/>
    <w:rsid w:val="00CB2739"/>
    <w:rsid w:val="00CB2ADF"/>
    <w:rsid w:val="00CB2C86"/>
    <w:rsid w:val="00CB46C7"/>
    <w:rsid w:val="00CB48FE"/>
    <w:rsid w:val="00CB4989"/>
    <w:rsid w:val="00CB51A9"/>
    <w:rsid w:val="00CB55B9"/>
    <w:rsid w:val="00CB5774"/>
    <w:rsid w:val="00CB63B8"/>
    <w:rsid w:val="00CB66FA"/>
    <w:rsid w:val="00CB7A56"/>
    <w:rsid w:val="00CB7B49"/>
    <w:rsid w:val="00CB7C71"/>
    <w:rsid w:val="00CC057F"/>
    <w:rsid w:val="00CC0819"/>
    <w:rsid w:val="00CC1BA9"/>
    <w:rsid w:val="00CC268B"/>
    <w:rsid w:val="00CC2709"/>
    <w:rsid w:val="00CC2BF6"/>
    <w:rsid w:val="00CC2DC9"/>
    <w:rsid w:val="00CC3D7B"/>
    <w:rsid w:val="00CC3DEB"/>
    <w:rsid w:val="00CC4693"/>
    <w:rsid w:val="00CC47C9"/>
    <w:rsid w:val="00CC4F2D"/>
    <w:rsid w:val="00CC52F8"/>
    <w:rsid w:val="00CC5543"/>
    <w:rsid w:val="00CC6647"/>
    <w:rsid w:val="00CC6689"/>
    <w:rsid w:val="00CD0168"/>
    <w:rsid w:val="00CD0F67"/>
    <w:rsid w:val="00CD171F"/>
    <w:rsid w:val="00CD187F"/>
    <w:rsid w:val="00CD1AD0"/>
    <w:rsid w:val="00CD1B3A"/>
    <w:rsid w:val="00CD294C"/>
    <w:rsid w:val="00CD3A8D"/>
    <w:rsid w:val="00CD3DC8"/>
    <w:rsid w:val="00CD3F7E"/>
    <w:rsid w:val="00CD4BF6"/>
    <w:rsid w:val="00CD6E50"/>
    <w:rsid w:val="00CD7455"/>
    <w:rsid w:val="00CD76A6"/>
    <w:rsid w:val="00CD78E5"/>
    <w:rsid w:val="00CD7BEC"/>
    <w:rsid w:val="00CD7FBA"/>
    <w:rsid w:val="00CE0289"/>
    <w:rsid w:val="00CE15A6"/>
    <w:rsid w:val="00CE1C50"/>
    <w:rsid w:val="00CE1CD8"/>
    <w:rsid w:val="00CE1E7A"/>
    <w:rsid w:val="00CE30E9"/>
    <w:rsid w:val="00CE32AB"/>
    <w:rsid w:val="00CE3565"/>
    <w:rsid w:val="00CE398A"/>
    <w:rsid w:val="00CE5156"/>
    <w:rsid w:val="00CE5645"/>
    <w:rsid w:val="00CE6D1C"/>
    <w:rsid w:val="00CE6EDC"/>
    <w:rsid w:val="00CE7086"/>
    <w:rsid w:val="00CE7475"/>
    <w:rsid w:val="00CE7B7A"/>
    <w:rsid w:val="00CF0549"/>
    <w:rsid w:val="00CF13DF"/>
    <w:rsid w:val="00CF15C2"/>
    <w:rsid w:val="00CF160E"/>
    <w:rsid w:val="00CF165E"/>
    <w:rsid w:val="00CF1EDE"/>
    <w:rsid w:val="00CF2096"/>
    <w:rsid w:val="00CF3A6D"/>
    <w:rsid w:val="00CF3BC3"/>
    <w:rsid w:val="00CF3C6B"/>
    <w:rsid w:val="00CF4519"/>
    <w:rsid w:val="00CF48E0"/>
    <w:rsid w:val="00CF59C7"/>
    <w:rsid w:val="00CF5EB5"/>
    <w:rsid w:val="00CF61CC"/>
    <w:rsid w:val="00CF684C"/>
    <w:rsid w:val="00CF6D8F"/>
    <w:rsid w:val="00CF752A"/>
    <w:rsid w:val="00D001AE"/>
    <w:rsid w:val="00D004D1"/>
    <w:rsid w:val="00D00F27"/>
    <w:rsid w:val="00D0143B"/>
    <w:rsid w:val="00D01FAB"/>
    <w:rsid w:val="00D024FE"/>
    <w:rsid w:val="00D026F4"/>
    <w:rsid w:val="00D028BE"/>
    <w:rsid w:val="00D032C5"/>
    <w:rsid w:val="00D053CB"/>
    <w:rsid w:val="00D05C56"/>
    <w:rsid w:val="00D05F3A"/>
    <w:rsid w:val="00D0699F"/>
    <w:rsid w:val="00D06B7D"/>
    <w:rsid w:val="00D06FAF"/>
    <w:rsid w:val="00D07655"/>
    <w:rsid w:val="00D07E65"/>
    <w:rsid w:val="00D10D27"/>
    <w:rsid w:val="00D1123F"/>
    <w:rsid w:val="00D118A5"/>
    <w:rsid w:val="00D125FC"/>
    <w:rsid w:val="00D12FC3"/>
    <w:rsid w:val="00D135FC"/>
    <w:rsid w:val="00D13B0B"/>
    <w:rsid w:val="00D13EE9"/>
    <w:rsid w:val="00D13F2A"/>
    <w:rsid w:val="00D13F80"/>
    <w:rsid w:val="00D1466B"/>
    <w:rsid w:val="00D14688"/>
    <w:rsid w:val="00D14A07"/>
    <w:rsid w:val="00D15253"/>
    <w:rsid w:val="00D15461"/>
    <w:rsid w:val="00D15BDE"/>
    <w:rsid w:val="00D16129"/>
    <w:rsid w:val="00D163D4"/>
    <w:rsid w:val="00D163E2"/>
    <w:rsid w:val="00D167BE"/>
    <w:rsid w:val="00D1704E"/>
    <w:rsid w:val="00D17438"/>
    <w:rsid w:val="00D17E62"/>
    <w:rsid w:val="00D20003"/>
    <w:rsid w:val="00D20905"/>
    <w:rsid w:val="00D20B7E"/>
    <w:rsid w:val="00D20F07"/>
    <w:rsid w:val="00D21E9A"/>
    <w:rsid w:val="00D222C5"/>
    <w:rsid w:val="00D23ACE"/>
    <w:rsid w:val="00D243A7"/>
    <w:rsid w:val="00D243E0"/>
    <w:rsid w:val="00D25234"/>
    <w:rsid w:val="00D25630"/>
    <w:rsid w:val="00D27042"/>
    <w:rsid w:val="00D2737E"/>
    <w:rsid w:val="00D27593"/>
    <w:rsid w:val="00D27F70"/>
    <w:rsid w:val="00D307DC"/>
    <w:rsid w:val="00D31335"/>
    <w:rsid w:val="00D31E34"/>
    <w:rsid w:val="00D324AA"/>
    <w:rsid w:val="00D32DD7"/>
    <w:rsid w:val="00D343CF"/>
    <w:rsid w:val="00D347E2"/>
    <w:rsid w:val="00D3486C"/>
    <w:rsid w:val="00D34C35"/>
    <w:rsid w:val="00D35B84"/>
    <w:rsid w:val="00D35E19"/>
    <w:rsid w:val="00D363C8"/>
    <w:rsid w:val="00D36496"/>
    <w:rsid w:val="00D3697D"/>
    <w:rsid w:val="00D36D3A"/>
    <w:rsid w:val="00D37010"/>
    <w:rsid w:val="00D400EA"/>
    <w:rsid w:val="00D403EF"/>
    <w:rsid w:val="00D410FB"/>
    <w:rsid w:val="00D41A21"/>
    <w:rsid w:val="00D42024"/>
    <w:rsid w:val="00D42181"/>
    <w:rsid w:val="00D4254C"/>
    <w:rsid w:val="00D43079"/>
    <w:rsid w:val="00D43304"/>
    <w:rsid w:val="00D43A78"/>
    <w:rsid w:val="00D43F38"/>
    <w:rsid w:val="00D44880"/>
    <w:rsid w:val="00D456BF"/>
    <w:rsid w:val="00D4658B"/>
    <w:rsid w:val="00D46D92"/>
    <w:rsid w:val="00D471D4"/>
    <w:rsid w:val="00D4751D"/>
    <w:rsid w:val="00D501B3"/>
    <w:rsid w:val="00D5068A"/>
    <w:rsid w:val="00D50880"/>
    <w:rsid w:val="00D512F8"/>
    <w:rsid w:val="00D5150E"/>
    <w:rsid w:val="00D523DC"/>
    <w:rsid w:val="00D525C1"/>
    <w:rsid w:val="00D52FA7"/>
    <w:rsid w:val="00D5397E"/>
    <w:rsid w:val="00D5412C"/>
    <w:rsid w:val="00D543AC"/>
    <w:rsid w:val="00D54986"/>
    <w:rsid w:val="00D5502E"/>
    <w:rsid w:val="00D55D11"/>
    <w:rsid w:val="00D56123"/>
    <w:rsid w:val="00D5643E"/>
    <w:rsid w:val="00D5655C"/>
    <w:rsid w:val="00D56C14"/>
    <w:rsid w:val="00D56FF3"/>
    <w:rsid w:val="00D574DE"/>
    <w:rsid w:val="00D5751C"/>
    <w:rsid w:val="00D575F6"/>
    <w:rsid w:val="00D60494"/>
    <w:rsid w:val="00D61760"/>
    <w:rsid w:val="00D61F07"/>
    <w:rsid w:val="00D62616"/>
    <w:rsid w:val="00D62D95"/>
    <w:rsid w:val="00D62DB1"/>
    <w:rsid w:val="00D62DC8"/>
    <w:rsid w:val="00D6315B"/>
    <w:rsid w:val="00D632AD"/>
    <w:rsid w:val="00D63615"/>
    <w:rsid w:val="00D63F3C"/>
    <w:rsid w:val="00D64666"/>
    <w:rsid w:val="00D649C3"/>
    <w:rsid w:val="00D65887"/>
    <w:rsid w:val="00D65A7D"/>
    <w:rsid w:val="00D65F88"/>
    <w:rsid w:val="00D6658F"/>
    <w:rsid w:val="00D66C3E"/>
    <w:rsid w:val="00D66CCB"/>
    <w:rsid w:val="00D66FA3"/>
    <w:rsid w:val="00D673A6"/>
    <w:rsid w:val="00D67C8E"/>
    <w:rsid w:val="00D67EDB"/>
    <w:rsid w:val="00D70A46"/>
    <w:rsid w:val="00D70CB5"/>
    <w:rsid w:val="00D70D18"/>
    <w:rsid w:val="00D70DD7"/>
    <w:rsid w:val="00D716A9"/>
    <w:rsid w:val="00D717B8"/>
    <w:rsid w:val="00D71B87"/>
    <w:rsid w:val="00D71C0B"/>
    <w:rsid w:val="00D72457"/>
    <w:rsid w:val="00D725C1"/>
    <w:rsid w:val="00D72707"/>
    <w:rsid w:val="00D7316D"/>
    <w:rsid w:val="00D733BF"/>
    <w:rsid w:val="00D7406E"/>
    <w:rsid w:val="00D74165"/>
    <w:rsid w:val="00D74235"/>
    <w:rsid w:val="00D745F7"/>
    <w:rsid w:val="00D74ABD"/>
    <w:rsid w:val="00D74FF1"/>
    <w:rsid w:val="00D753F5"/>
    <w:rsid w:val="00D76718"/>
    <w:rsid w:val="00D76923"/>
    <w:rsid w:val="00D76C3B"/>
    <w:rsid w:val="00D76F61"/>
    <w:rsid w:val="00D77220"/>
    <w:rsid w:val="00D77360"/>
    <w:rsid w:val="00D77A59"/>
    <w:rsid w:val="00D77F74"/>
    <w:rsid w:val="00D8062E"/>
    <w:rsid w:val="00D8069F"/>
    <w:rsid w:val="00D81765"/>
    <w:rsid w:val="00D8247A"/>
    <w:rsid w:val="00D826EF"/>
    <w:rsid w:val="00D82DB8"/>
    <w:rsid w:val="00D82F0E"/>
    <w:rsid w:val="00D83345"/>
    <w:rsid w:val="00D85B6F"/>
    <w:rsid w:val="00D87178"/>
    <w:rsid w:val="00D90203"/>
    <w:rsid w:val="00D90880"/>
    <w:rsid w:val="00D90980"/>
    <w:rsid w:val="00D90E65"/>
    <w:rsid w:val="00D90E77"/>
    <w:rsid w:val="00D91AE9"/>
    <w:rsid w:val="00D91CAB"/>
    <w:rsid w:val="00D93002"/>
    <w:rsid w:val="00D93375"/>
    <w:rsid w:val="00D9347C"/>
    <w:rsid w:val="00D93C68"/>
    <w:rsid w:val="00D945B2"/>
    <w:rsid w:val="00D9467D"/>
    <w:rsid w:val="00D95AF3"/>
    <w:rsid w:val="00D970FC"/>
    <w:rsid w:val="00D97297"/>
    <w:rsid w:val="00D973F5"/>
    <w:rsid w:val="00D97628"/>
    <w:rsid w:val="00D977C7"/>
    <w:rsid w:val="00D978EA"/>
    <w:rsid w:val="00D97995"/>
    <w:rsid w:val="00D97AC5"/>
    <w:rsid w:val="00D97B1B"/>
    <w:rsid w:val="00DA09F1"/>
    <w:rsid w:val="00DA10BF"/>
    <w:rsid w:val="00DA128D"/>
    <w:rsid w:val="00DA2B21"/>
    <w:rsid w:val="00DA3820"/>
    <w:rsid w:val="00DA388C"/>
    <w:rsid w:val="00DA3B11"/>
    <w:rsid w:val="00DA3E5F"/>
    <w:rsid w:val="00DA3E62"/>
    <w:rsid w:val="00DA3E8A"/>
    <w:rsid w:val="00DA3FF0"/>
    <w:rsid w:val="00DA42D3"/>
    <w:rsid w:val="00DA4691"/>
    <w:rsid w:val="00DA49C9"/>
    <w:rsid w:val="00DA4F85"/>
    <w:rsid w:val="00DA61A6"/>
    <w:rsid w:val="00DA6E4B"/>
    <w:rsid w:val="00DA76F7"/>
    <w:rsid w:val="00DA7B46"/>
    <w:rsid w:val="00DB0936"/>
    <w:rsid w:val="00DB261A"/>
    <w:rsid w:val="00DB28CD"/>
    <w:rsid w:val="00DB46DB"/>
    <w:rsid w:val="00DB4805"/>
    <w:rsid w:val="00DB5C3C"/>
    <w:rsid w:val="00DB666B"/>
    <w:rsid w:val="00DB6731"/>
    <w:rsid w:val="00DB6EB5"/>
    <w:rsid w:val="00DB6ED9"/>
    <w:rsid w:val="00DB7784"/>
    <w:rsid w:val="00DC0156"/>
    <w:rsid w:val="00DC065D"/>
    <w:rsid w:val="00DC069B"/>
    <w:rsid w:val="00DC0738"/>
    <w:rsid w:val="00DC0EDE"/>
    <w:rsid w:val="00DC13A3"/>
    <w:rsid w:val="00DC1476"/>
    <w:rsid w:val="00DC17C1"/>
    <w:rsid w:val="00DC18A7"/>
    <w:rsid w:val="00DC24EA"/>
    <w:rsid w:val="00DC2873"/>
    <w:rsid w:val="00DC3DBB"/>
    <w:rsid w:val="00DC5283"/>
    <w:rsid w:val="00DC5B17"/>
    <w:rsid w:val="00DC5F4B"/>
    <w:rsid w:val="00DC5FE0"/>
    <w:rsid w:val="00DC6CA2"/>
    <w:rsid w:val="00DC6D55"/>
    <w:rsid w:val="00DC78B9"/>
    <w:rsid w:val="00DC7B23"/>
    <w:rsid w:val="00DC7B9B"/>
    <w:rsid w:val="00DD03B4"/>
    <w:rsid w:val="00DD09F6"/>
    <w:rsid w:val="00DD0EE4"/>
    <w:rsid w:val="00DD16C9"/>
    <w:rsid w:val="00DD1B02"/>
    <w:rsid w:val="00DD1FF9"/>
    <w:rsid w:val="00DD2067"/>
    <w:rsid w:val="00DD20C0"/>
    <w:rsid w:val="00DD29BA"/>
    <w:rsid w:val="00DD2F1D"/>
    <w:rsid w:val="00DD4344"/>
    <w:rsid w:val="00DD48B8"/>
    <w:rsid w:val="00DD50E5"/>
    <w:rsid w:val="00DD5A7D"/>
    <w:rsid w:val="00DD5B8F"/>
    <w:rsid w:val="00DD627E"/>
    <w:rsid w:val="00DD6626"/>
    <w:rsid w:val="00DD6632"/>
    <w:rsid w:val="00DD6846"/>
    <w:rsid w:val="00DD6980"/>
    <w:rsid w:val="00DD69E1"/>
    <w:rsid w:val="00DD6CD9"/>
    <w:rsid w:val="00DD7106"/>
    <w:rsid w:val="00DD735F"/>
    <w:rsid w:val="00DD7ADC"/>
    <w:rsid w:val="00DE0348"/>
    <w:rsid w:val="00DE0AF6"/>
    <w:rsid w:val="00DE0F4C"/>
    <w:rsid w:val="00DE130E"/>
    <w:rsid w:val="00DE169C"/>
    <w:rsid w:val="00DE233B"/>
    <w:rsid w:val="00DE3C8C"/>
    <w:rsid w:val="00DE4002"/>
    <w:rsid w:val="00DE4810"/>
    <w:rsid w:val="00DE5153"/>
    <w:rsid w:val="00DE5551"/>
    <w:rsid w:val="00DE5943"/>
    <w:rsid w:val="00DE6D36"/>
    <w:rsid w:val="00DE737D"/>
    <w:rsid w:val="00DE7D55"/>
    <w:rsid w:val="00DF0095"/>
    <w:rsid w:val="00DF01E2"/>
    <w:rsid w:val="00DF0BC9"/>
    <w:rsid w:val="00DF0E1A"/>
    <w:rsid w:val="00DF1F27"/>
    <w:rsid w:val="00DF3129"/>
    <w:rsid w:val="00DF3589"/>
    <w:rsid w:val="00DF38D4"/>
    <w:rsid w:val="00DF405F"/>
    <w:rsid w:val="00DF500B"/>
    <w:rsid w:val="00DF5EF1"/>
    <w:rsid w:val="00DF6282"/>
    <w:rsid w:val="00DF6D93"/>
    <w:rsid w:val="00DF6F45"/>
    <w:rsid w:val="00DF7D06"/>
    <w:rsid w:val="00DF7D50"/>
    <w:rsid w:val="00E00382"/>
    <w:rsid w:val="00E00FC6"/>
    <w:rsid w:val="00E013A3"/>
    <w:rsid w:val="00E019A4"/>
    <w:rsid w:val="00E01FFD"/>
    <w:rsid w:val="00E02384"/>
    <w:rsid w:val="00E02EBE"/>
    <w:rsid w:val="00E02F8E"/>
    <w:rsid w:val="00E03293"/>
    <w:rsid w:val="00E03842"/>
    <w:rsid w:val="00E04127"/>
    <w:rsid w:val="00E04130"/>
    <w:rsid w:val="00E047C6"/>
    <w:rsid w:val="00E05039"/>
    <w:rsid w:val="00E05232"/>
    <w:rsid w:val="00E053E4"/>
    <w:rsid w:val="00E05A49"/>
    <w:rsid w:val="00E061DB"/>
    <w:rsid w:val="00E06A82"/>
    <w:rsid w:val="00E06B48"/>
    <w:rsid w:val="00E06C71"/>
    <w:rsid w:val="00E077C8"/>
    <w:rsid w:val="00E07B99"/>
    <w:rsid w:val="00E07EBB"/>
    <w:rsid w:val="00E10239"/>
    <w:rsid w:val="00E11185"/>
    <w:rsid w:val="00E1145D"/>
    <w:rsid w:val="00E11E30"/>
    <w:rsid w:val="00E1208F"/>
    <w:rsid w:val="00E12142"/>
    <w:rsid w:val="00E1228E"/>
    <w:rsid w:val="00E14633"/>
    <w:rsid w:val="00E14D00"/>
    <w:rsid w:val="00E14D1A"/>
    <w:rsid w:val="00E1682F"/>
    <w:rsid w:val="00E173BB"/>
    <w:rsid w:val="00E17FD3"/>
    <w:rsid w:val="00E20003"/>
    <w:rsid w:val="00E20D38"/>
    <w:rsid w:val="00E20E46"/>
    <w:rsid w:val="00E20F93"/>
    <w:rsid w:val="00E21541"/>
    <w:rsid w:val="00E21B2C"/>
    <w:rsid w:val="00E21F7D"/>
    <w:rsid w:val="00E2236F"/>
    <w:rsid w:val="00E23BAD"/>
    <w:rsid w:val="00E24631"/>
    <w:rsid w:val="00E255A6"/>
    <w:rsid w:val="00E265B7"/>
    <w:rsid w:val="00E2664D"/>
    <w:rsid w:val="00E300EC"/>
    <w:rsid w:val="00E30265"/>
    <w:rsid w:val="00E32116"/>
    <w:rsid w:val="00E327DC"/>
    <w:rsid w:val="00E34836"/>
    <w:rsid w:val="00E34A1C"/>
    <w:rsid w:val="00E34C7B"/>
    <w:rsid w:val="00E353EF"/>
    <w:rsid w:val="00E358D0"/>
    <w:rsid w:val="00E35978"/>
    <w:rsid w:val="00E36829"/>
    <w:rsid w:val="00E36B34"/>
    <w:rsid w:val="00E4009A"/>
    <w:rsid w:val="00E41525"/>
    <w:rsid w:val="00E41FEF"/>
    <w:rsid w:val="00E42A86"/>
    <w:rsid w:val="00E438B8"/>
    <w:rsid w:val="00E43919"/>
    <w:rsid w:val="00E439C7"/>
    <w:rsid w:val="00E43BDE"/>
    <w:rsid w:val="00E44177"/>
    <w:rsid w:val="00E44F71"/>
    <w:rsid w:val="00E4571D"/>
    <w:rsid w:val="00E45BA8"/>
    <w:rsid w:val="00E467A1"/>
    <w:rsid w:val="00E46C39"/>
    <w:rsid w:val="00E46C9C"/>
    <w:rsid w:val="00E5053B"/>
    <w:rsid w:val="00E50656"/>
    <w:rsid w:val="00E50EE2"/>
    <w:rsid w:val="00E51C01"/>
    <w:rsid w:val="00E52FB7"/>
    <w:rsid w:val="00E53434"/>
    <w:rsid w:val="00E559C2"/>
    <w:rsid w:val="00E55E4F"/>
    <w:rsid w:val="00E56B3B"/>
    <w:rsid w:val="00E57027"/>
    <w:rsid w:val="00E57031"/>
    <w:rsid w:val="00E5709F"/>
    <w:rsid w:val="00E57B37"/>
    <w:rsid w:val="00E57C07"/>
    <w:rsid w:val="00E62772"/>
    <w:rsid w:val="00E6338C"/>
    <w:rsid w:val="00E64265"/>
    <w:rsid w:val="00E648BD"/>
    <w:rsid w:val="00E64DAB"/>
    <w:rsid w:val="00E65DA0"/>
    <w:rsid w:val="00E65E15"/>
    <w:rsid w:val="00E65EDF"/>
    <w:rsid w:val="00E66083"/>
    <w:rsid w:val="00E66DA4"/>
    <w:rsid w:val="00E70413"/>
    <w:rsid w:val="00E70574"/>
    <w:rsid w:val="00E711E3"/>
    <w:rsid w:val="00E7215B"/>
    <w:rsid w:val="00E74408"/>
    <w:rsid w:val="00E744FF"/>
    <w:rsid w:val="00E74FF6"/>
    <w:rsid w:val="00E75376"/>
    <w:rsid w:val="00E760E2"/>
    <w:rsid w:val="00E76990"/>
    <w:rsid w:val="00E76E9F"/>
    <w:rsid w:val="00E77A87"/>
    <w:rsid w:val="00E81275"/>
    <w:rsid w:val="00E83EBF"/>
    <w:rsid w:val="00E83ECD"/>
    <w:rsid w:val="00E84809"/>
    <w:rsid w:val="00E8544F"/>
    <w:rsid w:val="00E863BA"/>
    <w:rsid w:val="00E865CC"/>
    <w:rsid w:val="00E8749B"/>
    <w:rsid w:val="00E8766B"/>
    <w:rsid w:val="00E90C3F"/>
    <w:rsid w:val="00E91593"/>
    <w:rsid w:val="00E916CE"/>
    <w:rsid w:val="00E91C09"/>
    <w:rsid w:val="00E91DC4"/>
    <w:rsid w:val="00E92198"/>
    <w:rsid w:val="00E92BFA"/>
    <w:rsid w:val="00E92CDE"/>
    <w:rsid w:val="00E9380F"/>
    <w:rsid w:val="00E93947"/>
    <w:rsid w:val="00E93C03"/>
    <w:rsid w:val="00E94425"/>
    <w:rsid w:val="00E9491F"/>
    <w:rsid w:val="00E95393"/>
    <w:rsid w:val="00E96021"/>
    <w:rsid w:val="00E9789A"/>
    <w:rsid w:val="00E97F22"/>
    <w:rsid w:val="00EA04AC"/>
    <w:rsid w:val="00EA0DC5"/>
    <w:rsid w:val="00EA16A8"/>
    <w:rsid w:val="00EA19CD"/>
    <w:rsid w:val="00EA19E7"/>
    <w:rsid w:val="00EA212E"/>
    <w:rsid w:val="00EA2333"/>
    <w:rsid w:val="00EA2A8A"/>
    <w:rsid w:val="00EA2C76"/>
    <w:rsid w:val="00EA2D68"/>
    <w:rsid w:val="00EA3E60"/>
    <w:rsid w:val="00EA3EA0"/>
    <w:rsid w:val="00EA436E"/>
    <w:rsid w:val="00EA4705"/>
    <w:rsid w:val="00EA4DA1"/>
    <w:rsid w:val="00EA57D7"/>
    <w:rsid w:val="00EA5B7D"/>
    <w:rsid w:val="00EA626A"/>
    <w:rsid w:val="00EA6626"/>
    <w:rsid w:val="00EA76EE"/>
    <w:rsid w:val="00EA78C5"/>
    <w:rsid w:val="00EA7E1E"/>
    <w:rsid w:val="00EB0007"/>
    <w:rsid w:val="00EB0864"/>
    <w:rsid w:val="00EB167A"/>
    <w:rsid w:val="00EB18FF"/>
    <w:rsid w:val="00EB1B9C"/>
    <w:rsid w:val="00EB3164"/>
    <w:rsid w:val="00EB3A48"/>
    <w:rsid w:val="00EB402A"/>
    <w:rsid w:val="00EB437D"/>
    <w:rsid w:val="00EB4531"/>
    <w:rsid w:val="00EB4CC6"/>
    <w:rsid w:val="00EB54F2"/>
    <w:rsid w:val="00EB5A1D"/>
    <w:rsid w:val="00EB5D0B"/>
    <w:rsid w:val="00EB6093"/>
    <w:rsid w:val="00EB621E"/>
    <w:rsid w:val="00EB688D"/>
    <w:rsid w:val="00EB6A54"/>
    <w:rsid w:val="00EB70C3"/>
    <w:rsid w:val="00EB73AA"/>
    <w:rsid w:val="00EB763B"/>
    <w:rsid w:val="00EC1EBF"/>
    <w:rsid w:val="00EC21D6"/>
    <w:rsid w:val="00EC242A"/>
    <w:rsid w:val="00EC2F5D"/>
    <w:rsid w:val="00EC33FD"/>
    <w:rsid w:val="00EC3528"/>
    <w:rsid w:val="00EC5354"/>
    <w:rsid w:val="00EC6C11"/>
    <w:rsid w:val="00EC6F2A"/>
    <w:rsid w:val="00EC72B7"/>
    <w:rsid w:val="00EC788E"/>
    <w:rsid w:val="00EC7D81"/>
    <w:rsid w:val="00ED0867"/>
    <w:rsid w:val="00ED10F6"/>
    <w:rsid w:val="00ED1DDA"/>
    <w:rsid w:val="00ED25BF"/>
    <w:rsid w:val="00ED312D"/>
    <w:rsid w:val="00ED338F"/>
    <w:rsid w:val="00ED3538"/>
    <w:rsid w:val="00ED4042"/>
    <w:rsid w:val="00ED4973"/>
    <w:rsid w:val="00ED5D0F"/>
    <w:rsid w:val="00ED610F"/>
    <w:rsid w:val="00ED6FA2"/>
    <w:rsid w:val="00ED7069"/>
    <w:rsid w:val="00ED751D"/>
    <w:rsid w:val="00ED786D"/>
    <w:rsid w:val="00ED7CE0"/>
    <w:rsid w:val="00ED7E86"/>
    <w:rsid w:val="00EE031B"/>
    <w:rsid w:val="00EE1BDB"/>
    <w:rsid w:val="00EE2F78"/>
    <w:rsid w:val="00EE3280"/>
    <w:rsid w:val="00EE3E39"/>
    <w:rsid w:val="00EE4A60"/>
    <w:rsid w:val="00EE4B13"/>
    <w:rsid w:val="00EE62ED"/>
    <w:rsid w:val="00EE7656"/>
    <w:rsid w:val="00EF043B"/>
    <w:rsid w:val="00EF0808"/>
    <w:rsid w:val="00EF1CB8"/>
    <w:rsid w:val="00EF1DC8"/>
    <w:rsid w:val="00EF21C5"/>
    <w:rsid w:val="00EF2241"/>
    <w:rsid w:val="00EF2847"/>
    <w:rsid w:val="00EF290C"/>
    <w:rsid w:val="00EF291A"/>
    <w:rsid w:val="00EF3014"/>
    <w:rsid w:val="00EF34C9"/>
    <w:rsid w:val="00EF37C7"/>
    <w:rsid w:val="00EF38FC"/>
    <w:rsid w:val="00EF43A0"/>
    <w:rsid w:val="00EF4502"/>
    <w:rsid w:val="00EF486D"/>
    <w:rsid w:val="00EF4881"/>
    <w:rsid w:val="00EF493E"/>
    <w:rsid w:val="00EF5981"/>
    <w:rsid w:val="00EF6116"/>
    <w:rsid w:val="00EF6F53"/>
    <w:rsid w:val="00EF74EE"/>
    <w:rsid w:val="00EF76E6"/>
    <w:rsid w:val="00EF7F09"/>
    <w:rsid w:val="00F00306"/>
    <w:rsid w:val="00F0112E"/>
    <w:rsid w:val="00F02255"/>
    <w:rsid w:val="00F029E2"/>
    <w:rsid w:val="00F041DB"/>
    <w:rsid w:val="00F04BC5"/>
    <w:rsid w:val="00F04DAA"/>
    <w:rsid w:val="00F04E0C"/>
    <w:rsid w:val="00F053BC"/>
    <w:rsid w:val="00F05F29"/>
    <w:rsid w:val="00F06A10"/>
    <w:rsid w:val="00F07C18"/>
    <w:rsid w:val="00F101E2"/>
    <w:rsid w:val="00F1041C"/>
    <w:rsid w:val="00F1092B"/>
    <w:rsid w:val="00F11A86"/>
    <w:rsid w:val="00F12E2C"/>
    <w:rsid w:val="00F12F97"/>
    <w:rsid w:val="00F12FAC"/>
    <w:rsid w:val="00F1331D"/>
    <w:rsid w:val="00F140A8"/>
    <w:rsid w:val="00F144FA"/>
    <w:rsid w:val="00F14BA3"/>
    <w:rsid w:val="00F1511F"/>
    <w:rsid w:val="00F15D4F"/>
    <w:rsid w:val="00F1619C"/>
    <w:rsid w:val="00F164F1"/>
    <w:rsid w:val="00F16F78"/>
    <w:rsid w:val="00F17879"/>
    <w:rsid w:val="00F17AE2"/>
    <w:rsid w:val="00F20642"/>
    <w:rsid w:val="00F208A0"/>
    <w:rsid w:val="00F21756"/>
    <w:rsid w:val="00F23096"/>
    <w:rsid w:val="00F239D6"/>
    <w:rsid w:val="00F246EE"/>
    <w:rsid w:val="00F24ED6"/>
    <w:rsid w:val="00F2589F"/>
    <w:rsid w:val="00F25910"/>
    <w:rsid w:val="00F25B10"/>
    <w:rsid w:val="00F25DE9"/>
    <w:rsid w:val="00F2622B"/>
    <w:rsid w:val="00F269A3"/>
    <w:rsid w:val="00F26EDA"/>
    <w:rsid w:val="00F26FA5"/>
    <w:rsid w:val="00F27591"/>
    <w:rsid w:val="00F30405"/>
    <w:rsid w:val="00F30904"/>
    <w:rsid w:val="00F317B4"/>
    <w:rsid w:val="00F31841"/>
    <w:rsid w:val="00F31DF6"/>
    <w:rsid w:val="00F34506"/>
    <w:rsid w:val="00F3457B"/>
    <w:rsid w:val="00F347CD"/>
    <w:rsid w:val="00F36141"/>
    <w:rsid w:val="00F36310"/>
    <w:rsid w:val="00F36A15"/>
    <w:rsid w:val="00F3722B"/>
    <w:rsid w:val="00F37474"/>
    <w:rsid w:val="00F403C6"/>
    <w:rsid w:val="00F4103C"/>
    <w:rsid w:val="00F41970"/>
    <w:rsid w:val="00F41A30"/>
    <w:rsid w:val="00F445D9"/>
    <w:rsid w:val="00F44C60"/>
    <w:rsid w:val="00F44EAA"/>
    <w:rsid w:val="00F4518B"/>
    <w:rsid w:val="00F45CB0"/>
    <w:rsid w:val="00F45E63"/>
    <w:rsid w:val="00F4606C"/>
    <w:rsid w:val="00F4678C"/>
    <w:rsid w:val="00F47D0F"/>
    <w:rsid w:val="00F47FEC"/>
    <w:rsid w:val="00F504D2"/>
    <w:rsid w:val="00F50CD3"/>
    <w:rsid w:val="00F50FB9"/>
    <w:rsid w:val="00F51358"/>
    <w:rsid w:val="00F514F2"/>
    <w:rsid w:val="00F51EFD"/>
    <w:rsid w:val="00F526DE"/>
    <w:rsid w:val="00F52BCD"/>
    <w:rsid w:val="00F52CE6"/>
    <w:rsid w:val="00F52EB5"/>
    <w:rsid w:val="00F538D0"/>
    <w:rsid w:val="00F54F89"/>
    <w:rsid w:val="00F55BF6"/>
    <w:rsid w:val="00F56010"/>
    <w:rsid w:val="00F566AF"/>
    <w:rsid w:val="00F5792E"/>
    <w:rsid w:val="00F57B10"/>
    <w:rsid w:val="00F61E84"/>
    <w:rsid w:val="00F62A1A"/>
    <w:rsid w:val="00F63837"/>
    <w:rsid w:val="00F63D51"/>
    <w:rsid w:val="00F6469F"/>
    <w:rsid w:val="00F64D52"/>
    <w:rsid w:val="00F6540A"/>
    <w:rsid w:val="00F65EA9"/>
    <w:rsid w:val="00F66BF3"/>
    <w:rsid w:val="00F66FAE"/>
    <w:rsid w:val="00F66FCD"/>
    <w:rsid w:val="00F67241"/>
    <w:rsid w:val="00F67248"/>
    <w:rsid w:val="00F67E01"/>
    <w:rsid w:val="00F707DE"/>
    <w:rsid w:val="00F7096E"/>
    <w:rsid w:val="00F71360"/>
    <w:rsid w:val="00F71CDA"/>
    <w:rsid w:val="00F71E11"/>
    <w:rsid w:val="00F71FA0"/>
    <w:rsid w:val="00F7280D"/>
    <w:rsid w:val="00F72E74"/>
    <w:rsid w:val="00F738D9"/>
    <w:rsid w:val="00F73D5F"/>
    <w:rsid w:val="00F7461A"/>
    <w:rsid w:val="00F75745"/>
    <w:rsid w:val="00F759D4"/>
    <w:rsid w:val="00F7692D"/>
    <w:rsid w:val="00F774EC"/>
    <w:rsid w:val="00F7781F"/>
    <w:rsid w:val="00F8022E"/>
    <w:rsid w:val="00F803B8"/>
    <w:rsid w:val="00F804C9"/>
    <w:rsid w:val="00F80742"/>
    <w:rsid w:val="00F8240C"/>
    <w:rsid w:val="00F826AD"/>
    <w:rsid w:val="00F8289F"/>
    <w:rsid w:val="00F82919"/>
    <w:rsid w:val="00F82AD1"/>
    <w:rsid w:val="00F82B90"/>
    <w:rsid w:val="00F82F4E"/>
    <w:rsid w:val="00F83079"/>
    <w:rsid w:val="00F831E1"/>
    <w:rsid w:val="00F83D1E"/>
    <w:rsid w:val="00F841D0"/>
    <w:rsid w:val="00F848D9"/>
    <w:rsid w:val="00F84D8C"/>
    <w:rsid w:val="00F85422"/>
    <w:rsid w:val="00F854FC"/>
    <w:rsid w:val="00F85535"/>
    <w:rsid w:val="00F85F49"/>
    <w:rsid w:val="00F86929"/>
    <w:rsid w:val="00F872B4"/>
    <w:rsid w:val="00F87579"/>
    <w:rsid w:val="00F87F0A"/>
    <w:rsid w:val="00F90360"/>
    <w:rsid w:val="00F903B1"/>
    <w:rsid w:val="00F90496"/>
    <w:rsid w:val="00F90D0F"/>
    <w:rsid w:val="00F90D7A"/>
    <w:rsid w:val="00F91EAE"/>
    <w:rsid w:val="00F91F4A"/>
    <w:rsid w:val="00F93319"/>
    <w:rsid w:val="00F934E3"/>
    <w:rsid w:val="00F937C5"/>
    <w:rsid w:val="00F93BEE"/>
    <w:rsid w:val="00F94402"/>
    <w:rsid w:val="00F9449B"/>
    <w:rsid w:val="00F94B5D"/>
    <w:rsid w:val="00F959D8"/>
    <w:rsid w:val="00F95B41"/>
    <w:rsid w:val="00F95E58"/>
    <w:rsid w:val="00F96F82"/>
    <w:rsid w:val="00F97857"/>
    <w:rsid w:val="00FA0C86"/>
    <w:rsid w:val="00FA17FA"/>
    <w:rsid w:val="00FA222E"/>
    <w:rsid w:val="00FA2CCB"/>
    <w:rsid w:val="00FA3C9E"/>
    <w:rsid w:val="00FA4429"/>
    <w:rsid w:val="00FA4661"/>
    <w:rsid w:val="00FA4D12"/>
    <w:rsid w:val="00FA56E6"/>
    <w:rsid w:val="00FA57DC"/>
    <w:rsid w:val="00FA69D3"/>
    <w:rsid w:val="00FA6A41"/>
    <w:rsid w:val="00FA768F"/>
    <w:rsid w:val="00FB0000"/>
    <w:rsid w:val="00FB012A"/>
    <w:rsid w:val="00FB029F"/>
    <w:rsid w:val="00FB0CF7"/>
    <w:rsid w:val="00FB1B3B"/>
    <w:rsid w:val="00FB3050"/>
    <w:rsid w:val="00FB415E"/>
    <w:rsid w:val="00FB4A78"/>
    <w:rsid w:val="00FB4DA6"/>
    <w:rsid w:val="00FB541D"/>
    <w:rsid w:val="00FB5585"/>
    <w:rsid w:val="00FB5B20"/>
    <w:rsid w:val="00FB699C"/>
    <w:rsid w:val="00FC000B"/>
    <w:rsid w:val="00FC06CE"/>
    <w:rsid w:val="00FC0738"/>
    <w:rsid w:val="00FC0B79"/>
    <w:rsid w:val="00FC2055"/>
    <w:rsid w:val="00FC21EE"/>
    <w:rsid w:val="00FC2CA4"/>
    <w:rsid w:val="00FC35D5"/>
    <w:rsid w:val="00FC3814"/>
    <w:rsid w:val="00FC38FF"/>
    <w:rsid w:val="00FC3900"/>
    <w:rsid w:val="00FC3B80"/>
    <w:rsid w:val="00FC439A"/>
    <w:rsid w:val="00FC4732"/>
    <w:rsid w:val="00FC4B2F"/>
    <w:rsid w:val="00FC54C2"/>
    <w:rsid w:val="00FC6014"/>
    <w:rsid w:val="00FC70ED"/>
    <w:rsid w:val="00FD076C"/>
    <w:rsid w:val="00FD0B75"/>
    <w:rsid w:val="00FD1A02"/>
    <w:rsid w:val="00FD2364"/>
    <w:rsid w:val="00FD283F"/>
    <w:rsid w:val="00FD28FF"/>
    <w:rsid w:val="00FD3727"/>
    <w:rsid w:val="00FD3B5B"/>
    <w:rsid w:val="00FD43DF"/>
    <w:rsid w:val="00FD4638"/>
    <w:rsid w:val="00FD472A"/>
    <w:rsid w:val="00FD4C27"/>
    <w:rsid w:val="00FD4E97"/>
    <w:rsid w:val="00FD508E"/>
    <w:rsid w:val="00FD5919"/>
    <w:rsid w:val="00FD6696"/>
    <w:rsid w:val="00FD757E"/>
    <w:rsid w:val="00FE0568"/>
    <w:rsid w:val="00FE07C3"/>
    <w:rsid w:val="00FE0FF4"/>
    <w:rsid w:val="00FE1A20"/>
    <w:rsid w:val="00FE1C0D"/>
    <w:rsid w:val="00FE2852"/>
    <w:rsid w:val="00FE2F18"/>
    <w:rsid w:val="00FE35DE"/>
    <w:rsid w:val="00FE3775"/>
    <w:rsid w:val="00FE39BC"/>
    <w:rsid w:val="00FE3B19"/>
    <w:rsid w:val="00FE3F5C"/>
    <w:rsid w:val="00FE46D3"/>
    <w:rsid w:val="00FE4EC8"/>
    <w:rsid w:val="00FE5B86"/>
    <w:rsid w:val="00FE65EB"/>
    <w:rsid w:val="00FF03EC"/>
    <w:rsid w:val="00FF09E3"/>
    <w:rsid w:val="00FF0CA4"/>
    <w:rsid w:val="00FF10A8"/>
    <w:rsid w:val="00FF1518"/>
    <w:rsid w:val="00FF265D"/>
    <w:rsid w:val="00FF31C7"/>
    <w:rsid w:val="00FF3EFD"/>
    <w:rsid w:val="00FF40A5"/>
    <w:rsid w:val="00FF52C6"/>
    <w:rsid w:val="00FF5D0B"/>
    <w:rsid w:val="00FF63A3"/>
    <w:rsid w:val="00FF6528"/>
    <w:rsid w:val="00FF65D6"/>
    <w:rsid w:val="00FF6887"/>
    <w:rsid w:val="00FF6AD0"/>
    <w:rsid w:val="00FF6F3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1C79D"/>
  <w15:docId w15:val="{BBB4A8AE-971C-4636-AAF2-F98479E2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7AC9"/>
  </w:style>
  <w:style w:type="paragraph" w:styleId="Antrat1">
    <w:name w:val="heading 1"/>
    <w:basedOn w:val="prastasis"/>
    <w:next w:val="prastasis"/>
    <w:link w:val="Antrat1Diagrama"/>
    <w:uiPriority w:val="9"/>
    <w:qFormat/>
    <w:rsid w:val="00964CDB"/>
    <w:pPr>
      <w:keepNext/>
      <w:keepLines/>
      <w:spacing w:before="480" w:after="0"/>
      <w:outlineLvl w:val="0"/>
    </w:pPr>
    <w:rPr>
      <w:rFonts w:asciiTheme="majorHAnsi" w:eastAsiaTheme="majorEastAsia" w:hAnsiTheme="majorHAnsi" w:cstheme="majorBidi"/>
      <w:b/>
      <w:bCs/>
      <w:caps/>
      <w:color w:val="365F91" w:themeColor="accent1" w:themeShade="BF"/>
      <w:sz w:val="28"/>
      <w:szCs w:val="28"/>
    </w:rPr>
  </w:style>
  <w:style w:type="paragraph" w:styleId="Antrat2">
    <w:name w:val="heading 2"/>
    <w:basedOn w:val="prastasis"/>
    <w:next w:val="prastasis"/>
    <w:link w:val="Antrat2Diagrama"/>
    <w:uiPriority w:val="9"/>
    <w:unhideWhenUsed/>
    <w:qFormat/>
    <w:rsid w:val="009750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A6A41"/>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unhideWhenUsed/>
    <w:qFormat/>
    <w:rsid w:val="006600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22EE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22EE1"/>
    <w:rPr>
      <w:rFonts w:ascii="Tahoma" w:hAnsi="Tahoma" w:cs="Tahoma"/>
      <w:sz w:val="16"/>
      <w:szCs w:val="16"/>
    </w:rPr>
  </w:style>
  <w:style w:type="paragraph" w:styleId="Antrats">
    <w:name w:val="header"/>
    <w:basedOn w:val="prastasis"/>
    <w:next w:val="Antrat4"/>
    <w:link w:val="AntratsDiagrama"/>
    <w:uiPriority w:val="99"/>
    <w:unhideWhenUsed/>
    <w:rsid w:val="00C81A69"/>
    <w:pPr>
      <w:tabs>
        <w:tab w:val="center" w:pos="4819"/>
        <w:tab w:val="right" w:pos="9638"/>
      </w:tabs>
      <w:spacing w:before="120" w:after="120" w:line="240" w:lineRule="auto"/>
    </w:pPr>
    <w:rPr>
      <w:i/>
      <w:color w:val="1F497D" w:themeColor="text2"/>
      <w:sz w:val="22"/>
    </w:rPr>
  </w:style>
  <w:style w:type="character" w:customStyle="1" w:styleId="AntratsDiagrama">
    <w:name w:val="Antraštės Diagrama"/>
    <w:basedOn w:val="Numatytasispastraiposriftas"/>
    <w:link w:val="Antrats"/>
    <w:uiPriority w:val="99"/>
    <w:rsid w:val="00C81A69"/>
    <w:rPr>
      <w:i/>
      <w:color w:val="1F497D" w:themeColor="text2"/>
      <w:sz w:val="22"/>
    </w:rPr>
  </w:style>
  <w:style w:type="paragraph" w:styleId="Porat">
    <w:name w:val="footer"/>
    <w:basedOn w:val="prastasis"/>
    <w:link w:val="PoratDiagrama"/>
    <w:uiPriority w:val="99"/>
    <w:unhideWhenUsed/>
    <w:rsid w:val="006600EE"/>
    <w:pPr>
      <w:tabs>
        <w:tab w:val="center" w:pos="4819"/>
        <w:tab w:val="right" w:pos="9638"/>
      </w:tabs>
      <w:spacing w:before="120" w:after="120" w:line="240" w:lineRule="auto"/>
    </w:pPr>
    <w:rPr>
      <w:color w:val="1F497D" w:themeColor="text2"/>
      <w:sz w:val="22"/>
    </w:rPr>
  </w:style>
  <w:style w:type="character" w:customStyle="1" w:styleId="PoratDiagrama">
    <w:name w:val="Poraštė Diagrama"/>
    <w:basedOn w:val="Numatytasispastraiposriftas"/>
    <w:link w:val="Porat"/>
    <w:uiPriority w:val="99"/>
    <w:rsid w:val="006600EE"/>
    <w:rPr>
      <w:color w:val="1F497D" w:themeColor="text2"/>
      <w:sz w:val="22"/>
    </w:rPr>
  </w:style>
  <w:style w:type="character" w:styleId="Komentaronuoroda">
    <w:name w:val="annotation reference"/>
    <w:basedOn w:val="Numatytasispastraiposriftas"/>
    <w:semiHidden/>
    <w:unhideWhenUsed/>
    <w:rsid w:val="00F848D9"/>
    <w:rPr>
      <w:sz w:val="16"/>
      <w:szCs w:val="16"/>
    </w:rPr>
  </w:style>
  <w:style w:type="paragraph" w:styleId="Komentarotekstas">
    <w:name w:val="annotation text"/>
    <w:basedOn w:val="prastasis"/>
    <w:link w:val="KomentarotekstasDiagrama"/>
    <w:unhideWhenUsed/>
    <w:rsid w:val="00F848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848D9"/>
    <w:rPr>
      <w:sz w:val="20"/>
      <w:szCs w:val="20"/>
    </w:rPr>
  </w:style>
  <w:style w:type="paragraph" w:styleId="Komentarotema">
    <w:name w:val="annotation subject"/>
    <w:basedOn w:val="Komentarotekstas"/>
    <w:next w:val="Komentarotekstas"/>
    <w:link w:val="KomentarotemaDiagrama"/>
    <w:uiPriority w:val="99"/>
    <w:semiHidden/>
    <w:unhideWhenUsed/>
    <w:rsid w:val="00F848D9"/>
    <w:rPr>
      <w:b/>
      <w:bCs/>
    </w:rPr>
  </w:style>
  <w:style w:type="character" w:customStyle="1" w:styleId="KomentarotemaDiagrama">
    <w:name w:val="Komentaro tema Diagrama"/>
    <w:basedOn w:val="KomentarotekstasDiagrama"/>
    <w:link w:val="Komentarotema"/>
    <w:uiPriority w:val="99"/>
    <w:semiHidden/>
    <w:rsid w:val="00F848D9"/>
    <w:rPr>
      <w:b/>
      <w:bCs/>
      <w:sz w:val="20"/>
      <w:szCs w:val="20"/>
    </w:rPr>
  </w:style>
  <w:style w:type="table" w:styleId="Lentelstinklelis">
    <w:name w:val="Table Grid"/>
    <w:basedOn w:val="prastojilentel"/>
    <w:uiPriority w:val="59"/>
    <w:rsid w:val="00356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eksto skyrius,ERP-List Paragraph,List Paragraph11,Bullet EY,List Paragraph1,Dot pt,F5 List Paragraph,No Spacing1,List Paragraph Char Char Char,Indicator Text,Colorful List - Accent 11,Numbered Para 1,Bullet 1,Bullet Points,MAIN CONTENT"/>
    <w:basedOn w:val="prastasis"/>
    <w:link w:val="SraopastraipaDiagrama"/>
    <w:uiPriority w:val="34"/>
    <w:qFormat/>
    <w:rsid w:val="00356FD9"/>
    <w:pPr>
      <w:ind w:left="720"/>
      <w:contextualSpacing/>
    </w:pPr>
  </w:style>
  <w:style w:type="paragraph" w:styleId="Puslapioinaostekstas">
    <w:name w:val="footnote text"/>
    <w:aliases w:val="Schriftart: 9 pt,Schriftart: 10 pt,Schriftart: 8 pt,WB-Fußnotentext,FoodNote,ft,Footnote text,Footnote Text Char Char,Footnote Text Char1 Char Char,Footnote Text Char Char Char Char,fn,f,Char,Voetnoottekst Char,Footnote,Fußnote"/>
    <w:basedOn w:val="prastasis"/>
    <w:link w:val="PuslapioinaostekstasDiagrama"/>
    <w:uiPriority w:val="99"/>
    <w:unhideWhenUsed/>
    <w:qFormat/>
    <w:rsid w:val="000C61A7"/>
    <w:pPr>
      <w:spacing w:after="0" w:line="240" w:lineRule="auto"/>
    </w:pPr>
    <w:rPr>
      <w:sz w:val="20"/>
      <w:szCs w:val="20"/>
    </w:rPr>
  </w:style>
  <w:style w:type="character" w:customStyle="1" w:styleId="PuslapioinaostekstasDiagrama">
    <w:name w:val="Puslapio išnašos tekstas Diagrama"/>
    <w:aliases w:val="Schriftart: 9 pt Diagrama,Schriftart: 10 pt Diagrama,Schriftart: 8 pt Diagrama,WB-Fußnotentext Diagrama,FoodNote Diagrama,ft Diagrama,Footnote text Diagrama,Footnote Text Char Char Diagrama,fn Diagrama,f Diagrama"/>
    <w:basedOn w:val="Numatytasispastraiposriftas"/>
    <w:link w:val="Puslapioinaostekstas"/>
    <w:uiPriority w:val="99"/>
    <w:rsid w:val="000C61A7"/>
    <w:rPr>
      <w:sz w:val="20"/>
      <w:szCs w:val="20"/>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link w:val="SUPERSChar"/>
    <w:uiPriority w:val="99"/>
    <w:unhideWhenUsed/>
    <w:qFormat/>
    <w:rsid w:val="000C61A7"/>
    <w:rPr>
      <w:vertAlign w:val="superscript"/>
    </w:rPr>
  </w:style>
  <w:style w:type="table" w:customStyle="1" w:styleId="Lentelstinklelis1">
    <w:name w:val="Lentelės tinklelis1"/>
    <w:basedOn w:val="prastojilentel"/>
    <w:next w:val="Lentelstinklelis"/>
    <w:uiPriority w:val="59"/>
    <w:unhideWhenUsed/>
    <w:rsid w:val="0039467C"/>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unhideWhenUsed/>
    <w:rsid w:val="0039467C"/>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unhideWhenUsed/>
    <w:rsid w:val="0039467C"/>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E21B2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
    <w:name w:val="SUPERS Char"/>
    <w:aliases w:val="EN Footnote Reference Char"/>
    <w:basedOn w:val="prastasis"/>
    <w:link w:val="Puslapioinaosnuoroda"/>
    <w:uiPriority w:val="99"/>
    <w:rsid w:val="00E21B2C"/>
    <w:pPr>
      <w:spacing w:after="160" w:line="240" w:lineRule="exact"/>
    </w:pPr>
    <w:rPr>
      <w:vertAlign w:val="superscript"/>
    </w:rPr>
  </w:style>
  <w:style w:type="table" w:customStyle="1" w:styleId="Lentelstinklelis4">
    <w:name w:val="Lentelės tinklelis4"/>
    <w:basedOn w:val="prastojilentel"/>
    <w:next w:val="Lentelstinklelis"/>
    <w:uiPriority w:val="59"/>
    <w:unhideWhenUsed/>
    <w:rsid w:val="001E7CA5"/>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59"/>
    <w:unhideWhenUsed/>
    <w:rsid w:val="001E7CA5"/>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unhideWhenUsed/>
    <w:rsid w:val="00747258"/>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unhideWhenUsed/>
    <w:rsid w:val="00476AD0"/>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unhideWhenUsed/>
    <w:rsid w:val="00A3002D"/>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rsid w:val="00A3002D"/>
  </w:style>
  <w:style w:type="table" w:customStyle="1" w:styleId="Lentelstinklelis8">
    <w:name w:val="Lentelės tinklelis8"/>
    <w:basedOn w:val="prastojilentel"/>
    <w:next w:val="Lentelstinklelis"/>
    <w:uiPriority w:val="59"/>
    <w:unhideWhenUsed/>
    <w:rsid w:val="00522DE6"/>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unhideWhenUsed/>
    <w:rsid w:val="00173243"/>
    <w:pPr>
      <w:spacing w:after="0" w:line="240" w:lineRule="auto"/>
    </w:pPr>
    <w:rPr>
      <w:rFonts w:asciiTheme="minorHAnsi" w:hAnsiTheme="minorHAnsi"/>
      <w:sz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ndscape">
    <w:name w:val="HeaderLandscape"/>
    <w:basedOn w:val="prastasis"/>
    <w:rsid w:val="00AD6ED8"/>
    <w:pPr>
      <w:tabs>
        <w:tab w:val="center" w:pos="7285"/>
        <w:tab w:val="right" w:pos="14003"/>
      </w:tabs>
      <w:spacing w:after="120" w:line="240" w:lineRule="auto"/>
      <w:jc w:val="both"/>
    </w:pPr>
    <w:rPr>
      <w:rFonts w:cs="Times New Roman"/>
      <w:lang w:eastAsia="lt-LT" w:bidi="lt-LT"/>
    </w:rPr>
  </w:style>
  <w:style w:type="paragraph" w:customStyle="1" w:styleId="Point0">
    <w:name w:val="Point 0"/>
    <w:basedOn w:val="prastasis"/>
    <w:rsid w:val="00B72E48"/>
    <w:pPr>
      <w:spacing w:before="120" w:after="120" w:line="240" w:lineRule="auto"/>
      <w:ind w:left="850" w:hanging="850"/>
      <w:jc w:val="both"/>
    </w:pPr>
    <w:rPr>
      <w:rFonts w:cs="Times New Roman"/>
      <w:lang w:eastAsia="lt-LT" w:bidi="lt-LT"/>
    </w:rPr>
  </w:style>
  <w:style w:type="paragraph" w:customStyle="1" w:styleId="Point0number">
    <w:name w:val="Point 0 (number)"/>
    <w:basedOn w:val="prastasis"/>
    <w:rsid w:val="00336526"/>
    <w:pPr>
      <w:numPr>
        <w:numId w:val="1"/>
      </w:numPr>
      <w:spacing w:before="120" w:after="120" w:line="240" w:lineRule="auto"/>
      <w:jc w:val="both"/>
    </w:pPr>
    <w:rPr>
      <w:rFonts w:cs="Times New Roman"/>
      <w:lang w:eastAsia="lt-LT" w:bidi="lt-LT"/>
    </w:rPr>
  </w:style>
  <w:style w:type="paragraph" w:customStyle="1" w:styleId="Point1number">
    <w:name w:val="Point 1 (number)"/>
    <w:basedOn w:val="prastasis"/>
    <w:rsid w:val="00336526"/>
    <w:pPr>
      <w:numPr>
        <w:ilvl w:val="2"/>
        <w:numId w:val="1"/>
      </w:numPr>
      <w:spacing w:before="120" w:after="120" w:line="240" w:lineRule="auto"/>
      <w:jc w:val="both"/>
    </w:pPr>
    <w:rPr>
      <w:rFonts w:cs="Times New Roman"/>
      <w:lang w:eastAsia="lt-LT" w:bidi="lt-LT"/>
    </w:rPr>
  </w:style>
  <w:style w:type="paragraph" w:customStyle="1" w:styleId="Point2number">
    <w:name w:val="Point 2 (number)"/>
    <w:basedOn w:val="prastasis"/>
    <w:rsid w:val="00336526"/>
    <w:pPr>
      <w:numPr>
        <w:ilvl w:val="4"/>
        <w:numId w:val="1"/>
      </w:numPr>
      <w:spacing w:before="120" w:after="120" w:line="240" w:lineRule="auto"/>
      <w:jc w:val="both"/>
    </w:pPr>
    <w:rPr>
      <w:rFonts w:cs="Times New Roman"/>
      <w:lang w:eastAsia="lt-LT" w:bidi="lt-LT"/>
    </w:rPr>
  </w:style>
  <w:style w:type="paragraph" w:customStyle="1" w:styleId="Point3number">
    <w:name w:val="Point 3 (number)"/>
    <w:basedOn w:val="prastasis"/>
    <w:rsid w:val="00336526"/>
    <w:pPr>
      <w:numPr>
        <w:ilvl w:val="6"/>
        <w:numId w:val="1"/>
      </w:numPr>
      <w:spacing w:before="120" w:after="120" w:line="240" w:lineRule="auto"/>
      <w:jc w:val="both"/>
    </w:pPr>
    <w:rPr>
      <w:rFonts w:cs="Times New Roman"/>
      <w:lang w:eastAsia="lt-LT" w:bidi="lt-LT"/>
    </w:rPr>
  </w:style>
  <w:style w:type="paragraph" w:customStyle="1" w:styleId="Point0letter">
    <w:name w:val="Point 0 (letter)"/>
    <w:basedOn w:val="prastasis"/>
    <w:rsid w:val="00336526"/>
    <w:pPr>
      <w:numPr>
        <w:ilvl w:val="1"/>
        <w:numId w:val="1"/>
      </w:numPr>
      <w:spacing w:before="120" w:after="120" w:line="240" w:lineRule="auto"/>
      <w:jc w:val="both"/>
    </w:pPr>
    <w:rPr>
      <w:rFonts w:cs="Times New Roman"/>
      <w:lang w:eastAsia="lt-LT" w:bidi="lt-LT"/>
    </w:rPr>
  </w:style>
  <w:style w:type="paragraph" w:customStyle="1" w:styleId="Point1letter">
    <w:name w:val="Point 1 (letter)"/>
    <w:basedOn w:val="prastasis"/>
    <w:rsid w:val="00336526"/>
    <w:pPr>
      <w:numPr>
        <w:ilvl w:val="3"/>
        <w:numId w:val="1"/>
      </w:numPr>
      <w:tabs>
        <w:tab w:val="clear" w:pos="567"/>
        <w:tab w:val="num" w:pos="1417"/>
      </w:tabs>
      <w:spacing w:before="120" w:after="120" w:line="240" w:lineRule="auto"/>
      <w:ind w:left="1417"/>
      <w:jc w:val="both"/>
    </w:pPr>
    <w:rPr>
      <w:rFonts w:cs="Times New Roman"/>
      <w:lang w:eastAsia="lt-LT" w:bidi="lt-LT"/>
    </w:rPr>
  </w:style>
  <w:style w:type="paragraph" w:customStyle="1" w:styleId="Point2letter">
    <w:name w:val="Point 2 (letter)"/>
    <w:basedOn w:val="prastasis"/>
    <w:rsid w:val="00336526"/>
    <w:pPr>
      <w:numPr>
        <w:ilvl w:val="5"/>
        <w:numId w:val="1"/>
      </w:numPr>
      <w:spacing w:before="120" w:after="120" w:line="240" w:lineRule="auto"/>
      <w:jc w:val="both"/>
    </w:pPr>
    <w:rPr>
      <w:rFonts w:cs="Times New Roman"/>
      <w:lang w:eastAsia="lt-LT" w:bidi="lt-LT"/>
    </w:rPr>
  </w:style>
  <w:style w:type="paragraph" w:customStyle="1" w:styleId="Point3letter">
    <w:name w:val="Point 3 (letter)"/>
    <w:basedOn w:val="prastasis"/>
    <w:rsid w:val="00336526"/>
    <w:pPr>
      <w:numPr>
        <w:ilvl w:val="7"/>
        <w:numId w:val="1"/>
      </w:numPr>
      <w:spacing w:before="120" w:after="120" w:line="240" w:lineRule="auto"/>
      <w:jc w:val="both"/>
    </w:pPr>
    <w:rPr>
      <w:rFonts w:cs="Times New Roman"/>
      <w:lang w:eastAsia="lt-LT" w:bidi="lt-LT"/>
    </w:rPr>
  </w:style>
  <w:style w:type="paragraph" w:customStyle="1" w:styleId="Point4letter">
    <w:name w:val="Point 4 (letter)"/>
    <w:basedOn w:val="prastasis"/>
    <w:rsid w:val="00336526"/>
    <w:pPr>
      <w:numPr>
        <w:ilvl w:val="8"/>
        <w:numId w:val="1"/>
      </w:numPr>
      <w:spacing w:before="120" w:after="120" w:line="240" w:lineRule="auto"/>
      <w:jc w:val="both"/>
    </w:pPr>
    <w:rPr>
      <w:rFonts w:cs="Times New Roman"/>
      <w:lang w:eastAsia="lt-LT" w:bidi="lt-LT"/>
    </w:rPr>
  </w:style>
  <w:style w:type="paragraph" w:customStyle="1" w:styleId="Default">
    <w:name w:val="Default"/>
    <w:rsid w:val="00CF684C"/>
    <w:pPr>
      <w:autoSpaceDE w:val="0"/>
      <w:autoSpaceDN w:val="0"/>
      <w:adjustRightInd w:val="0"/>
      <w:spacing w:after="0" w:line="240" w:lineRule="auto"/>
    </w:pPr>
    <w:rPr>
      <w:rFonts w:cs="Times New Roman"/>
      <w:color w:val="000000"/>
      <w:szCs w:val="24"/>
    </w:rPr>
  </w:style>
  <w:style w:type="paragraph" w:styleId="prastasiniatinklio">
    <w:name w:val="Normal (Web)"/>
    <w:basedOn w:val="prastasis"/>
    <w:uiPriority w:val="99"/>
    <w:unhideWhenUsed/>
    <w:rsid w:val="006C416C"/>
    <w:pPr>
      <w:spacing w:before="100" w:beforeAutospacing="1" w:after="100" w:afterAutospacing="1" w:line="240" w:lineRule="auto"/>
    </w:pPr>
    <w:rPr>
      <w:rFonts w:eastAsia="Times New Roman" w:cs="Times New Roman"/>
      <w:szCs w:val="24"/>
      <w:lang w:eastAsia="lt-LT"/>
    </w:rPr>
  </w:style>
  <w:style w:type="paragraph" w:customStyle="1" w:styleId="ManualNumPar1">
    <w:name w:val="Manual NumPar 1"/>
    <w:basedOn w:val="prastasis"/>
    <w:next w:val="prastasis"/>
    <w:rsid w:val="00991AB5"/>
    <w:pPr>
      <w:spacing w:before="120" w:after="120" w:line="240" w:lineRule="auto"/>
      <w:ind w:left="850" w:hanging="850"/>
      <w:jc w:val="both"/>
    </w:pPr>
    <w:rPr>
      <w:rFonts w:cs="Times New Roman"/>
      <w:lang w:eastAsia="lt-LT" w:bidi="lt-LT"/>
    </w:rPr>
  </w:style>
  <w:style w:type="paragraph" w:customStyle="1" w:styleId="Pagrindinispaprastastekstas">
    <w:name w:val="• Pagrindinis paprastas tekstas"/>
    <w:basedOn w:val="prastasis"/>
    <w:qFormat/>
    <w:rsid w:val="00192446"/>
    <w:pPr>
      <w:spacing w:after="0" w:line="240" w:lineRule="auto"/>
      <w:jc w:val="both"/>
    </w:pPr>
    <w:rPr>
      <w:rFonts w:asciiTheme="majorHAnsi" w:eastAsia="Times New Roman" w:hAnsiTheme="majorHAnsi" w:cs="Times New Roman"/>
      <w:sz w:val="22"/>
      <w:szCs w:val="24"/>
    </w:rPr>
  </w:style>
  <w:style w:type="character" w:customStyle="1" w:styleId="st">
    <w:name w:val="st"/>
    <w:basedOn w:val="Numatytasispastraiposriftas"/>
    <w:rsid w:val="008124FC"/>
  </w:style>
  <w:style w:type="character" w:customStyle="1" w:styleId="SraopastraipaDiagrama">
    <w:name w:val="Sąrašo pastraipa Diagrama"/>
    <w:aliases w:val="Teksto skyrius Diagrama,ERP-List Paragraph Diagrama,List Paragraph11 Diagrama,Bullet EY Diagrama,List Paragraph1 Diagrama,Dot pt Diagrama,F5 List Paragraph Diagrama,No Spacing1 Diagrama,List Paragraph Char Char Char Diagrama"/>
    <w:link w:val="Sraopastraipa"/>
    <w:uiPriority w:val="34"/>
    <w:qFormat/>
    <w:locked/>
    <w:rsid w:val="002F0AD5"/>
  </w:style>
  <w:style w:type="character" w:customStyle="1" w:styleId="Antrat1Diagrama">
    <w:name w:val="Antraštė 1 Diagrama"/>
    <w:basedOn w:val="Numatytasispastraiposriftas"/>
    <w:link w:val="Antrat1"/>
    <w:uiPriority w:val="9"/>
    <w:rsid w:val="00964CDB"/>
    <w:rPr>
      <w:rFonts w:asciiTheme="majorHAnsi" w:eastAsiaTheme="majorEastAsia" w:hAnsiTheme="majorHAnsi" w:cstheme="majorBidi"/>
      <w:b/>
      <w:bCs/>
      <w:caps/>
      <w:color w:val="365F91" w:themeColor="accent1" w:themeShade="BF"/>
      <w:sz w:val="28"/>
      <w:szCs w:val="28"/>
    </w:rPr>
  </w:style>
  <w:style w:type="character" w:styleId="Hipersaitas">
    <w:name w:val="Hyperlink"/>
    <w:basedOn w:val="Numatytasispastraiposriftas"/>
    <w:uiPriority w:val="99"/>
    <w:unhideWhenUsed/>
    <w:rsid w:val="00FE2852"/>
    <w:rPr>
      <w:color w:val="0000FF" w:themeColor="hyperlink"/>
      <w:u w:val="single"/>
    </w:rPr>
  </w:style>
  <w:style w:type="character" w:customStyle="1" w:styleId="PuslapioinaostekstasDiagrama1">
    <w:name w:val="Puslapio išnašos tekstas Diagrama1"/>
    <w:basedOn w:val="Numatytasispastraiposriftas"/>
    <w:uiPriority w:val="99"/>
    <w:semiHidden/>
    <w:rsid w:val="00FE2852"/>
    <w:rPr>
      <w:rFonts w:ascii="Times New Roman" w:hAnsi="Times New Roman"/>
      <w:sz w:val="20"/>
      <w:szCs w:val="20"/>
    </w:rPr>
  </w:style>
  <w:style w:type="paragraph" w:styleId="HTMLiankstoformatuotas">
    <w:name w:val="HTML Preformatted"/>
    <w:basedOn w:val="prastasis"/>
    <w:link w:val="HTMLiankstoformatuotasDiagrama"/>
    <w:uiPriority w:val="99"/>
    <w:semiHidden/>
    <w:unhideWhenUsed/>
    <w:rsid w:val="00FE2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FE2852"/>
    <w:rPr>
      <w:rFonts w:ascii="Courier New" w:eastAsia="Times New Roman" w:hAnsi="Courier New" w:cs="Courier New"/>
      <w:sz w:val="20"/>
      <w:szCs w:val="20"/>
      <w:lang w:eastAsia="lt-LT"/>
    </w:rPr>
  </w:style>
  <w:style w:type="character" w:customStyle="1" w:styleId="tlid-translation">
    <w:name w:val="tlid-translation"/>
    <w:basedOn w:val="Numatytasispastraiposriftas"/>
    <w:rsid w:val="00FE2852"/>
  </w:style>
  <w:style w:type="table" w:customStyle="1" w:styleId="Lentelstinklelis10">
    <w:name w:val="Lentelės tinklelis10"/>
    <w:basedOn w:val="prastojilentel"/>
    <w:next w:val="Lentelstinklelis"/>
    <w:uiPriority w:val="59"/>
    <w:rsid w:val="00035E4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9750A4"/>
    <w:rPr>
      <w:rFonts w:asciiTheme="majorHAnsi" w:eastAsiaTheme="majorEastAsia" w:hAnsiTheme="majorHAnsi" w:cstheme="majorBidi"/>
      <w:b/>
      <w:bCs/>
      <w:color w:val="4F81BD" w:themeColor="accent1"/>
      <w:sz w:val="26"/>
      <w:szCs w:val="26"/>
    </w:rPr>
  </w:style>
  <w:style w:type="paragraph" w:styleId="Turinioantrat">
    <w:name w:val="TOC Heading"/>
    <w:basedOn w:val="Antrat1"/>
    <w:next w:val="prastasis"/>
    <w:uiPriority w:val="39"/>
    <w:semiHidden/>
    <w:unhideWhenUsed/>
    <w:qFormat/>
    <w:rsid w:val="00636181"/>
    <w:pPr>
      <w:outlineLvl w:val="9"/>
    </w:pPr>
    <w:rPr>
      <w:lang w:eastAsia="lt-LT"/>
    </w:rPr>
  </w:style>
  <w:style w:type="paragraph" w:styleId="Turinys1">
    <w:name w:val="toc 1"/>
    <w:basedOn w:val="prastasis"/>
    <w:next w:val="prastasis"/>
    <w:autoRedefine/>
    <w:uiPriority w:val="39"/>
    <w:unhideWhenUsed/>
    <w:rsid w:val="0031600C"/>
    <w:pPr>
      <w:tabs>
        <w:tab w:val="left" w:pos="440"/>
        <w:tab w:val="right" w:leader="dot" w:pos="9628"/>
      </w:tabs>
      <w:spacing w:after="0" w:line="240" w:lineRule="auto"/>
    </w:pPr>
  </w:style>
  <w:style w:type="paragraph" w:styleId="Turinys2">
    <w:name w:val="toc 2"/>
    <w:basedOn w:val="prastasis"/>
    <w:next w:val="prastasis"/>
    <w:autoRedefine/>
    <w:uiPriority w:val="39"/>
    <w:unhideWhenUsed/>
    <w:rsid w:val="008E01CB"/>
    <w:pPr>
      <w:tabs>
        <w:tab w:val="right" w:leader="dot" w:pos="9628"/>
      </w:tabs>
      <w:spacing w:after="100"/>
      <w:ind w:left="240"/>
    </w:pPr>
    <w:rPr>
      <w:noProof/>
      <w:sz w:val="20"/>
      <w:szCs w:val="20"/>
    </w:rPr>
  </w:style>
  <w:style w:type="character" w:customStyle="1" w:styleId="normaltextrun">
    <w:name w:val="normaltextrun"/>
    <w:basedOn w:val="Numatytasispastraiposriftas"/>
    <w:rsid w:val="00040FD7"/>
  </w:style>
  <w:style w:type="character" w:customStyle="1" w:styleId="eop">
    <w:name w:val="eop"/>
    <w:basedOn w:val="Numatytasispastraiposriftas"/>
    <w:rsid w:val="00040FD7"/>
  </w:style>
  <w:style w:type="table" w:customStyle="1" w:styleId="Lentelstinklelis12">
    <w:name w:val="Lentelės tinklelis12"/>
    <w:basedOn w:val="prastojilentel"/>
    <w:next w:val="Lentelstinklelis"/>
    <w:uiPriority w:val="59"/>
    <w:rsid w:val="00C7460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6600EE"/>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uiPriority w:val="11"/>
    <w:rsid w:val="006600EE"/>
    <w:rPr>
      <w:rFonts w:asciiTheme="majorHAnsi" w:eastAsiaTheme="majorEastAsia" w:hAnsiTheme="majorHAnsi" w:cstheme="majorBidi"/>
      <w:i/>
      <w:iCs/>
      <w:color w:val="4F81BD" w:themeColor="accent1"/>
      <w:spacing w:val="15"/>
      <w:szCs w:val="24"/>
    </w:rPr>
  </w:style>
  <w:style w:type="character" w:customStyle="1" w:styleId="Antrat4Diagrama">
    <w:name w:val="Antraštė 4 Diagrama"/>
    <w:basedOn w:val="Numatytasispastraiposriftas"/>
    <w:link w:val="Antrat4"/>
    <w:uiPriority w:val="9"/>
    <w:rsid w:val="006600EE"/>
    <w:rPr>
      <w:rFonts w:asciiTheme="majorHAnsi" w:eastAsiaTheme="majorEastAsia" w:hAnsiTheme="majorHAnsi" w:cstheme="majorBidi"/>
      <w:b/>
      <w:bCs/>
      <w:i/>
      <w:iCs/>
      <w:color w:val="4F81BD" w:themeColor="accent1"/>
    </w:rPr>
  </w:style>
  <w:style w:type="character" w:styleId="Rykuspabraukimas">
    <w:name w:val="Intense Emphasis"/>
    <w:basedOn w:val="Numatytasispastraiposriftas"/>
    <w:uiPriority w:val="21"/>
    <w:qFormat/>
    <w:rsid w:val="00C81A69"/>
    <w:rPr>
      <w:b/>
      <w:bCs/>
      <w:color w:val="1F497D" w:themeColor="text2"/>
    </w:rPr>
  </w:style>
  <w:style w:type="paragraph" w:customStyle="1" w:styleId="Stilius1">
    <w:name w:val="Stilius1"/>
    <w:basedOn w:val="Antrats"/>
    <w:next w:val="Antrat4"/>
    <w:link w:val="Stilius1Diagrama"/>
    <w:qFormat/>
    <w:rsid w:val="00F538D0"/>
    <w:rPr>
      <w:b/>
      <w:sz w:val="24"/>
    </w:rPr>
  </w:style>
  <w:style w:type="paragraph" w:customStyle="1" w:styleId="FourierSeries">
    <w:name w:val="Fourier Series"/>
    <w:rsid w:val="00F538D0"/>
    <w:rPr>
      <w:rFonts w:asciiTheme="minorHAnsi" w:eastAsiaTheme="minorEastAsia" w:hAnsiTheme="minorHAnsi"/>
      <w:sz w:val="22"/>
      <w:lang w:eastAsia="lt-LT"/>
    </w:rPr>
  </w:style>
  <w:style w:type="character" w:customStyle="1" w:styleId="Stilius1Diagrama">
    <w:name w:val="Stilius1 Diagrama"/>
    <w:basedOn w:val="AntratsDiagrama"/>
    <w:link w:val="Stilius1"/>
    <w:rsid w:val="00F538D0"/>
    <w:rPr>
      <w:b/>
      <w:i/>
      <w:color w:val="1F497D" w:themeColor="text2"/>
      <w:sz w:val="22"/>
    </w:rPr>
  </w:style>
  <w:style w:type="table" w:customStyle="1" w:styleId="Lentelstinklelis13">
    <w:name w:val="Lentelės tinklelis13"/>
    <w:basedOn w:val="prastojilentel"/>
    <w:next w:val="Lentelstinklelis"/>
    <w:uiPriority w:val="59"/>
    <w:rsid w:val="007F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631A38"/>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59"/>
    <w:rsid w:val="008F2A82"/>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59"/>
    <w:rsid w:val="0021211C"/>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next w:val="Lentelstinklelis"/>
    <w:uiPriority w:val="59"/>
    <w:rsid w:val="009323E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8">
    <w:name w:val="Lentelės tinklelis18"/>
    <w:basedOn w:val="prastojilentel"/>
    <w:next w:val="Lentelstinklelis"/>
    <w:uiPriority w:val="59"/>
    <w:rsid w:val="004B680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9">
    <w:name w:val="Lentelės tinklelis19"/>
    <w:basedOn w:val="prastojilentel"/>
    <w:next w:val="Lentelstinklelis"/>
    <w:uiPriority w:val="59"/>
    <w:rsid w:val="002F76B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59"/>
    <w:rsid w:val="004540B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FD4C2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C1664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F0112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4">
    <w:name w:val="Lentelės tinklelis24"/>
    <w:basedOn w:val="prastojilentel"/>
    <w:next w:val="Lentelstinklelis"/>
    <w:uiPriority w:val="59"/>
    <w:rsid w:val="00F101E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5">
    <w:name w:val="Lentelės tinklelis25"/>
    <w:basedOn w:val="prastojilentel"/>
    <w:next w:val="Lentelstinklelis"/>
    <w:uiPriority w:val="59"/>
    <w:rsid w:val="0069556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6">
    <w:name w:val="Lentelės tinklelis26"/>
    <w:basedOn w:val="prastojilentel"/>
    <w:next w:val="Lentelstinklelis"/>
    <w:uiPriority w:val="59"/>
    <w:rsid w:val="00C92BB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7">
    <w:name w:val="Lentelės tinklelis27"/>
    <w:basedOn w:val="prastojilentel"/>
    <w:next w:val="Lentelstinklelis"/>
    <w:uiPriority w:val="59"/>
    <w:rsid w:val="00E053E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8">
    <w:name w:val="Lentelės tinklelis28"/>
    <w:basedOn w:val="prastojilentel"/>
    <w:next w:val="Lentelstinklelis"/>
    <w:uiPriority w:val="59"/>
    <w:rsid w:val="0082031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9">
    <w:name w:val="Lentelės tinklelis29"/>
    <w:basedOn w:val="prastojilentel"/>
    <w:next w:val="Lentelstinklelis"/>
    <w:uiPriority w:val="59"/>
    <w:rsid w:val="00041C9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0">
    <w:name w:val="Lentelės tinklelis30"/>
    <w:basedOn w:val="prastojilentel"/>
    <w:next w:val="Lentelstinklelis"/>
    <w:uiPriority w:val="59"/>
    <w:rsid w:val="006242C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59"/>
    <w:rsid w:val="00834F2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uiPriority w:val="59"/>
    <w:rsid w:val="00F053B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4">
    <w:name w:val="Lentelės tinklelis34"/>
    <w:basedOn w:val="prastojilentel"/>
    <w:next w:val="Lentelstinklelis"/>
    <w:uiPriority w:val="59"/>
    <w:rsid w:val="00E441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5">
    <w:name w:val="Lentelės tinklelis35"/>
    <w:basedOn w:val="prastojilentel"/>
    <w:next w:val="Lentelstinklelis"/>
    <w:uiPriority w:val="59"/>
    <w:rsid w:val="00592B0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6">
    <w:name w:val="Lentelės tinklelis36"/>
    <w:basedOn w:val="prastojilentel"/>
    <w:next w:val="Lentelstinklelis"/>
    <w:uiPriority w:val="59"/>
    <w:rsid w:val="004E51D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7">
    <w:name w:val="Lentelės tinklelis37"/>
    <w:basedOn w:val="prastojilentel"/>
    <w:next w:val="Lentelstinklelis"/>
    <w:uiPriority w:val="59"/>
    <w:rsid w:val="004E51D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8">
    <w:name w:val="Lentelės tinklelis38"/>
    <w:basedOn w:val="prastojilentel"/>
    <w:next w:val="Lentelstinklelis"/>
    <w:uiPriority w:val="59"/>
    <w:rsid w:val="00696DF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9">
    <w:name w:val="Lentelės tinklelis39"/>
    <w:basedOn w:val="prastojilentel"/>
    <w:next w:val="Lentelstinklelis"/>
    <w:uiPriority w:val="59"/>
    <w:rsid w:val="0035259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0">
    <w:name w:val="Lentelės tinklelis40"/>
    <w:basedOn w:val="prastojilentel"/>
    <w:next w:val="Lentelstinklelis"/>
    <w:uiPriority w:val="59"/>
    <w:rsid w:val="004B6AD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59"/>
    <w:rsid w:val="002D06C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59"/>
    <w:rsid w:val="006368E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59"/>
    <w:rsid w:val="0088005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4">
    <w:name w:val="Lentelės tinklelis44"/>
    <w:basedOn w:val="prastojilentel"/>
    <w:next w:val="Lentelstinklelis"/>
    <w:uiPriority w:val="59"/>
    <w:rsid w:val="00600D3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4746F9"/>
    <w:rPr>
      <w:color w:val="800080" w:themeColor="followedHyperlink"/>
      <w:u w:val="single"/>
    </w:rPr>
  </w:style>
  <w:style w:type="character" w:customStyle="1" w:styleId="msoins0">
    <w:name w:val="msoins"/>
    <w:basedOn w:val="Numatytasispastraiposriftas"/>
    <w:rsid w:val="00C731F4"/>
  </w:style>
  <w:style w:type="character" w:customStyle="1" w:styleId="Antrat3Diagrama">
    <w:name w:val="Antraštė 3 Diagrama"/>
    <w:basedOn w:val="Numatytasispastraiposriftas"/>
    <w:link w:val="Antrat3"/>
    <w:uiPriority w:val="9"/>
    <w:rsid w:val="00FA6A41"/>
    <w:rPr>
      <w:rFonts w:asciiTheme="majorHAnsi" w:eastAsiaTheme="majorEastAsia" w:hAnsiTheme="majorHAnsi" w:cstheme="majorBidi"/>
      <w:color w:val="243F60" w:themeColor="accent1" w:themeShade="7F"/>
      <w:szCs w:val="24"/>
    </w:rPr>
  </w:style>
  <w:style w:type="paragraph" w:styleId="Pataisymai">
    <w:name w:val="Revision"/>
    <w:hidden/>
    <w:uiPriority w:val="99"/>
    <w:semiHidden/>
    <w:rsid w:val="00B90153"/>
    <w:pPr>
      <w:spacing w:after="0" w:line="240" w:lineRule="auto"/>
    </w:pPr>
  </w:style>
  <w:style w:type="character" w:customStyle="1" w:styleId="markedcontent">
    <w:name w:val="markedcontent"/>
    <w:basedOn w:val="Numatytasispastraiposriftas"/>
    <w:rsid w:val="009C33A5"/>
    <w:rPr>
      <w:rFonts w:cs="Times New Roman"/>
    </w:rPr>
  </w:style>
  <w:style w:type="character" w:customStyle="1" w:styleId="muxgbd">
    <w:name w:val="muxgbd"/>
    <w:basedOn w:val="Numatytasispastraiposriftas"/>
    <w:rsid w:val="005A7794"/>
  </w:style>
  <w:style w:type="paragraph" w:styleId="Pagrindinistekstas">
    <w:name w:val="Body Text"/>
    <w:basedOn w:val="prastasis"/>
    <w:link w:val="PagrindinistekstasDiagrama"/>
    <w:uiPriority w:val="99"/>
    <w:qFormat/>
    <w:rsid w:val="005E14BB"/>
    <w:pPr>
      <w:widowControl w:val="0"/>
      <w:autoSpaceDE w:val="0"/>
      <w:autoSpaceDN w:val="0"/>
      <w:spacing w:after="0" w:line="240" w:lineRule="auto"/>
    </w:pPr>
    <w:rPr>
      <w:rFonts w:ascii="Cambria" w:eastAsia="Cambria" w:hAnsi="Cambria" w:cs="Cambria"/>
      <w:sz w:val="19"/>
      <w:szCs w:val="19"/>
    </w:rPr>
  </w:style>
  <w:style w:type="character" w:customStyle="1" w:styleId="PagrindinistekstasDiagrama">
    <w:name w:val="Pagrindinis tekstas Diagrama"/>
    <w:basedOn w:val="Numatytasispastraiposriftas"/>
    <w:link w:val="Pagrindinistekstas"/>
    <w:uiPriority w:val="99"/>
    <w:rsid w:val="005E14BB"/>
    <w:rPr>
      <w:rFonts w:ascii="Cambria" w:eastAsia="Cambria" w:hAnsi="Cambria" w:cs="Cambria"/>
      <w:sz w:val="19"/>
      <w:szCs w:val="19"/>
    </w:rPr>
  </w:style>
  <w:style w:type="character" w:customStyle="1" w:styleId="UnresolvedMention1">
    <w:name w:val="Unresolved Mention1"/>
    <w:basedOn w:val="Numatytasispastraiposriftas"/>
    <w:uiPriority w:val="99"/>
    <w:semiHidden/>
    <w:unhideWhenUsed/>
    <w:rsid w:val="00C76208"/>
    <w:rPr>
      <w:color w:val="605E5C"/>
      <w:shd w:val="clear" w:color="auto" w:fill="E1DFDD"/>
    </w:rPr>
  </w:style>
  <w:style w:type="character" w:styleId="Neapdorotaspaminjimas">
    <w:name w:val="Unresolved Mention"/>
    <w:basedOn w:val="Numatytasispastraiposriftas"/>
    <w:uiPriority w:val="99"/>
    <w:semiHidden/>
    <w:unhideWhenUsed/>
    <w:rsid w:val="00863C59"/>
    <w:rPr>
      <w:color w:val="605E5C"/>
      <w:shd w:val="clear" w:color="auto" w:fill="E1DFDD"/>
    </w:rPr>
  </w:style>
  <w:style w:type="character" w:customStyle="1" w:styleId="Bodytext1">
    <w:name w:val="Body text|1_"/>
    <w:basedOn w:val="Numatytasispastraiposriftas"/>
    <w:link w:val="Bodytext10"/>
    <w:rsid w:val="009C14FB"/>
  </w:style>
  <w:style w:type="paragraph" w:customStyle="1" w:styleId="Bodytext10">
    <w:name w:val="Body text|1"/>
    <w:basedOn w:val="prastasis"/>
    <w:link w:val="Bodytext1"/>
    <w:rsid w:val="009C14FB"/>
    <w:pPr>
      <w:widowControl w:val="0"/>
      <w:spacing w:after="220" w:line="360" w:lineRule="auto"/>
    </w:pPr>
  </w:style>
  <w:style w:type="table" w:customStyle="1" w:styleId="Lentelstinklelis45">
    <w:name w:val="Lentelės tinklelis45"/>
    <w:basedOn w:val="prastojilentel"/>
    <w:next w:val="Lentelstinklelis"/>
    <w:uiPriority w:val="59"/>
    <w:rsid w:val="00B47068"/>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0">
    <w:name w:val="Lentelės tinklelis210"/>
    <w:basedOn w:val="prastojilentel"/>
    <w:next w:val="Lentelstinklelis"/>
    <w:uiPriority w:val="59"/>
    <w:rsid w:val="00B47068"/>
    <w:pPr>
      <w:spacing w:after="0" w:line="240" w:lineRule="auto"/>
    </w:pPr>
    <w:rPr>
      <w:rFonts w:asciiTheme="minorHAnsi" w:eastAsia="Times New Roman" w:hAnsiTheme="minorHAns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6">
    <w:name w:val="Lentelės tinklelis46"/>
    <w:basedOn w:val="prastojilentel"/>
    <w:next w:val="Lentelstinklelis"/>
    <w:uiPriority w:val="59"/>
    <w:rsid w:val="00B47068"/>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7">
    <w:name w:val="Lentelės tinklelis47"/>
    <w:basedOn w:val="prastojilentel"/>
    <w:next w:val="Lentelstinklelis"/>
    <w:uiPriority w:val="59"/>
    <w:rsid w:val="0073561C"/>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73561C"/>
    <w:pPr>
      <w:spacing w:after="0" w:line="240" w:lineRule="auto"/>
    </w:pPr>
    <w:rPr>
      <w:rFonts w:asciiTheme="minorHAnsi" w:eastAsia="Times New Roman" w:hAnsiTheme="minorHAns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8">
    <w:name w:val="Lentelės tinklelis48"/>
    <w:basedOn w:val="prastojilentel"/>
    <w:next w:val="Lentelstinklelis"/>
    <w:uiPriority w:val="59"/>
    <w:rsid w:val="00A606E0"/>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2041B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6797">
      <w:bodyDiv w:val="1"/>
      <w:marLeft w:val="0"/>
      <w:marRight w:val="0"/>
      <w:marTop w:val="0"/>
      <w:marBottom w:val="0"/>
      <w:divBdr>
        <w:top w:val="none" w:sz="0" w:space="0" w:color="auto"/>
        <w:left w:val="none" w:sz="0" w:space="0" w:color="auto"/>
        <w:bottom w:val="none" w:sz="0" w:space="0" w:color="auto"/>
        <w:right w:val="none" w:sz="0" w:space="0" w:color="auto"/>
      </w:divBdr>
    </w:div>
    <w:div w:id="70198976">
      <w:bodyDiv w:val="1"/>
      <w:marLeft w:val="0"/>
      <w:marRight w:val="0"/>
      <w:marTop w:val="0"/>
      <w:marBottom w:val="0"/>
      <w:divBdr>
        <w:top w:val="none" w:sz="0" w:space="0" w:color="auto"/>
        <w:left w:val="none" w:sz="0" w:space="0" w:color="auto"/>
        <w:bottom w:val="none" w:sz="0" w:space="0" w:color="auto"/>
        <w:right w:val="none" w:sz="0" w:space="0" w:color="auto"/>
      </w:divBdr>
    </w:div>
    <w:div w:id="71321589">
      <w:bodyDiv w:val="1"/>
      <w:marLeft w:val="0"/>
      <w:marRight w:val="0"/>
      <w:marTop w:val="0"/>
      <w:marBottom w:val="0"/>
      <w:divBdr>
        <w:top w:val="none" w:sz="0" w:space="0" w:color="auto"/>
        <w:left w:val="none" w:sz="0" w:space="0" w:color="auto"/>
        <w:bottom w:val="none" w:sz="0" w:space="0" w:color="auto"/>
        <w:right w:val="none" w:sz="0" w:space="0" w:color="auto"/>
      </w:divBdr>
    </w:div>
    <w:div w:id="121192172">
      <w:bodyDiv w:val="1"/>
      <w:marLeft w:val="0"/>
      <w:marRight w:val="0"/>
      <w:marTop w:val="0"/>
      <w:marBottom w:val="0"/>
      <w:divBdr>
        <w:top w:val="none" w:sz="0" w:space="0" w:color="auto"/>
        <w:left w:val="none" w:sz="0" w:space="0" w:color="auto"/>
        <w:bottom w:val="none" w:sz="0" w:space="0" w:color="auto"/>
        <w:right w:val="none" w:sz="0" w:space="0" w:color="auto"/>
      </w:divBdr>
    </w:div>
    <w:div w:id="125513839">
      <w:bodyDiv w:val="1"/>
      <w:marLeft w:val="0"/>
      <w:marRight w:val="0"/>
      <w:marTop w:val="0"/>
      <w:marBottom w:val="0"/>
      <w:divBdr>
        <w:top w:val="none" w:sz="0" w:space="0" w:color="auto"/>
        <w:left w:val="none" w:sz="0" w:space="0" w:color="auto"/>
        <w:bottom w:val="none" w:sz="0" w:space="0" w:color="auto"/>
        <w:right w:val="none" w:sz="0" w:space="0" w:color="auto"/>
      </w:divBdr>
    </w:div>
    <w:div w:id="143470944">
      <w:bodyDiv w:val="1"/>
      <w:marLeft w:val="0"/>
      <w:marRight w:val="0"/>
      <w:marTop w:val="0"/>
      <w:marBottom w:val="0"/>
      <w:divBdr>
        <w:top w:val="none" w:sz="0" w:space="0" w:color="auto"/>
        <w:left w:val="none" w:sz="0" w:space="0" w:color="auto"/>
        <w:bottom w:val="none" w:sz="0" w:space="0" w:color="auto"/>
        <w:right w:val="none" w:sz="0" w:space="0" w:color="auto"/>
      </w:divBdr>
    </w:div>
    <w:div w:id="167256842">
      <w:bodyDiv w:val="1"/>
      <w:marLeft w:val="0"/>
      <w:marRight w:val="0"/>
      <w:marTop w:val="0"/>
      <w:marBottom w:val="0"/>
      <w:divBdr>
        <w:top w:val="none" w:sz="0" w:space="0" w:color="auto"/>
        <w:left w:val="none" w:sz="0" w:space="0" w:color="auto"/>
        <w:bottom w:val="none" w:sz="0" w:space="0" w:color="auto"/>
        <w:right w:val="none" w:sz="0" w:space="0" w:color="auto"/>
      </w:divBdr>
    </w:div>
    <w:div w:id="183205476">
      <w:bodyDiv w:val="1"/>
      <w:marLeft w:val="0"/>
      <w:marRight w:val="0"/>
      <w:marTop w:val="0"/>
      <w:marBottom w:val="0"/>
      <w:divBdr>
        <w:top w:val="none" w:sz="0" w:space="0" w:color="auto"/>
        <w:left w:val="none" w:sz="0" w:space="0" w:color="auto"/>
        <w:bottom w:val="none" w:sz="0" w:space="0" w:color="auto"/>
        <w:right w:val="none" w:sz="0" w:space="0" w:color="auto"/>
      </w:divBdr>
    </w:div>
    <w:div w:id="184712391">
      <w:bodyDiv w:val="1"/>
      <w:marLeft w:val="0"/>
      <w:marRight w:val="0"/>
      <w:marTop w:val="0"/>
      <w:marBottom w:val="0"/>
      <w:divBdr>
        <w:top w:val="none" w:sz="0" w:space="0" w:color="auto"/>
        <w:left w:val="none" w:sz="0" w:space="0" w:color="auto"/>
        <w:bottom w:val="none" w:sz="0" w:space="0" w:color="auto"/>
        <w:right w:val="none" w:sz="0" w:space="0" w:color="auto"/>
      </w:divBdr>
    </w:div>
    <w:div w:id="200018045">
      <w:bodyDiv w:val="1"/>
      <w:marLeft w:val="0"/>
      <w:marRight w:val="0"/>
      <w:marTop w:val="0"/>
      <w:marBottom w:val="0"/>
      <w:divBdr>
        <w:top w:val="none" w:sz="0" w:space="0" w:color="auto"/>
        <w:left w:val="none" w:sz="0" w:space="0" w:color="auto"/>
        <w:bottom w:val="none" w:sz="0" w:space="0" w:color="auto"/>
        <w:right w:val="none" w:sz="0" w:space="0" w:color="auto"/>
      </w:divBdr>
    </w:div>
    <w:div w:id="214633450">
      <w:bodyDiv w:val="1"/>
      <w:marLeft w:val="0"/>
      <w:marRight w:val="0"/>
      <w:marTop w:val="0"/>
      <w:marBottom w:val="0"/>
      <w:divBdr>
        <w:top w:val="none" w:sz="0" w:space="0" w:color="auto"/>
        <w:left w:val="none" w:sz="0" w:space="0" w:color="auto"/>
        <w:bottom w:val="none" w:sz="0" w:space="0" w:color="auto"/>
        <w:right w:val="none" w:sz="0" w:space="0" w:color="auto"/>
      </w:divBdr>
    </w:div>
    <w:div w:id="223680825">
      <w:bodyDiv w:val="1"/>
      <w:marLeft w:val="0"/>
      <w:marRight w:val="0"/>
      <w:marTop w:val="0"/>
      <w:marBottom w:val="0"/>
      <w:divBdr>
        <w:top w:val="none" w:sz="0" w:space="0" w:color="auto"/>
        <w:left w:val="none" w:sz="0" w:space="0" w:color="auto"/>
        <w:bottom w:val="none" w:sz="0" w:space="0" w:color="auto"/>
        <w:right w:val="none" w:sz="0" w:space="0" w:color="auto"/>
      </w:divBdr>
    </w:div>
    <w:div w:id="229269303">
      <w:bodyDiv w:val="1"/>
      <w:marLeft w:val="0"/>
      <w:marRight w:val="0"/>
      <w:marTop w:val="0"/>
      <w:marBottom w:val="0"/>
      <w:divBdr>
        <w:top w:val="none" w:sz="0" w:space="0" w:color="auto"/>
        <w:left w:val="none" w:sz="0" w:space="0" w:color="auto"/>
        <w:bottom w:val="none" w:sz="0" w:space="0" w:color="auto"/>
        <w:right w:val="none" w:sz="0" w:space="0" w:color="auto"/>
      </w:divBdr>
    </w:div>
    <w:div w:id="237600492">
      <w:bodyDiv w:val="1"/>
      <w:marLeft w:val="0"/>
      <w:marRight w:val="0"/>
      <w:marTop w:val="0"/>
      <w:marBottom w:val="0"/>
      <w:divBdr>
        <w:top w:val="none" w:sz="0" w:space="0" w:color="auto"/>
        <w:left w:val="none" w:sz="0" w:space="0" w:color="auto"/>
        <w:bottom w:val="none" w:sz="0" w:space="0" w:color="auto"/>
        <w:right w:val="none" w:sz="0" w:space="0" w:color="auto"/>
      </w:divBdr>
    </w:div>
    <w:div w:id="240068898">
      <w:bodyDiv w:val="1"/>
      <w:marLeft w:val="0"/>
      <w:marRight w:val="0"/>
      <w:marTop w:val="0"/>
      <w:marBottom w:val="0"/>
      <w:divBdr>
        <w:top w:val="none" w:sz="0" w:space="0" w:color="auto"/>
        <w:left w:val="none" w:sz="0" w:space="0" w:color="auto"/>
        <w:bottom w:val="none" w:sz="0" w:space="0" w:color="auto"/>
        <w:right w:val="none" w:sz="0" w:space="0" w:color="auto"/>
      </w:divBdr>
    </w:div>
    <w:div w:id="287779704">
      <w:bodyDiv w:val="1"/>
      <w:marLeft w:val="0"/>
      <w:marRight w:val="0"/>
      <w:marTop w:val="0"/>
      <w:marBottom w:val="0"/>
      <w:divBdr>
        <w:top w:val="none" w:sz="0" w:space="0" w:color="auto"/>
        <w:left w:val="none" w:sz="0" w:space="0" w:color="auto"/>
        <w:bottom w:val="none" w:sz="0" w:space="0" w:color="auto"/>
        <w:right w:val="none" w:sz="0" w:space="0" w:color="auto"/>
      </w:divBdr>
    </w:div>
    <w:div w:id="291711465">
      <w:bodyDiv w:val="1"/>
      <w:marLeft w:val="0"/>
      <w:marRight w:val="0"/>
      <w:marTop w:val="0"/>
      <w:marBottom w:val="0"/>
      <w:divBdr>
        <w:top w:val="none" w:sz="0" w:space="0" w:color="auto"/>
        <w:left w:val="none" w:sz="0" w:space="0" w:color="auto"/>
        <w:bottom w:val="none" w:sz="0" w:space="0" w:color="auto"/>
        <w:right w:val="none" w:sz="0" w:space="0" w:color="auto"/>
      </w:divBdr>
    </w:div>
    <w:div w:id="291790062">
      <w:bodyDiv w:val="1"/>
      <w:marLeft w:val="0"/>
      <w:marRight w:val="0"/>
      <w:marTop w:val="0"/>
      <w:marBottom w:val="0"/>
      <w:divBdr>
        <w:top w:val="none" w:sz="0" w:space="0" w:color="auto"/>
        <w:left w:val="none" w:sz="0" w:space="0" w:color="auto"/>
        <w:bottom w:val="none" w:sz="0" w:space="0" w:color="auto"/>
        <w:right w:val="none" w:sz="0" w:space="0" w:color="auto"/>
      </w:divBdr>
    </w:div>
    <w:div w:id="294681264">
      <w:bodyDiv w:val="1"/>
      <w:marLeft w:val="0"/>
      <w:marRight w:val="0"/>
      <w:marTop w:val="0"/>
      <w:marBottom w:val="0"/>
      <w:divBdr>
        <w:top w:val="none" w:sz="0" w:space="0" w:color="auto"/>
        <w:left w:val="none" w:sz="0" w:space="0" w:color="auto"/>
        <w:bottom w:val="none" w:sz="0" w:space="0" w:color="auto"/>
        <w:right w:val="none" w:sz="0" w:space="0" w:color="auto"/>
      </w:divBdr>
    </w:div>
    <w:div w:id="295717210">
      <w:bodyDiv w:val="1"/>
      <w:marLeft w:val="0"/>
      <w:marRight w:val="0"/>
      <w:marTop w:val="0"/>
      <w:marBottom w:val="0"/>
      <w:divBdr>
        <w:top w:val="none" w:sz="0" w:space="0" w:color="auto"/>
        <w:left w:val="none" w:sz="0" w:space="0" w:color="auto"/>
        <w:bottom w:val="none" w:sz="0" w:space="0" w:color="auto"/>
        <w:right w:val="none" w:sz="0" w:space="0" w:color="auto"/>
      </w:divBdr>
    </w:div>
    <w:div w:id="301423749">
      <w:bodyDiv w:val="1"/>
      <w:marLeft w:val="0"/>
      <w:marRight w:val="0"/>
      <w:marTop w:val="0"/>
      <w:marBottom w:val="0"/>
      <w:divBdr>
        <w:top w:val="none" w:sz="0" w:space="0" w:color="auto"/>
        <w:left w:val="none" w:sz="0" w:space="0" w:color="auto"/>
        <w:bottom w:val="none" w:sz="0" w:space="0" w:color="auto"/>
        <w:right w:val="none" w:sz="0" w:space="0" w:color="auto"/>
      </w:divBdr>
    </w:div>
    <w:div w:id="301886997">
      <w:bodyDiv w:val="1"/>
      <w:marLeft w:val="0"/>
      <w:marRight w:val="0"/>
      <w:marTop w:val="0"/>
      <w:marBottom w:val="0"/>
      <w:divBdr>
        <w:top w:val="none" w:sz="0" w:space="0" w:color="auto"/>
        <w:left w:val="none" w:sz="0" w:space="0" w:color="auto"/>
        <w:bottom w:val="none" w:sz="0" w:space="0" w:color="auto"/>
        <w:right w:val="none" w:sz="0" w:space="0" w:color="auto"/>
      </w:divBdr>
    </w:div>
    <w:div w:id="318657611">
      <w:bodyDiv w:val="1"/>
      <w:marLeft w:val="0"/>
      <w:marRight w:val="0"/>
      <w:marTop w:val="0"/>
      <w:marBottom w:val="0"/>
      <w:divBdr>
        <w:top w:val="none" w:sz="0" w:space="0" w:color="auto"/>
        <w:left w:val="none" w:sz="0" w:space="0" w:color="auto"/>
        <w:bottom w:val="none" w:sz="0" w:space="0" w:color="auto"/>
        <w:right w:val="none" w:sz="0" w:space="0" w:color="auto"/>
      </w:divBdr>
    </w:div>
    <w:div w:id="338628910">
      <w:bodyDiv w:val="1"/>
      <w:marLeft w:val="0"/>
      <w:marRight w:val="0"/>
      <w:marTop w:val="0"/>
      <w:marBottom w:val="0"/>
      <w:divBdr>
        <w:top w:val="none" w:sz="0" w:space="0" w:color="auto"/>
        <w:left w:val="none" w:sz="0" w:space="0" w:color="auto"/>
        <w:bottom w:val="none" w:sz="0" w:space="0" w:color="auto"/>
        <w:right w:val="none" w:sz="0" w:space="0" w:color="auto"/>
      </w:divBdr>
    </w:div>
    <w:div w:id="339549370">
      <w:bodyDiv w:val="1"/>
      <w:marLeft w:val="0"/>
      <w:marRight w:val="0"/>
      <w:marTop w:val="0"/>
      <w:marBottom w:val="0"/>
      <w:divBdr>
        <w:top w:val="none" w:sz="0" w:space="0" w:color="auto"/>
        <w:left w:val="none" w:sz="0" w:space="0" w:color="auto"/>
        <w:bottom w:val="none" w:sz="0" w:space="0" w:color="auto"/>
        <w:right w:val="none" w:sz="0" w:space="0" w:color="auto"/>
      </w:divBdr>
    </w:div>
    <w:div w:id="359596569">
      <w:bodyDiv w:val="1"/>
      <w:marLeft w:val="0"/>
      <w:marRight w:val="0"/>
      <w:marTop w:val="0"/>
      <w:marBottom w:val="0"/>
      <w:divBdr>
        <w:top w:val="none" w:sz="0" w:space="0" w:color="auto"/>
        <w:left w:val="none" w:sz="0" w:space="0" w:color="auto"/>
        <w:bottom w:val="none" w:sz="0" w:space="0" w:color="auto"/>
        <w:right w:val="none" w:sz="0" w:space="0" w:color="auto"/>
      </w:divBdr>
    </w:div>
    <w:div w:id="360982792">
      <w:bodyDiv w:val="1"/>
      <w:marLeft w:val="0"/>
      <w:marRight w:val="0"/>
      <w:marTop w:val="0"/>
      <w:marBottom w:val="0"/>
      <w:divBdr>
        <w:top w:val="none" w:sz="0" w:space="0" w:color="auto"/>
        <w:left w:val="none" w:sz="0" w:space="0" w:color="auto"/>
        <w:bottom w:val="none" w:sz="0" w:space="0" w:color="auto"/>
        <w:right w:val="none" w:sz="0" w:space="0" w:color="auto"/>
      </w:divBdr>
    </w:div>
    <w:div w:id="375005960">
      <w:bodyDiv w:val="1"/>
      <w:marLeft w:val="0"/>
      <w:marRight w:val="0"/>
      <w:marTop w:val="0"/>
      <w:marBottom w:val="0"/>
      <w:divBdr>
        <w:top w:val="none" w:sz="0" w:space="0" w:color="auto"/>
        <w:left w:val="none" w:sz="0" w:space="0" w:color="auto"/>
        <w:bottom w:val="none" w:sz="0" w:space="0" w:color="auto"/>
        <w:right w:val="none" w:sz="0" w:space="0" w:color="auto"/>
      </w:divBdr>
    </w:div>
    <w:div w:id="383719370">
      <w:bodyDiv w:val="1"/>
      <w:marLeft w:val="0"/>
      <w:marRight w:val="0"/>
      <w:marTop w:val="0"/>
      <w:marBottom w:val="0"/>
      <w:divBdr>
        <w:top w:val="none" w:sz="0" w:space="0" w:color="auto"/>
        <w:left w:val="none" w:sz="0" w:space="0" w:color="auto"/>
        <w:bottom w:val="none" w:sz="0" w:space="0" w:color="auto"/>
        <w:right w:val="none" w:sz="0" w:space="0" w:color="auto"/>
      </w:divBdr>
    </w:div>
    <w:div w:id="391389681">
      <w:bodyDiv w:val="1"/>
      <w:marLeft w:val="0"/>
      <w:marRight w:val="0"/>
      <w:marTop w:val="0"/>
      <w:marBottom w:val="0"/>
      <w:divBdr>
        <w:top w:val="none" w:sz="0" w:space="0" w:color="auto"/>
        <w:left w:val="none" w:sz="0" w:space="0" w:color="auto"/>
        <w:bottom w:val="none" w:sz="0" w:space="0" w:color="auto"/>
        <w:right w:val="none" w:sz="0" w:space="0" w:color="auto"/>
      </w:divBdr>
    </w:div>
    <w:div w:id="397555844">
      <w:bodyDiv w:val="1"/>
      <w:marLeft w:val="0"/>
      <w:marRight w:val="0"/>
      <w:marTop w:val="0"/>
      <w:marBottom w:val="0"/>
      <w:divBdr>
        <w:top w:val="none" w:sz="0" w:space="0" w:color="auto"/>
        <w:left w:val="none" w:sz="0" w:space="0" w:color="auto"/>
        <w:bottom w:val="none" w:sz="0" w:space="0" w:color="auto"/>
        <w:right w:val="none" w:sz="0" w:space="0" w:color="auto"/>
      </w:divBdr>
    </w:div>
    <w:div w:id="415438780">
      <w:bodyDiv w:val="1"/>
      <w:marLeft w:val="0"/>
      <w:marRight w:val="0"/>
      <w:marTop w:val="0"/>
      <w:marBottom w:val="0"/>
      <w:divBdr>
        <w:top w:val="none" w:sz="0" w:space="0" w:color="auto"/>
        <w:left w:val="none" w:sz="0" w:space="0" w:color="auto"/>
        <w:bottom w:val="none" w:sz="0" w:space="0" w:color="auto"/>
        <w:right w:val="none" w:sz="0" w:space="0" w:color="auto"/>
      </w:divBdr>
    </w:div>
    <w:div w:id="423458821">
      <w:bodyDiv w:val="1"/>
      <w:marLeft w:val="0"/>
      <w:marRight w:val="0"/>
      <w:marTop w:val="0"/>
      <w:marBottom w:val="0"/>
      <w:divBdr>
        <w:top w:val="none" w:sz="0" w:space="0" w:color="auto"/>
        <w:left w:val="none" w:sz="0" w:space="0" w:color="auto"/>
        <w:bottom w:val="none" w:sz="0" w:space="0" w:color="auto"/>
        <w:right w:val="none" w:sz="0" w:space="0" w:color="auto"/>
      </w:divBdr>
    </w:div>
    <w:div w:id="454715609">
      <w:bodyDiv w:val="1"/>
      <w:marLeft w:val="0"/>
      <w:marRight w:val="0"/>
      <w:marTop w:val="0"/>
      <w:marBottom w:val="0"/>
      <w:divBdr>
        <w:top w:val="none" w:sz="0" w:space="0" w:color="auto"/>
        <w:left w:val="none" w:sz="0" w:space="0" w:color="auto"/>
        <w:bottom w:val="none" w:sz="0" w:space="0" w:color="auto"/>
        <w:right w:val="none" w:sz="0" w:space="0" w:color="auto"/>
      </w:divBdr>
    </w:div>
    <w:div w:id="485784423">
      <w:bodyDiv w:val="1"/>
      <w:marLeft w:val="0"/>
      <w:marRight w:val="0"/>
      <w:marTop w:val="0"/>
      <w:marBottom w:val="0"/>
      <w:divBdr>
        <w:top w:val="none" w:sz="0" w:space="0" w:color="auto"/>
        <w:left w:val="none" w:sz="0" w:space="0" w:color="auto"/>
        <w:bottom w:val="none" w:sz="0" w:space="0" w:color="auto"/>
        <w:right w:val="none" w:sz="0" w:space="0" w:color="auto"/>
      </w:divBdr>
    </w:div>
    <w:div w:id="499925427">
      <w:bodyDiv w:val="1"/>
      <w:marLeft w:val="0"/>
      <w:marRight w:val="0"/>
      <w:marTop w:val="0"/>
      <w:marBottom w:val="0"/>
      <w:divBdr>
        <w:top w:val="none" w:sz="0" w:space="0" w:color="auto"/>
        <w:left w:val="none" w:sz="0" w:space="0" w:color="auto"/>
        <w:bottom w:val="none" w:sz="0" w:space="0" w:color="auto"/>
        <w:right w:val="none" w:sz="0" w:space="0" w:color="auto"/>
      </w:divBdr>
    </w:div>
    <w:div w:id="512766863">
      <w:bodyDiv w:val="1"/>
      <w:marLeft w:val="0"/>
      <w:marRight w:val="0"/>
      <w:marTop w:val="0"/>
      <w:marBottom w:val="0"/>
      <w:divBdr>
        <w:top w:val="none" w:sz="0" w:space="0" w:color="auto"/>
        <w:left w:val="none" w:sz="0" w:space="0" w:color="auto"/>
        <w:bottom w:val="none" w:sz="0" w:space="0" w:color="auto"/>
        <w:right w:val="none" w:sz="0" w:space="0" w:color="auto"/>
      </w:divBdr>
    </w:div>
    <w:div w:id="523206064">
      <w:bodyDiv w:val="1"/>
      <w:marLeft w:val="0"/>
      <w:marRight w:val="0"/>
      <w:marTop w:val="0"/>
      <w:marBottom w:val="0"/>
      <w:divBdr>
        <w:top w:val="none" w:sz="0" w:space="0" w:color="auto"/>
        <w:left w:val="none" w:sz="0" w:space="0" w:color="auto"/>
        <w:bottom w:val="none" w:sz="0" w:space="0" w:color="auto"/>
        <w:right w:val="none" w:sz="0" w:space="0" w:color="auto"/>
      </w:divBdr>
    </w:div>
    <w:div w:id="548104859">
      <w:bodyDiv w:val="1"/>
      <w:marLeft w:val="0"/>
      <w:marRight w:val="0"/>
      <w:marTop w:val="0"/>
      <w:marBottom w:val="0"/>
      <w:divBdr>
        <w:top w:val="none" w:sz="0" w:space="0" w:color="auto"/>
        <w:left w:val="none" w:sz="0" w:space="0" w:color="auto"/>
        <w:bottom w:val="none" w:sz="0" w:space="0" w:color="auto"/>
        <w:right w:val="none" w:sz="0" w:space="0" w:color="auto"/>
      </w:divBdr>
    </w:div>
    <w:div w:id="551885100">
      <w:bodyDiv w:val="1"/>
      <w:marLeft w:val="0"/>
      <w:marRight w:val="0"/>
      <w:marTop w:val="0"/>
      <w:marBottom w:val="0"/>
      <w:divBdr>
        <w:top w:val="none" w:sz="0" w:space="0" w:color="auto"/>
        <w:left w:val="none" w:sz="0" w:space="0" w:color="auto"/>
        <w:bottom w:val="none" w:sz="0" w:space="0" w:color="auto"/>
        <w:right w:val="none" w:sz="0" w:space="0" w:color="auto"/>
      </w:divBdr>
    </w:div>
    <w:div w:id="557397956">
      <w:bodyDiv w:val="1"/>
      <w:marLeft w:val="0"/>
      <w:marRight w:val="0"/>
      <w:marTop w:val="0"/>
      <w:marBottom w:val="0"/>
      <w:divBdr>
        <w:top w:val="none" w:sz="0" w:space="0" w:color="auto"/>
        <w:left w:val="none" w:sz="0" w:space="0" w:color="auto"/>
        <w:bottom w:val="none" w:sz="0" w:space="0" w:color="auto"/>
        <w:right w:val="none" w:sz="0" w:space="0" w:color="auto"/>
      </w:divBdr>
    </w:div>
    <w:div w:id="560561099">
      <w:bodyDiv w:val="1"/>
      <w:marLeft w:val="0"/>
      <w:marRight w:val="0"/>
      <w:marTop w:val="0"/>
      <w:marBottom w:val="0"/>
      <w:divBdr>
        <w:top w:val="none" w:sz="0" w:space="0" w:color="auto"/>
        <w:left w:val="none" w:sz="0" w:space="0" w:color="auto"/>
        <w:bottom w:val="none" w:sz="0" w:space="0" w:color="auto"/>
        <w:right w:val="none" w:sz="0" w:space="0" w:color="auto"/>
      </w:divBdr>
    </w:div>
    <w:div w:id="564074527">
      <w:bodyDiv w:val="1"/>
      <w:marLeft w:val="0"/>
      <w:marRight w:val="0"/>
      <w:marTop w:val="0"/>
      <w:marBottom w:val="0"/>
      <w:divBdr>
        <w:top w:val="none" w:sz="0" w:space="0" w:color="auto"/>
        <w:left w:val="none" w:sz="0" w:space="0" w:color="auto"/>
        <w:bottom w:val="none" w:sz="0" w:space="0" w:color="auto"/>
        <w:right w:val="none" w:sz="0" w:space="0" w:color="auto"/>
      </w:divBdr>
      <w:divsChild>
        <w:div w:id="2108303703">
          <w:marLeft w:val="0"/>
          <w:marRight w:val="0"/>
          <w:marTop w:val="0"/>
          <w:marBottom w:val="0"/>
          <w:divBdr>
            <w:top w:val="none" w:sz="0" w:space="0" w:color="auto"/>
            <w:left w:val="none" w:sz="0" w:space="0" w:color="auto"/>
            <w:bottom w:val="none" w:sz="0" w:space="0" w:color="auto"/>
            <w:right w:val="none" w:sz="0" w:space="0" w:color="auto"/>
          </w:divBdr>
        </w:div>
      </w:divsChild>
    </w:div>
    <w:div w:id="573972418">
      <w:bodyDiv w:val="1"/>
      <w:marLeft w:val="0"/>
      <w:marRight w:val="0"/>
      <w:marTop w:val="0"/>
      <w:marBottom w:val="0"/>
      <w:divBdr>
        <w:top w:val="none" w:sz="0" w:space="0" w:color="auto"/>
        <w:left w:val="none" w:sz="0" w:space="0" w:color="auto"/>
        <w:bottom w:val="none" w:sz="0" w:space="0" w:color="auto"/>
        <w:right w:val="none" w:sz="0" w:space="0" w:color="auto"/>
      </w:divBdr>
    </w:div>
    <w:div w:id="574559673">
      <w:bodyDiv w:val="1"/>
      <w:marLeft w:val="0"/>
      <w:marRight w:val="0"/>
      <w:marTop w:val="0"/>
      <w:marBottom w:val="0"/>
      <w:divBdr>
        <w:top w:val="none" w:sz="0" w:space="0" w:color="auto"/>
        <w:left w:val="none" w:sz="0" w:space="0" w:color="auto"/>
        <w:bottom w:val="none" w:sz="0" w:space="0" w:color="auto"/>
        <w:right w:val="none" w:sz="0" w:space="0" w:color="auto"/>
      </w:divBdr>
    </w:div>
    <w:div w:id="624892932">
      <w:bodyDiv w:val="1"/>
      <w:marLeft w:val="0"/>
      <w:marRight w:val="0"/>
      <w:marTop w:val="0"/>
      <w:marBottom w:val="0"/>
      <w:divBdr>
        <w:top w:val="none" w:sz="0" w:space="0" w:color="auto"/>
        <w:left w:val="none" w:sz="0" w:space="0" w:color="auto"/>
        <w:bottom w:val="none" w:sz="0" w:space="0" w:color="auto"/>
        <w:right w:val="none" w:sz="0" w:space="0" w:color="auto"/>
      </w:divBdr>
    </w:div>
    <w:div w:id="639185846">
      <w:bodyDiv w:val="1"/>
      <w:marLeft w:val="0"/>
      <w:marRight w:val="0"/>
      <w:marTop w:val="0"/>
      <w:marBottom w:val="0"/>
      <w:divBdr>
        <w:top w:val="none" w:sz="0" w:space="0" w:color="auto"/>
        <w:left w:val="none" w:sz="0" w:space="0" w:color="auto"/>
        <w:bottom w:val="none" w:sz="0" w:space="0" w:color="auto"/>
        <w:right w:val="none" w:sz="0" w:space="0" w:color="auto"/>
      </w:divBdr>
    </w:div>
    <w:div w:id="645090889">
      <w:bodyDiv w:val="1"/>
      <w:marLeft w:val="0"/>
      <w:marRight w:val="0"/>
      <w:marTop w:val="0"/>
      <w:marBottom w:val="0"/>
      <w:divBdr>
        <w:top w:val="none" w:sz="0" w:space="0" w:color="auto"/>
        <w:left w:val="none" w:sz="0" w:space="0" w:color="auto"/>
        <w:bottom w:val="none" w:sz="0" w:space="0" w:color="auto"/>
        <w:right w:val="none" w:sz="0" w:space="0" w:color="auto"/>
      </w:divBdr>
    </w:div>
    <w:div w:id="657391866">
      <w:bodyDiv w:val="1"/>
      <w:marLeft w:val="0"/>
      <w:marRight w:val="0"/>
      <w:marTop w:val="0"/>
      <w:marBottom w:val="0"/>
      <w:divBdr>
        <w:top w:val="none" w:sz="0" w:space="0" w:color="auto"/>
        <w:left w:val="none" w:sz="0" w:space="0" w:color="auto"/>
        <w:bottom w:val="none" w:sz="0" w:space="0" w:color="auto"/>
        <w:right w:val="none" w:sz="0" w:space="0" w:color="auto"/>
      </w:divBdr>
    </w:div>
    <w:div w:id="687373435">
      <w:bodyDiv w:val="1"/>
      <w:marLeft w:val="0"/>
      <w:marRight w:val="0"/>
      <w:marTop w:val="0"/>
      <w:marBottom w:val="0"/>
      <w:divBdr>
        <w:top w:val="none" w:sz="0" w:space="0" w:color="auto"/>
        <w:left w:val="none" w:sz="0" w:space="0" w:color="auto"/>
        <w:bottom w:val="none" w:sz="0" w:space="0" w:color="auto"/>
        <w:right w:val="none" w:sz="0" w:space="0" w:color="auto"/>
      </w:divBdr>
    </w:div>
    <w:div w:id="703554635">
      <w:bodyDiv w:val="1"/>
      <w:marLeft w:val="0"/>
      <w:marRight w:val="0"/>
      <w:marTop w:val="0"/>
      <w:marBottom w:val="0"/>
      <w:divBdr>
        <w:top w:val="none" w:sz="0" w:space="0" w:color="auto"/>
        <w:left w:val="none" w:sz="0" w:space="0" w:color="auto"/>
        <w:bottom w:val="none" w:sz="0" w:space="0" w:color="auto"/>
        <w:right w:val="none" w:sz="0" w:space="0" w:color="auto"/>
      </w:divBdr>
    </w:div>
    <w:div w:id="717166307">
      <w:bodyDiv w:val="1"/>
      <w:marLeft w:val="0"/>
      <w:marRight w:val="0"/>
      <w:marTop w:val="0"/>
      <w:marBottom w:val="0"/>
      <w:divBdr>
        <w:top w:val="none" w:sz="0" w:space="0" w:color="auto"/>
        <w:left w:val="none" w:sz="0" w:space="0" w:color="auto"/>
        <w:bottom w:val="none" w:sz="0" w:space="0" w:color="auto"/>
        <w:right w:val="none" w:sz="0" w:space="0" w:color="auto"/>
      </w:divBdr>
    </w:div>
    <w:div w:id="745226116">
      <w:bodyDiv w:val="1"/>
      <w:marLeft w:val="0"/>
      <w:marRight w:val="0"/>
      <w:marTop w:val="0"/>
      <w:marBottom w:val="0"/>
      <w:divBdr>
        <w:top w:val="none" w:sz="0" w:space="0" w:color="auto"/>
        <w:left w:val="none" w:sz="0" w:space="0" w:color="auto"/>
        <w:bottom w:val="none" w:sz="0" w:space="0" w:color="auto"/>
        <w:right w:val="none" w:sz="0" w:space="0" w:color="auto"/>
      </w:divBdr>
    </w:div>
    <w:div w:id="745343131">
      <w:bodyDiv w:val="1"/>
      <w:marLeft w:val="0"/>
      <w:marRight w:val="0"/>
      <w:marTop w:val="0"/>
      <w:marBottom w:val="0"/>
      <w:divBdr>
        <w:top w:val="none" w:sz="0" w:space="0" w:color="auto"/>
        <w:left w:val="none" w:sz="0" w:space="0" w:color="auto"/>
        <w:bottom w:val="none" w:sz="0" w:space="0" w:color="auto"/>
        <w:right w:val="none" w:sz="0" w:space="0" w:color="auto"/>
      </w:divBdr>
    </w:div>
    <w:div w:id="761141419">
      <w:bodyDiv w:val="1"/>
      <w:marLeft w:val="0"/>
      <w:marRight w:val="0"/>
      <w:marTop w:val="0"/>
      <w:marBottom w:val="0"/>
      <w:divBdr>
        <w:top w:val="none" w:sz="0" w:space="0" w:color="auto"/>
        <w:left w:val="none" w:sz="0" w:space="0" w:color="auto"/>
        <w:bottom w:val="none" w:sz="0" w:space="0" w:color="auto"/>
        <w:right w:val="none" w:sz="0" w:space="0" w:color="auto"/>
      </w:divBdr>
    </w:div>
    <w:div w:id="763647822">
      <w:bodyDiv w:val="1"/>
      <w:marLeft w:val="0"/>
      <w:marRight w:val="0"/>
      <w:marTop w:val="0"/>
      <w:marBottom w:val="0"/>
      <w:divBdr>
        <w:top w:val="none" w:sz="0" w:space="0" w:color="auto"/>
        <w:left w:val="none" w:sz="0" w:space="0" w:color="auto"/>
        <w:bottom w:val="none" w:sz="0" w:space="0" w:color="auto"/>
        <w:right w:val="none" w:sz="0" w:space="0" w:color="auto"/>
      </w:divBdr>
    </w:div>
    <w:div w:id="770979453">
      <w:bodyDiv w:val="1"/>
      <w:marLeft w:val="0"/>
      <w:marRight w:val="0"/>
      <w:marTop w:val="0"/>
      <w:marBottom w:val="0"/>
      <w:divBdr>
        <w:top w:val="none" w:sz="0" w:space="0" w:color="auto"/>
        <w:left w:val="none" w:sz="0" w:space="0" w:color="auto"/>
        <w:bottom w:val="none" w:sz="0" w:space="0" w:color="auto"/>
        <w:right w:val="none" w:sz="0" w:space="0" w:color="auto"/>
      </w:divBdr>
    </w:div>
    <w:div w:id="772480918">
      <w:bodyDiv w:val="1"/>
      <w:marLeft w:val="0"/>
      <w:marRight w:val="0"/>
      <w:marTop w:val="0"/>
      <w:marBottom w:val="0"/>
      <w:divBdr>
        <w:top w:val="none" w:sz="0" w:space="0" w:color="auto"/>
        <w:left w:val="none" w:sz="0" w:space="0" w:color="auto"/>
        <w:bottom w:val="none" w:sz="0" w:space="0" w:color="auto"/>
        <w:right w:val="none" w:sz="0" w:space="0" w:color="auto"/>
      </w:divBdr>
    </w:div>
    <w:div w:id="777026446">
      <w:bodyDiv w:val="1"/>
      <w:marLeft w:val="0"/>
      <w:marRight w:val="0"/>
      <w:marTop w:val="0"/>
      <w:marBottom w:val="0"/>
      <w:divBdr>
        <w:top w:val="none" w:sz="0" w:space="0" w:color="auto"/>
        <w:left w:val="none" w:sz="0" w:space="0" w:color="auto"/>
        <w:bottom w:val="none" w:sz="0" w:space="0" w:color="auto"/>
        <w:right w:val="none" w:sz="0" w:space="0" w:color="auto"/>
      </w:divBdr>
    </w:div>
    <w:div w:id="777991952">
      <w:bodyDiv w:val="1"/>
      <w:marLeft w:val="0"/>
      <w:marRight w:val="0"/>
      <w:marTop w:val="0"/>
      <w:marBottom w:val="0"/>
      <w:divBdr>
        <w:top w:val="none" w:sz="0" w:space="0" w:color="auto"/>
        <w:left w:val="none" w:sz="0" w:space="0" w:color="auto"/>
        <w:bottom w:val="none" w:sz="0" w:space="0" w:color="auto"/>
        <w:right w:val="none" w:sz="0" w:space="0" w:color="auto"/>
      </w:divBdr>
    </w:div>
    <w:div w:id="790053259">
      <w:bodyDiv w:val="1"/>
      <w:marLeft w:val="0"/>
      <w:marRight w:val="0"/>
      <w:marTop w:val="0"/>
      <w:marBottom w:val="0"/>
      <w:divBdr>
        <w:top w:val="none" w:sz="0" w:space="0" w:color="auto"/>
        <w:left w:val="none" w:sz="0" w:space="0" w:color="auto"/>
        <w:bottom w:val="none" w:sz="0" w:space="0" w:color="auto"/>
        <w:right w:val="none" w:sz="0" w:space="0" w:color="auto"/>
      </w:divBdr>
    </w:div>
    <w:div w:id="794837042">
      <w:bodyDiv w:val="1"/>
      <w:marLeft w:val="0"/>
      <w:marRight w:val="0"/>
      <w:marTop w:val="0"/>
      <w:marBottom w:val="0"/>
      <w:divBdr>
        <w:top w:val="none" w:sz="0" w:space="0" w:color="auto"/>
        <w:left w:val="none" w:sz="0" w:space="0" w:color="auto"/>
        <w:bottom w:val="none" w:sz="0" w:space="0" w:color="auto"/>
        <w:right w:val="none" w:sz="0" w:space="0" w:color="auto"/>
      </w:divBdr>
    </w:div>
    <w:div w:id="798648689">
      <w:bodyDiv w:val="1"/>
      <w:marLeft w:val="0"/>
      <w:marRight w:val="0"/>
      <w:marTop w:val="0"/>
      <w:marBottom w:val="0"/>
      <w:divBdr>
        <w:top w:val="none" w:sz="0" w:space="0" w:color="auto"/>
        <w:left w:val="none" w:sz="0" w:space="0" w:color="auto"/>
        <w:bottom w:val="none" w:sz="0" w:space="0" w:color="auto"/>
        <w:right w:val="none" w:sz="0" w:space="0" w:color="auto"/>
      </w:divBdr>
    </w:div>
    <w:div w:id="803617897">
      <w:bodyDiv w:val="1"/>
      <w:marLeft w:val="0"/>
      <w:marRight w:val="0"/>
      <w:marTop w:val="0"/>
      <w:marBottom w:val="0"/>
      <w:divBdr>
        <w:top w:val="none" w:sz="0" w:space="0" w:color="auto"/>
        <w:left w:val="none" w:sz="0" w:space="0" w:color="auto"/>
        <w:bottom w:val="none" w:sz="0" w:space="0" w:color="auto"/>
        <w:right w:val="none" w:sz="0" w:space="0" w:color="auto"/>
      </w:divBdr>
    </w:div>
    <w:div w:id="810948314">
      <w:bodyDiv w:val="1"/>
      <w:marLeft w:val="0"/>
      <w:marRight w:val="0"/>
      <w:marTop w:val="0"/>
      <w:marBottom w:val="0"/>
      <w:divBdr>
        <w:top w:val="none" w:sz="0" w:space="0" w:color="auto"/>
        <w:left w:val="none" w:sz="0" w:space="0" w:color="auto"/>
        <w:bottom w:val="none" w:sz="0" w:space="0" w:color="auto"/>
        <w:right w:val="none" w:sz="0" w:space="0" w:color="auto"/>
      </w:divBdr>
    </w:div>
    <w:div w:id="833029885">
      <w:bodyDiv w:val="1"/>
      <w:marLeft w:val="0"/>
      <w:marRight w:val="0"/>
      <w:marTop w:val="0"/>
      <w:marBottom w:val="0"/>
      <w:divBdr>
        <w:top w:val="none" w:sz="0" w:space="0" w:color="auto"/>
        <w:left w:val="none" w:sz="0" w:space="0" w:color="auto"/>
        <w:bottom w:val="none" w:sz="0" w:space="0" w:color="auto"/>
        <w:right w:val="none" w:sz="0" w:space="0" w:color="auto"/>
      </w:divBdr>
    </w:div>
    <w:div w:id="851381414">
      <w:bodyDiv w:val="1"/>
      <w:marLeft w:val="0"/>
      <w:marRight w:val="0"/>
      <w:marTop w:val="0"/>
      <w:marBottom w:val="0"/>
      <w:divBdr>
        <w:top w:val="none" w:sz="0" w:space="0" w:color="auto"/>
        <w:left w:val="none" w:sz="0" w:space="0" w:color="auto"/>
        <w:bottom w:val="none" w:sz="0" w:space="0" w:color="auto"/>
        <w:right w:val="none" w:sz="0" w:space="0" w:color="auto"/>
      </w:divBdr>
    </w:div>
    <w:div w:id="855386712">
      <w:bodyDiv w:val="1"/>
      <w:marLeft w:val="0"/>
      <w:marRight w:val="0"/>
      <w:marTop w:val="0"/>
      <w:marBottom w:val="0"/>
      <w:divBdr>
        <w:top w:val="none" w:sz="0" w:space="0" w:color="auto"/>
        <w:left w:val="none" w:sz="0" w:space="0" w:color="auto"/>
        <w:bottom w:val="none" w:sz="0" w:space="0" w:color="auto"/>
        <w:right w:val="none" w:sz="0" w:space="0" w:color="auto"/>
      </w:divBdr>
    </w:div>
    <w:div w:id="867335105">
      <w:bodyDiv w:val="1"/>
      <w:marLeft w:val="0"/>
      <w:marRight w:val="0"/>
      <w:marTop w:val="0"/>
      <w:marBottom w:val="0"/>
      <w:divBdr>
        <w:top w:val="none" w:sz="0" w:space="0" w:color="auto"/>
        <w:left w:val="none" w:sz="0" w:space="0" w:color="auto"/>
        <w:bottom w:val="none" w:sz="0" w:space="0" w:color="auto"/>
        <w:right w:val="none" w:sz="0" w:space="0" w:color="auto"/>
      </w:divBdr>
    </w:div>
    <w:div w:id="868685846">
      <w:bodyDiv w:val="1"/>
      <w:marLeft w:val="0"/>
      <w:marRight w:val="0"/>
      <w:marTop w:val="0"/>
      <w:marBottom w:val="0"/>
      <w:divBdr>
        <w:top w:val="none" w:sz="0" w:space="0" w:color="auto"/>
        <w:left w:val="none" w:sz="0" w:space="0" w:color="auto"/>
        <w:bottom w:val="none" w:sz="0" w:space="0" w:color="auto"/>
        <w:right w:val="none" w:sz="0" w:space="0" w:color="auto"/>
      </w:divBdr>
    </w:div>
    <w:div w:id="914512801">
      <w:bodyDiv w:val="1"/>
      <w:marLeft w:val="0"/>
      <w:marRight w:val="0"/>
      <w:marTop w:val="0"/>
      <w:marBottom w:val="0"/>
      <w:divBdr>
        <w:top w:val="none" w:sz="0" w:space="0" w:color="auto"/>
        <w:left w:val="none" w:sz="0" w:space="0" w:color="auto"/>
        <w:bottom w:val="none" w:sz="0" w:space="0" w:color="auto"/>
        <w:right w:val="none" w:sz="0" w:space="0" w:color="auto"/>
      </w:divBdr>
    </w:div>
    <w:div w:id="942147172">
      <w:bodyDiv w:val="1"/>
      <w:marLeft w:val="0"/>
      <w:marRight w:val="0"/>
      <w:marTop w:val="0"/>
      <w:marBottom w:val="0"/>
      <w:divBdr>
        <w:top w:val="none" w:sz="0" w:space="0" w:color="auto"/>
        <w:left w:val="none" w:sz="0" w:space="0" w:color="auto"/>
        <w:bottom w:val="none" w:sz="0" w:space="0" w:color="auto"/>
        <w:right w:val="none" w:sz="0" w:space="0" w:color="auto"/>
      </w:divBdr>
    </w:div>
    <w:div w:id="947934865">
      <w:bodyDiv w:val="1"/>
      <w:marLeft w:val="0"/>
      <w:marRight w:val="0"/>
      <w:marTop w:val="0"/>
      <w:marBottom w:val="0"/>
      <w:divBdr>
        <w:top w:val="none" w:sz="0" w:space="0" w:color="auto"/>
        <w:left w:val="none" w:sz="0" w:space="0" w:color="auto"/>
        <w:bottom w:val="none" w:sz="0" w:space="0" w:color="auto"/>
        <w:right w:val="none" w:sz="0" w:space="0" w:color="auto"/>
      </w:divBdr>
    </w:div>
    <w:div w:id="952059124">
      <w:bodyDiv w:val="1"/>
      <w:marLeft w:val="0"/>
      <w:marRight w:val="0"/>
      <w:marTop w:val="0"/>
      <w:marBottom w:val="0"/>
      <w:divBdr>
        <w:top w:val="none" w:sz="0" w:space="0" w:color="auto"/>
        <w:left w:val="none" w:sz="0" w:space="0" w:color="auto"/>
        <w:bottom w:val="none" w:sz="0" w:space="0" w:color="auto"/>
        <w:right w:val="none" w:sz="0" w:space="0" w:color="auto"/>
      </w:divBdr>
    </w:div>
    <w:div w:id="984510406">
      <w:bodyDiv w:val="1"/>
      <w:marLeft w:val="0"/>
      <w:marRight w:val="0"/>
      <w:marTop w:val="0"/>
      <w:marBottom w:val="0"/>
      <w:divBdr>
        <w:top w:val="none" w:sz="0" w:space="0" w:color="auto"/>
        <w:left w:val="none" w:sz="0" w:space="0" w:color="auto"/>
        <w:bottom w:val="none" w:sz="0" w:space="0" w:color="auto"/>
        <w:right w:val="none" w:sz="0" w:space="0" w:color="auto"/>
      </w:divBdr>
    </w:div>
    <w:div w:id="1029332251">
      <w:bodyDiv w:val="1"/>
      <w:marLeft w:val="0"/>
      <w:marRight w:val="0"/>
      <w:marTop w:val="0"/>
      <w:marBottom w:val="0"/>
      <w:divBdr>
        <w:top w:val="none" w:sz="0" w:space="0" w:color="auto"/>
        <w:left w:val="none" w:sz="0" w:space="0" w:color="auto"/>
        <w:bottom w:val="none" w:sz="0" w:space="0" w:color="auto"/>
        <w:right w:val="none" w:sz="0" w:space="0" w:color="auto"/>
      </w:divBdr>
    </w:div>
    <w:div w:id="1030181914">
      <w:bodyDiv w:val="1"/>
      <w:marLeft w:val="0"/>
      <w:marRight w:val="0"/>
      <w:marTop w:val="0"/>
      <w:marBottom w:val="0"/>
      <w:divBdr>
        <w:top w:val="none" w:sz="0" w:space="0" w:color="auto"/>
        <w:left w:val="none" w:sz="0" w:space="0" w:color="auto"/>
        <w:bottom w:val="none" w:sz="0" w:space="0" w:color="auto"/>
        <w:right w:val="none" w:sz="0" w:space="0" w:color="auto"/>
      </w:divBdr>
    </w:div>
    <w:div w:id="1030298872">
      <w:bodyDiv w:val="1"/>
      <w:marLeft w:val="0"/>
      <w:marRight w:val="0"/>
      <w:marTop w:val="0"/>
      <w:marBottom w:val="0"/>
      <w:divBdr>
        <w:top w:val="none" w:sz="0" w:space="0" w:color="auto"/>
        <w:left w:val="none" w:sz="0" w:space="0" w:color="auto"/>
        <w:bottom w:val="none" w:sz="0" w:space="0" w:color="auto"/>
        <w:right w:val="none" w:sz="0" w:space="0" w:color="auto"/>
      </w:divBdr>
    </w:div>
    <w:div w:id="1030447546">
      <w:bodyDiv w:val="1"/>
      <w:marLeft w:val="0"/>
      <w:marRight w:val="0"/>
      <w:marTop w:val="0"/>
      <w:marBottom w:val="0"/>
      <w:divBdr>
        <w:top w:val="none" w:sz="0" w:space="0" w:color="auto"/>
        <w:left w:val="none" w:sz="0" w:space="0" w:color="auto"/>
        <w:bottom w:val="none" w:sz="0" w:space="0" w:color="auto"/>
        <w:right w:val="none" w:sz="0" w:space="0" w:color="auto"/>
      </w:divBdr>
    </w:div>
    <w:div w:id="1036351289">
      <w:bodyDiv w:val="1"/>
      <w:marLeft w:val="0"/>
      <w:marRight w:val="0"/>
      <w:marTop w:val="0"/>
      <w:marBottom w:val="0"/>
      <w:divBdr>
        <w:top w:val="none" w:sz="0" w:space="0" w:color="auto"/>
        <w:left w:val="none" w:sz="0" w:space="0" w:color="auto"/>
        <w:bottom w:val="none" w:sz="0" w:space="0" w:color="auto"/>
        <w:right w:val="none" w:sz="0" w:space="0" w:color="auto"/>
      </w:divBdr>
    </w:div>
    <w:div w:id="1038629729">
      <w:bodyDiv w:val="1"/>
      <w:marLeft w:val="0"/>
      <w:marRight w:val="0"/>
      <w:marTop w:val="0"/>
      <w:marBottom w:val="0"/>
      <w:divBdr>
        <w:top w:val="none" w:sz="0" w:space="0" w:color="auto"/>
        <w:left w:val="none" w:sz="0" w:space="0" w:color="auto"/>
        <w:bottom w:val="none" w:sz="0" w:space="0" w:color="auto"/>
        <w:right w:val="none" w:sz="0" w:space="0" w:color="auto"/>
      </w:divBdr>
    </w:div>
    <w:div w:id="1056977100">
      <w:bodyDiv w:val="1"/>
      <w:marLeft w:val="0"/>
      <w:marRight w:val="0"/>
      <w:marTop w:val="0"/>
      <w:marBottom w:val="0"/>
      <w:divBdr>
        <w:top w:val="none" w:sz="0" w:space="0" w:color="auto"/>
        <w:left w:val="none" w:sz="0" w:space="0" w:color="auto"/>
        <w:bottom w:val="none" w:sz="0" w:space="0" w:color="auto"/>
        <w:right w:val="none" w:sz="0" w:space="0" w:color="auto"/>
      </w:divBdr>
    </w:div>
    <w:div w:id="1060518187">
      <w:bodyDiv w:val="1"/>
      <w:marLeft w:val="0"/>
      <w:marRight w:val="0"/>
      <w:marTop w:val="0"/>
      <w:marBottom w:val="0"/>
      <w:divBdr>
        <w:top w:val="none" w:sz="0" w:space="0" w:color="auto"/>
        <w:left w:val="none" w:sz="0" w:space="0" w:color="auto"/>
        <w:bottom w:val="none" w:sz="0" w:space="0" w:color="auto"/>
        <w:right w:val="none" w:sz="0" w:space="0" w:color="auto"/>
      </w:divBdr>
    </w:div>
    <w:div w:id="1065643576">
      <w:bodyDiv w:val="1"/>
      <w:marLeft w:val="0"/>
      <w:marRight w:val="0"/>
      <w:marTop w:val="0"/>
      <w:marBottom w:val="0"/>
      <w:divBdr>
        <w:top w:val="none" w:sz="0" w:space="0" w:color="auto"/>
        <w:left w:val="none" w:sz="0" w:space="0" w:color="auto"/>
        <w:bottom w:val="none" w:sz="0" w:space="0" w:color="auto"/>
        <w:right w:val="none" w:sz="0" w:space="0" w:color="auto"/>
      </w:divBdr>
    </w:div>
    <w:div w:id="1086731685">
      <w:bodyDiv w:val="1"/>
      <w:marLeft w:val="0"/>
      <w:marRight w:val="0"/>
      <w:marTop w:val="0"/>
      <w:marBottom w:val="0"/>
      <w:divBdr>
        <w:top w:val="none" w:sz="0" w:space="0" w:color="auto"/>
        <w:left w:val="none" w:sz="0" w:space="0" w:color="auto"/>
        <w:bottom w:val="none" w:sz="0" w:space="0" w:color="auto"/>
        <w:right w:val="none" w:sz="0" w:space="0" w:color="auto"/>
      </w:divBdr>
    </w:div>
    <w:div w:id="1091122151">
      <w:bodyDiv w:val="1"/>
      <w:marLeft w:val="0"/>
      <w:marRight w:val="0"/>
      <w:marTop w:val="0"/>
      <w:marBottom w:val="0"/>
      <w:divBdr>
        <w:top w:val="none" w:sz="0" w:space="0" w:color="auto"/>
        <w:left w:val="none" w:sz="0" w:space="0" w:color="auto"/>
        <w:bottom w:val="none" w:sz="0" w:space="0" w:color="auto"/>
        <w:right w:val="none" w:sz="0" w:space="0" w:color="auto"/>
      </w:divBdr>
    </w:div>
    <w:div w:id="1091706985">
      <w:bodyDiv w:val="1"/>
      <w:marLeft w:val="0"/>
      <w:marRight w:val="0"/>
      <w:marTop w:val="0"/>
      <w:marBottom w:val="0"/>
      <w:divBdr>
        <w:top w:val="none" w:sz="0" w:space="0" w:color="auto"/>
        <w:left w:val="none" w:sz="0" w:space="0" w:color="auto"/>
        <w:bottom w:val="none" w:sz="0" w:space="0" w:color="auto"/>
        <w:right w:val="none" w:sz="0" w:space="0" w:color="auto"/>
      </w:divBdr>
    </w:div>
    <w:div w:id="1101149519">
      <w:bodyDiv w:val="1"/>
      <w:marLeft w:val="0"/>
      <w:marRight w:val="0"/>
      <w:marTop w:val="0"/>
      <w:marBottom w:val="0"/>
      <w:divBdr>
        <w:top w:val="none" w:sz="0" w:space="0" w:color="auto"/>
        <w:left w:val="none" w:sz="0" w:space="0" w:color="auto"/>
        <w:bottom w:val="none" w:sz="0" w:space="0" w:color="auto"/>
        <w:right w:val="none" w:sz="0" w:space="0" w:color="auto"/>
      </w:divBdr>
    </w:div>
    <w:div w:id="1106779186">
      <w:bodyDiv w:val="1"/>
      <w:marLeft w:val="0"/>
      <w:marRight w:val="0"/>
      <w:marTop w:val="0"/>
      <w:marBottom w:val="0"/>
      <w:divBdr>
        <w:top w:val="none" w:sz="0" w:space="0" w:color="auto"/>
        <w:left w:val="none" w:sz="0" w:space="0" w:color="auto"/>
        <w:bottom w:val="none" w:sz="0" w:space="0" w:color="auto"/>
        <w:right w:val="none" w:sz="0" w:space="0" w:color="auto"/>
      </w:divBdr>
    </w:div>
    <w:div w:id="1106803702">
      <w:bodyDiv w:val="1"/>
      <w:marLeft w:val="0"/>
      <w:marRight w:val="0"/>
      <w:marTop w:val="0"/>
      <w:marBottom w:val="0"/>
      <w:divBdr>
        <w:top w:val="none" w:sz="0" w:space="0" w:color="auto"/>
        <w:left w:val="none" w:sz="0" w:space="0" w:color="auto"/>
        <w:bottom w:val="none" w:sz="0" w:space="0" w:color="auto"/>
        <w:right w:val="none" w:sz="0" w:space="0" w:color="auto"/>
      </w:divBdr>
    </w:div>
    <w:div w:id="1110472142">
      <w:bodyDiv w:val="1"/>
      <w:marLeft w:val="0"/>
      <w:marRight w:val="0"/>
      <w:marTop w:val="0"/>
      <w:marBottom w:val="0"/>
      <w:divBdr>
        <w:top w:val="none" w:sz="0" w:space="0" w:color="auto"/>
        <w:left w:val="none" w:sz="0" w:space="0" w:color="auto"/>
        <w:bottom w:val="none" w:sz="0" w:space="0" w:color="auto"/>
        <w:right w:val="none" w:sz="0" w:space="0" w:color="auto"/>
      </w:divBdr>
    </w:div>
    <w:div w:id="1111826141">
      <w:bodyDiv w:val="1"/>
      <w:marLeft w:val="0"/>
      <w:marRight w:val="0"/>
      <w:marTop w:val="0"/>
      <w:marBottom w:val="0"/>
      <w:divBdr>
        <w:top w:val="none" w:sz="0" w:space="0" w:color="auto"/>
        <w:left w:val="none" w:sz="0" w:space="0" w:color="auto"/>
        <w:bottom w:val="none" w:sz="0" w:space="0" w:color="auto"/>
        <w:right w:val="none" w:sz="0" w:space="0" w:color="auto"/>
      </w:divBdr>
    </w:div>
    <w:div w:id="1122042685">
      <w:bodyDiv w:val="1"/>
      <w:marLeft w:val="0"/>
      <w:marRight w:val="0"/>
      <w:marTop w:val="0"/>
      <w:marBottom w:val="0"/>
      <w:divBdr>
        <w:top w:val="none" w:sz="0" w:space="0" w:color="auto"/>
        <w:left w:val="none" w:sz="0" w:space="0" w:color="auto"/>
        <w:bottom w:val="none" w:sz="0" w:space="0" w:color="auto"/>
        <w:right w:val="none" w:sz="0" w:space="0" w:color="auto"/>
      </w:divBdr>
    </w:div>
    <w:div w:id="1130395720">
      <w:bodyDiv w:val="1"/>
      <w:marLeft w:val="0"/>
      <w:marRight w:val="0"/>
      <w:marTop w:val="0"/>
      <w:marBottom w:val="0"/>
      <w:divBdr>
        <w:top w:val="none" w:sz="0" w:space="0" w:color="auto"/>
        <w:left w:val="none" w:sz="0" w:space="0" w:color="auto"/>
        <w:bottom w:val="none" w:sz="0" w:space="0" w:color="auto"/>
        <w:right w:val="none" w:sz="0" w:space="0" w:color="auto"/>
      </w:divBdr>
    </w:div>
    <w:div w:id="1139032418">
      <w:bodyDiv w:val="1"/>
      <w:marLeft w:val="0"/>
      <w:marRight w:val="0"/>
      <w:marTop w:val="0"/>
      <w:marBottom w:val="0"/>
      <w:divBdr>
        <w:top w:val="none" w:sz="0" w:space="0" w:color="auto"/>
        <w:left w:val="none" w:sz="0" w:space="0" w:color="auto"/>
        <w:bottom w:val="none" w:sz="0" w:space="0" w:color="auto"/>
        <w:right w:val="none" w:sz="0" w:space="0" w:color="auto"/>
      </w:divBdr>
    </w:div>
    <w:div w:id="1158692292">
      <w:bodyDiv w:val="1"/>
      <w:marLeft w:val="0"/>
      <w:marRight w:val="0"/>
      <w:marTop w:val="0"/>
      <w:marBottom w:val="0"/>
      <w:divBdr>
        <w:top w:val="none" w:sz="0" w:space="0" w:color="auto"/>
        <w:left w:val="none" w:sz="0" w:space="0" w:color="auto"/>
        <w:bottom w:val="none" w:sz="0" w:space="0" w:color="auto"/>
        <w:right w:val="none" w:sz="0" w:space="0" w:color="auto"/>
      </w:divBdr>
    </w:div>
    <w:div w:id="1159885646">
      <w:bodyDiv w:val="1"/>
      <w:marLeft w:val="0"/>
      <w:marRight w:val="0"/>
      <w:marTop w:val="0"/>
      <w:marBottom w:val="0"/>
      <w:divBdr>
        <w:top w:val="none" w:sz="0" w:space="0" w:color="auto"/>
        <w:left w:val="none" w:sz="0" w:space="0" w:color="auto"/>
        <w:bottom w:val="none" w:sz="0" w:space="0" w:color="auto"/>
        <w:right w:val="none" w:sz="0" w:space="0" w:color="auto"/>
      </w:divBdr>
    </w:div>
    <w:div w:id="1168136721">
      <w:bodyDiv w:val="1"/>
      <w:marLeft w:val="0"/>
      <w:marRight w:val="0"/>
      <w:marTop w:val="0"/>
      <w:marBottom w:val="0"/>
      <w:divBdr>
        <w:top w:val="none" w:sz="0" w:space="0" w:color="auto"/>
        <w:left w:val="none" w:sz="0" w:space="0" w:color="auto"/>
        <w:bottom w:val="none" w:sz="0" w:space="0" w:color="auto"/>
        <w:right w:val="none" w:sz="0" w:space="0" w:color="auto"/>
      </w:divBdr>
    </w:div>
    <w:div w:id="1168865385">
      <w:bodyDiv w:val="1"/>
      <w:marLeft w:val="0"/>
      <w:marRight w:val="0"/>
      <w:marTop w:val="0"/>
      <w:marBottom w:val="0"/>
      <w:divBdr>
        <w:top w:val="none" w:sz="0" w:space="0" w:color="auto"/>
        <w:left w:val="none" w:sz="0" w:space="0" w:color="auto"/>
        <w:bottom w:val="none" w:sz="0" w:space="0" w:color="auto"/>
        <w:right w:val="none" w:sz="0" w:space="0" w:color="auto"/>
      </w:divBdr>
    </w:div>
    <w:div w:id="1179731533">
      <w:bodyDiv w:val="1"/>
      <w:marLeft w:val="0"/>
      <w:marRight w:val="0"/>
      <w:marTop w:val="0"/>
      <w:marBottom w:val="0"/>
      <w:divBdr>
        <w:top w:val="none" w:sz="0" w:space="0" w:color="auto"/>
        <w:left w:val="none" w:sz="0" w:space="0" w:color="auto"/>
        <w:bottom w:val="none" w:sz="0" w:space="0" w:color="auto"/>
        <w:right w:val="none" w:sz="0" w:space="0" w:color="auto"/>
      </w:divBdr>
    </w:div>
    <w:div w:id="1199048245">
      <w:bodyDiv w:val="1"/>
      <w:marLeft w:val="0"/>
      <w:marRight w:val="0"/>
      <w:marTop w:val="0"/>
      <w:marBottom w:val="0"/>
      <w:divBdr>
        <w:top w:val="none" w:sz="0" w:space="0" w:color="auto"/>
        <w:left w:val="none" w:sz="0" w:space="0" w:color="auto"/>
        <w:bottom w:val="none" w:sz="0" w:space="0" w:color="auto"/>
        <w:right w:val="none" w:sz="0" w:space="0" w:color="auto"/>
      </w:divBdr>
    </w:div>
    <w:div w:id="1205287541">
      <w:bodyDiv w:val="1"/>
      <w:marLeft w:val="0"/>
      <w:marRight w:val="0"/>
      <w:marTop w:val="0"/>
      <w:marBottom w:val="0"/>
      <w:divBdr>
        <w:top w:val="none" w:sz="0" w:space="0" w:color="auto"/>
        <w:left w:val="none" w:sz="0" w:space="0" w:color="auto"/>
        <w:bottom w:val="none" w:sz="0" w:space="0" w:color="auto"/>
        <w:right w:val="none" w:sz="0" w:space="0" w:color="auto"/>
      </w:divBdr>
    </w:div>
    <w:div w:id="1222135936">
      <w:bodyDiv w:val="1"/>
      <w:marLeft w:val="0"/>
      <w:marRight w:val="0"/>
      <w:marTop w:val="0"/>
      <w:marBottom w:val="0"/>
      <w:divBdr>
        <w:top w:val="none" w:sz="0" w:space="0" w:color="auto"/>
        <w:left w:val="none" w:sz="0" w:space="0" w:color="auto"/>
        <w:bottom w:val="none" w:sz="0" w:space="0" w:color="auto"/>
        <w:right w:val="none" w:sz="0" w:space="0" w:color="auto"/>
      </w:divBdr>
    </w:div>
    <w:div w:id="1229000713">
      <w:bodyDiv w:val="1"/>
      <w:marLeft w:val="0"/>
      <w:marRight w:val="0"/>
      <w:marTop w:val="0"/>
      <w:marBottom w:val="0"/>
      <w:divBdr>
        <w:top w:val="none" w:sz="0" w:space="0" w:color="auto"/>
        <w:left w:val="none" w:sz="0" w:space="0" w:color="auto"/>
        <w:bottom w:val="none" w:sz="0" w:space="0" w:color="auto"/>
        <w:right w:val="none" w:sz="0" w:space="0" w:color="auto"/>
      </w:divBdr>
    </w:div>
    <w:div w:id="1248727207">
      <w:bodyDiv w:val="1"/>
      <w:marLeft w:val="0"/>
      <w:marRight w:val="0"/>
      <w:marTop w:val="0"/>
      <w:marBottom w:val="0"/>
      <w:divBdr>
        <w:top w:val="none" w:sz="0" w:space="0" w:color="auto"/>
        <w:left w:val="none" w:sz="0" w:space="0" w:color="auto"/>
        <w:bottom w:val="none" w:sz="0" w:space="0" w:color="auto"/>
        <w:right w:val="none" w:sz="0" w:space="0" w:color="auto"/>
      </w:divBdr>
    </w:div>
    <w:div w:id="1263995039">
      <w:bodyDiv w:val="1"/>
      <w:marLeft w:val="0"/>
      <w:marRight w:val="0"/>
      <w:marTop w:val="0"/>
      <w:marBottom w:val="0"/>
      <w:divBdr>
        <w:top w:val="none" w:sz="0" w:space="0" w:color="auto"/>
        <w:left w:val="none" w:sz="0" w:space="0" w:color="auto"/>
        <w:bottom w:val="none" w:sz="0" w:space="0" w:color="auto"/>
        <w:right w:val="none" w:sz="0" w:space="0" w:color="auto"/>
      </w:divBdr>
    </w:div>
    <w:div w:id="1267731228">
      <w:bodyDiv w:val="1"/>
      <w:marLeft w:val="0"/>
      <w:marRight w:val="0"/>
      <w:marTop w:val="0"/>
      <w:marBottom w:val="0"/>
      <w:divBdr>
        <w:top w:val="none" w:sz="0" w:space="0" w:color="auto"/>
        <w:left w:val="none" w:sz="0" w:space="0" w:color="auto"/>
        <w:bottom w:val="none" w:sz="0" w:space="0" w:color="auto"/>
        <w:right w:val="none" w:sz="0" w:space="0" w:color="auto"/>
      </w:divBdr>
    </w:div>
    <w:div w:id="1289820741">
      <w:bodyDiv w:val="1"/>
      <w:marLeft w:val="0"/>
      <w:marRight w:val="0"/>
      <w:marTop w:val="0"/>
      <w:marBottom w:val="0"/>
      <w:divBdr>
        <w:top w:val="none" w:sz="0" w:space="0" w:color="auto"/>
        <w:left w:val="none" w:sz="0" w:space="0" w:color="auto"/>
        <w:bottom w:val="none" w:sz="0" w:space="0" w:color="auto"/>
        <w:right w:val="none" w:sz="0" w:space="0" w:color="auto"/>
      </w:divBdr>
    </w:div>
    <w:div w:id="1307054247">
      <w:bodyDiv w:val="1"/>
      <w:marLeft w:val="0"/>
      <w:marRight w:val="0"/>
      <w:marTop w:val="0"/>
      <w:marBottom w:val="0"/>
      <w:divBdr>
        <w:top w:val="none" w:sz="0" w:space="0" w:color="auto"/>
        <w:left w:val="none" w:sz="0" w:space="0" w:color="auto"/>
        <w:bottom w:val="none" w:sz="0" w:space="0" w:color="auto"/>
        <w:right w:val="none" w:sz="0" w:space="0" w:color="auto"/>
      </w:divBdr>
    </w:div>
    <w:div w:id="1318270522">
      <w:bodyDiv w:val="1"/>
      <w:marLeft w:val="0"/>
      <w:marRight w:val="0"/>
      <w:marTop w:val="0"/>
      <w:marBottom w:val="0"/>
      <w:divBdr>
        <w:top w:val="none" w:sz="0" w:space="0" w:color="auto"/>
        <w:left w:val="none" w:sz="0" w:space="0" w:color="auto"/>
        <w:bottom w:val="none" w:sz="0" w:space="0" w:color="auto"/>
        <w:right w:val="none" w:sz="0" w:space="0" w:color="auto"/>
      </w:divBdr>
    </w:div>
    <w:div w:id="1330519202">
      <w:bodyDiv w:val="1"/>
      <w:marLeft w:val="0"/>
      <w:marRight w:val="0"/>
      <w:marTop w:val="0"/>
      <w:marBottom w:val="0"/>
      <w:divBdr>
        <w:top w:val="none" w:sz="0" w:space="0" w:color="auto"/>
        <w:left w:val="none" w:sz="0" w:space="0" w:color="auto"/>
        <w:bottom w:val="none" w:sz="0" w:space="0" w:color="auto"/>
        <w:right w:val="none" w:sz="0" w:space="0" w:color="auto"/>
      </w:divBdr>
    </w:div>
    <w:div w:id="1332634972">
      <w:bodyDiv w:val="1"/>
      <w:marLeft w:val="0"/>
      <w:marRight w:val="0"/>
      <w:marTop w:val="0"/>
      <w:marBottom w:val="0"/>
      <w:divBdr>
        <w:top w:val="none" w:sz="0" w:space="0" w:color="auto"/>
        <w:left w:val="none" w:sz="0" w:space="0" w:color="auto"/>
        <w:bottom w:val="none" w:sz="0" w:space="0" w:color="auto"/>
        <w:right w:val="none" w:sz="0" w:space="0" w:color="auto"/>
      </w:divBdr>
    </w:div>
    <w:div w:id="1334449977">
      <w:bodyDiv w:val="1"/>
      <w:marLeft w:val="0"/>
      <w:marRight w:val="0"/>
      <w:marTop w:val="0"/>
      <w:marBottom w:val="0"/>
      <w:divBdr>
        <w:top w:val="none" w:sz="0" w:space="0" w:color="auto"/>
        <w:left w:val="none" w:sz="0" w:space="0" w:color="auto"/>
        <w:bottom w:val="none" w:sz="0" w:space="0" w:color="auto"/>
        <w:right w:val="none" w:sz="0" w:space="0" w:color="auto"/>
      </w:divBdr>
    </w:div>
    <w:div w:id="1335452980">
      <w:bodyDiv w:val="1"/>
      <w:marLeft w:val="0"/>
      <w:marRight w:val="0"/>
      <w:marTop w:val="0"/>
      <w:marBottom w:val="0"/>
      <w:divBdr>
        <w:top w:val="none" w:sz="0" w:space="0" w:color="auto"/>
        <w:left w:val="none" w:sz="0" w:space="0" w:color="auto"/>
        <w:bottom w:val="none" w:sz="0" w:space="0" w:color="auto"/>
        <w:right w:val="none" w:sz="0" w:space="0" w:color="auto"/>
      </w:divBdr>
    </w:div>
    <w:div w:id="1338998025">
      <w:bodyDiv w:val="1"/>
      <w:marLeft w:val="0"/>
      <w:marRight w:val="0"/>
      <w:marTop w:val="0"/>
      <w:marBottom w:val="0"/>
      <w:divBdr>
        <w:top w:val="none" w:sz="0" w:space="0" w:color="auto"/>
        <w:left w:val="none" w:sz="0" w:space="0" w:color="auto"/>
        <w:bottom w:val="none" w:sz="0" w:space="0" w:color="auto"/>
        <w:right w:val="none" w:sz="0" w:space="0" w:color="auto"/>
      </w:divBdr>
    </w:div>
    <w:div w:id="1340229986">
      <w:bodyDiv w:val="1"/>
      <w:marLeft w:val="0"/>
      <w:marRight w:val="0"/>
      <w:marTop w:val="0"/>
      <w:marBottom w:val="0"/>
      <w:divBdr>
        <w:top w:val="none" w:sz="0" w:space="0" w:color="auto"/>
        <w:left w:val="none" w:sz="0" w:space="0" w:color="auto"/>
        <w:bottom w:val="none" w:sz="0" w:space="0" w:color="auto"/>
        <w:right w:val="none" w:sz="0" w:space="0" w:color="auto"/>
      </w:divBdr>
    </w:div>
    <w:div w:id="1342513464">
      <w:bodyDiv w:val="1"/>
      <w:marLeft w:val="0"/>
      <w:marRight w:val="0"/>
      <w:marTop w:val="0"/>
      <w:marBottom w:val="0"/>
      <w:divBdr>
        <w:top w:val="none" w:sz="0" w:space="0" w:color="auto"/>
        <w:left w:val="none" w:sz="0" w:space="0" w:color="auto"/>
        <w:bottom w:val="none" w:sz="0" w:space="0" w:color="auto"/>
        <w:right w:val="none" w:sz="0" w:space="0" w:color="auto"/>
      </w:divBdr>
    </w:div>
    <w:div w:id="1357076230">
      <w:bodyDiv w:val="1"/>
      <w:marLeft w:val="0"/>
      <w:marRight w:val="0"/>
      <w:marTop w:val="0"/>
      <w:marBottom w:val="0"/>
      <w:divBdr>
        <w:top w:val="none" w:sz="0" w:space="0" w:color="auto"/>
        <w:left w:val="none" w:sz="0" w:space="0" w:color="auto"/>
        <w:bottom w:val="none" w:sz="0" w:space="0" w:color="auto"/>
        <w:right w:val="none" w:sz="0" w:space="0" w:color="auto"/>
      </w:divBdr>
    </w:div>
    <w:div w:id="1369647030">
      <w:bodyDiv w:val="1"/>
      <w:marLeft w:val="0"/>
      <w:marRight w:val="0"/>
      <w:marTop w:val="0"/>
      <w:marBottom w:val="0"/>
      <w:divBdr>
        <w:top w:val="none" w:sz="0" w:space="0" w:color="auto"/>
        <w:left w:val="none" w:sz="0" w:space="0" w:color="auto"/>
        <w:bottom w:val="none" w:sz="0" w:space="0" w:color="auto"/>
        <w:right w:val="none" w:sz="0" w:space="0" w:color="auto"/>
      </w:divBdr>
    </w:div>
    <w:div w:id="1387485101">
      <w:bodyDiv w:val="1"/>
      <w:marLeft w:val="0"/>
      <w:marRight w:val="0"/>
      <w:marTop w:val="0"/>
      <w:marBottom w:val="0"/>
      <w:divBdr>
        <w:top w:val="none" w:sz="0" w:space="0" w:color="auto"/>
        <w:left w:val="none" w:sz="0" w:space="0" w:color="auto"/>
        <w:bottom w:val="none" w:sz="0" w:space="0" w:color="auto"/>
        <w:right w:val="none" w:sz="0" w:space="0" w:color="auto"/>
      </w:divBdr>
    </w:div>
    <w:div w:id="1390420361">
      <w:bodyDiv w:val="1"/>
      <w:marLeft w:val="0"/>
      <w:marRight w:val="0"/>
      <w:marTop w:val="0"/>
      <w:marBottom w:val="0"/>
      <w:divBdr>
        <w:top w:val="none" w:sz="0" w:space="0" w:color="auto"/>
        <w:left w:val="none" w:sz="0" w:space="0" w:color="auto"/>
        <w:bottom w:val="none" w:sz="0" w:space="0" w:color="auto"/>
        <w:right w:val="none" w:sz="0" w:space="0" w:color="auto"/>
      </w:divBdr>
    </w:div>
    <w:div w:id="1402094180">
      <w:bodyDiv w:val="1"/>
      <w:marLeft w:val="0"/>
      <w:marRight w:val="0"/>
      <w:marTop w:val="0"/>
      <w:marBottom w:val="0"/>
      <w:divBdr>
        <w:top w:val="none" w:sz="0" w:space="0" w:color="auto"/>
        <w:left w:val="none" w:sz="0" w:space="0" w:color="auto"/>
        <w:bottom w:val="none" w:sz="0" w:space="0" w:color="auto"/>
        <w:right w:val="none" w:sz="0" w:space="0" w:color="auto"/>
      </w:divBdr>
    </w:div>
    <w:div w:id="1410080586">
      <w:bodyDiv w:val="1"/>
      <w:marLeft w:val="0"/>
      <w:marRight w:val="0"/>
      <w:marTop w:val="0"/>
      <w:marBottom w:val="0"/>
      <w:divBdr>
        <w:top w:val="none" w:sz="0" w:space="0" w:color="auto"/>
        <w:left w:val="none" w:sz="0" w:space="0" w:color="auto"/>
        <w:bottom w:val="none" w:sz="0" w:space="0" w:color="auto"/>
        <w:right w:val="none" w:sz="0" w:space="0" w:color="auto"/>
      </w:divBdr>
    </w:div>
    <w:div w:id="1413694194">
      <w:bodyDiv w:val="1"/>
      <w:marLeft w:val="0"/>
      <w:marRight w:val="0"/>
      <w:marTop w:val="0"/>
      <w:marBottom w:val="0"/>
      <w:divBdr>
        <w:top w:val="none" w:sz="0" w:space="0" w:color="auto"/>
        <w:left w:val="none" w:sz="0" w:space="0" w:color="auto"/>
        <w:bottom w:val="none" w:sz="0" w:space="0" w:color="auto"/>
        <w:right w:val="none" w:sz="0" w:space="0" w:color="auto"/>
      </w:divBdr>
    </w:div>
    <w:div w:id="1416124143">
      <w:bodyDiv w:val="1"/>
      <w:marLeft w:val="0"/>
      <w:marRight w:val="0"/>
      <w:marTop w:val="0"/>
      <w:marBottom w:val="0"/>
      <w:divBdr>
        <w:top w:val="none" w:sz="0" w:space="0" w:color="auto"/>
        <w:left w:val="none" w:sz="0" w:space="0" w:color="auto"/>
        <w:bottom w:val="none" w:sz="0" w:space="0" w:color="auto"/>
        <w:right w:val="none" w:sz="0" w:space="0" w:color="auto"/>
      </w:divBdr>
    </w:div>
    <w:div w:id="1416169406">
      <w:bodyDiv w:val="1"/>
      <w:marLeft w:val="0"/>
      <w:marRight w:val="0"/>
      <w:marTop w:val="0"/>
      <w:marBottom w:val="0"/>
      <w:divBdr>
        <w:top w:val="none" w:sz="0" w:space="0" w:color="auto"/>
        <w:left w:val="none" w:sz="0" w:space="0" w:color="auto"/>
        <w:bottom w:val="none" w:sz="0" w:space="0" w:color="auto"/>
        <w:right w:val="none" w:sz="0" w:space="0" w:color="auto"/>
      </w:divBdr>
    </w:div>
    <w:div w:id="1419402941">
      <w:bodyDiv w:val="1"/>
      <w:marLeft w:val="0"/>
      <w:marRight w:val="0"/>
      <w:marTop w:val="0"/>
      <w:marBottom w:val="0"/>
      <w:divBdr>
        <w:top w:val="none" w:sz="0" w:space="0" w:color="auto"/>
        <w:left w:val="none" w:sz="0" w:space="0" w:color="auto"/>
        <w:bottom w:val="none" w:sz="0" w:space="0" w:color="auto"/>
        <w:right w:val="none" w:sz="0" w:space="0" w:color="auto"/>
      </w:divBdr>
    </w:div>
    <w:div w:id="1447457935">
      <w:bodyDiv w:val="1"/>
      <w:marLeft w:val="0"/>
      <w:marRight w:val="0"/>
      <w:marTop w:val="0"/>
      <w:marBottom w:val="0"/>
      <w:divBdr>
        <w:top w:val="none" w:sz="0" w:space="0" w:color="auto"/>
        <w:left w:val="none" w:sz="0" w:space="0" w:color="auto"/>
        <w:bottom w:val="none" w:sz="0" w:space="0" w:color="auto"/>
        <w:right w:val="none" w:sz="0" w:space="0" w:color="auto"/>
      </w:divBdr>
    </w:div>
    <w:div w:id="1448504547">
      <w:bodyDiv w:val="1"/>
      <w:marLeft w:val="0"/>
      <w:marRight w:val="0"/>
      <w:marTop w:val="0"/>
      <w:marBottom w:val="0"/>
      <w:divBdr>
        <w:top w:val="none" w:sz="0" w:space="0" w:color="auto"/>
        <w:left w:val="none" w:sz="0" w:space="0" w:color="auto"/>
        <w:bottom w:val="none" w:sz="0" w:space="0" w:color="auto"/>
        <w:right w:val="none" w:sz="0" w:space="0" w:color="auto"/>
      </w:divBdr>
    </w:div>
    <w:div w:id="1455633818">
      <w:bodyDiv w:val="1"/>
      <w:marLeft w:val="0"/>
      <w:marRight w:val="0"/>
      <w:marTop w:val="0"/>
      <w:marBottom w:val="0"/>
      <w:divBdr>
        <w:top w:val="none" w:sz="0" w:space="0" w:color="auto"/>
        <w:left w:val="none" w:sz="0" w:space="0" w:color="auto"/>
        <w:bottom w:val="none" w:sz="0" w:space="0" w:color="auto"/>
        <w:right w:val="none" w:sz="0" w:space="0" w:color="auto"/>
      </w:divBdr>
    </w:div>
    <w:div w:id="1474785147">
      <w:bodyDiv w:val="1"/>
      <w:marLeft w:val="0"/>
      <w:marRight w:val="0"/>
      <w:marTop w:val="0"/>
      <w:marBottom w:val="0"/>
      <w:divBdr>
        <w:top w:val="none" w:sz="0" w:space="0" w:color="auto"/>
        <w:left w:val="none" w:sz="0" w:space="0" w:color="auto"/>
        <w:bottom w:val="none" w:sz="0" w:space="0" w:color="auto"/>
        <w:right w:val="none" w:sz="0" w:space="0" w:color="auto"/>
      </w:divBdr>
    </w:div>
    <w:div w:id="1477799880">
      <w:bodyDiv w:val="1"/>
      <w:marLeft w:val="0"/>
      <w:marRight w:val="0"/>
      <w:marTop w:val="0"/>
      <w:marBottom w:val="0"/>
      <w:divBdr>
        <w:top w:val="none" w:sz="0" w:space="0" w:color="auto"/>
        <w:left w:val="none" w:sz="0" w:space="0" w:color="auto"/>
        <w:bottom w:val="none" w:sz="0" w:space="0" w:color="auto"/>
        <w:right w:val="none" w:sz="0" w:space="0" w:color="auto"/>
      </w:divBdr>
    </w:div>
    <w:div w:id="1488090564">
      <w:bodyDiv w:val="1"/>
      <w:marLeft w:val="0"/>
      <w:marRight w:val="0"/>
      <w:marTop w:val="0"/>
      <w:marBottom w:val="0"/>
      <w:divBdr>
        <w:top w:val="none" w:sz="0" w:space="0" w:color="auto"/>
        <w:left w:val="none" w:sz="0" w:space="0" w:color="auto"/>
        <w:bottom w:val="none" w:sz="0" w:space="0" w:color="auto"/>
        <w:right w:val="none" w:sz="0" w:space="0" w:color="auto"/>
      </w:divBdr>
    </w:div>
    <w:div w:id="1506017466">
      <w:bodyDiv w:val="1"/>
      <w:marLeft w:val="0"/>
      <w:marRight w:val="0"/>
      <w:marTop w:val="0"/>
      <w:marBottom w:val="0"/>
      <w:divBdr>
        <w:top w:val="none" w:sz="0" w:space="0" w:color="auto"/>
        <w:left w:val="none" w:sz="0" w:space="0" w:color="auto"/>
        <w:bottom w:val="none" w:sz="0" w:space="0" w:color="auto"/>
        <w:right w:val="none" w:sz="0" w:space="0" w:color="auto"/>
      </w:divBdr>
    </w:div>
    <w:div w:id="1507750263">
      <w:bodyDiv w:val="1"/>
      <w:marLeft w:val="0"/>
      <w:marRight w:val="0"/>
      <w:marTop w:val="0"/>
      <w:marBottom w:val="0"/>
      <w:divBdr>
        <w:top w:val="none" w:sz="0" w:space="0" w:color="auto"/>
        <w:left w:val="none" w:sz="0" w:space="0" w:color="auto"/>
        <w:bottom w:val="none" w:sz="0" w:space="0" w:color="auto"/>
        <w:right w:val="none" w:sz="0" w:space="0" w:color="auto"/>
      </w:divBdr>
    </w:div>
    <w:div w:id="1517428086">
      <w:bodyDiv w:val="1"/>
      <w:marLeft w:val="0"/>
      <w:marRight w:val="0"/>
      <w:marTop w:val="0"/>
      <w:marBottom w:val="0"/>
      <w:divBdr>
        <w:top w:val="none" w:sz="0" w:space="0" w:color="auto"/>
        <w:left w:val="none" w:sz="0" w:space="0" w:color="auto"/>
        <w:bottom w:val="none" w:sz="0" w:space="0" w:color="auto"/>
        <w:right w:val="none" w:sz="0" w:space="0" w:color="auto"/>
      </w:divBdr>
    </w:div>
    <w:div w:id="1532568724">
      <w:bodyDiv w:val="1"/>
      <w:marLeft w:val="0"/>
      <w:marRight w:val="0"/>
      <w:marTop w:val="0"/>
      <w:marBottom w:val="0"/>
      <w:divBdr>
        <w:top w:val="none" w:sz="0" w:space="0" w:color="auto"/>
        <w:left w:val="none" w:sz="0" w:space="0" w:color="auto"/>
        <w:bottom w:val="none" w:sz="0" w:space="0" w:color="auto"/>
        <w:right w:val="none" w:sz="0" w:space="0" w:color="auto"/>
      </w:divBdr>
    </w:div>
    <w:div w:id="1564750487">
      <w:bodyDiv w:val="1"/>
      <w:marLeft w:val="0"/>
      <w:marRight w:val="0"/>
      <w:marTop w:val="0"/>
      <w:marBottom w:val="0"/>
      <w:divBdr>
        <w:top w:val="none" w:sz="0" w:space="0" w:color="auto"/>
        <w:left w:val="none" w:sz="0" w:space="0" w:color="auto"/>
        <w:bottom w:val="none" w:sz="0" w:space="0" w:color="auto"/>
        <w:right w:val="none" w:sz="0" w:space="0" w:color="auto"/>
      </w:divBdr>
    </w:div>
    <w:div w:id="1594783081">
      <w:bodyDiv w:val="1"/>
      <w:marLeft w:val="0"/>
      <w:marRight w:val="0"/>
      <w:marTop w:val="0"/>
      <w:marBottom w:val="0"/>
      <w:divBdr>
        <w:top w:val="none" w:sz="0" w:space="0" w:color="auto"/>
        <w:left w:val="none" w:sz="0" w:space="0" w:color="auto"/>
        <w:bottom w:val="none" w:sz="0" w:space="0" w:color="auto"/>
        <w:right w:val="none" w:sz="0" w:space="0" w:color="auto"/>
      </w:divBdr>
    </w:div>
    <w:div w:id="1612013590">
      <w:bodyDiv w:val="1"/>
      <w:marLeft w:val="0"/>
      <w:marRight w:val="0"/>
      <w:marTop w:val="0"/>
      <w:marBottom w:val="0"/>
      <w:divBdr>
        <w:top w:val="none" w:sz="0" w:space="0" w:color="auto"/>
        <w:left w:val="none" w:sz="0" w:space="0" w:color="auto"/>
        <w:bottom w:val="none" w:sz="0" w:space="0" w:color="auto"/>
        <w:right w:val="none" w:sz="0" w:space="0" w:color="auto"/>
      </w:divBdr>
    </w:div>
    <w:div w:id="1634825249">
      <w:bodyDiv w:val="1"/>
      <w:marLeft w:val="0"/>
      <w:marRight w:val="0"/>
      <w:marTop w:val="0"/>
      <w:marBottom w:val="0"/>
      <w:divBdr>
        <w:top w:val="none" w:sz="0" w:space="0" w:color="auto"/>
        <w:left w:val="none" w:sz="0" w:space="0" w:color="auto"/>
        <w:bottom w:val="none" w:sz="0" w:space="0" w:color="auto"/>
        <w:right w:val="none" w:sz="0" w:space="0" w:color="auto"/>
      </w:divBdr>
    </w:div>
    <w:div w:id="1657148150">
      <w:bodyDiv w:val="1"/>
      <w:marLeft w:val="0"/>
      <w:marRight w:val="0"/>
      <w:marTop w:val="0"/>
      <w:marBottom w:val="0"/>
      <w:divBdr>
        <w:top w:val="none" w:sz="0" w:space="0" w:color="auto"/>
        <w:left w:val="none" w:sz="0" w:space="0" w:color="auto"/>
        <w:bottom w:val="none" w:sz="0" w:space="0" w:color="auto"/>
        <w:right w:val="none" w:sz="0" w:space="0" w:color="auto"/>
      </w:divBdr>
    </w:div>
    <w:div w:id="1657760097">
      <w:bodyDiv w:val="1"/>
      <w:marLeft w:val="0"/>
      <w:marRight w:val="0"/>
      <w:marTop w:val="0"/>
      <w:marBottom w:val="0"/>
      <w:divBdr>
        <w:top w:val="none" w:sz="0" w:space="0" w:color="auto"/>
        <w:left w:val="none" w:sz="0" w:space="0" w:color="auto"/>
        <w:bottom w:val="none" w:sz="0" w:space="0" w:color="auto"/>
        <w:right w:val="none" w:sz="0" w:space="0" w:color="auto"/>
      </w:divBdr>
    </w:div>
    <w:div w:id="1682052914">
      <w:bodyDiv w:val="1"/>
      <w:marLeft w:val="0"/>
      <w:marRight w:val="0"/>
      <w:marTop w:val="0"/>
      <w:marBottom w:val="0"/>
      <w:divBdr>
        <w:top w:val="none" w:sz="0" w:space="0" w:color="auto"/>
        <w:left w:val="none" w:sz="0" w:space="0" w:color="auto"/>
        <w:bottom w:val="none" w:sz="0" w:space="0" w:color="auto"/>
        <w:right w:val="none" w:sz="0" w:space="0" w:color="auto"/>
      </w:divBdr>
    </w:div>
    <w:div w:id="1683818596">
      <w:bodyDiv w:val="1"/>
      <w:marLeft w:val="0"/>
      <w:marRight w:val="0"/>
      <w:marTop w:val="0"/>
      <w:marBottom w:val="0"/>
      <w:divBdr>
        <w:top w:val="none" w:sz="0" w:space="0" w:color="auto"/>
        <w:left w:val="none" w:sz="0" w:space="0" w:color="auto"/>
        <w:bottom w:val="none" w:sz="0" w:space="0" w:color="auto"/>
        <w:right w:val="none" w:sz="0" w:space="0" w:color="auto"/>
      </w:divBdr>
    </w:div>
    <w:div w:id="1688435699">
      <w:bodyDiv w:val="1"/>
      <w:marLeft w:val="0"/>
      <w:marRight w:val="0"/>
      <w:marTop w:val="0"/>
      <w:marBottom w:val="0"/>
      <w:divBdr>
        <w:top w:val="none" w:sz="0" w:space="0" w:color="auto"/>
        <w:left w:val="none" w:sz="0" w:space="0" w:color="auto"/>
        <w:bottom w:val="none" w:sz="0" w:space="0" w:color="auto"/>
        <w:right w:val="none" w:sz="0" w:space="0" w:color="auto"/>
      </w:divBdr>
    </w:div>
    <w:div w:id="1707947720">
      <w:bodyDiv w:val="1"/>
      <w:marLeft w:val="0"/>
      <w:marRight w:val="0"/>
      <w:marTop w:val="0"/>
      <w:marBottom w:val="0"/>
      <w:divBdr>
        <w:top w:val="none" w:sz="0" w:space="0" w:color="auto"/>
        <w:left w:val="none" w:sz="0" w:space="0" w:color="auto"/>
        <w:bottom w:val="none" w:sz="0" w:space="0" w:color="auto"/>
        <w:right w:val="none" w:sz="0" w:space="0" w:color="auto"/>
      </w:divBdr>
    </w:div>
    <w:div w:id="1712000711">
      <w:bodyDiv w:val="1"/>
      <w:marLeft w:val="0"/>
      <w:marRight w:val="0"/>
      <w:marTop w:val="0"/>
      <w:marBottom w:val="0"/>
      <w:divBdr>
        <w:top w:val="none" w:sz="0" w:space="0" w:color="auto"/>
        <w:left w:val="none" w:sz="0" w:space="0" w:color="auto"/>
        <w:bottom w:val="none" w:sz="0" w:space="0" w:color="auto"/>
        <w:right w:val="none" w:sz="0" w:space="0" w:color="auto"/>
      </w:divBdr>
    </w:div>
    <w:div w:id="1717004316">
      <w:bodyDiv w:val="1"/>
      <w:marLeft w:val="0"/>
      <w:marRight w:val="0"/>
      <w:marTop w:val="0"/>
      <w:marBottom w:val="0"/>
      <w:divBdr>
        <w:top w:val="none" w:sz="0" w:space="0" w:color="auto"/>
        <w:left w:val="none" w:sz="0" w:space="0" w:color="auto"/>
        <w:bottom w:val="none" w:sz="0" w:space="0" w:color="auto"/>
        <w:right w:val="none" w:sz="0" w:space="0" w:color="auto"/>
      </w:divBdr>
    </w:div>
    <w:div w:id="1718167181">
      <w:bodyDiv w:val="1"/>
      <w:marLeft w:val="0"/>
      <w:marRight w:val="0"/>
      <w:marTop w:val="0"/>
      <w:marBottom w:val="0"/>
      <w:divBdr>
        <w:top w:val="none" w:sz="0" w:space="0" w:color="auto"/>
        <w:left w:val="none" w:sz="0" w:space="0" w:color="auto"/>
        <w:bottom w:val="none" w:sz="0" w:space="0" w:color="auto"/>
        <w:right w:val="none" w:sz="0" w:space="0" w:color="auto"/>
      </w:divBdr>
    </w:div>
    <w:div w:id="1739590149">
      <w:bodyDiv w:val="1"/>
      <w:marLeft w:val="0"/>
      <w:marRight w:val="0"/>
      <w:marTop w:val="0"/>
      <w:marBottom w:val="0"/>
      <w:divBdr>
        <w:top w:val="none" w:sz="0" w:space="0" w:color="auto"/>
        <w:left w:val="none" w:sz="0" w:space="0" w:color="auto"/>
        <w:bottom w:val="none" w:sz="0" w:space="0" w:color="auto"/>
        <w:right w:val="none" w:sz="0" w:space="0" w:color="auto"/>
      </w:divBdr>
    </w:div>
    <w:div w:id="1745951928">
      <w:bodyDiv w:val="1"/>
      <w:marLeft w:val="0"/>
      <w:marRight w:val="0"/>
      <w:marTop w:val="0"/>
      <w:marBottom w:val="0"/>
      <w:divBdr>
        <w:top w:val="none" w:sz="0" w:space="0" w:color="auto"/>
        <w:left w:val="none" w:sz="0" w:space="0" w:color="auto"/>
        <w:bottom w:val="none" w:sz="0" w:space="0" w:color="auto"/>
        <w:right w:val="none" w:sz="0" w:space="0" w:color="auto"/>
      </w:divBdr>
    </w:div>
    <w:div w:id="1746338588">
      <w:bodyDiv w:val="1"/>
      <w:marLeft w:val="0"/>
      <w:marRight w:val="0"/>
      <w:marTop w:val="0"/>
      <w:marBottom w:val="0"/>
      <w:divBdr>
        <w:top w:val="none" w:sz="0" w:space="0" w:color="auto"/>
        <w:left w:val="none" w:sz="0" w:space="0" w:color="auto"/>
        <w:bottom w:val="none" w:sz="0" w:space="0" w:color="auto"/>
        <w:right w:val="none" w:sz="0" w:space="0" w:color="auto"/>
      </w:divBdr>
    </w:div>
    <w:div w:id="1751078120">
      <w:bodyDiv w:val="1"/>
      <w:marLeft w:val="0"/>
      <w:marRight w:val="0"/>
      <w:marTop w:val="0"/>
      <w:marBottom w:val="0"/>
      <w:divBdr>
        <w:top w:val="none" w:sz="0" w:space="0" w:color="auto"/>
        <w:left w:val="none" w:sz="0" w:space="0" w:color="auto"/>
        <w:bottom w:val="none" w:sz="0" w:space="0" w:color="auto"/>
        <w:right w:val="none" w:sz="0" w:space="0" w:color="auto"/>
      </w:divBdr>
    </w:div>
    <w:div w:id="1759710381">
      <w:bodyDiv w:val="1"/>
      <w:marLeft w:val="0"/>
      <w:marRight w:val="0"/>
      <w:marTop w:val="0"/>
      <w:marBottom w:val="0"/>
      <w:divBdr>
        <w:top w:val="none" w:sz="0" w:space="0" w:color="auto"/>
        <w:left w:val="none" w:sz="0" w:space="0" w:color="auto"/>
        <w:bottom w:val="none" w:sz="0" w:space="0" w:color="auto"/>
        <w:right w:val="none" w:sz="0" w:space="0" w:color="auto"/>
      </w:divBdr>
    </w:div>
    <w:div w:id="1762607215">
      <w:bodyDiv w:val="1"/>
      <w:marLeft w:val="0"/>
      <w:marRight w:val="0"/>
      <w:marTop w:val="0"/>
      <w:marBottom w:val="0"/>
      <w:divBdr>
        <w:top w:val="none" w:sz="0" w:space="0" w:color="auto"/>
        <w:left w:val="none" w:sz="0" w:space="0" w:color="auto"/>
        <w:bottom w:val="none" w:sz="0" w:space="0" w:color="auto"/>
        <w:right w:val="none" w:sz="0" w:space="0" w:color="auto"/>
      </w:divBdr>
    </w:div>
    <w:div w:id="1774205199">
      <w:bodyDiv w:val="1"/>
      <w:marLeft w:val="0"/>
      <w:marRight w:val="0"/>
      <w:marTop w:val="0"/>
      <w:marBottom w:val="0"/>
      <w:divBdr>
        <w:top w:val="none" w:sz="0" w:space="0" w:color="auto"/>
        <w:left w:val="none" w:sz="0" w:space="0" w:color="auto"/>
        <w:bottom w:val="none" w:sz="0" w:space="0" w:color="auto"/>
        <w:right w:val="none" w:sz="0" w:space="0" w:color="auto"/>
      </w:divBdr>
    </w:div>
    <w:div w:id="1774667810">
      <w:bodyDiv w:val="1"/>
      <w:marLeft w:val="0"/>
      <w:marRight w:val="0"/>
      <w:marTop w:val="0"/>
      <w:marBottom w:val="0"/>
      <w:divBdr>
        <w:top w:val="none" w:sz="0" w:space="0" w:color="auto"/>
        <w:left w:val="none" w:sz="0" w:space="0" w:color="auto"/>
        <w:bottom w:val="none" w:sz="0" w:space="0" w:color="auto"/>
        <w:right w:val="none" w:sz="0" w:space="0" w:color="auto"/>
      </w:divBdr>
    </w:div>
    <w:div w:id="1782073037">
      <w:bodyDiv w:val="1"/>
      <w:marLeft w:val="0"/>
      <w:marRight w:val="0"/>
      <w:marTop w:val="0"/>
      <w:marBottom w:val="0"/>
      <w:divBdr>
        <w:top w:val="none" w:sz="0" w:space="0" w:color="auto"/>
        <w:left w:val="none" w:sz="0" w:space="0" w:color="auto"/>
        <w:bottom w:val="none" w:sz="0" w:space="0" w:color="auto"/>
        <w:right w:val="none" w:sz="0" w:space="0" w:color="auto"/>
      </w:divBdr>
    </w:div>
    <w:div w:id="1786265502">
      <w:bodyDiv w:val="1"/>
      <w:marLeft w:val="0"/>
      <w:marRight w:val="0"/>
      <w:marTop w:val="0"/>
      <w:marBottom w:val="0"/>
      <w:divBdr>
        <w:top w:val="none" w:sz="0" w:space="0" w:color="auto"/>
        <w:left w:val="none" w:sz="0" w:space="0" w:color="auto"/>
        <w:bottom w:val="none" w:sz="0" w:space="0" w:color="auto"/>
        <w:right w:val="none" w:sz="0" w:space="0" w:color="auto"/>
      </w:divBdr>
    </w:div>
    <w:div w:id="1802189182">
      <w:bodyDiv w:val="1"/>
      <w:marLeft w:val="0"/>
      <w:marRight w:val="0"/>
      <w:marTop w:val="0"/>
      <w:marBottom w:val="0"/>
      <w:divBdr>
        <w:top w:val="none" w:sz="0" w:space="0" w:color="auto"/>
        <w:left w:val="none" w:sz="0" w:space="0" w:color="auto"/>
        <w:bottom w:val="none" w:sz="0" w:space="0" w:color="auto"/>
        <w:right w:val="none" w:sz="0" w:space="0" w:color="auto"/>
      </w:divBdr>
    </w:div>
    <w:div w:id="1816793054">
      <w:bodyDiv w:val="1"/>
      <w:marLeft w:val="0"/>
      <w:marRight w:val="0"/>
      <w:marTop w:val="0"/>
      <w:marBottom w:val="0"/>
      <w:divBdr>
        <w:top w:val="none" w:sz="0" w:space="0" w:color="auto"/>
        <w:left w:val="none" w:sz="0" w:space="0" w:color="auto"/>
        <w:bottom w:val="none" w:sz="0" w:space="0" w:color="auto"/>
        <w:right w:val="none" w:sz="0" w:space="0" w:color="auto"/>
      </w:divBdr>
    </w:div>
    <w:div w:id="1819301555">
      <w:bodyDiv w:val="1"/>
      <w:marLeft w:val="0"/>
      <w:marRight w:val="0"/>
      <w:marTop w:val="0"/>
      <w:marBottom w:val="0"/>
      <w:divBdr>
        <w:top w:val="none" w:sz="0" w:space="0" w:color="auto"/>
        <w:left w:val="none" w:sz="0" w:space="0" w:color="auto"/>
        <w:bottom w:val="none" w:sz="0" w:space="0" w:color="auto"/>
        <w:right w:val="none" w:sz="0" w:space="0" w:color="auto"/>
      </w:divBdr>
    </w:div>
    <w:div w:id="1822501065">
      <w:bodyDiv w:val="1"/>
      <w:marLeft w:val="0"/>
      <w:marRight w:val="0"/>
      <w:marTop w:val="0"/>
      <w:marBottom w:val="0"/>
      <w:divBdr>
        <w:top w:val="none" w:sz="0" w:space="0" w:color="auto"/>
        <w:left w:val="none" w:sz="0" w:space="0" w:color="auto"/>
        <w:bottom w:val="none" w:sz="0" w:space="0" w:color="auto"/>
        <w:right w:val="none" w:sz="0" w:space="0" w:color="auto"/>
      </w:divBdr>
    </w:div>
    <w:div w:id="1825849654">
      <w:bodyDiv w:val="1"/>
      <w:marLeft w:val="0"/>
      <w:marRight w:val="0"/>
      <w:marTop w:val="0"/>
      <w:marBottom w:val="0"/>
      <w:divBdr>
        <w:top w:val="none" w:sz="0" w:space="0" w:color="auto"/>
        <w:left w:val="none" w:sz="0" w:space="0" w:color="auto"/>
        <w:bottom w:val="none" w:sz="0" w:space="0" w:color="auto"/>
        <w:right w:val="none" w:sz="0" w:space="0" w:color="auto"/>
      </w:divBdr>
    </w:div>
    <w:div w:id="1833719705">
      <w:bodyDiv w:val="1"/>
      <w:marLeft w:val="0"/>
      <w:marRight w:val="0"/>
      <w:marTop w:val="0"/>
      <w:marBottom w:val="0"/>
      <w:divBdr>
        <w:top w:val="none" w:sz="0" w:space="0" w:color="auto"/>
        <w:left w:val="none" w:sz="0" w:space="0" w:color="auto"/>
        <w:bottom w:val="none" w:sz="0" w:space="0" w:color="auto"/>
        <w:right w:val="none" w:sz="0" w:space="0" w:color="auto"/>
      </w:divBdr>
    </w:div>
    <w:div w:id="1858810614">
      <w:bodyDiv w:val="1"/>
      <w:marLeft w:val="0"/>
      <w:marRight w:val="0"/>
      <w:marTop w:val="0"/>
      <w:marBottom w:val="0"/>
      <w:divBdr>
        <w:top w:val="none" w:sz="0" w:space="0" w:color="auto"/>
        <w:left w:val="none" w:sz="0" w:space="0" w:color="auto"/>
        <w:bottom w:val="none" w:sz="0" w:space="0" w:color="auto"/>
        <w:right w:val="none" w:sz="0" w:space="0" w:color="auto"/>
      </w:divBdr>
    </w:div>
    <w:div w:id="1864630537">
      <w:bodyDiv w:val="1"/>
      <w:marLeft w:val="0"/>
      <w:marRight w:val="0"/>
      <w:marTop w:val="0"/>
      <w:marBottom w:val="0"/>
      <w:divBdr>
        <w:top w:val="none" w:sz="0" w:space="0" w:color="auto"/>
        <w:left w:val="none" w:sz="0" w:space="0" w:color="auto"/>
        <w:bottom w:val="none" w:sz="0" w:space="0" w:color="auto"/>
        <w:right w:val="none" w:sz="0" w:space="0" w:color="auto"/>
      </w:divBdr>
    </w:div>
    <w:div w:id="1869754534">
      <w:bodyDiv w:val="1"/>
      <w:marLeft w:val="0"/>
      <w:marRight w:val="0"/>
      <w:marTop w:val="0"/>
      <w:marBottom w:val="0"/>
      <w:divBdr>
        <w:top w:val="none" w:sz="0" w:space="0" w:color="auto"/>
        <w:left w:val="none" w:sz="0" w:space="0" w:color="auto"/>
        <w:bottom w:val="none" w:sz="0" w:space="0" w:color="auto"/>
        <w:right w:val="none" w:sz="0" w:space="0" w:color="auto"/>
      </w:divBdr>
    </w:div>
    <w:div w:id="1882744179">
      <w:bodyDiv w:val="1"/>
      <w:marLeft w:val="0"/>
      <w:marRight w:val="0"/>
      <w:marTop w:val="0"/>
      <w:marBottom w:val="0"/>
      <w:divBdr>
        <w:top w:val="none" w:sz="0" w:space="0" w:color="auto"/>
        <w:left w:val="none" w:sz="0" w:space="0" w:color="auto"/>
        <w:bottom w:val="none" w:sz="0" w:space="0" w:color="auto"/>
        <w:right w:val="none" w:sz="0" w:space="0" w:color="auto"/>
      </w:divBdr>
    </w:div>
    <w:div w:id="1885175764">
      <w:bodyDiv w:val="1"/>
      <w:marLeft w:val="0"/>
      <w:marRight w:val="0"/>
      <w:marTop w:val="0"/>
      <w:marBottom w:val="0"/>
      <w:divBdr>
        <w:top w:val="none" w:sz="0" w:space="0" w:color="auto"/>
        <w:left w:val="none" w:sz="0" w:space="0" w:color="auto"/>
        <w:bottom w:val="none" w:sz="0" w:space="0" w:color="auto"/>
        <w:right w:val="none" w:sz="0" w:space="0" w:color="auto"/>
      </w:divBdr>
    </w:div>
    <w:div w:id="1889218488">
      <w:bodyDiv w:val="1"/>
      <w:marLeft w:val="0"/>
      <w:marRight w:val="0"/>
      <w:marTop w:val="0"/>
      <w:marBottom w:val="0"/>
      <w:divBdr>
        <w:top w:val="none" w:sz="0" w:space="0" w:color="auto"/>
        <w:left w:val="none" w:sz="0" w:space="0" w:color="auto"/>
        <w:bottom w:val="none" w:sz="0" w:space="0" w:color="auto"/>
        <w:right w:val="none" w:sz="0" w:space="0" w:color="auto"/>
      </w:divBdr>
    </w:div>
    <w:div w:id="1892766830">
      <w:bodyDiv w:val="1"/>
      <w:marLeft w:val="0"/>
      <w:marRight w:val="0"/>
      <w:marTop w:val="0"/>
      <w:marBottom w:val="0"/>
      <w:divBdr>
        <w:top w:val="none" w:sz="0" w:space="0" w:color="auto"/>
        <w:left w:val="none" w:sz="0" w:space="0" w:color="auto"/>
        <w:bottom w:val="none" w:sz="0" w:space="0" w:color="auto"/>
        <w:right w:val="none" w:sz="0" w:space="0" w:color="auto"/>
      </w:divBdr>
    </w:div>
    <w:div w:id="1893299374">
      <w:bodyDiv w:val="1"/>
      <w:marLeft w:val="0"/>
      <w:marRight w:val="0"/>
      <w:marTop w:val="0"/>
      <w:marBottom w:val="0"/>
      <w:divBdr>
        <w:top w:val="none" w:sz="0" w:space="0" w:color="auto"/>
        <w:left w:val="none" w:sz="0" w:space="0" w:color="auto"/>
        <w:bottom w:val="none" w:sz="0" w:space="0" w:color="auto"/>
        <w:right w:val="none" w:sz="0" w:space="0" w:color="auto"/>
      </w:divBdr>
    </w:div>
    <w:div w:id="1900550923">
      <w:bodyDiv w:val="1"/>
      <w:marLeft w:val="0"/>
      <w:marRight w:val="0"/>
      <w:marTop w:val="0"/>
      <w:marBottom w:val="0"/>
      <w:divBdr>
        <w:top w:val="none" w:sz="0" w:space="0" w:color="auto"/>
        <w:left w:val="none" w:sz="0" w:space="0" w:color="auto"/>
        <w:bottom w:val="none" w:sz="0" w:space="0" w:color="auto"/>
        <w:right w:val="none" w:sz="0" w:space="0" w:color="auto"/>
      </w:divBdr>
    </w:div>
    <w:div w:id="1907297859">
      <w:bodyDiv w:val="1"/>
      <w:marLeft w:val="0"/>
      <w:marRight w:val="0"/>
      <w:marTop w:val="0"/>
      <w:marBottom w:val="0"/>
      <w:divBdr>
        <w:top w:val="none" w:sz="0" w:space="0" w:color="auto"/>
        <w:left w:val="none" w:sz="0" w:space="0" w:color="auto"/>
        <w:bottom w:val="none" w:sz="0" w:space="0" w:color="auto"/>
        <w:right w:val="none" w:sz="0" w:space="0" w:color="auto"/>
      </w:divBdr>
    </w:div>
    <w:div w:id="1920409982">
      <w:bodyDiv w:val="1"/>
      <w:marLeft w:val="0"/>
      <w:marRight w:val="0"/>
      <w:marTop w:val="0"/>
      <w:marBottom w:val="0"/>
      <w:divBdr>
        <w:top w:val="none" w:sz="0" w:space="0" w:color="auto"/>
        <w:left w:val="none" w:sz="0" w:space="0" w:color="auto"/>
        <w:bottom w:val="none" w:sz="0" w:space="0" w:color="auto"/>
        <w:right w:val="none" w:sz="0" w:space="0" w:color="auto"/>
      </w:divBdr>
    </w:div>
    <w:div w:id="1935363323">
      <w:bodyDiv w:val="1"/>
      <w:marLeft w:val="0"/>
      <w:marRight w:val="0"/>
      <w:marTop w:val="0"/>
      <w:marBottom w:val="0"/>
      <w:divBdr>
        <w:top w:val="none" w:sz="0" w:space="0" w:color="auto"/>
        <w:left w:val="none" w:sz="0" w:space="0" w:color="auto"/>
        <w:bottom w:val="none" w:sz="0" w:space="0" w:color="auto"/>
        <w:right w:val="none" w:sz="0" w:space="0" w:color="auto"/>
      </w:divBdr>
    </w:div>
    <w:div w:id="1935553905">
      <w:bodyDiv w:val="1"/>
      <w:marLeft w:val="0"/>
      <w:marRight w:val="0"/>
      <w:marTop w:val="0"/>
      <w:marBottom w:val="0"/>
      <w:divBdr>
        <w:top w:val="none" w:sz="0" w:space="0" w:color="auto"/>
        <w:left w:val="none" w:sz="0" w:space="0" w:color="auto"/>
        <w:bottom w:val="none" w:sz="0" w:space="0" w:color="auto"/>
        <w:right w:val="none" w:sz="0" w:space="0" w:color="auto"/>
      </w:divBdr>
    </w:div>
    <w:div w:id="1936938592">
      <w:bodyDiv w:val="1"/>
      <w:marLeft w:val="0"/>
      <w:marRight w:val="0"/>
      <w:marTop w:val="0"/>
      <w:marBottom w:val="0"/>
      <w:divBdr>
        <w:top w:val="none" w:sz="0" w:space="0" w:color="auto"/>
        <w:left w:val="none" w:sz="0" w:space="0" w:color="auto"/>
        <w:bottom w:val="none" w:sz="0" w:space="0" w:color="auto"/>
        <w:right w:val="none" w:sz="0" w:space="0" w:color="auto"/>
      </w:divBdr>
      <w:divsChild>
        <w:div w:id="150875325">
          <w:marLeft w:val="0"/>
          <w:marRight w:val="0"/>
          <w:marTop w:val="0"/>
          <w:marBottom w:val="0"/>
          <w:divBdr>
            <w:top w:val="none" w:sz="0" w:space="0" w:color="auto"/>
            <w:left w:val="none" w:sz="0" w:space="0" w:color="auto"/>
            <w:bottom w:val="none" w:sz="0" w:space="0" w:color="auto"/>
            <w:right w:val="none" w:sz="0" w:space="0" w:color="auto"/>
          </w:divBdr>
        </w:div>
      </w:divsChild>
    </w:div>
    <w:div w:id="1955209658">
      <w:bodyDiv w:val="1"/>
      <w:marLeft w:val="0"/>
      <w:marRight w:val="0"/>
      <w:marTop w:val="0"/>
      <w:marBottom w:val="0"/>
      <w:divBdr>
        <w:top w:val="none" w:sz="0" w:space="0" w:color="auto"/>
        <w:left w:val="none" w:sz="0" w:space="0" w:color="auto"/>
        <w:bottom w:val="none" w:sz="0" w:space="0" w:color="auto"/>
        <w:right w:val="none" w:sz="0" w:space="0" w:color="auto"/>
      </w:divBdr>
    </w:div>
    <w:div w:id="1961185920">
      <w:bodyDiv w:val="1"/>
      <w:marLeft w:val="0"/>
      <w:marRight w:val="0"/>
      <w:marTop w:val="0"/>
      <w:marBottom w:val="0"/>
      <w:divBdr>
        <w:top w:val="none" w:sz="0" w:space="0" w:color="auto"/>
        <w:left w:val="none" w:sz="0" w:space="0" w:color="auto"/>
        <w:bottom w:val="none" w:sz="0" w:space="0" w:color="auto"/>
        <w:right w:val="none" w:sz="0" w:space="0" w:color="auto"/>
      </w:divBdr>
      <w:divsChild>
        <w:div w:id="1110588046">
          <w:marLeft w:val="0"/>
          <w:marRight w:val="0"/>
          <w:marTop w:val="0"/>
          <w:marBottom w:val="0"/>
          <w:divBdr>
            <w:top w:val="none" w:sz="0" w:space="0" w:color="auto"/>
            <w:left w:val="none" w:sz="0" w:space="0" w:color="auto"/>
            <w:bottom w:val="none" w:sz="0" w:space="0" w:color="auto"/>
            <w:right w:val="none" w:sz="0" w:space="0" w:color="auto"/>
          </w:divBdr>
          <w:divsChild>
            <w:div w:id="1998151241">
              <w:marLeft w:val="0"/>
              <w:marRight w:val="0"/>
              <w:marTop w:val="0"/>
              <w:marBottom w:val="0"/>
              <w:divBdr>
                <w:top w:val="none" w:sz="0" w:space="0" w:color="auto"/>
                <w:left w:val="none" w:sz="0" w:space="0" w:color="auto"/>
                <w:bottom w:val="none" w:sz="0" w:space="0" w:color="auto"/>
                <w:right w:val="none" w:sz="0" w:space="0" w:color="auto"/>
              </w:divBdr>
              <w:divsChild>
                <w:div w:id="132916153">
                  <w:marLeft w:val="0"/>
                  <w:marRight w:val="0"/>
                  <w:marTop w:val="0"/>
                  <w:marBottom w:val="0"/>
                  <w:divBdr>
                    <w:top w:val="none" w:sz="0" w:space="0" w:color="auto"/>
                    <w:left w:val="none" w:sz="0" w:space="0" w:color="auto"/>
                    <w:bottom w:val="none" w:sz="0" w:space="0" w:color="auto"/>
                    <w:right w:val="none" w:sz="0" w:space="0" w:color="auto"/>
                  </w:divBdr>
                  <w:divsChild>
                    <w:div w:id="92905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2892">
      <w:bodyDiv w:val="1"/>
      <w:marLeft w:val="0"/>
      <w:marRight w:val="0"/>
      <w:marTop w:val="0"/>
      <w:marBottom w:val="0"/>
      <w:divBdr>
        <w:top w:val="none" w:sz="0" w:space="0" w:color="auto"/>
        <w:left w:val="none" w:sz="0" w:space="0" w:color="auto"/>
        <w:bottom w:val="none" w:sz="0" w:space="0" w:color="auto"/>
        <w:right w:val="none" w:sz="0" w:space="0" w:color="auto"/>
      </w:divBdr>
    </w:div>
    <w:div w:id="2005667055">
      <w:bodyDiv w:val="1"/>
      <w:marLeft w:val="0"/>
      <w:marRight w:val="0"/>
      <w:marTop w:val="0"/>
      <w:marBottom w:val="0"/>
      <w:divBdr>
        <w:top w:val="none" w:sz="0" w:space="0" w:color="auto"/>
        <w:left w:val="none" w:sz="0" w:space="0" w:color="auto"/>
        <w:bottom w:val="none" w:sz="0" w:space="0" w:color="auto"/>
        <w:right w:val="none" w:sz="0" w:space="0" w:color="auto"/>
      </w:divBdr>
    </w:div>
    <w:div w:id="2010718227">
      <w:bodyDiv w:val="1"/>
      <w:marLeft w:val="0"/>
      <w:marRight w:val="0"/>
      <w:marTop w:val="0"/>
      <w:marBottom w:val="0"/>
      <w:divBdr>
        <w:top w:val="none" w:sz="0" w:space="0" w:color="auto"/>
        <w:left w:val="none" w:sz="0" w:space="0" w:color="auto"/>
        <w:bottom w:val="none" w:sz="0" w:space="0" w:color="auto"/>
        <w:right w:val="none" w:sz="0" w:space="0" w:color="auto"/>
      </w:divBdr>
    </w:div>
    <w:div w:id="2017341287">
      <w:bodyDiv w:val="1"/>
      <w:marLeft w:val="0"/>
      <w:marRight w:val="0"/>
      <w:marTop w:val="0"/>
      <w:marBottom w:val="0"/>
      <w:divBdr>
        <w:top w:val="none" w:sz="0" w:space="0" w:color="auto"/>
        <w:left w:val="none" w:sz="0" w:space="0" w:color="auto"/>
        <w:bottom w:val="none" w:sz="0" w:space="0" w:color="auto"/>
        <w:right w:val="none" w:sz="0" w:space="0" w:color="auto"/>
      </w:divBdr>
    </w:div>
    <w:div w:id="2044821489">
      <w:bodyDiv w:val="1"/>
      <w:marLeft w:val="0"/>
      <w:marRight w:val="0"/>
      <w:marTop w:val="0"/>
      <w:marBottom w:val="0"/>
      <w:divBdr>
        <w:top w:val="none" w:sz="0" w:space="0" w:color="auto"/>
        <w:left w:val="none" w:sz="0" w:space="0" w:color="auto"/>
        <w:bottom w:val="none" w:sz="0" w:space="0" w:color="auto"/>
        <w:right w:val="none" w:sz="0" w:space="0" w:color="auto"/>
      </w:divBdr>
    </w:div>
    <w:div w:id="2060543809">
      <w:bodyDiv w:val="1"/>
      <w:marLeft w:val="0"/>
      <w:marRight w:val="0"/>
      <w:marTop w:val="0"/>
      <w:marBottom w:val="0"/>
      <w:divBdr>
        <w:top w:val="none" w:sz="0" w:space="0" w:color="auto"/>
        <w:left w:val="none" w:sz="0" w:space="0" w:color="auto"/>
        <w:bottom w:val="none" w:sz="0" w:space="0" w:color="auto"/>
        <w:right w:val="none" w:sz="0" w:space="0" w:color="auto"/>
      </w:divBdr>
    </w:div>
    <w:div w:id="2064600782">
      <w:bodyDiv w:val="1"/>
      <w:marLeft w:val="0"/>
      <w:marRight w:val="0"/>
      <w:marTop w:val="0"/>
      <w:marBottom w:val="0"/>
      <w:divBdr>
        <w:top w:val="none" w:sz="0" w:space="0" w:color="auto"/>
        <w:left w:val="none" w:sz="0" w:space="0" w:color="auto"/>
        <w:bottom w:val="none" w:sz="0" w:space="0" w:color="auto"/>
        <w:right w:val="none" w:sz="0" w:space="0" w:color="auto"/>
      </w:divBdr>
    </w:div>
    <w:div w:id="2073188079">
      <w:bodyDiv w:val="1"/>
      <w:marLeft w:val="0"/>
      <w:marRight w:val="0"/>
      <w:marTop w:val="0"/>
      <w:marBottom w:val="0"/>
      <w:divBdr>
        <w:top w:val="none" w:sz="0" w:space="0" w:color="auto"/>
        <w:left w:val="none" w:sz="0" w:space="0" w:color="auto"/>
        <w:bottom w:val="none" w:sz="0" w:space="0" w:color="auto"/>
        <w:right w:val="none" w:sz="0" w:space="0" w:color="auto"/>
      </w:divBdr>
    </w:div>
    <w:div w:id="2079135840">
      <w:bodyDiv w:val="1"/>
      <w:marLeft w:val="0"/>
      <w:marRight w:val="0"/>
      <w:marTop w:val="0"/>
      <w:marBottom w:val="0"/>
      <w:divBdr>
        <w:top w:val="none" w:sz="0" w:space="0" w:color="auto"/>
        <w:left w:val="none" w:sz="0" w:space="0" w:color="auto"/>
        <w:bottom w:val="none" w:sz="0" w:space="0" w:color="auto"/>
        <w:right w:val="none" w:sz="0" w:space="0" w:color="auto"/>
      </w:divBdr>
    </w:div>
    <w:div w:id="2085374757">
      <w:bodyDiv w:val="1"/>
      <w:marLeft w:val="0"/>
      <w:marRight w:val="0"/>
      <w:marTop w:val="0"/>
      <w:marBottom w:val="0"/>
      <w:divBdr>
        <w:top w:val="none" w:sz="0" w:space="0" w:color="auto"/>
        <w:left w:val="none" w:sz="0" w:space="0" w:color="auto"/>
        <w:bottom w:val="none" w:sz="0" w:space="0" w:color="auto"/>
        <w:right w:val="none" w:sz="0" w:space="0" w:color="auto"/>
      </w:divBdr>
    </w:div>
    <w:div w:id="2108035983">
      <w:bodyDiv w:val="1"/>
      <w:marLeft w:val="0"/>
      <w:marRight w:val="0"/>
      <w:marTop w:val="0"/>
      <w:marBottom w:val="0"/>
      <w:divBdr>
        <w:top w:val="none" w:sz="0" w:space="0" w:color="auto"/>
        <w:left w:val="none" w:sz="0" w:space="0" w:color="auto"/>
        <w:bottom w:val="none" w:sz="0" w:space="0" w:color="auto"/>
        <w:right w:val="none" w:sz="0" w:space="0" w:color="auto"/>
      </w:divBdr>
    </w:div>
    <w:div w:id="2111196656">
      <w:bodyDiv w:val="1"/>
      <w:marLeft w:val="0"/>
      <w:marRight w:val="0"/>
      <w:marTop w:val="0"/>
      <w:marBottom w:val="0"/>
      <w:divBdr>
        <w:top w:val="none" w:sz="0" w:space="0" w:color="auto"/>
        <w:left w:val="none" w:sz="0" w:space="0" w:color="auto"/>
        <w:bottom w:val="none" w:sz="0" w:space="0" w:color="auto"/>
        <w:right w:val="none" w:sz="0" w:space="0" w:color="auto"/>
      </w:divBdr>
    </w:div>
    <w:div w:id="2114667979">
      <w:bodyDiv w:val="1"/>
      <w:marLeft w:val="0"/>
      <w:marRight w:val="0"/>
      <w:marTop w:val="0"/>
      <w:marBottom w:val="0"/>
      <w:divBdr>
        <w:top w:val="none" w:sz="0" w:space="0" w:color="auto"/>
        <w:left w:val="none" w:sz="0" w:space="0" w:color="auto"/>
        <w:bottom w:val="none" w:sz="0" w:space="0" w:color="auto"/>
        <w:right w:val="none" w:sz="0" w:space="0" w:color="auto"/>
      </w:divBdr>
    </w:div>
    <w:div w:id="2130774976">
      <w:bodyDiv w:val="1"/>
      <w:marLeft w:val="0"/>
      <w:marRight w:val="0"/>
      <w:marTop w:val="0"/>
      <w:marBottom w:val="0"/>
      <w:divBdr>
        <w:top w:val="none" w:sz="0" w:space="0" w:color="auto"/>
        <w:left w:val="none" w:sz="0" w:space="0" w:color="auto"/>
        <w:bottom w:val="none" w:sz="0" w:space="0" w:color="auto"/>
        <w:right w:val="none" w:sz="0" w:space="0" w:color="auto"/>
      </w:divBdr>
    </w:div>
    <w:div w:id="2137218805">
      <w:bodyDiv w:val="1"/>
      <w:marLeft w:val="0"/>
      <w:marRight w:val="0"/>
      <w:marTop w:val="0"/>
      <w:marBottom w:val="0"/>
      <w:divBdr>
        <w:top w:val="none" w:sz="0" w:space="0" w:color="auto"/>
        <w:left w:val="none" w:sz="0" w:space="0" w:color="auto"/>
        <w:bottom w:val="none" w:sz="0" w:space="0" w:color="auto"/>
        <w:right w:val="none" w:sz="0" w:space="0" w:color="auto"/>
      </w:divBdr>
    </w:div>
    <w:div w:id="214480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header" Target="header9.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3R13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29674-B583-46F8-896E-8F63DF0FD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38</Pages>
  <Words>52406</Words>
  <Characters>29872</Characters>
  <Application>Microsoft Office Word</Application>
  <DocSecurity>0</DocSecurity>
  <Lines>248</Lines>
  <Paragraphs>164</Paragraphs>
  <ScaleCrop>false</ScaleCrop>
  <HeadingPairs>
    <vt:vector size="2" baseType="variant">
      <vt:variant>
        <vt:lpstr>Pavadinimas</vt:lpstr>
      </vt:variant>
      <vt:variant>
        <vt:i4>1</vt:i4>
      </vt:variant>
    </vt:vector>
  </HeadingPairs>
  <TitlesOfParts>
    <vt:vector size="1" baseType="lpstr">
      <vt:lpstr>2021–2027 m. ES fondų investicijų programa Lietuvai</vt:lpstr>
    </vt:vector>
  </TitlesOfParts>
  <Company>HP Inc.</Company>
  <LinksUpToDate>false</LinksUpToDate>
  <CharactersWithSpaces>82114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2021–2027 m. ES fondų investicijų programa Lietuvai</dc:title>
  <dc:creator>Julija Kvietkė</dc:creator>
  <cp:lastModifiedBy>Milda Kuzmaitė</cp:lastModifiedBy>
  <cp:revision>33</cp:revision>
  <dcterms:created xsi:type="dcterms:W3CDTF">2025-12-03T17:03:00Z</dcterms:created>
  <dcterms:modified xsi:type="dcterms:W3CDTF">2025-12-12T15:32:00Z</dcterms:modified>
</cp:coreProperties>
</file>