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E525C" w14:textId="031FDD99" w:rsidR="000849D7" w:rsidRDefault="00FE1E6D" w:rsidP="00671A67">
      <w:pPr>
        <w:pStyle w:val="Pagedecouverture"/>
        <w:rPr>
          <w:noProof/>
        </w:rPr>
      </w:pPr>
      <w:r>
        <w:rPr>
          <w:noProof/>
        </w:rPr>
        <w:drawing>
          <wp:inline distT="0" distB="0" distL="0" distR="0" wp14:anchorId="42695E22" wp14:editId="19AC5404">
            <wp:extent cx="5778500" cy="5099050"/>
            <wp:effectExtent l="0" t="0" r="0" b="6350"/>
            <wp:docPr id="1" name="Picture 1" descr="0035608A-A477-4366-BE86-EEEA75785C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35608A-A477-4366-BE86-EEEA75785CA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8500" cy="5099050"/>
                    </a:xfrm>
                    <a:prstGeom prst="rect">
                      <a:avLst/>
                    </a:prstGeom>
                    <a:noFill/>
                    <a:ln>
                      <a:noFill/>
                    </a:ln>
                  </pic:spPr>
                </pic:pic>
              </a:graphicData>
            </a:graphic>
          </wp:inline>
        </w:drawing>
      </w:r>
    </w:p>
    <w:p w14:paraId="47DA8816" w14:textId="77777777" w:rsidR="000849D7" w:rsidRDefault="000849D7" w:rsidP="000849D7">
      <w:pPr>
        <w:rPr>
          <w:noProof/>
        </w:rPr>
        <w:sectPr w:rsidR="000849D7" w:rsidSect="00671A67">
          <w:headerReference w:type="even" r:id="rId11"/>
          <w:headerReference w:type="default" r:id="rId12"/>
          <w:footerReference w:type="even" r:id="rId13"/>
          <w:footerReference w:type="default" r:id="rId14"/>
          <w:headerReference w:type="first" r:id="rId15"/>
          <w:footerReference w:type="first" r:id="rId16"/>
          <w:pgSz w:w="11907" w:h="16839"/>
          <w:pgMar w:top="1134" w:right="1417" w:bottom="1134" w:left="1417" w:header="709" w:footer="709" w:gutter="0"/>
          <w:pgNumType w:start="0"/>
          <w:cols w:space="720"/>
          <w:docGrid w:linePitch="360"/>
        </w:sectPr>
      </w:pPr>
    </w:p>
    <w:p w14:paraId="25E96918" w14:textId="77777777" w:rsidR="00BD3859" w:rsidRDefault="002A56CD" w:rsidP="00BD3859">
      <w:pPr>
        <w:pStyle w:val="Annexetitre"/>
        <w:rPr>
          <w:noProof/>
        </w:rPr>
      </w:pPr>
      <w:r>
        <w:rPr>
          <w:noProof/>
        </w:rPr>
        <w:lastRenderedPageBreak/>
        <w:t>ANNEX II</w:t>
      </w:r>
      <w:r>
        <w:rPr>
          <w:noProof/>
        </w:rPr>
        <w:br/>
      </w:r>
      <w:r w:rsidR="00C834BA" w:rsidRPr="00C834BA">
        <w:rPr>
          <w:noProof/>
        </w:rPr>
        <w:t xml:space="preserve">List of codes for the territorial dimension </w:t>
      </w:r>
    </w:p>
    <w:p w14:paraId="3596E21F" w14:textId="77777777" w:rsidR="00BD3859" w:rsidRDefault="00BD3859" w:rsidP="00BD3859">
      <w:pPr>
        <w:rPr>
          <w:noProof/>
        </w:rPr>
      </w:pPr>
    </w:p>
    <w:p w14:paraId="749B1B04" w14:textId="77777777" w:rsidR="00EA2571" w:rsidRDefault="00EA2571" w:rsidP="00EA2571">
      <w:pPr>
        <w:rPr>
          <w:noProof/>
        </w:rPr>
      </w:pPr>
      <w:r>
        <w:rPr>
          <w:noProof/>
        </w:rPr>
        <w:t>Part 1: CODES FOR THE TERRITORY TYPE DIMENSION (I)</w:t>
      </w:r>
    </w:p>
    <w:tbl>
      <w:tblPr>
        <w:tblW w:w="0" w:type="auto"/>
        <w:tblCellMar>
          <w:left w:w="0" w:type="dxa"/>
          <w:right w:w="0" w:type="dxa"/>
        </w:tblCellMar>
        <w:tblLook w:val="04A0" w:firstRow="1" w:lastRow="0" w:firstColumn="1" w:lastColumn="0" w:noHBand="0" w:noVBand="1"/>
      </w:tblPr>
      <w:tblGrid>
        <w:gridCol w:w="645"/>
        <w:gridCol w:w="8355"/>
      </w:tblGrid>
      <w:tr w:rsidR="00EA2571" w14:paraId="325B9E7E" w14:textId="77777777" w:rsidTr="000B6C54">
        <w:trPr>
          <w:trHeight w:val="300"/>
        </w:trPr>
        <w:tc>
          <w:tcPr>
            <w:tcW w:w="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D684C08" w14:textId="77777777" w:rsidR="00EA2571" w:rsidRDefault="00EA2571" w:rsidP="0095735E">
            <w:pPr>
              <w:rPr>
                <w:noProof/>
              </w:rPr>
            </w:pPr>
            <w:r>
              <w:rPr>
                <w:noProof/>
                <w:color w:val="000000"/>
              </w:rPr>
              <w:t>01</w:t>
            </w:r>
          </w:p>
        </w:tc>
        <w:tc>
          <w:tcPr>
            <w:tcW w:w="83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539B82F" w14:textId="77777777" w:rsidR="00EA2571" w:rsidRDefault="00EA2571" w:rsidP="0095735E">
            <w:pPr>
              <w:rPr>
                <w:noProof/>
              </w:rPr>
            </w:pPr>
            <w:r>
              <w:rPr>
                <w:noProof/>
                <w:color w:val="000000"/>
              </w:rPr>
              <w:t>Urban areas</w:t>
            </w:r>
          </w:p>
        </w:tc>
      </w:tr>
      <w:tr w:rsidR="00EA2571" w14:paraId="6F6589EB" w14:textId="77777777" w:rsidTr="000B6C54">
        <w:trPr>
          <w:trHeight w:val="300"/>
        </w:trPr>
        <w:tc>
          <w:tcPr>
            <w:tcW w:w="6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DC232F" w14:textId="77777777" w:rsidR="00EA2571" w:rsidRDefault="00EA2571" w:rsidP="0095735E">
            <w:pPr>
              <w:rPr>
                <w:noProof/>
                <w:lang w:val="en-IE"/>
              </w:rPr>
            </w:pPr>
            <w:r>
              <w:rPr>
                <w:noProof/>
                <w:color w:val="000000"/>
              </w:rPr>
              <w:t>02</w:t>
            </w:r>
          </w:p>
        </w:tc>
        <w:tc>
          <w:tcPr>
            <w:tcW w:w="83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B3EB2FE" w14:textId="77777777" w:rsidR="00EA2571" w:rsidRDefault="00EA2571" w:rsidP="0095735E">
            <w:pPr>
              <w:rPr>
                <w:noProof/>
              </w:rPr>
            </w:pPr>
            <w:r>
              <w:rPr>
                <w:noProof/>
                <w:color w:val="000000"/>
              </w:rPr>
              <w:t>Rural areas</w:t>
            </w:r>
          </w:p>
        </w:tc>
      </w:tr>
      <w:tr w:rsidR="00EA2571" w14:paraId="0E41EC56" w14:textId="77777777" w:rsidTr="000B6C54">
        <w:trPr>
          <w:trHeight w:val="300"/>
        </w:trPr>
        <w:tc>
          <w:tcPr>
            <w:tcW w:w="6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68FFCC" w14:textId="77777777" w:rsidR="00EA2571" w:rsidRDefault="00EA2571" w:rsidP="0095735E">
            <w:pPr>
              <w:rPr>
                <w:noProof/>
                <w:lang w:val="en-IE"/>
              </w:rPr>
            </w:pPr>
            <w:r>
              <w:rPr>
                <w:noProof/>
                <w:color w:val="000000"/>
              </w:rPr>
              <w:t>03</w:t>
            </w:r>
          </w:p>
        </w:tc>
        <w:tc>
          <w:tcPr>
            <w:tcW w:w="83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829FFAA" w14:textId="77777777" w:rsidR="00EA2571" w:rsidRDefault="00EA2571" w:rsidP="0095735E">
            <w:pPr>
              <w:rPr>
                <w:noProof/>
              </w:rPr>
            </w:pPr>
            <w:r>
              <w:rPr>
                <w:noProof/>
                <w:color w:val="000000"/>
              </w:rPr>
              <w:t>Areas affected by industrial transition</w:t>
            </w:r>
          </w:p>
        </w:tc>
      </w:tr>
      <w:tr w:rsidR="00EA2571" w14:paraId="4E62A8CF" w14:textId="77777777" w:rsidTr="000B6C54">
        <w:trPr>
          <w:trHeight w:val="300"/>
        </w:trPr>
        <w:tc>
          <w:tcPr>
            <w:tcW w:w="6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144EFA" w14:textId="77777777" w:rsidR="00EA2571" w:rsidRDefault="00EA2571" w:rsidP="0095735E">
            <w:pPr>
              <w:rPr>
                <w:noProof/>
              </w:rPr>
            </w:pPr>
            <w:r>
              <w:rPr>
                <w:noProof/>
                <w:color w:val="000000"/>
              </w:rPr>
              <w:t>04</w:t>
            </w:r>
          </w:p>
        </w:tc>
        <w:tc>
          <w:tcPr>
            <w:tcW w:w="83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02674FC" w14:textId="77777777" w:rsidR="00EA2571" w:rsidRDefault="00EA2571" w:rsidP="0095735E">
            <w:pPr>
              <w:rPr>
                <w:noProof/>
              </w:rPr>
            </w:pPr>
            <w:r>
              <w:rPr>
                <w:noProof/>
                <w:color w:val="000000"/>
              </w:rPr>
              <w:t>Islands and coastal areas</w:t>
            </w:r>
          </w:p>
        </w:tc>
      </w:tr>
      <w:tr w:rsidR="00EA2571" w14:paraId="54029807" w14:textId="77777777" w:rsidTr="000B6C54">
        <w:trPr>
          <w:trHeight w:val="300"/>
        </w:trPr>
        <w:tc>
          <w:tcPr>
            <w:tcW w:w="6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F2EF0E" w14:textId="77777777" w:rsidR="00EA2571" w:rsidRDefault="00EA2571" w:rsidP="0095735E">
            <w:pPr>
              <w:rPr>
                <w:noProof/>
              </w:rPr>
            </w:pPr>
            <w:r>
              <w:rPr>
                <w:noProof/>
                <w:color w:val="000000"/>
              </w:rPr>
              <w:t>05</w:t>
            </w:r>
          </w:p>
        </w:tc>
        <w:tc>
          <w:tcPr>
            <w:tcW w:w="83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7C9CE78" w14:textId="77777777" w:rsidR="00EA2571" w:rsidRDefault="00EA2571" w:rsidP="0095735E">
            <w:pPr>
              <w:rPr>
                <w:noProof/>
              </w:rPr>
            </w:pPr>
            <w:r>
              <w:rPr>
                <w:noProof/>
                <w:color w:val="000000"/>
              </w:rPr>
              <w:t>Other types of territories targeted</w:t>
            </w:r>
          </w:p>
        </w:tc>
      </w:tr>
      <w:tr w:rsidR="00EA2571" w14:paraId="3A712841" w14:textId="77777777" w:rsidTr="000B6C54">
        <w:trPr>
          <w:trHeight w:val="300"/>
        </w:trPr>
        <w:tc>
          <w:tcPr>
            <w:tcW w:w="6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28F147F" w14:textId="77777777" w:rsidR="00EA2571" w:rsidRDefault="00EA2571" w:rsidP="0095735E">
            <w:pPr>
              <w:rPr>
                <w:noProof/>
                <w:color w:val="000000"/>
              </w:rPr>
            </w:pPr>
            <w:r>
              <w:rPr>
                <w:noProof/>
                <w:color w:val="000000"/>
              </w:rPr>
              <w:t>06</w:t>
            </w:r>
          </w:p>
        </w:tc>
        <w:tc>
          <w:tcPr>
            <w:tcW w:w="83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611F858" w14:textId="77777777" w:rsidR="00EA2571" w:rsidRDefault="00EA2571" w:rsidP="0095735E">
            <w:pPr>
              <w:rPr>
                <w:noProof/>
                <w:color w:val="000000"/>
              </w:rPr>
            </w:pPr>
            <w:r>
              <w:rPr>
                <w:noProof/>
                <w:color w:val="000000"/>
              </w:rPr>
              <w:t>Sparsely populated areas</w:t>
            </w:r>
          </w:p>
        </w:tc>
      </w:tr>
      <w:tr w:rsidR="00EA2571" w14:paraId="487D8A84" w14:textId="77777777" w:rsidTr="000B6C54">
        <w:trPr>
          <w:trHeight w:val="300"/>
        </w:trPr>
        <w:tc>
          <w:tcPr>
            <w:tcW w:w="645"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2221FC1" w14:textId="77777777" w:rsidR="00EA2571" w:rsidRDefault="00EA2571" w:rsidP="0095735E">
            <w:pPr>
              <w:rPr>
                <w:noProof/>
                <w:lang w:val="en-IE"/>
              </w:rPr>
            </w:pPr>
            <w:r>
              <w:rPr>
                <w:noProof/>
                <w:lang w:val="en-IE"/>
              </w:rPr>
              <w:t>07</w:t>
            </w:r>
          </w:p>
        </w:tc>
        <w:tc>
          <w:tcPr>
            <w:tcW w:w="835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228F64C" w14:textId="77777777" w:rsidR="00EA2571" w:rsidRDefault="00EA2571" w:rsidP="0095735E">
            <w:pPr>
              <w:rPr>
                <w:noProof/>
              </w:rPr>
            </w:pPr>
            <w:r>
              <w:rPr>
                <w:noProof/>
                <w:color w:val="000000"/>
              </w:rPr>
              <w:t>No territorial targeting</w:t>
            </w:r>
          </w:p>
        </w:tc>
      </w:tr>
    </w:tbl>
    <w:p w14:paraId="1337B9AE" w14:textId="77777777" w:rsidR="00EA2571" w:rsidRDefault="00EA2571" w:rsidP="00EA2571">
      <w:pPr>
        <w:rPr>
          <w:noProof/>
        </w:rPr>
      </w:pPr>
    </w:p>
    <w:p w14:paraId="5BDB05E0" w14:textId="77777777" w:rsidR="00EA2571" w:rsidRDefault="00EA2571" w:rsidP="00EA2571">
      <w:pPr>
        <w:rPr>
          <w:noProof/>
        </w:rPr>
      </w:pPr>
      <w:r>
        <w:rPr>
          <w:noProof/>
        </w:rPr>
        <w:t>Part 2: CODES FOR THE TERRITORY TYPE DIMENSION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5"/>
        <w:gridCol w:w="8355"/>
      </w:tblGrid>
      <w:tr w:rsidR="00EA2571" w14:paraId="28B041B1" w14:textId="77777777" w:rsidTr="000B6C54">
        <w:trPr>
          <w:trHeight w:val="300"/>
        </w:trPr>
        <w:tc>
          <w:tcPr>
            <w:tcW w:w="645" w:type="dxa"/>
            <w:shd w:val="clear" w:color="auto" w:fill="FFFFFF"/>
            <w:tcMar>
              <w:top w:w="0" w:type="dxa"/>
              <w:left w:w="108" w:type="dxa"/>
              <w:bottom w:w="0" w:type="dxa"/>
              <w:right w:w="108" w:type="dxa"/>
            </w:tcMar>
            <w:hideMark/>
          </w:tcPr>
          <w:p w14:paraId="7C7D4F05" w14:textId="77777777" w:rsidR="00EA2571" w:rsidRDefault="00EA2571" w:rsidP="0095735E">
            <w:pPr>
              <w:rPr>
                <w:noProof/>
              </w:rPr>
            </w:pPr>
            <w:r>
              <w:rPr>
                <w:noProof/>
              </w:rPr>
              <w:t>01</w:t>
            </w:r>
          </w:p>
        </w:tc>
        <w:tc>
          <w:tcPr>
            <w:tcW w:w="8355" w:type="dxa"/>
            <w:shd w:val="clear" w:color="auto" w:fill="FFFFFF"/>
            <w:tcMar>
              <w:top w:w="0" w:type="dxa"/>
              <w:left w:w="108" w:type="dxa"/>
              <w:bottom w:w="0" w:type="dxa"/>
              <w:right w:w="108" w:type="dxa"/>
            </w:tcMar>
            <w:hideMark/>
          </w:tcPr>
          <w:p w14:paraId="6E4D5B30" w14:textId="77777777" w:rsidR="00EA2571" w:rsidRDefault="00EA2571" w:rsidP="0095735E">
            <w:pPr>
              <w:rPr>
                <w:noProof/>
              </w:rPr>
            </w:pPr>
            <w:r>
              <w:rPr>
                <w:noProof/>
                <w:color w:val="000000"/>
              </w:rPr>
              <w:t xml:space="preserve">Outermost regions </w:t>
            </w:r>
          </w:p>
        </w:tc>
      </w:tr>
      <w:tr w:rsidR="00EA2571" w14:paraId="67BD6B88" w14:textId="77777777" w:rsidTr="000B6C54">
        <w:trPr>
          <w:trHeight w:val="300"/>
        </w:trPr>
        <w:tc>
          <w:tcPr>
            <w:tcW w:w="645" w:type="dxa"/>
            <w:shd w:val="clear" w:color="auto" w:fill="FFFFFF"/>
            <w:tcMar>
              <w:top w:w="0" w:type="dxa"/>
              <w:left w:w="108" w:type="dxa"/>
              <w:bottom w:w="0" w:type="dxa"/>
              <w:right w:w="108" w:type="dxa"/>
            </w:tcMar>
          </w:tcPr>
          <w:p w14:paraId="0CD4E385" w14:textId="77777777" w:rsidR="00EA2571" w:rsidRDefault="00EA2571" w:rsidP="0095735E">
            <w:pPr>
              <w:rPr>
                <w:noProof/>
              </w:rPr>
            </w:pPr>
            <w:r>
              <w:rPr>
                <w:noProof/>
              </w:rPr>
              <w:t>02</w:t>
            </w:r>
          </w:p>
        </w:tc>
        <w:tc>
          <w:tcPr>
            <w:tcW w:w="8355" w:type="dxa"/>
            <w:shd w:val="clear" w:color="auto" w:fill="FFFFFF"/>
            <w:tcMar>
              <w:top w:w="0" w:type="dxa"/>
              <w:left w:w="108" w:type="dxa"/>
              <w:bottom w:w="0" w:type="dxa"/>
              <w:right w:w="108" w:type="dxa"/>
            </w:tcMar>
          </w:tcPr>
          <w:p w14:paraId="5E290BFA" w14:textId="77777777" w:rsidR="00EA2571" w:rsidRDefault="00EA2571" w:rsidP="0095735E">
            <w:pPr>
              <w:rPr>
                <w:noProof/>
                <w:color w:val="000000"/>
              </w:rPr>
            </w:pPr>
            <w:r>
              <w:rPr>
                <w:noProof/>
                <w:color w:val="000000"/>
              </w:rPr>
              <w:t>Small Aegean Islands</w:t>
            </w:r>
          </w:p>
        </w:tc>
      </w:tr>
      <w:tr w:rsidR="00EA2571" w14:paraId="224B5D55" w14:textId="77777777" w:rsidTr="000B6C54">
        <w:trPr>
          <w:trHeight w:val="300"/>
        </w:trPr>
        <w:tc>
          <w:tcPr>
            <w:tcW w:w="645" w:type="dxa"/>
            <w:shd w:val="clear" w:color="auto" w:fill="FFFFFF"/>
            <w:tcMar>
              <w:top w:w="0" w:type="dxa"/>
              <w:left w:w="108" w:type="dxa"/>
              <w:bottom w:w="0" w:type="dxa"/>
              <w:right w:w="108" w:type="dxa"/>
            </w:tcMar>
            <w:hideMark/>
          </w:tcPr>
          <w:p w14:paraId="68D327F4" w14:textId="77777777" w:rsidR="00EA2571" w:rsidRDefault="00EA2571" w:rsidP="0095735E">
            <w:pPr>
              <w:rPr>
                <w:noProof/>
              </w:rPr>
            </w:pPr>
            <w:r>
              <w:rPr>
                <w:noProof/>
              </w:rPr>
              <w:t>03</w:t>
            </w:r>
          </w:p>
        </w:tc>
        <w:tc>
          <w:tcPr>
            <w:tcW w:w="8355" w:type="dxa"/>
            <w:shd w:val="clear" w:color="auto" w:fill="FFFFFF"/>
            <w:tcMar>
              <w:top w:w="0" w:type="dxa"/>
              <w:left w:w="108" w:type="dxa"/>
              <w:bottom w:w="0" w:type="dxa"/>
              <w:right w:w="108" w:type="dxa"/>
            </w:tcMar>
            <w:hideMark/>
          </w:tcPr>
          <w:p w14:paraId="07B0BCE5" w14:textId="77777777" w:rsidR="00EA2571" w:rsidRDefault="00EA2571" w:rsidP="0095735E">
            <w:pPr>
              <w:rPr>
                <w:noProof/>
              </w:rPr>
            </w:pPr>
            <w:r>
              <w:rPr>
                <w:noProof/>
                <w:color w:val="000000"/>
              </w:rPr>
              <w:t>Eastern border region</w:t>
            </w:r>
          </w:p>
        </w:tc>
      </w:tr>
      <w:tr w:rsidR="00EA2571" w14:paraId="06FD5936" w14:textId="77777777" w:rsidTr="000B6C54">
        <w:trPr>
          <w:trHeight w:val="300"/>
        </w:trPr>
        <w:tc>
          <w:tcPr>
            <w:tcW w:w="645" w:type="dxa"/>
            <w:shd w:val="clear" w:color="auto" w:fill="FFFFFF"/>
            <w:tcMar>
              <w:top w:w="0" w:type="dxa"/>
              <w:left w:w="108" w:type="dxa"/>
              <w:bottom w:w="0" w:type="dxa"/>
              <w:right w:w="108" w:type="dxa"/>
            </w:tcMar>
            <w:hideMark/>
          </w:tcPr>
          <w:p w14:paraId="40484BF0" w14:textId="06ECB454" w:rsidR="00EA2571" w:rsidRDefault="00EA2571" w:rsidP="0095735E">
            <w:pPr>
              <w:rPr>
                <w:noProof/>
              </w:rPr>
            </w:pPr>
            <w:r>
              <w:rPr>
                <w:noProof/>
              </w:rPr>
              <w:t>0</w:t>
            </w:r>
            <w:r w:rsidR="00922467">
              <w:rPr>
                <w:noProof/>
              </w:rPr>
              <w:t>4</w:t>
            </w:r>
          </w:p>
        </w:tc>
        <w:tc>
          <w:tcPr>
            <w:tcW w:w="8355" w:type="dxa"/>
            <w:shd w:val="clear" w:color="auto" w:fill="FFFFFF"/>
            <w:tcMar>
              <w:top w:w="0" w:type="dxa"/>
              <w:left w:w="108" w:type="dxa"/>
              <w:bottom w:w="0" w:type="dxa"/>
              <w:right w:w="108" w:type="dxa"/>
            </w:tcMar>
            <w:hideMark/>
          </w:tcPr>
          <w:p w14:paraId="309609A9" w14:textId="77777777" w:rsidR="00EA2571" w:rsidRDefault="00EA2571" w:rsidP="0095735E">
            <w:pPr>
              <w:rPr>
                <w:noProof/>
              </w:rPr>
            </w:pPr>
            <w:r>
              <w:rPr>
                <w:noProof/>
                <w:color w:val="000000"/>
              </w:rPr>
              <w:t>Northern sparsely populated areas</w:t>
            </w:r>
          </w:p>
        </w:tc>
      </w:tr>
    </w:tbl>
    <w:p w14:paraId="405424AA" w14:textId="77777777" w:rsidR="00EA2571" w:rsidRDefault="00EA2571" w:rsidP="00EA2571">
      <w:pPr>
        <w:rPr>
          <w:rFonts w:ascii="Aptos" w:hAnsi="Aptos" w:cs="Aptos"/>
          <w:noProof/>
          <w:lang w:val="en-IE"/>
        </w:rPr>
      </w:pPr>
    </w:p>
    <w:p w14:paraId="770F6280" w14:textId="77777777" w:rsidR="00EA2571" w:rsidRDefault="00EA2571" w:rsidP="00EA2571">
      <w:pPr>
        <w:rPr>
          <w:noProof/>
        </w:rPr>
      </w:pPr>
      <w:r>
        <w:rPr>
          <w:noProof/>
        </w:rPr>
        <w:t>Part 3: CODES FOR THE TERRITORIAL INITIATIVE AND LOCAL COOPERATION DIMENSION</w:t>
      </w:r>
    </w:p>
    <w:tbl>
      <w:tblPr>
        <w:tblW w:w="0" w:type="auto"/>
        <w:tblCellMar>
          <w:left w:w="0" w:type="dxa"/>
          <w:right w:w="0" w:type="dxa"/>
        </w:tblCellMar>
        <w:tblLook w:val="04A0" w:firstRow="1" w:lastRow="0" w:firstColumn="1" w:lastColumn="0" w:noHBand="0" w:noVBand="1"/>
      </w:tblPr>
      <w:tblGrid>
        <w:gridCol w:w="645"/>
        <w:gridCol w:w="8355"/>
      </w:tblGrid>
      <w:tr w:rsidR="00EA2571" w14:paraId="61453B8A" w14:textId="77777777" w:rsidTr="000B6C54">
        <w:trPr>
          <w:trHeight w:val="300"/>
        </w:trPr>
        <w:tc>
          <w:tcPr>
            <w:tcW w:w="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442B30D" w14:textId="77777777" w:rsidR="00EA2571" w:rsidRDefault="00EA2571" w:rsidP="0095735E">
            <w:pPr>
              <w:rPr>
                <w:noProof/>
              </w:rPr>
            </w:pPr>
            <w:r>
              <w:rPr>
                <w:noProof/>
                <w:color w:val="000000"/>
              </w:rPr>
              <w:t>01</w:t>
            </w:r>
          </w:p>
        </w:tc>
        <w:tc>
          <w:tcPr>
            <w:tcW w:w="83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2DDBB897" w14:textId="77777777" w:rsidR="00EA2571" w:rsidRDefault="00EA2571" w:rsidP="0095735E">
            <w:pPr>
              <w:rPr>
                <w:noProof/>
              </w:rPr>
            </w:pPr>
            <w:r>
              <w:rPr>
                <w:noProof/>
                <w:color w:val="000000"/>
              </w:rPr>
              <w:t>Integrated territorial and urban development</w:t>
            </w:r>
          </w:p>
        </w:tc>
      </w:tr>
      <w:tr w:rsidR="00EA2571" w14:paraId="6ABC1A6B" w14:textId="77777777" w:rsidTr="000B6C54">
        <w:trPr>
          <w:trHeight w:val="300"/>
        </w:trPr>
        <w:tc>
          <w:tcPr>
            <w:tcW w:w="645"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14:paraId="380A104C" w14:textId="77777777" w:rsidR="00EA2571" w:rsidRDefault="00EA2571" w:rsidP="0095735E">
            <w:pPr>
              <w:rPr>
                <w:noProof/>
              </w:rPr>
            </w:pPr>
            <w:r>
              <w:rPr>
                <w:noProof/>
                <w:color w:val="000000"/>
              </w:rPr>
              <w:t>02</w:t>
            </w:r>
          </w:p>
        </w:tc>
        <w:tc>
          <w:tcPr>
            <w:tcW w:w="8355"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hideMark/>
          </w:tcPr>
          <w:p w14:paraId="7520146A" w14:textId="77777777" w:rsidR="00EA2571" w:rsidRDefault="00EA2571" w:rsidP="0095735E">
            <w:pPr>
              <w:rPr>
                <w:noProof/>
              </w:rPr>
            </w:pPr>
            <w:r>
              <w:rPr>
                <w:noProof/>
                <w:color w:val="000000"/>
              </w:rPr>
              <w:t>Community-led local development/LEADER</w:t>
            </w:r>
          </w:p>
        </w:tc>
      </w:tr>
      <w:tr w:rsidR="00EA2571" w14:paraId="2B7D35CB" w14:textId="77777777" w:rsidTr="000B6C54">
        <w:trPr>
          <w:trHeight w:val="300"/>
        </w:trPr>
        <w:tc>
          <w:tcPr>
            <w:tcW w:w="64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D4E7B13" w14:textId="77777777" w:rsidR="00EA2571" w:rsidRDefault="00EA2571" w:rsidP="0095735E">
            <w:pPr>
              <w:rPr>
                <w:noProof/>
                <w:color w:val="000000"/>
              </w:rPr>
            </w:pPr>
            <w:r>
              <w:rPr>
                <w:noProof/>
                <w:color w:val="000000"/>
              </w:rPr>
              <w:t>03</w:t>
            </w:r>
          </w:p>
        </w:tc>
        <w:tc>
          <w:tcPr>
            <w:tcW w:w="835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D45993" w14:textId="77777777" w:rsidR="00EA2571" w:rsidRDefault="00EA2571" w:rsidP="0095735E">
            <w:pPr>
              <w:rPr>
                <w:noProof/>
                <w:color w:val="000000"/>
              </w:rPr>
            </w:pPr>
            <w:r>
              <w:rPr>
                <w:noProof/>
                <w:color w:val="000000"/>
              </w:rPr>
              <w:t>Other territorial tools</w:t>
            </w:r>
          </w:p>
        </w:tc>
      </w:tr>
    </w:tbl>
    <w:p w14:paraId="7D857AF8" w14:textId="77777777" w:rsidR="00EA2571" w:rsidRDefault="00EA2571" w:rsidP="00EA2571">
      <w:pPr>
        <w:rPr>
          <w:rFonts w:ascii="Aptos" w:hAnsi="Aptos" w:cs="Aptos"/>
          <w:noProof/>
          <w:lang w:val="en-IE"/>
        </w:rPr>
      </w:pPr>
    </w:p>
    <w:p w14:paraId="04CB6E37" w14:textId="77777777" w:rsidR="00EA2571" w:rsidRDefault="00EA2571" w:rsidP="00EA2571">
      <w:pPr>
        <w:rPr>
          <w:noProof/>
        </w:rPr>
      </w:pPr>
      <w:r>
        <w:rPr>
          <w:noProof/>
        </w:rPr>
        <w:t>Part 4: LOCATION (NUTS2)</w:t>
      </w:r>
    </w:p>
    <w:tbl>
      <w:tblPr>
        <w:tblW w:w="0" w:type="auto"/>
        <w:tblCellMar>
          <w:left w:w="0" w:type="dxa"/>
          <w:right w:w="0" w:type="dxa"/>
        </w:tblCellMar>
        <w:tblLook w:val="04A0" w:firstRow="1" w:lastRow="0" w:firstColumn="1" w:lastColumn="0" w:noHBand="0" w:noVBand="1"/>
      </w:tblPr>
      <w:tblGrid>
        <w:gridCol w:w="645"/>
        <w:gridCol w:w="8355"/>
      </w:tblGrid>
      <w:tr w:rsidR="00EA2571" w14:paraId="6C218CDA" w14:textId="77777777" w:rsidTr="000B6C54">
        <w:trPr>
          <w:trHeight w:val="300"/>
        </w:trPr>
        <w:tc>
          <w:tcPr>
            <w:tcW w:w="64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B4FD9AC" w14:textId="77777777" w:rsidR="00EA2571" w:rsidRDefault="00EA2571" w:rsidP="0095735E">
            <w:pPr>
              <w:rPr>
                <w:noProof/>
              </w:rPr>
            </w:pPr>
            <w:r>
              <w:rPr>
                <w:noProof/>
                <w:color w:val="000000"/>
              </w:rPr>
              <w:t>XX</w:t>
            </w:r>
          </w:p>
        </w:tc>
        <w:tc>
          <w:tcPr>
            <w:tcW w:w="835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115E5CFA" w14:textId="77777777" w:rsidR="00EA2571" w:rsidRDefault="00EA2571" w:rsidP="0095735E">
            <w:pPr>
              <w:rPr>
                <w:noProof/>
              </w:rPr>
            </w:pPr>
            <w:r>
              <w:rPr>
                <w:noProof/>
                <w:color w:val="000000"/>
              </w:rPr>
              <w:t>Code of region or area where operation is located or carried out, as set out in the common classification of territorial units for statistics (NUTS) provided in Annex I to Regulation (EC) No</w:t>
            </w:r>
            <w:r>
              <w:rPr>
                <w:rFonts w:ascii="Arial" w:hAnsi="Arial" w:cs="Arial"/>
                <w:noProof/>
                <w:color w:val="000000"/>
              </w:rPr>
              <w:t> </w:t>
            </w:r>
            <w:r>
              <w:rPr>
                <w:noProof/>
                <w:color w:val="000000"/>
              </w:rPr>
              <w:t>1059/2003. </w:t>
            </w:r>
          </w:p>
        </w:tc>
      </w:tr>
    </w:tbl>
    <w:p w14:paraId="7164FF76" w14:textId="77777777" w:rsidR="00EC2ACA" w:rsidRDefault="00EC2ACA" w:rsidP="00BD3859">
      <w:pPr>
        <w:rPr>
          <w:noProof/>
        </w:rPr>
        <w:sectPr w:rsidR="00EC2ACA" w:rsidSect="00671A67">
          <w:headerReference w:type="even" r:id="rId17"/>
          <w:footerReference w:type="even" r:id="rId18"/>
          <w:footerReference w:type="default" r:id="rId19"/>
          <w:headerReference w:type="first" r:id="rId20"/>
          <w:footerReference w:type="first" r:id="rId21"/>
          <w:pgSz w:w="11907" w:h="16839"/>
          <w:pgMar w:top="1134" w:right="1417" w:bottom="1134" w:left="1417" w:header="709" w:footer="709" w:gutter="0"/>
          <w:cols w:space="720"/>
          <w:docGrid w:linePitch="360"/>
        </w:sectPr>
      </w:pPr>
    </w:p>
    <w:p w14:paraId="762D0FB7" w14:textId="0D71FC19" w:rsidR="00474E6E" w:rsidRPr="007302DD" w:rsidRDefault="00474E6E" w:rsidP="00654E71">
      <w:pPr>
        <w:pStyle w:val="Annexetitre"/>
        <w:rPr>
          <w:noProof/>
        </w:rPr>
      </w:pPr>
      <w:r w:rsidRPr="007302DD">
        <w:rPr>
          <w:noProof/>
        </w:rPr>
        <w:lastRenderedPageBreak/>
        <w:t>ANNEX III</w:t>
      </w:r>
      <w:r w:rsidRPr="007302DD">
        <w:rPr>
          <w:noProof/>
        </w:rPr>
        <w:br/>
      </w:r>
      <w:r w:rsidR="006E412B" w:rsidRPr="007302DD">
        <w:rPr>
          <w:noProof/>
        </w:rPr>
        <w:t xml:space="preserve">Specific climate and environment spending targets </w:t>
      </w:r>
    </w:p>
    <w:p w14:paraId="6B4CCB4D" w14:textId="77777777" w:rsidR="00B65F71" w:rsidRPr="007302DD" w:rsidRDefault="00B65F71" w:rsidP="00B65F71">
      <w:pPr>
        <w:rPr>
          <w:noProof/>
        </w:rPr>
      </w:pPr>
    </w:p>
    <w:p w14:paraId="57F95925" w14:textId="25902E3E" w:rsidR="00EC2ACA" w:rsidRDefault="00B65F71" w:rsidP="6DC0D9D0">
      <w:pPr>
        <w:rPr>
          <w:rFonts w:eastAsia="Times New Roman"/>
          <w:noProof/>
        </w:rPr>
      </w:pPr>
      <w:r>
        <w:rPr>
          <w:rFonts w:eastAsia="Times New Roman"/>
          <w:noProof/>
        </w:rPr>
        <w:t>The following programmes and instruments are expected to contribute at least the following percentages of their overall financial envelope to climate and environmental objectives:</w:t>
      </w:r>
      <w:r w:rsidR="000B2D0F">
        <w:rPr>
          <w:rFonts w:eastAsia="Times New Roman"/>
          <w:noProof/>
        </w:rPr>
        <w:t xml:space="preserve"> </w:t>
      </w:r>
    </w:p>
    <w:p w14:paraId="6D322B5C" w14:textId="374EB748" w:rsidR="00DA611C" w:rsidRDefault="00CB75BD" w:rsidP="6DC0D9D0">
      <w:pPr>
        <w:pStyle w:val="Point0number"/>
        <w:rPr>
          <w:rFonts w:eastAsia="Times New Roman"/>
          <w:noProof/>
        </w:rPr>
      </w:pPr>
      <w:r>
        <w:rPr>
          <w:rFonts w:eastAsia="Times New Roman"/>
          <w:noProof/>
        </w:rPr>
        <w:t>National and Regional Partnership Plans: 43%</w:t>
      </w:r>
    </w:p>
    <w:p w14:paraId="3D9736CA" w14:textId="169E256C" w:rsidR="003B66A3" w:rsidRDefault="003B66A3" w:rsidP="6DC0D9D0">
      <w:pPr>
        <w:pStyle w:val="Point0number"/>
        <w:rPr>
          <w:rFonts w:eastAsia="Times New Roman"/>
          <w:noProof/>
        </w:rPr>
      </w:pPr>
      <w:r>
        <w:rPr>
          <w:rFonts w:eastAsia="Times New Roman"/>
          <w:noProof/>
        </w:rPr>
        <w:t>European Competitiveness Fund: 43%</w:t>
      </w:r>
    </w:p>
    <w:p w14:paraId="18336E2F" w14:textId="31E5BACB" w:rsidR="003B66A3" w:rsidRDefault="00BB6723" w:rsidP="6DC0D9D0">
      <w:pPr>
        <w:pStyle w:val="Point0number"/>
        <w:rPr>
          <w:rFonts w:eastAsia="Times New Roman"/>
          <w:noProof/>
        </w:rPr>
      </w:pPr>
      <w:r>
        <w:rPr>
          <w:rFonts w:eastAsia="Times New Roman"/>
          <w:noProof/>
        </w:rPr>
        <w:t>Framework programme for research and innovation: 40%</w:t>
      </w:r>
    </w:p>
    <w:p w14:paraId="6C56D5FA" w14:textId="1039883A" w:rsidR="00446132" w:rsidRDefault="00446132" w:rsidP="6DC0D9D0">
      <w:pPr>
        <w:pStyle w:val="Point0number"/>
        <w:rPr>
          <w:rFonts w:eastAsia="Times New Roman"/>
          <w:noProof/>
        </w:rPr>
      </w:pPr>
      <w:r>
        <w:rPr>
          <w:rFonts w:eastAsia="Times New Roman"/>
          <w:noProof/>
        </w:rPr>
        <w:t>Connecting Europe Facility: 70%</w:t>
      </w:r>
    </w:p>
    <w:p w14:paraId="2DFD0AF4" w14:textId="0C6A8E83" w:rsidR="00446132" w:rsidRPr="00B65F71" w:rsidRDefault="00446132">
      <w:pPr>
        <w:pStyle w:val="Point0number"/>
        <w:rPr>
          <w:rFonts w:eastAsia="Times New Roman"/>
          <w:noProof/>
        </w:rPr>
      </w:pPr>
      <w:r>
        <w:rPr>
          <w:rFonts w:eastAsia="Times New Roman"/>
          <w:noProof/>
        </w:rPr>
        <w:t>Global Europe Instrument: 30%</w:t>
      </w:r>
    </w:p>
    <w:p w14:paraId="6925FD6B" w14:textId="52007248" w:rsidR="00474E6E" w:rsidRDefault="00474E6E" w:rsidP="00DA611C">
      <w:pPr>
        <w:rPr>
          <w:noProof/>
        </w:rPr>
      </w:pPr>
      <w:r>
        <w:rPr>
          <w:noProof/>
        </w:rPr>
        <w:br w:type="page"/>
      </w:r>
    </w:p>
    <w:p w14:paraId="6DBBF719" w14:textId="77777777" w:rsidR="00DA611C" w:rsidRDefault="00DA611C">
      <w:pPr>
        <w:rPr>
          <w:b/>
          <w:noProof/>
          <w:u w:val="single"/>
        </w:rPr>
      </w:pPr>
    </w:p>
    <w:p w14:paraId="0D76C236" w14:textId="1FF0293D" w:rsidR="000849D7" w:rsidRDefault="000849D7" w:rsidP="63A63D91">
      <w:pPr>
        <w:pStyle w:val="Annexetitre"/>
        <w:rPr>
          <w:b w:val="0"/>
          <w:noProof/>
        </w:rPr>
      </w:pPr>
      <w:r>
        <w:rPr>
          <w:noProof/>
        </w:rPr>
        <w:t xml:space="preserve">ANNEX </w:t>
      </w:r>
      <w:r w:rsidR="008A487C">
        <w:rPr>
          <w:noProof/>
        </w:rPr>
        <w:t>I</w:t>
      </w:r>
      <w:r w:rsidR="00445245">
        <w:rPr>
          <w:noProof/>
        </w:rPr>
        <w:t>V</w:t>
      </w:r>
      <w:r>
        <w:rPr>
          <w:noProof/>
        </w:rPr>
        <w:br/>
        <w:t>List of programmes</w:t>
      </w:r>
      <w:r w:rsidR="009F782B">
        <w:rPr>
          <w:noProof/>
        </w:rPr>
        <w:t xml:space="preserve"> and activities</w:t>
      </w:r>
      <w:r>
        <w:rPr>
          <w:noProof/>
        </w:rPr>
        <w:t xml:space="preserve"> mainstreaming gender</w:t>
      </w:r>
    </w:p>
    <w:p w14:paraId="659EDBF7" w14:textId="77777777" w:rsidR="000849D7" w:rsidRDefault="000849D7" w:rsidP="000849D7">
      <w:pPr>
        <w:jc w:val="center"/>
        <w:rPr>
          <w:b/>
          <w:bCs/>
          <w:noProof/>
        </w:rPr>
      </w:pPr>
    </w:p>
    <w:p w14:paraId="13C2743A" w14:textId="10B18697" w:rsidR="000849D7" w:rsidRDefault="000849D7" w:rsidP="00557522">
      <w:pPr>
        <w:pStyle w:val="Point0number"/>
        <w:numPr>
          <w:ilvl w:val="0"/>
          <w:numId w:val="6"/>
        </w:numPr>
        <w:rPr>
          <w:noProof/>
        </w:rPr>
      </w:pPr>
      <w:r w:rsidRPr="000849D7">
        <w:rPr>
          <w:noProof/>
        </w:rPr>
        <w:t>National and Regional Partnership Plans</w:t>
      </w:r>
    </w:p>
    <w:p w14:paraId="58E6BC11" w14:textId="77777777" w:rsidR="00E804D2" w:rsidRDefault="00186498" w:rsidP="00186498">
      <w:pPr>
        <w:pStyle w:val="Point0number"/>
        <w:numPr>
          <w:ilvl w:val="0"/>
          <w:numId w:val="6"/>
        </w:numPr>
        <w:rPr>
          <w:noProof/>
        </w:rPr>
      </w:pPr>
      <w:r w:rsidRPr="00186498">
        <w:rPr>
          <w:noProof/>
        </w:rPr>
        <w:t>European Competitiveness Fund</w:t>
      </w:r>
    </w:p>
    <w:p w14:paraId="50B9A72C" w14:textId="21BDA714" w:rsidR="00186498" w:rsidRPr="00186498" w:rsidRDefault="00E804D2" w:rsidP="00186498">
      <w:pPr>
        <w:pStyle w:val="Point0number"/>
        <w:numPr>
          <w:ilvl w:val="0"/>
          <w:numId w:val="6"/>
        </w:numPr>
        <w:rPr>
          <w:noProof/>
        </w:rPr>
      </w:pPr>
      <w:r>
        <w:rPr>
          <w:noProof/>
        </w:rPr>
        <w:t>F</w:t>
      </w:r>
      <w:r w:rsidR="00186498" w:rsidRPr="00186498">
        <w:rPr>
          <w:noProof/>
        </w:rPr>
        <w:t xml:space="preserve">ramework programme </w:t>
      </w:r>
      <w:r>
        <w:rPr>
          <w:noProof/>
        </w:rPr>
        <w:t xml:space="preserve">for research </w:t>
      </w:r>
      <w:r w:rsidR="00345ED2">
        <w:rPr>
          <w:noProof/>
        </w:rPr>
        <w:t>and innovation</w:t>
      </w:r>
      <w:r w:rsidR="00186498" w:rsidRPr="00186498">
        <w:rPr>
          <w:noProof/>
        </w:rPr>
        <w:t xml:space="preserve">  </w:t>
      </w:r>
    </w:p>
    <w:p w14:paraId="40941790" w14:textId="77777777" w:rsidR="000849D7" w:rsidRPr="000849D7" w:rsidRDefault="000849D7" w:rsidP="000849D7">
      <w:pPr>
        <w:pStyle w:val="Point0number"/>
        <w:rPr>
          <w:noProof/>
        </w:rPr>
      </w:pPr>
      <w:r w:rsidRPr="000849D7">
        <w:rPr>
          <w:noProof/>
        </w:rPr>
        <w:t>Global Europe Instrument</w:t>
      </w:r>
    </w:p>
    <w:p w14:paraId="0CB18FA7" w14:textId="77777777" w:rsidR="000849D7" w:rsidRPr="000849D7" w:rsidRDefault="000849D7" w:rsidP="000849D7">
      <w:pPr>
        <w:pStyle w:val="Point0number"/>
        <w:rPr>
          <w:noProof/>
        </w:rPr>
      </w:pPr>
      <w:r w:rsidRPr="000849D7">
        <w:rPr>
          <w:noProof/>
        </w:rPr>
        <w:t>Erasmus – European Solidarity Corps</w:t>
      </w:r>
    </w:p>
    <w:p w14:paraId="12E0B9A9" w14:textId="77777777" w:rsidR="000849D7" w:rsidRPr="000849D7" w:rsidRDefault="000849D7" w:rsidP="000849D7">
      <w:pPr>
        <w:pStyle w:val="Point0number"/>
        <w:rPr>
          <w:noProof/>
        </w:rPr>
      </w:pPr>
      <w:r w:rsidRPr="000849D7">
        <w:rPr>
          <w:noProof/>
        </w:rPr>
        <w:t>Creative Europe – Citizens, equality, rights and values</w:t>
      </w:r>
    </w:p>
    <w:p w14:paraId="523F4084" w14:textId="77777777" w:rsidR="000849D7" w:rsidRPr="000849D7" w:rsidRDefault="000849D7" w:rsidP="000849D7">
      <w:pPr>
        <w:pStyle w:val="Point0number"/>
        <w:rPr>
          <w:noProof/>
        </w:rPr>
      </w:pPr>
      <w:r w:rsidRPr="000849D7">
        <w:rPr>
          <w:noProof/>
        </w:rPr>
        <w:t>Union Civil Protection Mechanism</w:t>
      </w:r>
    </w:p>
    <w:p w14:paraId="5F9AE3AA" w14:textId="77777777" w:rsidR="000849D7" w:rsidRPr="000849D7" w:rsidRDefault="000849D7" w:rsidP="000849D7">
      <w:pPr>
        <w:pStyle w:val="Point0number"/>
        <w:rPr>
          <w:noProof/>
        </w:rPr>
      </w:pPr>
      <w:r w:rsidRPr="000849D7">
        <w:rPr>
          <w:noProof/>
        </w:rPr>
        <w:t>Justice programme</w:t>
      </w:r>
    </w:p>
    <w:p w14:paraId="541CD72F" w14:textId="0963C2D9" w:rsidR="000849D7" w:rsidRPr="000849D7" w:rsidRDefault="00A43FD7" w:rsidP="000849D7">
      <w:pPr>
        <w:pStyle w:val="Point0number"/>
        <w:rPr>
          <w:noProof/>
        </w:rPr>
      </w:pPr>
      <w:r>
        <w:rPr>
          <w:noProof/>
        </w:rPr>
        <w:t xml:space="preserve">Aid Programme for the </w:t>
      </w:r>
      <w:r w:rsidR="000849D7" w:rsidRPr="000849D7">
        <w:rPr>
          <w:noProof/>
        </w:rPr>
        <w:t>Turkish</w:t>
      </w:r>
      <w:r w:rsidR="000A3100">
        <w:rPr>
          <w:noProof/>
        </w:rPr>
        <w:t xml:space="preserve"> </w:t>
      </w:r>
      <w:r w:rsidR="000849D7" w:rsidRPr="000849D7">
        <w:rPr>
          <w:noProof/>
        </w:rPr>
        <w:t xml:space="preserve">Cypriot </w:t>
      </w:r>
      <w:r>
        <w:rPr>
          <w:noProof/>
        </w:rPr>
        <w:t>c</w:t>
      </w:r>
      <w:r w:rsidR="000849D7" w:rsidRPr="000849D7">
        <w:rPr>
          <w:noProof/>
        </w:rPr>
        <w:t>ommunity</w:t>
      </w:r>
    </w:p>
    <w:p w14:paraId="5E33F822" w14:textId="5336C5B7" w:rsidR="000849D7" w:rsidRPr="000849D7" w:rsidRDefault="000849D7" w:rsidP="000849D7">
      <w:pPr>
        <w:pStyle w:val="Point0number"/>
        <w:rPr>
          <w:noProof/>
        </w:rPr>
      </w:pPr>
      <w:r w:rsidRPr="000849D7">
        <w:rPr>
          <w:noProof/>
        </w:rPr>
        <w:t>Overseas Countries and Territories (incl</w:t>
      </w:r>
      <w:r w:rsidR="000A3100">
        <w:rPr>
          <w:noProof/>
        </w:rPr>
        <w:t>uding</w:t>
      </w:r>
      <w:r w:rsidRPr="000849D7">
        <w:rPr>
          <w:noProof/>
        </w:rPr>
        <w:t xml:space="preserve"> Greenland)</w:t>
      </w:r>
    </w:p>
    <w:p w14:paraId="20054864" w14:textId="77777777" w:rsidR="000849D7" w:rsidRDefault="000849D7" w:rsidP="000849D7">
      <w:pPr>
        <w:rPr>
          <w:noProof/>
        </w:rPr>
        <w:sectPr w:rsidR="000849D7" w:rsidSect="00671A67">
          <w:pgSz w:w="11907" w:h="16839"/>
          <w:pgMar w:top="1134" w:right="1417" w:bottom="1134" w:left="1417" w:header="709" w:footer="709" w:gutter="0"/>
          <w:cols w:space="720"/>
          <w:docGrid w:linePitch="360"/>
        </w:sectPr>
      </w:pPr>
    </w:p>
    <w:p w14:paraId="1548536A" w14:textId="59F470A9" w:rsidR="000849D7" w:rsidRDefault="000849D7" w:rsidP="007766D0">
      <w:pPr>
        <w:pStyle w:val="Annexetitre"/>
        <w:rPr>
          <w:rFonts w:eastAsia="Times New Roman"/>
          <w:b w:val="0"/>
          <w:bCs/>
          <w:noProof/>
          <w:color w:val="000000" w:themeColor="text1"/>
          <w:szCs w:val="24"/>
        </w:rPr>
      </w:pPr>
      <w:r w:rsidRPr="000849D7">
        <w:rPr>
          <w:noProof/>
        </w:rPr>
        <w:lastRenderedPageBreak/>
        <w:t xml:space="preserve">ANNEX </w:t>
      </w:r>
      <w:r w:rsidR="008A487C">
        <w:rPr>
          <w:noProof/>
        </w:rPr>
        <w:t>V</w:t>
      </w:r>
      <w:r w:rsidR="007766D0">
        <w:rPr>
          <w:noProof/>
        </w:rPr>
        <w:br/>
      </w:r>
      <w:r w:rsidRPr="00ED5D46">
        <w:rPr>
          <w:rFonts w:eastAsia="Times New Roman"/>
          <w:bCs/>
          <w:noProof/>
          <w:color w:val="000000" w:themeColor="text1"/>
          <w:szCs w:val="24"/>
        </w:rPr>
        <w:t>Information, communication and visibility</w:t>
      </w:r>
    </w:p>
    <w:p w14:paraId="6AC2EDA4" w14:textId="77777777" w:rsidR="000849D7" w:rsidRDefault="000849D7" w:rsidP="000849D7">
      <w:pPr>
        <w:spacing w:before="240"/>
        <w:jc w:val="center"/>
        <w:rPr>
          <w:rFonts w:eastAsia="Times New Roman"/>
          <w:b/>
          <w:bCs/>
          <w:noProof/>
          <w:color w:val="000000" w:themeColor="text1"/>
          <w:szCs w:val="24"/>
        </w:rPr>
      </w:pPr>
    </w:p>
    <w:p w14:paraId="12B4C7C7" w14:textId="784E717D" w:rsidR="000849D7" w:rsidRPr="009E734C" w:rsidRDefault="000849D7" w:rsidP="00557522">
      <w:pPr>
        <w:pStyle w:val="Point0number"/>
        <w:numPr>
          <w:ilvl w:val="0"/>
          <w:numId w:val="1"/>
        </w:numPr>
        <w:rPr>
          <w:noProof/>
        </w:rPr>
      </w:pPr>
      <w:r w:rsidRPr="009E734C">
        <w:rPr>
          <w:noProof/>
        </w:rPr>
        <w:t>The use and technical characteristics of the emblem of the Union (‘the emblem’)</w:t>
      </w:r>
      <w:r w:rsidR="009A6620">
        <w:rPr>
          <w:noProof/>
        </w:rPr>
        <w:t xml:space="preserve"> and the funding </w:t>
      </w:r>
      <w:r w:rsidR="00AD2CEB">
        <w:rPr>
          <w:noProof/>
        </w:rPr>
        <w:t>statement</w:t>
      </w:r>
      <w:r>
        <w:rPr>
          <w:noProof/>
        </w:rPr>
        <w:t>:</w:t>
      </w:r>
    </w:p>
    <w:p w14:paraId="3C60CE99" w14:textId="32DE93A9" w:rsidR="000849D7" w:rsidRPr="009E734C" w:rsidRDefault="000849D7" w:rsidP="00424B3E">
      <w:pPr>
        <w:pStyle w:val="Point1letter"/>
        <w:rPr>
          <w:noProof/>
        </w:rPr>
      </w:pPr>
      <w:r w:rsidRPr="009E734C">
        <w:rPr>
          <w:noProof/>
        </w:rPr>
        <w:t xml:space="preserve">The emblem </w:t>
      </w:r>
      <w:r w:rsidR="0027662A">
        <w:rPr>
          <w:noProof/>
        </w:rPr>
        <w:t xml:space="preserve">and the funding statement </w:t>
      </w:r>
      <w:r w:rsidRPr="009E734C">
        <w:rPr>
          <w:noProof/>
        </w:rPr>
        <w:t xml:space="preserve">shall be prominently displayed on all </w:t>
      </w:r>
      <w:r>
        <w:rPr>
          <w:noProof/>
        </w:rPr>
        <w:t xml:space="preserve">information, </w:t>
      </w:r>
      <w:r w:rsidRPr="009E734C">
        <w:rPr>
          <w:noProof/>
        </w:rPr>
        <w:t xml:space="preserve">communication </w:t>
      </w:r>
      <w:r>
        <w:rPr>
          <w:noProof/>
        </w:rPr>
        <w:t xml:space="preserve">and visibility activities </w:t>
      </w:r>
      <w:r w:rsidRPr="009E734C">
        <w:rPr>
          <w:noProof/>
        </w:rPr>
        <w:t>related to the implementation of Union-</w:t>
      </w:r>
      <w:r>
        <w:rPr>
          <w:noProof/>
        </w:rPr>
        <w:t>supported</w:t>
      </w:r>
      <w:r w:rsidRPr="009E734C">
        <w:rPr>
          <w:noProof/>
        </w:rPr>
        <w:t xml:space="preserve"> actions. This includes</w:t>
      </w:r>
      <w:r>
        <w:rPr>
          <w:noProof/>
        </w:rPr>
        <w:t>, in particular,</w:t>
      </w:r>
      <w:r w:rsidRPr="009E734C">
        <w:rPr>
          <w:noProof/>
        </w:rPr>
        <w:t xml:space="preserve"> media relations, conferences, seminars, and information materials such as brochures, leaflets, posters,</w:t>
      </w:r>
      <w:r w:rsidR="00E609FD">
        <w:rPr>
          <w:noProof/>
        </w:rPr>
        <w:t xml:space="preserve"> banners,</w:t>
      </w:r>
      <w:r w:rsidRPr="009E734C">
        <w:rPr>
          <w:noProof/>
        </w:rPr>
        <w:t xml:space="preserve"> presentations</w:t>
      </w:r>
      <w:r w:rsidR="00E609FD">
        <w:rPr>
          <w:noProof/>
        </w:rPr>
        <w:t xml:space="preserve"> and merchandise</w:t>
      </w:r>
      <w:r w:rsidRPr="009E734C">
        <w:rPr>
          <w:noProof/>
        </w:rPr>
        <w:t xml:space="preserve">, as well as digital products, websites (including mobile views), and traditional or social media platforms. </w:t>
      </w:r>
      <w:r w:rsidR="00F72BF7">
        <w:rPr>
          <w:noProof/>
        </w:rPr>
        <w:t>I</w:t>
      </w:r>
      <w:r w:rsidR="00F72BF7" w:rsidRPr="00F72BF7">
        <w:rPr>
          <w:noProof/>
        </w:rPr>
        <w:t>nfrastructures, vehicles, supplies and equipment used or delivered under and EU-(co) funded actions must be clearly identified.</w:t>
      </w:r>
    </w:p>
    <w:p w14:paraId="5132C092" w14:textId="5A1409F7" w:rsidR="000849D7" w:rsidRPr="00A6533E" w:rsidRDefault="000849D7" w:rsidP="00424B3E">
      <w:pPr>
        <w:pStyle w:val="Point1letter"/>
        <w:rPr>
          <w:noProof/>
        </w:rPr>
      </w:pPr>
      <w:r w:rsidRPr="00A6533E">
        <w:rPr>
          <w:noProof/>
        </w:rPr>
        <w:t xml:space="preserve">The </w:t>
      </w:r>
      <w:r w:rsidR="002E0667" w:rsidRPr="00C61D9F">
        <w:rPr>
          <w:noProof/>
        </w:rPr>
        <w:t xml:space="preserve">funding </w:t>
      </w:r>
      <w:r w:rsidRPr="00A6533E">
        <w:rPr>
          <w:noProof/>
        </w:rPr>
        <w:t>statement ‘</w:t>
      </w:r>
      <w:r w:rsidR="0090152B" w:rsidRPr="00C61D9F">
        <w:rPr>
          <w:noProof/>
        </w:rPr>
        <w:t>S</w:t>
      </w:r>
      <w:r w:rsidRPr="00A6533E">
        <w:rPr>
          <w:noProof/>
        </w:rPr>
        <w:t xml:space="preserve">upported by the European Union’ shall always be spelled out in full and placed next to the emblem. It shall be translated into local languages. If requested by the Commission, the funding statement may be replaced with the words ‘European Union’. This simplified statement shall be written out in full and be translated into local languages. </w:t>
      </w:r>
    </w:p>
    <w:p w14:paraId="55FAE9B8" w14:textId="4DCF21F8" w:rsidR="000849D7" w:rsidRPr="000849D7" w:rsidRDefault="000849D7" w:rsidP="00424B3E">
      <w:pPr>
        <w:pStyle w:val="Point1letter"/>
        <w:rPr>
          <w:noProof/>
        </w:rPr>
      </w:pPr>
      <w:r w:rsidRPr="000849D7">
        <w:rPr>
          <w:noProof/>
        </w:rPr>
        <w:t>For partners implementing external actions, the funding statement shall be replaced with the statement ‘In partnership with the European Union’, written out in full and placed next to the emblem. It shall be translated into local languages.</w:t>
      </w:r>
    </w:p>
    <w:p w14:paraId="15E52192" w14:textId="1E570DBF" w:rsidR="000849D7" w:rsidRPr="000849D7" w:rsidRDefault="000849D7" w:rsidP="00424B3E">
      <w:pPr>
        <w:pStyle w:val="Point1letter"/>
        <w:rPr>
          <w:noProof/>
        </w:rPr>
      </w:pPr>
      <w:r w:rsidRPr="000849D7">
        <w:rPr>
          <w:noProof/>
        </w:rPr>
        <w:t xml:space="preserve">The typeface to be used in conjunction with the emblem shall </w:t>
      </w:r>
      <w:r w:rsidR="00BF41E0">
        <w:rPr>
          <w:noProof/>
        </w:rPr>
        <w:t>be</w:t>
      </w:r>
      <w:r w:rsidR="00BF41E0" w:rsidRPr="000849D7">
        <w:rPr>
          <w:noProof/>
        </w:rPr>
        <w:t xml:space="preserve"> </w:t>
      </w:r>
      <w:r w:rsidRPr="000849D7">
        <w:rPr>
          <w:noProof/>
        </w:rPr>
        <w:t xml:space="preserve">simple and easily readable. The recommended typeface is Arial. </w:t>
      </w:r>
    </w:p>
    <w:p w14:paraId="12459CD5" w14:textId="77777777" w:rsidR="000849D7" w:rsidRPr="000849D7" w:rsidRDefault="000849D7" w:rsidP="00424B3E">
      <w:pPr>
        <w:pStyle w:val="Point1letter"/>
        <w:rPr>
          <w:noProof/>
        </w:rPr>
      </w:pPr>
      <w:r w:rsidRPr="000849D7">
        <w:rPr>
          <w:noProof/>
        </w:rPr>
        <w:t>Underlining and use of other font effects is not allowed.</w:t>
      </w:r>
    </w:p>
    <w:p w14:paraId="139E531A" w14:textId="6A2E76D4" w:rsidR="000849D7" w:rsidRPr="000849D7" w:rsidRDefault="000849D7" w:rsidP="00424B3E">
      <w:pPr>
        <w:pStyle w:val="Point1letter"/>
        <w:rPr>
          <w:noProof/>
        </w:rPr>
      </w:pPr>
      <w:r w:rsidRPr="000849D7">
        <w:rPr>
          <w:noProof/>
        </w:rPr>
        <w:t xml:space="preserve">The positioning of the text in relation to the emblem </w:t>
      </w:r>
      <w:r w:rsidR="00BF41E0">
        <w:rPr>
          <w:noProof/>
        </w:rPr>
        <w:t>shall</w:t>
      </w:r>
      <w:r w:rsidR="00BF41E0" w:rsidRPr="000849D7">
        <w:rPr>
          <w:noProof/>
        </w:rPr>
        <w:t xml:space="preserve"> </w:t>
      </w:r>
      <w:r w:rsidRPr="000849D7">
        <w:rPr>
          <w:noProof/>
        </w:rPr>
        <w:t xml:space="preserve">not interfere with the emblem in any way. </w:t>
      </w:r>
    </w:p>
    <w:p w14:paraId="3BE6B701" w14:textId="2BC2A3EE" w:rsidR="000849D7" w:rsidRPr="000849D7" w:rsidRDefault="000849D7" w:rsidP="00424B3E">
      <w:pPr>
        <w:pStyle w:val="Point1letter"/>
        <w:rPr>
          <w:noProof/>
        </w:rPr>
      </w:pPr>
      <w:r w:rsidRPr="000849D7">
        <w:rPr>
          <w:noProof/>
        </w:rPr>
        <w:t xml:space="preserve">The colour of the font shall be </w:t>
      </w:r>
      <w:r w:rsidR="000C3649">
        <w:rPr>
          <w:noProof/>
        </w:rPr>
        <w:t>the blue colour of the European flag (</w:t>
      </w:r>
      <w:r w:rsidRPr="000849D7">
        <w:rPr>
          <w:noProof/>
        </w:rPr>
        <w:t>Reflex Blue</w:t>
      </w:r>
      <w:r w:rsidR="0081419F">
        <w:rPr>
          <w:rStyle w:val="FootnoteReference"/>
          <w:noProof/>
        </w:rPr>
        <w:footnoteReference w:id="2"/>
      </w:r>
      <w:r w:rsidR="000C3649">
        <w:rPr>
          <w:noProof/>
        </w:rPr>
        <w:t>)</w:t>
      </w:r>
      <w:r w:rsidRPr="000849D7">
        <w:rPr>
          <w:noProof/>
        </w:rPr>
        <w:t>, white or black depending on the background.</w:t>
      </w:r>
    </w:p>
    <w:p w14:paraId="1D0781CC" w14:textId="77777777" w:rsidR="000849D7" w:rsidRPr="000849D7" w:rsidRDefault="000849D7" w:rsidP="00424B3E">
      <w:pPr>
        <w:pStyle w:val="Point1letter"/>
        <w:rPr>
          <w:noProof/>
        </w:rPr>
      </w:pPr>
      <w:r w:rsidRPr="000849D7">
        <w:rPr>
          <w:noProof/>
        </w:rPr>
        <w:t>The font size used shall be proportionate to the size of the emblem.</w:t>
      </w:r>
    </w:p>
    <w:p w14:paraId="440B402F" w14:textId="55D6200E" w:rsidR="000849D7" w:rsidRPr="000849D7" w:rsidRDefault="000849D7" w:rsidP="00424B3E">
      <w:pPr>
        <w:pStyle w:val="Point1letter"/>
        <w:rPr>
          <w:noProof/>
        </w:rPr>
      </w:pPr>
      <w:r w:rsidRPr="000849D7">
        <w:rPr>
          <w:noProof/>
        </w:rPr>
        <w:t xml:space="preserve">Sufficient contrast shall be ensured between the emblem and the background. If there is no alternative to a coloured background, a white border shall be placed around the flag, with </w:t>
      </w:r>
      <w:r w:rsidR="00BF41E0">
        <w:rPr>
          <w:noProof/>
        </w:rPr>
        <w:t>a</w:t>
      </w:r>
      <w:r w:rsidR="00BF41E0" w:rsidRPr="000849D7">
        <w:rPr>
          <w:noProof/>
        </w:rPr>
        <w:t xml:space="preserve"> </w:t>
      </w:r>
      <w:r w:rsidRPr="000849D7">
        <w:rPr>
          <w:noProof/>
        </w:rPr>
        <w:t>width equal to one 25th of the height of the rectangle.</w:t>
      </w:r>
    </w:p>
    <w:p w14:paraId="7EAA1314" w14:textId="77777777" w:rsidR="000849D7" w:rsidRPr="000849D7" w:rsidRDefault="000849D7" w:rsidP="00424B3E">
      <w:pPr>
        <w:pStyle w:val="Point1letter"/>
        <w:rPr>
          <w:noProof/>
        </w:rPr>
      </w:pPr>
      <w:r w:rsidRPr="000849D7">
        <w:rPr>
          <w:noProof/>
        </w:rPr>
        <w:t xml:space="preserve">For reasons of integrity and visibility, the emblem in addition with the funding statement shall always be surrounded by a clear space or ‘protection area’, which no other element (text, image, drawing, figure, etc.) can infringe upon. </w:t>
      </w:r>
    </w:p>
    <w:p w14:paraId="57EB5AAF" w14:textId="4DFC1C21" w:rsidR="00424B3E" w:rsidRDefault="000849D7" w:rsidP="00424B3E">
      <w:pPr>
        <w:pStyle w:val="Point1letter"/>
        <w:rPr>
          <w:noProof/>
        </w:rPr>
      </w:pPr>
      <w:r w:rsidRPr="000849D7">
        <w:rPr>
          <w:noProof/>
        </w:rPr>
        <w:t xml:space="preserve">The graphic elements of the emblem </w:t>
      </w:r>
      <w:r w:rsidR="001E798D">
        <w:rPr>
          <w:noProof/>
        </w:rPr>
        <w:t>shall</w:t>
      </w:r>
      <w:r w:rsidR="001E798D" w:rsidRPr="000849D7">
        <w:rPr>
          <w:noProof/>
        </w:rPr>
        <w:t xml:space="preserve"> </w:t>
      </w:r>
      <w:r w:rsidRPr="000849D7">
        <w:rPr>
          <w:noProof/>
        </w:rPr>
        <w:t>be compliant with the graphics guide to the European emblem in Annex A1 to the Interinstitutional Style Guide</w:t>
      </w:r>
      <w:r w:rsidR="003907F7">
        <w:rPr>
          <w:rStyle w:val="FootnoteReference"/>
          <w:noProof/>
        </w:rPr>
        <w:footnoteReference w:id="3"/>
      </w:r>
      <w:r>
        <w:rPr>
          <w:noProof/>
        </w:rPr>
        <w:t>.</w:t>
      </w:r>
    </w:p>
    <w:p w14:paraId="30315C43" w14:textId="4BB4C02A" w:rsidR="00944334" w:rsidRDefault="001E798D" w:rsidP="00424B3E">
      <w:pPr>
        <w:pStyle w:val="Point1letter"/>
        <w:rPr>
          <w:noProof/>
        </w:rPr>
      </w:pPr>
      <w:r>
        <w:rPr>
          <w:noProof/>
        </w:rPr>
        <w:t>E</w:t>
      </w:r>
      <w:r w:rsidR="00944334" w:rsidRPr="00944334">
        <w:rPr>
          <w:noProof/>
        </w:rPr>
        <w:t>xamples of the emblem including the funding statement:</w:t>
      </w:r>
    </w:p>
    <w:tbl>
      <w:tblPr>
        <w:tblStyle w:val="TableGrid"/>
        <w:tblW w:w="9289" w:type="dxa"/>
        <w:tblInd w:w="468" w:type="dxa"/>
        <w:tblLook w:val="04A0" w:firstRow="1" w:lastRow="0" w:firstColumn="1" w:lastColumn="0" w:noHBand="0" w:noVBand="1"/>
      </w:tblPr>
      <w:tblGrid>
        <w:gridCol w:w="4644"/>
        <w:gridCol w:w="4645"/>
      </w:tblGrid>
      <w:tr w:rsidR="007E749B" w14:paraId="05E1F21C" w14:textId="77777777" w:rsidTr="004355AF">
        <w:tc>
          <w:tcPr>
            <w:tcW w:w="4644" w:type="dxa"/>
            <w:tcBorders>
              <w:top w:val="nil"/>
              <w:left w:val="nil"/>
              <w:bottom w:val="nil"/>
              <w:right w:val="nil"/>
            </w:tcBorders>
          </w:tcPr>
          <w:p w14:paraId="22A52184" w14:textId="1192E8ED" w:rsidR="00312761" w:rsidRDefault="00312761" w:rsidP="009E5DC7">
            <w:pPr>
              <w:pStyle w:val="Point1letter"/>
              <w:numPr>
                <w:ilvl w:val="3"/>
                <w:numId w:val="0"/>
              </w:numPr>
              <w:rPr>
                <w:noProof/>
              </w:rPr>
            </w:pPr>
            <w:r>
              <w:rPr>
                <w:noProof/>
                <w:lang w:eastAsia="en-GB"/>
              </w:rPr>
              <w:lastRenderedPageBreak/>
              <w:drawing>
                <wp:inline distT="0" distB="0" distL="0" distR="0" wp14:anchorId="1D861B2E" wp14:editId="0FB1D88D">
                  <wp:extent cx="2678676" cy="598284"/>
                  <wp:effectExtent l="0" t="0" r="0" b="0"/>
                  <wp:docPr id="191536374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63740" name=""/>
                          <pic:cNvPicPr/>
                        </pic:nvPicPr>
                        <pic:blipFill>
                          <a:blip r:embed="rId22">
                            <a:extLst>
                              <a:ext uri="{28A0092B-C50C-407E-A947-70E740481C1C}">
                                <a14:useLocalDpi xmlns:a14="http://schemas.microsoft.com/office/drawing/2010/main" val="0"/>
                              </a:ext>
                            </a:extLst>
                          </a:blip>
                          <a:stretch>
                            <a:fillRect/>
                          </a:stretch>
                        </pic:blipFill>
                        <pic:spPr>
                          <a:xfrm>
                            <a:off x="0" y="0"/>
                            <a:ext cx="2706203" cy="604432"/>
                          </a:xfrm>
                          <a:prstGeom prst="rect">
                            <a:avLst/>
                          </a:prstGeom>
                        </pic:spPr>
                      </pic:pic>
                    </a:graphicData>
                  </a:graphic>
                </wp:inline>
              </w:drawing>
            </w:r>
          </w:p>
        </w:tc>
        <w:tc>
          <w:tcPr>
            <w:tcW w:w="4645" w:type="dxa"/>
            <w:tcBorders>
              <w:top w:val="nil"/>
              <w:left w:val="nil"/>
              <w:bottom w:val="nil"/>
              <w:right w:val="nil"/>
            </w:tcBorders>
          </w:tcPr>
          <w:p w14:paraId="340383BE" w14:textId="79CB48F3" w:rsidR="007E749B" w:rsidRDefault="00312761" w:rsidP="00A54E3C">
            <w:pPr>
              <w:pStyle w:val="Point1letter"/>
              <w:numPr>
                <w:ilvl w:val="3"/>
                <w:numId w:val="0"/>
              </w:numPr>
              <w:rPr>
                <w:noProof/>
              </w:rPr>
            </w:pPr>
            <w:r>
              <w:rPr>
                <w:noProof/>
                <w:lang w:eastAsia="en-GB"/>
              </w:rPr>
              <w:drawing>
                <wp:inline distT="0" distB="0" distL="0" distR="0" wp14:anchorId="06BA8A77" wp14:editId="3421CFC4">
                  <wp:extent cx="1210310" cy="1225550"/>
                  <wp:effectExtent l="0" t="0" r="8890" b="0"/>
                  <wp:docPr id="12159659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5965938" name=""/>
                          <pic:cNvPicPr/>
                        </pic:nvPicPr>
                        <pic:blipFill>
                          <a:blip r:embed="rId23">
                            <a:extLst>
                              <a:ext uri="{28A0092B-C50C-407E-A947-70E740481C1C}">
                                <a14:useLocalDpi xmlns:a14="http://schemas.microsoft.com/office/drawing/2010/main" val="0"/>
                              </a:ext>
                            </a:extLst>
                          </a:blip>
                          <a:stretch>
                            <a:fillRect/>
                          </a:stretch>
                        </pic:blipFill>
                        <pic:spPr>
                          <a:xfrm>
                            <a:off x="0" y="0"/>
                            <a:ext cx="1210310" cy="1225550"/>
                          </a:xfrm>
                          <a:prstGeom prst="rect">
                            <a:avLst/>
                          </a:prstGeom>
                        </pic:spPr>
                      </pic:pic>
                    </a:graphicData>
                  </a:graphic>
                </wp:inline>
              </w:drawing>
            </w:r>
          </w:p>
        </w:tc>
      </w:tr>
    </w:tbl>
    <w:p w14:paraId="00A0434E" w14:textId="682B9FD3" w:rsidR="00A54E3C" w:rsidRPr="000849D7" w:rsidRDefault="00A54E3C" w:rsidP="009E5DC7">
      <w:pPr>
        <w:spacing w:before="240"/>
        <w:rPr>
          <w:noProof/>
        </w:rPr>
      </w:pPr>
    </w:p>
    <w:p w14:paraId="45FB85A5" w14:textId="6E236C2E" w:rsidR="000849D7" w:rsidRPr="000849D7" w:rsidRDefault="0057312A" w:rsidP="00944334">
      <w:pPr>
        <w:pStyle w:val="Point1letter"/>
        <w:rPr>
          <w:noProof/>
        </w:rPr>
      </w:pPr>
      <w:r>
        <w:rPr>
          <w:noProof/>
        </w:rPr>
        <w:t>E</w:t>
      </w:r>
      <w:r w:rsidR="000849D7" w:rsidRPr="000849D7">
        <w:rPr>
          <w:noProof/>
        </w:rPr>
        <w:t>xamples of the simplified European Union statement</w:t>
      </w:r>
      <w:r w:rsidR="00944334">
        <w:rPr>
          <w:noProof/>
        </w:rPr>
        <w:t>:</w:t>
      </w:r>
    </w:p>
    <w:p w14:paraId="5D42F21E" w14:textId="5FFA23E9" w:rsidR="000849D7" w:rsidRDefault="000849D7" w:rsidP="000849D7">
      <w:pPr>
        <w:spacing w:before="240"/>
        <w:rPr>
          <w:rFonts w:eastAsia="Times New Roman"/>
          <w:noProof/>
          <w:color w:val="000000" w:themeColor="text1"/>
          <w:szCs w:val="24"/>
        </w:rPr>
      </w:pPr>
    </w:p>
    <w:tbl>
      <w:tblPr>
        <w:tblStyle w:val="TableGrid"/>
        <w:tblW w:w="0" w:type="auto"/>
        <w:tblInd w:w="360" w:type="dxa"/>
        <w:tblLayout w:type="fixed"/>
        <w:tblLook w:val="04A0" w:firstRow="1" w:lastRow="0" w:firstColumn="1" w:lastColumn="0" w:noHBand="0" w:noVBand="1"/>
      </w:tblPr>
      <w:tblGrid>
        <w:gridCol w:w="4508"/>
        <w:gridCol w:w="4508"/>
      </w:tblGrid>
      <w:tr w:rsidR="00E40B61" w14:paraId="4113E66D" w14:textId="77777777" w:rsidTr="00E40B61">
        <w:trPr>
          <w:trHeight w:val="300"/>
        </w:trPr>
        <w:tc>
          <w:tcPr>
            <w:tcW w:w="4508" w:type="dxa"/>
            <w:tcBorders>
              <w:top w:val="nil"/>
              <w:left w:val="nil"/>
              <w:bottom w:val="nil"/>
              <w:right w:val="nil"/>
            </w:tcBorders>
            <w:tcMar>
              <w:left w:w="108" w:type="dxa"/>
              <w:right w:w="108" w:type="dxa"/>
            </w:tcMar>
          </w:tcPr>
          <w:p w14:paraId="658952E4" w14:textId="77777777" w:rsidR="00E40B61" w:rsidRDefault="00E40B61">
            <w:pPr>
              <w:spacing w:before="240"/>
              <w:rPr>
                <w:noProof/>
              </w:rPr>
            </w:pPr>
            <w:r>
              <w:rPr>
                <w:noProof/>
                <w:lang w:eastAsia="en-GB"/>
              </w:rPr>
              <w:drawing>
                <wp:inline distT="0" distB="0" distL="0" distR="0" wp14:anchorId="337BC7ED" wp14:editId="2EB1B141">
                  <wp:extent cx="1987468" cy="627942"/>
                  <wp:effectExtent l="0" t="0" r="0" b="0"/>
                  <wp:docPr id="20567186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18697" name=""/>
                          <pic:cNvPicPr/>
                        </pic:nvPicPr>
                        <pic:blipFill>
                          <a:blip r:embed="rId24">
                            <a:extLst>
                              <a:ext uri="{28A0092B-C50C-407E-A947-70E740481C1C}">
                                <a14:useLocalDpi xmlns:a14="http://schemas.microsoft.com/office/drawing/2010/main" val="0"/>
                              </a:ext>
                            </a:extLst>
                          </a:blip>
                          <a:stretch>
                            <a:fillRect/>
                          </a:stretch>
                        </pic:blipFill>
                        <pic:spPr>
                          <a:xfrm>
                            <a:off x="0" y="0"/>
                            <a:ext cx="1987468" cy="627942"/>
                          </a:xfrm>
                          <a:prstGeom prst="rect">
                            <a:avLst/>
                          </a:prstGeom>
                        </pic:spPr>
                      </pic:pic>
                    </a:graphicData>
                  </a:graphic>
                </wp:inline>
              </w:drawing>
            </w:r>
          </w:p>
        </w:tc>
        <w:tc>
          <w:tcPr>
            <w:tcW w:w="4508" w:type="dxa"/>
            <w:tcBorders>
              <w:top w:val="nil"/>
              <w:left w:val="nil"/>
              <w:bottom w:val="nil"/>
              <w:right w:val="nil"/>
            </w:tcBorders>
            <w:tcMar>
              <w:left w:w="108" w:type="dxa"/>
              <w:right w:w="108" w:type="dxa"/>
            </w:tcMar>
          </w:tcPr>
          <w:p w14:paraId="603DE1FF" w14:textId="77777777" w:rsidR="00E40B61" w:rsidRDefault="00E40B61">
            <w:pPr>
              <w:spacing w:before="240"/>
              <w:rPr>
                <w:noProof/>
              </w:rPr>
            </w:pPr>
            <w:r>
              <w:rPr>
                <w:noProof/>
                <w:lang w:eastAsia="en-GB"/>
              </w:rPr>
              <w:drawing>
                <wp:inline distT="0" distB="0" distL="0" distR="0" wp14:anchorId="71E9E280" wp14:editId="64F34785">
                  <wp:extent cx="1219306" cy="1237595"/>
                  <wp:effectExtent l="0" t="0" r="0" b="0"/>
                  <wp:docPr id="58741547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15475" name=""/>
                          <pic:cNvPicPr/>
                        </pic:nvPicPr>
                        <pic:blipFill>
                          <a:blip r:embed="rId25">
                            <a:extLst>
                              <a:ext uri="{28A0092B-C50C-407E-A947-70E740481C1C}">
                                <a14:useLocalDpi xmlns:a14="http://schemas.microsoft.com/office/drawing/2010/main" val="0"/>
                              </a:ext>
                            </a:extLst>
                          </a:blip>
                          <a:stretch>
                            <a:fillRect/>
                          </a:stretch>
                        </pic:blipFill>
                        <pic:spPr>
                          <a:xfrm>
                            <a:off x="0" y="0"/>
                            <a:ext cx="1219306" cy="1237595"/>
                          </a:xfrm>
                          <a:prstGeom prst="rect">
                            <a:avLst/>
                          </a:prstGeom>
                        </pic:spPr>
                      </pic:pic>
                    </a:graphicData>
                  </a:graphic>
                </wp:inline>
              </w:drawing>
            </w:r>
          </w:p>
        </w:tc>
      </w:tr>
    </w:tbl>
    <w:p w14:paraId="6C4F474E" w14:textId="75C7701F" w:rsidR="000849D7" w:rsidRDefault="000849D7" w:rsidP="000849D7">
      <w:pPr>
        <w:spacing w:before="240"/>
        <w:rPr>
          <w:rFonts w:eastAsia="Times New Roman"/>
          <w:noProof/>
          <w:color w:val="000000" w:themeColor="text1"/>
          <w:szCs w:val="24"/>
        </w:rPr>
      </w:pPr>
    </w:p>
    <w:p w14:paraId="386F7672" w14:textId="512884C3" w:rsidR="000849D7" w:rsidRDefault="0057312A" w:rsidP="000849D7">
      <w:pPr>
        <w:pStyle w:val="Point1letter"/>
        <w:rPr>
          <w:noProof/>
        </w:rPr>
      </w:pPr>
      <w:r>
        <w:rPr>
          <w:noProof/>
        </w:rPr>
        <w:t>E</w:t>
      </w:r>
      <w:r w:rsidR="000849D7" w:rsidRPr="000849D7">
        <w:rPr>
          <w:noProof/>
        </w:rPr>
        <w:t>xamples of the partnership statement for external actions</w:t>
      </w:r>
      <w:r w:rsidR="00DE5E1C">
        <w:rPr>
          <w:noProof/>
        </w:rPr>
        <w:t xml:space="preserve"> funded by the Union</w:t>
      </w:r>
      <w:r w:rsidR="000849D7" w:rsidRPr="000849D7">
        <w:rPr>
          <w:noProof/>
        </w:rPr>
        <w:t>:</w:t>
      </w:r>
    </w:p>
    <w:p w14:paraId="67319651" w14:textId="7A0317D8" w:rsidR="005B26C8" w:rsidRPr="000849D7" w:rsidRDefault="005B26C8" w:rsidP="009E5DC7">
      <w:pPr>
        <w:spacing w:before="240"/>
        <w:rPr>
          <w:noProof/>
        </w:rPr>
      </w:pPr>
    </w:p>
    <w:tbl>
      <w:tblPr>
        <w:tblStyle w:val="TableGrid"/>
        <w:tblW w:w="0" w:type="auto"/>
        <w:tblInd w:w="360" w:type="dxa"/>
        <w:tblLayout w:type="fixed"/>
        <w:tblLook w:val="04A0" w:firstRow="1" w:lastRow="0" w:firstColumn="1" w:lastColumn="0" w:noHBand="0" w:noVBand="1"/>
      </w:tblPr>
      <w:tblGrid>
        <w:gridCol w:w="4508"/>
        <w:gridCol w:w="4508"/>
      </w:tblGrid>
      <w:tr w:rsidR="00EF6046" w14:paraId="6B7FF0B3" w14:textId="77777777" w:rsidTr="00EF6046">
        <w:trPr>
          <w:trHeight w:val="300"/>
        </w:trPr>
        <w:tc>
          <w:tcPr>
            <w:tcW w:w="4508" w:type="dxa"/>
            <w:tcBorders>
              <w:top w:val="nil"/>
              <w:left w:val="nil"/>
              <w:bottom w:val="nil"/>
              <w:right w:val="nil"/>
            </w:tcBorders>
            <w:tcMar>
              <w:left w:w="108" w:type="dxa"/>
              <w:right w:w="108" w:type="dxa"/>
            </w:tcMar>
          </w:tcPr>
          <w:p w14:paraId="70D9E5E9" w14:textId="046F5AD5" w:rsidR="00EF6046" w:rsidRDefault="003E52B2">
            <w:pPr>
              <w:spacing w:before="240"/>
              <w:rPr>
                <w:noProof/>
              </w:rPr>
            </w:pPr>
            <w:r>
              <w:rPr>
                <w:noProof/>
                <w:lang w:eastAsia="en-GB"/>
              </w:rPr>
              <w:drawing>
                <wp:inline distT="0" distB="0" distL="0" distR="0" wp14:anchorId="3EFC5593" wp14:editId="716BCB15">
                  <wp:extent cx="2499577" cy="573074"/>
                  <wp:effectExtent l="0" t="0" r="0" b="0"/>
                  <wp:docPr id="626170667" name="Picture 220726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499577" cy="573074"/>
                          </a:xfrm>
                          <a:prstGeom prst="rect">
                            <a:avLst/>
                          </a:prstGeom>
                        </pic:spPr>
                      </pic:pic>
                    </a:graphicData>
                  </a:graphic>
                </wp:inline>
              </w:drawing>
            </w:r>
          </w:p>
        </w:tc>
        <w:tc>
          <w:tcPr>
            <w:tcW w:w="4508" w:type="dxa"/>
            <w:tcBorders>
              <w:top w:val="nil"/>
              <w:left w:val="nil"/>
              <w:bottom w:val="nil"/>
              <w:right w:val="nil"/>
            </w:tcBorders>
            <w:tcMar>
              <w:left w:w="108" w:type="dxa"/>
              <w:right w:w="108" w:type="dxa"/>
            </w:tcMar>
          </w:tcPr>
          <w:p w14:paraId="72561566" w14:textId="1EEFA0C7" w:rsidR="00EF6046" w:rsidRDefault="00B36091" w:rsidP="00B36091">
            <w:pPr>
              <w:spacing w:before="240"/>
              <w:ind w:left="292"/>
              <w:rPr>
                <w:noProof/>
              </w:rPr>
            </w:pPr>
            <w:r>
              <w:rPr>
                <w:noProof/>
                <w:lang w:eastAsia="en-GB"/>
              </w:rPr>
              <w:drawing>
                <wp:inline distT="0" distB="0" distL="0" distR="0" wp14:anchorId="69F7A59E" wp14:editId="5C99887F">
                  <wp:extent cx="1176630" cy="1024217"/>
                  <wp:effectExtent l="0" t="0" r="0" b="0"/>
                  <wp:docPr id="21379904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99041" name=""/>
                          <pic:cNvPicPr/>
                        </pic:nvPicPr>
                        <pic:blipFill>
                          <a:blip r:embed="rId27">
                            <a:extLst>
                              <a:ext uri="{28A0092B-C50C-407E-A947-70E740481C1C}">
                                <a14:useLocalDpi xmlns:a14="http://schemas.microsoft.com/office/drawing/2010/main" val="0"/>
                              </a:ext>
                            </a:extLst>
                          </a:blip>
                          <a:stretch>
                            <a:fillRect/>
                          </a:stretch>
                        </pic:blipFill>
                        <pic:spPr>
                          <a:xfrm>
                            <a:off x="0" y="0"/>
                            <a:ext cx="1176630" cy="1024217"/>
                          </a:xfrm>
                          <a:prstGeom prst="rect">
                            <a:avLst/>
                          </a:prstGeom>
                        </pic:spPr>
                      </pic:pic>
                    </a:graphicData>
                  </a:graphic>
                </wp:inline>
              </w:drawing>
            </w:r>
          </w:p>
        </w:tc>
      </w:tr>
    </w:tbl>
    <w:p w14:paraId="06D62D89" w14:textId="35FB0532" w:rsidR="000849D7" w:rsidRDefault="000849D7" w:rsidP="000849D7">
      <w:pPr>
        <w:spacing w:before="240"/>
        <w:ind w:left="360"/>
        <w:rPr>
          <w:rFonts w:eastAsia="Times New Roman"/>
          <w:noProof/>
          <w:color w:val="000000" w:themeColor="text1"/>
          <w:szCs w:val="24"/>
        </w:rPr>
      </w:pPr>
    </w:p>
    <w:p w14:paraId="619D9165" w14:textId="250E227E" w:rsidR="000849D7" w:rsidRDefault="000849D7" w:rsidP="00557522">
      <w:pPr>
        <w:pStyle w:val="Point0number"/>
        <w:numPr>
          <w:ilvl w:val="0"/>
          <w:numId w:val="1"/>
        </w:numPr>
        <w:rPr>
          <w:rFonts w:eastAsia="Times New Roman"/>
          <w:noProof/>
          <w:color w:val="000000" w:themeColor="text1"/>
          <w:szCs w:val="24"/>
        </w:rPr>
      </w:pPr>
      <w:r w:rsidRPr="009E734C">
        <w:rPr>
          <w:rFonts w:eastAsia="Times New Roman"/>
          <w:noProof/>
          <w:color w:val="000000" w:themeColor="text1"/>
          <w:szCs w:val="24"/>
        </w:rPr>
        <w:t xml:space="preserve">The principles </w:t>
      </w:r>
      <w:r w:rsidR="00DE5E1C">
        <w:rPr>
          <w:rFonts w:eastAsia="Times New Roman"/>
          <w:noProof/>
          <w:color w:val="000000" w:themeColor="text1"/>
          <w:szCs w:val="24"/>
        </w:rPr>
        <w:t>for</w:t>
      </w:r>
      <w:r w:rsidRPr="009E734C">
        <w:rPr>
          <w:rFonts w:eastAsia="Times New Roman"/>
          <w:noProof/>
          <w:color w:val="000000" w:themeColor="text1"/>
          <w:szCs w:val="24"/>
        </w:rPr>
        <w:t xml:space="preserve"> the use of the emblem by third parties are set out in the </w:t>
      </w:r>
      <w:r w:rsidR="00DE5E1C">
        <w:rPr>
          <w:rFonts w:eastAsia="Times New Roman"/>
          <w:noProof/>
          <w:color w:val="000000" w:themeColor="text1"/>
          <w:szCs w:val="24"/>
        </w:rPr>
        <w:t>a</w:t>
      </w:r>
      <w:r w:rsidRPr="009E734C">
        <w:rPr>
          <w:rFonts w:eastAsia="Times New Roman"/>
          <w:noProof/>
          <w:color w:val="000000" w:themeColor="text1"/>
          <w:szCs w:val="24"/>
        </w:rPr>
        <w:t xml:space="preserve">dministrative </w:t>
      </w:r>
      <w:r w:rsidRPr="000849D7">
        <w:rPr>
          <w:noProof/>
        </w:rPr>
        <w:t>agreement</w:t>
      </w:r>
      <w:r w:rsidRPr="009E734C">
        <w:rPr>
          <w:rFonts w:eastAsia="Times New Roman"/>
          <w:noProof/>
          <w:color w:val="000000" w:themeColor="text1"/>
          <w:szCs w:val="24"/>
        </w:rPr>
        <w:t xml:space="preserve"> with the Council of Europe regarding the use of the European emblem by third parties</w:t>
      </w:r>
      <w:r w:rsidRPr="00941EA0">
        <w:rPr>
          <w:rStyle w:val="FootnoteReference"/>
          <w:noProof/>
        </w:rPr>
        <w:footnoteReference w:id="4"/>
      </w:r>
      <w:r w:rsidR="00DE5E1C">
        <w:rPr>
          <w:rFonts w:eastAsia="Times New Roman"/>
          <w:noProof/>
          <w:color w:val="000000" w:themeColor="text1"/>
          <w:szCs w:val="24"/>
        </w:rPr>
        <w:t>.</w:t>
      </w:r>
    </w:p>
    <w:p w14:paraId="74DFCB78" w14:textId="2FE87791" w:rsidR="000849D7" w:rsidRDefault="00200229" w:rsidP="00557522">
      <w:pPr>
        <w:pStyle w:val="Point0number"/>
        <w:numPr>
          <w:ilvl w:val="0"/>
          <w:numId w:val="1"/>
        </w:numPr>
        <w:rPr>
          <w:rFonts w:eastAsia="Times New Roman"/>
          <w:noProof/>
          <w:color w:val="000000" w:themeColor="text1"/>
          <w:szCs w:val="24"/>
        </w:rPr>
      </w:pPr>
      <w:r>
        <w:rPr>
          <w:noProof/>
        </w:rPr>
        <w:t>The Comm</w:t>
      </w:r>
      <w:r w:rsidR="00394B3F">
        <w:rPr>
          <w:noProof/>
        </w:rPr>
        <w:t>ission</w:t>
      </w:r>
      <w:r>
        <w:rPr>
          <w:noProof/>
        </w:rPr>
        <w:t xml:space="preserve"> </w:t>
      </w:r>
      <w:r w:rsidR="0092537E">
        <w:rPr>
          <w:noProof/>
        </w:rPr>
        <w:t>shall make available c</w:t>
      </w:r>
      <w:r w:rsidR="000849D7" w:rsidRPr="000849D7">
        <w:rPr>
          <w:noProof/>
        </w:rPr>
        <w:t>ommunication</w:t>
      </w:r>
      <w:r w:rsidR="000849D7" w:rsidRPr="00BC5603">
        <w:rPr>
          <w:rFonts w:eastAsia="Times New Roman"/>
          <w:noProof/>
          <w:color w:val="000000" w:themeColor="text1"/>
          <w:szCs w:val="24"/>
        </w:rPr>
        <w:t xml:space="preserve"> and visibility materials upon request to Union institutions, bodies, offices or agencies and</w:t>
      </w:r>
      <w:r w:rsidR="000849D7">
        <w:rPr>
          <w:rFonts w:eastAsia="Times New Roman"/>
          <w:noProof/>
          <w:color w:val="000000" w:themeColor="text1"/>
          <w:szCs w:val="24"/>
        </w:rPr>
        <w:t xml:space="preserve"> </w:t>
      </w:r>
      <w:r w:rsidR="000100A0">
        <w:rPr>
          <w:rFonts w:eastAsia="Times New Roman"/>
          <w:noProof/>
          <w:color w:val="000000" w:themeColor="text1"/>
          <w:szCs w:val="24"/>
        </w:rPr>
        <w:t xml:space="preserve">ensure </w:t>
      </w:r>
      <w:r w:rsidR="000849D7">
        <w:rPr>
          <w:rFonts w:eastAsia="Times New Roman"/>
          <w:noProof/>
          <w:color w:val="000000" w:themeColor="text1"/>
          <w:szCs w:val="24"/>
        </w:rPr>
        <w:t>that a royalty-free, non-exclusive and irrevocable license to use such material and any pre-existing rights attached to it is granted to the Union, including at least the following rights:</w:t>
      </w:r>
    </w:p>
    <w:p w14:paraId="488DBD7E" w14:textId="63BE75DC" w:rsidR="000849D7" w:rsidRPr="00500CDD" w:rsidRDefault="000849D7" w:rsidP="000849D7">
      <w:pPr>
        <w:pStyle w:val="Point1letter"/>
        <w:rPr>
          <w:noProof/>
        </w:rPr>
      </w:pPr>
      <w:r w:rsidRPr="00500CDD">
        <w:rPr>
          <w:noProof/>
        </w:rPr>
        <w:lastRenderedPageBreak/>
        <w:t xml:space="preserve">internal use i.e. </w:t>
      </w:r>
      <w:r w:rsidR="0023153F">
        <w:rPr>
          <w:noProof/>
        </w:rPr>
        <w:t xml:space="preserve">the </w:t>
      </w:r>
      <w:r w:rsidRPr="00500CDD">
        <w:rPr>
          <w:noProof/>
        </w:rPr>
        <w:t>right to reproduce, copy and make available the communication and visibility materials to Union’s institutions and agencies, Member States' authorities, and their employees;</w:t>
      </w:r>
    </w:p>
    <w:p w14:paraId="00AB7134" w14:textId="77777777" w:rsidR="000849D7" w:rsidRPr="00500CDD" w:rsidRDefault="000849D7" w:rsidP="000849D7">
      <w:pPr>
        <w:pStyle w:val="Point1letter"/>
        <w:rPr>
          <w:noProof/>
        </w:rPr>
      </w:pPr>
      <w:r w:rsidRPr="00500CDD">
        <w:rPr>
          <w:noProof/>
        </w:rPr>
        <w:t>reproduction of the communication and visibility materials by any means and in any form, in whole or in part;</w:t>
      </w:r>
    </w:p>
    <w:p w14:paraId="4C2296FB" w14:textId="77777777" w:rsidR="000849D7" w:rsidRPr="00500CDD" w:rsidRDefault="000849D7" w:rsidP="000849D7">
      <w:pPr>
        <w:pStyle w:val="Point1letter"/>
        <w:rPr>
          <w:noProof/>
        </w:rPr>
      </w:pPr>
      <w:r w:rsidRPr="00500CDD">
        <w:rPr>
          <w:noProof/>
        </w:rPr>
        <w:t>communication to the public of the communication and visibility materials by using any and all means of communication;</w:t>
      </w:r>
    </w:p>
    <w:p w14:paraId="6606F2C6" w14:textId="77777777" w:rsidR="000849D7" w:rsidRPr="00500CDD" w:rsidRDefault="000849D7" w:rsidP="000849D7">
      <w:pPr>
        <w:pStyle w:val="Point1letter"/>
        <w:rPr>
          <w:noProof/>
        </w:rPr>
      </w:pPr>
      <w:r w:rsidRPr="00500CDD">
        <w:rPr>
          <w:noProof/>
        </w:rPr>
        <w:t>distribution to the public of the communication and visibility materials (or copies thereof) in any and all forms;</w:t>
      </w:r>
    </w:p>
    <w:p w14:paraId="339C8832" w14:textId="77777777" w:rsidR="000849D7" w:rsidRDefault="000849D7" w:rsidP="000849D7">
      <w:pPr>
        <w:pStyle w:val="Point1letter"/>
        <w:rPr>
          <w:noProof/>
        </w:rPr>
      </w:pPr>
      <w:r w:rsidRPr="00500CDD">
        <w:rPr>
          <w:noProof/>
        </w:rPr>
        <w:t>storage and archiving of the communication and visibility materials;</w:t>
      </w:r>
    </w:p>
    <w:p w14:paraId="1721C015" w14:textId="77777777" w:rsidR="000849D7" w:rsidRDefault="000849D7" w:rsidP="000849D7">
      <w:pPr>
        <w:pStyle w:val="Point1letter"/>
        <w:rPr>
          <w:noProof/>
        </w:rPr>
      </w:pPr>
      <w:r w:rsidRPr="00500CDD">
        <w:rPr>
          <w:noProof/>
        </w:rPr>
        <w:t>sub-licensing of the rights on the communication and visibility materials to third parties.</w:t>
      </w:r>
    </w:p>
    <w:p w14:paraId="1CCBC3B5" w14:textId="6F8E1AED" w:rsidR="008A487C" w:rsidRDefault="00D33A37">
      <w:pPr>
        <w:pStyle w:val="Point0number"/>
        <w:numPr>
          <w:ilvl w:val="0"/>
          <w:numId w:val="1"/>
        </w:numPr>
        <w:rPr>
          <w:rFonts w:eastAsia="Times New Roman"/>
          <w:noProof/>
          <w:color w:val="000000" w:themeColor="text1"/>
          <w:szCs w:val="24"/>
        </w:rPr>
      </w:pPr>
      <w:r w:rsidRPr="00C61D9F">
        <w:rPr>
          <w:rFonts w:eastAsia="Times New Roman"/>
          <w:noProof/>
          <w:color w:val="000000" w:themeColor="text1"/>
          <w:szCs w:val="24"/>
        </w:rPr>
        <w:t>The Commission may provide communication templates and further guidance to support beneficiaries, in line with the principles of simplification and proportionality.</w:t>
      </w:r>
      <w:r w:rsidR="00F05F03">
        <w:rPr>
          <w:rFonts w:eastAsia="Times New Roman"/>
          <w:noProof/>
          <w:color w:val="000000" w:themeColor="text1"/>
          <w:szCs w:val="24"/>
        </w:rPr>
        <w:t xml:space="preserve"> Partners implementing EU-funded external actions under Global Gateway shall follow the specific guidelines. </w:t>
      </w:r>
    </w:p>
    <w:p w14:paraId="7A0D8148" w14:textId="382015D0" w:rsidR="00D33A37" w:rsidRPr="008A487C" w:rsidRDefault="00D33A37" w:rsidP="00CE24AA">
      <w:pPr>
        <w:rPr>
          <w:noProof/>
        </w:rPr>
      </w:pPr>
    </w:p>
    <w:sectPr w:rsidR="00D33A37" w:rsidRPr="008A487C" w:rsidSect="00671A6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6B812" w14:textId="77777777" w:rsidR="004B755F" w:rsidRDefault="004B755F" w:rsidP="000849D7">
      <w:pPr>
        <w:spacing w:before="0" w:after="0"/>
      </w:pPr>
      <w:r>
        <w:separator/>
      </w:r>
    </w:p>
  </w:endnote>
  <w:endnote w:type="continuationSeparator" w:id="0">
    <w:p w14:paraId="259471F2" w14:textId="77777777" w:rsidR="004B755F" w:rsidRDefault="004B755F" w:rsidP="000849D7">
      <w:pPr>
        <w:spacing w:before="0" w:after="0"/>
      </w:pPr>
      <w:r>
        <w:continuationSeparator/>
      </w:r>
    </w:p>
  </w:endnote>
  <w:endnote w:type="continuationNotice" w:id="1">
    <w:p w14:paraId="2B384318" w14:textId="77777777" w:rsidR="004B755F" w:rsidRDefault="004B75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5AF0" w14:textId="08E99FC6" w:rsidR="00BB17EE" w:rsidRPr="00671A67" w:rsidRDefault="00671A67" w:rsidP="00671A67">
    <w:pPr>
      <w:pStyle w:val="Footer"/>
      <w:rPr>
        <w:rFonts w:ascii="Arial" w:hAnsi="Arial" w:cs="Arial"/>
        <w:b/>
        <w:sz w:val="48"/>
      </w:rPr>
    </w:pPr>
    <w:r w:rsidRPr="00671A67">
      <w:rPr>
        <w:rFonts w:ascii="Arial" w:hAnsi="Arial" w:cs="Arial"/>
        <w:b/>
        <w:sz w:val="48"/>
      </w:rPr>
      <w:t>EN</w:t>
    </w:r>
    <w:r w:rsidRPr="00671A67">
      <w:rPr>
        <w:rFonts w:ascii="Arial" w:hAnsi="Arial" w:cs="Arial"/>
        <w:b/>
        <w:sz w:val="48"/>
      </w:rPr>
      <w:tab/>
    </w:r>
    <w:r w:rsidRPr="00671A67">
      <w:rPr>
        <w:rFonts w:ascii="Arial" w:hAnsi="Arial" w:cs="Arial"/>
        <w:b/>
        <w:sz w:val="48"/>
      </w:rPr>
      <w:tab/>
    </w:r>
    <w:r w:rsidRPr="00671A67">
      <w:tab/>
    </w:r>
    <w:r w:rsidRPr="00671A6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2467" w14:textId="1802E4E8" w:rsidR="00BB17EE" w:rsidRPr="00671A67" w:rsidRDefault="00671A67" w:rsidP="00671A67">
    <w:pPr>
      <w:pStyle w:val="Footer"/>
      <w:rPr>
        <w:rFonts w:ascii="Arial" w:hAnsi="Arial" w:cs="Arial"/>
        <w:b/>
        <w:sz w:val="48"/>
      </w:rPr>
    </w:pPr>
    <w:r w:rsidRPr="00671A67">
      <w:rPr>
        <w:rFonts w:ascii="Arial" w:hAnsi="Arial" w:cs="Arial"/>
        <w:b/>
        <w:sz w:val="48"/>
      </w:rPr>
      <w:t>EN</w:t>
    </w:r>
    <w:r w:rsidRPr="00671A67">
      <w:rPr>
        <w:rFonts w:ascii="Arial" w:hAnsi="Arial" w:cs="Arial"/>
        <w:b/>
        <w:sz w:val="48"/>
      </w:rPr>
      <w:tab/>
    </w:r>
    <w:r w:rsidRPr="00671A67">
      <w:rPr>
        <w:rFonts w:ascii="Arial" w:hAnsi="Arial" w:cs="Arial"/>
        <w:b/>
        <w:sz w:val="48"/>
      </w:rPr>
      <w:tab/>
    </w:r>
    <w:r w:rsidRPr="00671A67">
      <w:tab/>
    </w:r>
    <w:r w:rsidRPr="00671A6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6AA2" w14:textId="77777777" w:rsidR="00671A67" w:rsidRPr="00671A67" w:rsidRDefault="00671A67" w:rsidP="00671A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995B" w14:textId="77777777" w:rsidR="00BB17EE" w:rsidRDefault="00BB17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FE51" w14:textId="21EA8CDC" w:rsidR="00BB17EE" w:rsidRPr="00671A67" w:rsidRDefault="00671A67" w:rsidP="00671A67">
    <w:pPr>
      <w:pStyle w:val="Footer"/>
      <w:rPr>
        <w:rFonts w:ascii="Arial" w:hAnsi="Arial" w:cs="Arial"/>
        <w:b/>
        <w:sz w:val="48"/>
      </w:rPr>
    </w:pPr>
    <w:r w:rsidRPr="00671A67">
      <w:rPr>
        <w:rFonts w:ascii="Arial" w:hAnsi="Arial" w:cs="Arial"/>
        <w:b/>
        <w:sz w:val="48"/>
      </w:rPr>
      <w:t>EN</w:t>
    </w:r>
    <w:r w:rsidRPr="00671A67">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rsidRPr="00671A67">
      <w:tab/>
    </w:r>
    <w:r w:rsidRPr="00671A67">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11BCA" w14:textId="77777777" w:rsidR="00BB17EE" w:rsidRDefault="00BB17EE" w:rsidP="00671A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BD2AA" w14:textId="77777777" w:rsidR="004B755F" w:rsidRDefault="004B755F" w:rsidP="000849D7">
      <w:pPr>
        <w:spacing w:before="0" w:after="0"/>
      </w:pPr>
      <w:r>
        <w:separator/>
      </w:r>
    </w:p>
  </w:footnote>
  <w:footnote w:type="continuationSeparator" w:id="0">
    <w:p w14:paraId="52985953" w14:textId="77777777" w:rsidR="004B755F" w:rsidRDefault="004B755F" w:rsidP="000849D7">
      <w:pPr>
        <w:spacing w:before="0" w:after="0"/>
      </w:pPr>
      <w:r>
        <w:continuationSeparator/>
      </w:r>
    </w:p>
  </w:footnote>
  <w:footnote w:type="continuationNotice" w:id="1">
    <w:p w14:paraId="6F827CD2" w14:textId="77777777" w:rsidR="004B755F" w:rsidRDefault="004B755F">
      <w:pPr>
        <w:spacing w:before="0" w:after="0"/>
      </w:pPr>
    </w:p>
  </w:footnote>
  <w:footnote w:id="2">
    <w:p w14:paraId="1A415AF1" w14:textId="10CFB348" w:rsidR="0081419F" w:rsidRPr="00C61D9F" w:rsidRDefault="0081419F">
      <w:pPr>
        <w:pStyle w:val="FootnoteText"/>
        <w:rPr>
          <w:lang w:val="en-IE"/>
        </w:rPr>
      </w:pPr>
      <w:r>
        <w:rPr>
          <w:rStyle w:val="FootnoteReference"/>
        </w:rPr>
        <w:footnoteRef/>
      </w:r>
      <w:r>
        <w:rPr>
          <w:lang w:val="en-IE"/>
        </w:rPr>
        <w:tab/>
      </w:r>
      <w:r w:rsidR="00280245">
        <w:rPr>
          <w:lang w:val="en-IE"/>
        </w:rPr>
        <w:t>P</w:t>
      </w:r>
      <w:r w:rsidR="00280245" w:rsidRPr="00280245">
        <w:rPr>
          <w:lang w:val="en-IE"/>
        </w:rPr>
        <w:t>antone reference, in four-colours process: C:100%, M:80%, Y:0%, K:0%, digital colours process: R:0%, G:51%, B:153%, Hexadecimal: #003399</w:t>
      </w:r>
    </w:p>
  </w:footnote>
  <w:footnote w:id="3">
    <w:p w14:paraId="7222A879" w14:textId="5EFA2260" w:rsidR="003907F7" w:rsidRPr="00C61D9F" w:rsidRDefault="003907F7">
      <w:pPr>
        <w:pStyle w:val="FootnoteText"/>
        <w:rPr>
          <w:lang w:val="en-IE"/>
        </w:rPr>
      </w:pPr>
      <w:r>
        <w:rPr>
          <w:rStyle w:val="FootnoteReference"/>
        </w:rPr>
        <w:footnoteRef/>
      </w:r>
      <w:r>
        <w:rPr>
          <w:lang w:val="en-IE"/>
        </w:rPr>
        <w:tab/>
      </w:r>
      <w:r w:rsidR="00DB187F">
        <w:rPr>
          <w:lang w:val="en-IE"/>
        </w:rPr>
        <w:t xml:space="preserve">Available at </w:t>
      </w:r>
      <w:r w:rsidR="00DB187F" w:rsidRPr="00DB187F">
        <w:rPr>
          <w:lang w:val="en-IE"/>
        </w:rPr>
        <w:t>https://style-guide.europa.eu/o/opportal-service/isg?resource=pdf-web/ISG_en_4web.pdf</w:t>
      </w:r>
    </w:p>
  </w:footnote>
  <w:footnote w:id="4">
    <w:p w14:paraId="4E5840D1" w14:textId="00F8591A" w:rsidR="000849D7" w:rsidRPr="00500CDD" w:rsidRDefault="000849D7" w:rsidP="000849D7">
      <w:pPr>
        <w:pStyle w:val="FootnoteText"/>
        <w:rPr>
          <w:lang w:val="es-ES"/>
        </w:rPr>
      </w:pPr>
      <w:r w:rsidRPr="00941EA0">
        <w:rPr>
          <w:rStyle w:val="FootnoteReference"/>
        </w:rPr>
        <w:footnoteRef/>
      </w:r>
      <w:r w:rsidR="00941EA0">
        <w:rPr>
          <w:lang w:val="es-ES"/>
        </w:rPr>
        <w:tab/>
      </w:r>
      <w:hyperlink r:id="rId1" w:history="1">
        <w:r w:rsidRPr="00500CDD">
          <w:rPr>
            <w:rStyle w:val="Hyperlink"/>
            <w:lang w:val="es-ES"/>
          </w:rPr>
          <w:t>OJ C 271, 8.9.2012, p. 5</w:t>
        </w:r>
      </w:hyperlink>
      <w:r w:rsidRPr="00500CDD">
        <w:rPr>
          <w:lang w:val="es-E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CDD09" w14:textId="77777777" w:rsidR="00671A67" w:rsidRPr="00671A67" w:rsidRDefault="00671A67" w:rsidP="00671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BD09" w14:textId="77777777" w:rsidR="00671A67" w:rsidRPr="00671A67" w:rsidRDefault="00671A67" w:rsidP="00671A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DAFA5" w14:textId="77777777" w:rsidR="00671A67" w:rsidRPr="00671A67" w:rsidRDefault="00671A67" w:rsidP="00671A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BA3DA" w14:textId="77777777" w:rsidR="00BB17EE" w:rsidRDefault="00BB17E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F919" w14:textId="77777777" w:rsidR="00BB17EE" w:rsidRDefault="00BB1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7594262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156050E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928EEF82"/>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0BE82DA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7C0E8E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2F2239E"/>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3EF4A3E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116218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8243945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2583633">
    <w:abstractNumId w:val="7"/>
  </w:num>
  <w:num w:numId="3" w16cid:durableId="630868382">
    <w:abstractNumId w:val="5"/>
  </w:num>
  <w:num w:numId="4" w16cid:durableId="1954046099">
    <w:abstractNumId w:val="4"/>
  </w:num>
  <w:num w:numId="5" w16cid:durableId="1323434910">
    <w:abstractNumId w:val="3"/>
  </w:num>
  <w:num w:numId="6" w16cid:durableId="19219411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16356686">
    <w:abstractNumId w:val="6"/>
  </w:num>
  <w:num w:numId="8" w16cid:durableId="812451551">
    <w:abstractNumId w:val="2"/>
  </w:num>
  <w:num w:numId="9" w16cid:durableId="1972443941">
    <w:abstractNumId w:val="1"/>
  </w:num>
  <w:num w:numId="10" w16cid:durableId="1541169541">
    <w:abstractNumId w:val="0"/>
  </w:num>
  <w:num w:numId="11" w16cid:durableId="2104571231">
    <w:abstractNumId w:val="19"/>
  </w:num>
  <w:num w:numId="12" w16cid:durableId="1877965640">
    <w:abstractNumId w:val="12"/>
  </w:num>
  <w:num w:numId="13" w16cid:durableId="1237981230">
    <w:abstractNumId w:val="21"/>
  </w:num>
  <w:num w:numId="14" w16cid:durableId="810944512">
    <w:abstractNumId w:val="11"/>
  </w:num>
  <w:num w:numId="15" w16cid:durableId="1646817136">
    <w:abstractNumId w:val="13"/>
  </w:num>
  <w:num w:numId="16" w16cid:durableId="1452894564">
    <w:abstractNumId w:val="14"/>
  </w:num>
  <w:num w:numId="17" w16cid:durableId="562639205">
    <w:abstractNumId w:val="9"/>
  </w:num>
  <w:num w:numId="18" w16cid:durableId="25909811">
    <w:abstractNumId w:val="20"/>
  </w:num>
  <w:num w:numId="19" w16cid:durableId="386956719">
    <w:abstractNumId w:val="8"/>
  </w:num>
  <w:num w:numId="20" w16cid:durableId="1319915821">
    <w:abstractNumId w:val="15"/>
  </w:num>
  <w:num w:numId="21" w16cid:durableId="212741485">
    <w:abstractNumId w:val="17"/>
  </w:num>
  <w:num w:numId="22" w16cid:durableId="500848991">
    <w:abstractNumId w:val="18"/>
  </w:num>
  <w:num w:numId="23" w16cid:durableId="33239913">
    <w:abstractNumId w:val="10"/>
  </w:num>
  <w:num w:numId="24" w16cid:durableId="1062944159">
    <w:abstractNumId w:val="16"/>
  </w:num>
  <w:num w:numId="25" w16cid:durableId="1222524467">
    <w:abstractNumId w:val="22"/>
  </w:num>
  <w:num w:numId="26" w16cid:durableId="1352880401">
    <w:abstractNumId w:val="19"/>
  </w:num>
  <w:num w:numId="27" w16cid:durableId="1084230976">
    <w:abstractNumId w:val="12"/>
  </w:num>
  <w:num w:numId="28" w16cid:durableId="1130052884">
    <w:abstractNumId w:val="21"/>
  </w:num>
  <w:num w:numId="29" w16cid:durableId="510416038">
    <w:abstractNumId w:val="11"/>
  </w:num>
  <w:num w:numId="30" w16cid:durableId="1003169725">
    <w:abstractNumId w:val="13"/>
  </w:num>
  <w:num w:numId="31" w16cid:durableId="1226137478">
    <w:abstractNumId w:val="14"/>
  </w:num>
  <w:num w:numId="32" w16cid:durableId="1727606666">
    <w:abstractNumId w:val="9"/>
  </w:num>
  <w:num w:numId="33" w16cid:durableId="1112894396">
    <w:abstractNumId w:val="20"/>
  </w:num>
  <w:num w:numId="34" w16cid:durableId="10058">
    <w:abstractNumId w:val="8"/>
  </w:num>
  <w:num w:numId="35" w16cid:durableId="1564297045">
    <w:abstractNumId w:val="15"/>
  </w:num>
  <w:num w:numId="36" w16cid:durableId="587732627">
    <w:abstractNumId w:val="17"/>
  </w:num>
  <w:num w:numId="37" w16cid:durableId="434445112">
    <w:abstractNumId w:val="18"/>
  </w:num>
  <w:num w:numId="38" w16cid:durableId="1149249661">
    <w:abstractNumId w:val="10"/>
  </w:num>
  <w:num w:numId="39" w16cid:durableId="1687904181">
    <w:abstractNumId w:val="16"/>
  </w:num>
  <w:num w:numId="40" w16cid:durableId="757754139">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_RefLast" w:val="0"/>
    <w:docVar w:name="DQCDateTime" w:val="2025-07-14 16:41:2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LW_ACCOMPAGNANT" w:val="to the Proposal for a"/>
    <w:docVar w:name="LW_ACCOMPAGNANT.CP" w:val="to the Proposal for a"/>
    <w:docVar w:name="LW_ANNEX_NBR_FIRST" w:val="2"/>
    <w:docVar w:name="LW_ANNEX_NBR_LAST" w:val="5"/>
    <w:docVar w:name="LW_ANNEX_UNIQUE" w:val="0"/>
    <w:docVar w:name="LW_CORRIGENDUM" w:val="&lt;UNUSED&gt;"/>
    <w:docVar w:name="LW_COVERPAGE_EXISTS" w:val="True"/>
    <w:docVar w:name="LW_COVERPAGE_GUID" w:val="0035608A-A477-4366-BE86-EEEA75785CA6"/>
    <w:docVar w:name="LW_COVERPAGE_TYPE" w:val="1"/>
    <w:docVar w:name="LW_CreatedUtc" w:val="2025-06-25T09:15:05.7035784Z"/>
    <w:docVar w:name="LW_CROSSREFERENCE" w:val="{SWD(2025) 590-591 final}"/>
    <w:docVar w:name="LW_DocType" w:val="ANNEX"/>
    <w:docVar w:name="LW_EMISSION" w:val="16.7.2025"/>
    <w:docVar w:name="LW_EMISSION_ISODATE" w:val="2025-07-16"/>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establishing a budget expenditure tracking and performance framework and other horizontal rules for the Union programmes and activities"/>
    <w:docVar w:name="LW_OBJETACTEPRINCIPAL.CP" w:val="establishing a budget expenditure tracking and performance framework and other horizontal rules for the Union programmes and activities"/>
    <w:docVar w:name="LW_PART_NBR" w:val="&lt;UNUSED&gt;"/>
    <w:docVar w:name="LW_PART_NBR_TOTAL" w:val="&lt;UNUSED&gt;"/>
    <w:docVar w:name="LW_REF.INST.NEW" w:val="COM"/>
    <w:docVar w:name="LW_REF.INST.NEW_ADOPTED" w:val="final"/>
    <w:docVar w:name="LW_REF.INST.NEW_TEXT" w:val="(2025) 545"/>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S"/>
    <w:docVar w:name="LW_TYPE.DOC.CP" w:val="ANNEXES"/>
    <w:docVar w:name="LW_TYPEACTEPRINCIPAL" w:val="REGULATION OF THE EUROPEAN PARLIAMENT AND OF THE COUNCIL"/>
    <w:docVar w:name="LW_TYPEACTEPRINCIPAL.CP" w:val="REGULATION OF THE EUROPEAN PARLIAMENT AND OF THE COUNCIL"/>
    <w:docVar w:name="LwApiVersions" w:val="LW4CoDe 1.24.5.0; LW 9.0, Build 20240221"/>
  </w:docVars>
  <w:rsids>
    <w:rsidRoot w:val="000849D7"/>
    <w:rsid w:val="00003AC9"/>
    <w:rsid w:val="000100A0"/>
    <w:rsid w:val="00012DBB"/>
    <w:rsid w:val="00015BAC"/>
    <w:rsid w:val="00016419"/>
    <w:rsid w:val="000235FF"/>
    <w:rsid w:val="000351C3"/>
    <w:rsid w:val="00040023"/>
    <w:rsid w:val="0004164C"/>
    <w:rsid w:val="0004580C"/>
    <w:rsid w:val="0004798B"/>
    <w:rsid w:val="00047E5D"/>
    <w:rsid w:val="00050D22"/>
    <w:rsid w:val="000551CF"/>
    <w:rsid w:val="000651F9"/>
    <w:rsid w:val="00070A61"/>
    <w:rsid w:val="00071012"/>
    <w:rsid w:val="000833F4"/>
    <w:rsid w:val="000847D0"/>
    <w:rsid w:val="000849D7"/>
    <w:rsid w:val="00096659"/>
    <w:rsid w:val="000A3100"/>
    <w:rsid w:val="000A31A6"/>
    <w:rsid w:val="000B2D0F"/>
    <w:rsid w:val="000B6C54"/>
    <w:rsid w:val="000C3649"/>
    <w:rsid w:val="000D0E13"/>
    <w:rsid w:val="000D5CB3"/>
    <w:rsid w:val="000E173E"/>
    <w:rsid w:val="000E4A79"/>
    <w:rsid w:val="000E7436"/>
    <w:rsid w:val="000F0399"/>
    <w:rsid w:val="000F412E"/>
    <w:rsid w:val="000F57FB"/>
    <w:rsid w:val="000F625F"/>
    <w:rsid w:val="00121606"/>
    <w:rsid w:val="00140D86"/>
    <w:rsid w:val="0015102B"/>
    <w:rsid w:val="00160B5A"/>
    <w:rsid w:val="00165C4F"/>
    <w:rsid w:val="0016697B"/>
    <w:rsid w:val="00167E55"/>
    <w:rsid w:val="00173E3B"/>
    <w:rsid w:val="0017554D"/>
    <w:rsid w:val="00175957"/>
    <w:rsid w:val="00186498"/>
    <w:rsid w:val="00194977"/>
    <w:rsid w:val="00197583"/>
    <w:rsid w:val="001A508A"/>
    <w:rsid w:val="001C7F13"/>
    <w:rsid w:val="001D0176"/>
    <w:rsid w:val="001D5F09"/>
    <w:rsid w:val="001D7A9B"/>
    <w:rsid w:val="001E1DD5"/>
    <w:rsid w:val="001E66C3"/>
    <w:rsid w:val="001E798D"/>
    <w:rsid w:val="001F343E"/>
    <w:rsid w:val="001F76A4"/>
    <w:rsid w:val="00200229"/>
    <w:rsid w:val="002061F6"/>
    <w:rsid w:val="00210FBA"/>
    <w:rsid w:val="00216653"/>
    <w:rsid w:val="002266FD"/>
    <w:rsid w:val="0023153F"/>
    <w:rsid w:val="00232BF8"/>
    <w:rsid w:val="002427B1"/>
    <w:rsid w:val="00243149"/>
    <w:rsid w:val="00250EB9"/>
    <w:rsid w:val="0026560A"/>
    <w:rsid w:val="0027662A"/>
    <w:rsid w:val="00280245"/>
    <w:rsid w:val="002A0357"/>
    <w:rsid w:val="002A56CD"/>
    <w:rsid w:val="002A606A"/>
    <w:rsid w:val="002C1E91"/>
    <w:rsid w:val="002C67D4"/>
    <w:rsid w:val="002D7B82"/>
    <w:rsid w:val="002E0667"/>
    <w:rsid w:val="002F7111"/>
    <w:rsid w:val="00300411"/>
    <w:rsid w:val="00306072"/>
    <w:rsid w:val="0031159F"/>
    <w:rsid w:val="00312761"/>
    <w:rsid w:val="0032496D"/>
    <w:rsid w:val="00327415"/>
    <w:rsid w:val="00332A84"/>
    <w:rsid w:val="003454F6"/>
    <w:rsid w:val="00345ED2"/>
    <w:rsid w:val="00351D99"/>
    <w:rsid w:val="00354A45"/>
    <w:rsid w:val="0035558F"/>
    <w:rsid w:val="00370A28"/>
    <w:rsid w:val="00375FA8"/>
    <w:rsid w:val="0037722C"/>
    <w:rsid w:val="00380BE0"/>
    <w:rsid w:val="00382472"/>
    <w:rsid w:val="0038303D"/>
    <w:rsid w:val="0038429B"/>
    <w:rsid w:val="00385327"/>
    <w:rsid w:val="003907F7"/>
    <w:rsid w:val="0039402F"/>
    <w:rsid w:val="00394B3F"/>
    <w:rsid w:val="003A2BCB"/>
    <w:rsid w:val="003A6A69"/>
    <w:rsid w:val="003B10A4"/>
    <w:rsid w:val="003B66A3"/>
    <w:rsid w:val="003C2781"/>
    <w:rsid w:val="003C52B0"/>
    <w:rsid w:val="003E52B2"/>
    <w:rsid w:val="003F70F4"/>
    <w:rsid w:val="004011DD"/>
    <w:rsid w:val="004038DB"/>
    <w:rsid w:val="00405A46"/>
    <w:rsid w:val="00410E0B"/>
    <w:rsid w:val="00414FC4"/>
    <w:rsid w:val="00424B3E"/>
    <w:rsid w:val="00426397"/>
    <w:rsid w:val="00426A06"/>
    <w:rsid w:val="00426D54"/>
    <w:rsid w:val="004355AF"/>
    <w:rsid w:val="00436366"/>
    <w:rsid w:val="00445245"/>
    <w:rsid w:val="00446132"/>
    <w:rsid w:val="004559D0"/>
    <w:rsid w:val="004627A8"/>
    <w:rsid w:val="004734D1"/>
    <w:rsid w:val="00474E6E"/>
    <w:rsid w:val="00492EB7"/>
    <w:rsid w:val="004930C5"/>
    <w:rsid w:val="00495EB4"/>
    <w:rsid w:val="00496915"/>
    <w:rsid w:val="004A597B"/>
    <w:rsid w:val="004A763C"/>
    <w:rsid w:val="004B755F"/>
    <w:rsid w:val="004C3C56"/>
    <w:rsid w:val="004C47E3"/>
    <w:rsid w:val="004C717E"/>
    <w:rsid w:val="004D302D"/>
    <w:rsid w:val="004E6180"/>
    <w:rsid w:val="004E6ABA"/>
    <w:rsid w:val="004F050D"/>
    <w:rsid w:val="004F14C9"/>
    <w:rsid w:val="00511179"/>
    <w:rsid w:val="005147A0"/>
    <w:rsid w:val="00517848"/>
    <w:rsid w:val="00536EFB"/>
    <w:rsid w:val="00553689"/>
    <w:rsid w:val="005540E4"/>
    <w:rsid w:val="00557522"/>
    <w:rsid w:val="00564D02"/>
    <w:rsid w:val="0057312A"/>
    <w:rsid w:val="0057322C"/>
    <w:rsid w:val="00580798"/>
    <w:rsid w:val="00593514"/>
    <w:rsid w:val="005A345A"/>
    <w:rsid w:val="005B26C8"/>
    <w:rsid w:val="005B4883"/>
    <w:rsid w:val="005C5E39"/>
    <w:rsid w:val="005E2DFB"/>
    <w:rsid w:val="005E4635"/>
    <w:rsid w:val="005F1AA8"/>
    <w:rsid w:val="005F42A8"/>
    <w:rsid w:val="005F66BB"/>
    <w:rsid w:val="00601354"/>
    <w:rsid w:val="006033B5"/>
    <w:rsid w:val="00605278"/>
    <w:rsid w:val="0061326D"/>
    <w:rsid w:val="0062368B"/>
    <w:rsid w:val="006254FE"/>
    <w:rsid w:val="00626E37"/>
    <w:rsid w:val="00640A0B"/>
    <w:rsid w:val="006410BE"/>
    <w:rsid w:val="00644759"/>
    <w:rsid w:val="0064496E"/>
    <w:rsid w:val="006464B9"/>
    <w:rsid w:val="00650524"/>
    <w:rsid w:val="00654E71"/>
    <w:rsid w:val="00657015"/>
    <w:rsid w:val="006577E6"/>
    <w:rsid w:val="006578A0"/>
    <w:rsid w:val="006679CD"/>
    <w:rsid w:val="00671A67"/>
    <w:rsid w:val="00685DFE"/>
    <w:rsid w:val="006872E0"/>
    <w:rsid w:val="00693253"/>
    <w:rsid w:val="006A59B4"/>
    <w:rsid w:val="006A6BCB"/>
    <w:rsid w:val="006A7F1F"/>
    <w:rsid w:val="006C2AD9"/>
    <w:rsid w:val="006D2880"/>
    <w:rsid w:val="006D29BB"/>
    <w:rsid w:val="006E412B"/>
    <w:rsid w:val="006E4D51"/>
    <w:rsid w:val="006F402A"/>
    <w:rsid w:val="006F447F"/>
    <w:rsid w:val="006F52C5"/>
    <w:rsid w:val="00700BAD"/>
    <w:rsid w:val="007115D5"/>
    <w:rsid w:val="0072044F"/>
    <w:rsid w:val="00720552"/>
    <w:rsid w:val="00724DFC"/>
    <w:rsid w:val="007302DD"/>
    <w:rsid w:val="007435A6"/>
    <w:rsid w:val="007438A6"/>
    <w:rsid w:val="00750139"/>
    <w:rsid w:val="0075050E"/>
    <w:rsid w:val="007565AC"/>
    <w:rsid w:val="00764C23"/>
    <w:rsid w:val="007653AE"/>
    <w:rsid w:val="00766FA5"/>
    <w:rsid w:val="00770559"/>
    <w:rsid w:val="0077462B"/>
    <w:rsid w:val="007766D0"/>
    <w:rsid w:val="007874FA"/>
    <w:rsid w:val="0079211A"/>
    <w:rsid w:val="007964F0"/>
    <w:rsid w:val="007A0240"/>
    <w:rsid w:val="007A0909"/>
    <w:rsid w:val="007A4D7F"/>
    <w:rsid w:val="007A7CFC"/>
    <w:rsid w:val="007C3D3A"/>
    <w:rsid w:val="007D17E1"/>
    <w:rsid w:val="007D22F0"/>
    <w:rsid w:val="007E749B"/>
    <w:rsid w:val="00802238"/>
    <w:rsid w:val="00803E86"/>
    <w:rsid w:val="0081419F"/>
    <w:rsid w:val="00816157"/>
    <w:rsid w:val="008217F0"/>
    <w:rsid w:val="008223B9"/>
    <w:rsid w:val="00833021"/>
    <w:rsid w:val="0083510D"/>
    <w:rsid w:val="008356EC"/>
    <w:rsid w:val="008477BB"/>
    <w:rsid w:val="008603B1"/>
    <w:rsid w:val="00863E11"/>
    <w:rsid w:val="00870F3C"/>
    <w:rsid w:val="008923AD"/>
    <w:rsid w:val="00896D7B"/>
    <w:rsid w:val="008A487C"/>
    <w:rsid w:val="008A5EB1"/>
    <w:rsid w:val="008A612A"/>
    <w:rsid w:val="008A67EE"/>
    <w:rsid w:val="008B7149"/>
    <w:rsid w:val="008C2AAB"/>
    <w:rsid w:val="008C77E9"/>
    <w:rsid w:val="008D2419"/>
    <w:rsid w:val="008D3E9B"/>
    <w:rsid w:val="008D6398"/>
    <w:rsid w:val="008E73DA"/>
    <w:rsid w:val="0090152B"/>
    <w:rsid w:val="00905D22"/>
    <w:rsid w:val="00914DEE"/>
    <w:rsid w:val="00921DFA"/>
    <w:rsid w:val="00922467"/>
    <w:rsid w:val="009226D5"/>
    <w:rsid w:val="0092537E"/>
    <w:rsid w:val="0093366C"/>
    <w:rsid w:val="0093516C"/>
    <w:rsid w:val="00941EA0"/>
    <w:rsid w:val="00944334"/>
    <w:rsid w:val="009447CF"/>
    <w:rsid w:val="0095735E"/>
    <w:rsid w:val="00962F85"/>
    <w:rsid w:val="00977A7E"/>
    <w:rsid w:val="009A6620"/>
    <w:rsid w:val="009B2B25"/>
    <w:rsid w:val="009C078C"/>
    <w:rsid w:val="009C2AF2"/>
    <w:rsid w:val="009D1025"/>
    <w:rsid w:val="009D49A2"/>
    <w:rsid w:val="009E2880"/>
    <w:rsid w:val="009E5977"/>
    <w:rsid w:val="009E5DC7"/>
    <w:rsid w:val="009F09BD"/>
    <w:rsid w:val="009F0A48"/>
    <w:rsid w:val="009F395C"/>
    <w:rsid w:val="009F680C"/>
    <w:rsid w:val="009F782B"/>
    <w:rsid w:val="00A00AD2"/>
    <w:rsid w:val="00A0173B"/>
    <w:rsid w:val="00A103A1"/>
    <w:rsid w:val="00A36B9B"/>
    <w:rsid w:val="00A43FD7"/>
    <w:rsid w:val="00A45CEC"/>
    <w:rsid w:val="00A47923"/>
    <w:rsid w:val="00A54E3C"/>
    <w:rsid w:val="00A57C83"/>
    <w:rsid w:val="00A6243B"/>
    <w:rsid w:val="00A6533E"/>
    <w:rsid w:val="00A71F6D"/>
    <w:rsid w:val="00A819FB"/>
    <w:rsid w:val="00A935DE"/>
    <w:rsid w:val="00AA1499"/>
    <w:rsid w:val="00AB6FA2"/>
    <w:rsid w:val="00AB75F6"/>
    <w:rsid w:val="00AC2EB9"/>
    <w:rsid w:val="00AC5D26"/>
    <w:rsid w:val="00AC64E2"/>
    <w:rsid w:val="00AC7D4F"/>
    <w:rsid w:val="00AD2CEB"/>
    <w:rsid w:val="00AE33E6"/>
    <w:rsid w:val="00AE4212"/>
    <w:rsid w:val="00AF0434"/>
    <w:rsid w:val="00B0049D"/>
    <w:rsid w:val="00B124B2"/>
    <w:rsid w:val="00B1332B"/>
    <w:rsid w:val="00B14ECA"/>
    <w:rsid w:val="00B16386"/>
    <w:rsid w:val="00B2445E"/>
    <w:rsid w:val="00B36091"/>
    <w:rsid w:val="00B411FD"/>
    <w:rsid w:val="00B50609"/>
    <w:rsid w:val="00B517D7"/>
    <w:rsid w:val="00B65F71"/>
    <w:rsid w:val="00B83FA9"/>
    <w:rsid w:val="00B87D23"/>
    <w:rsid w:val="00BA446D"/>
    <w:rsid w:val="00BA4F3C"/>
    <w:rsid w:val="00BB119E"/>
    <w:rsid w:val="00BB17EE"/>
    <w:rsid w:val="00BB30BC"/>
    <w:rsid w:val="00BB6723"/>
    <w:rsid w:val="00BC089A"/>
    <w:rsid w:val="00BC4AD4"/>
    <w:rsid w:val="00BC4F7A"/>
    <w:rsid w:val="00BC7E47"/>
    <w:rsid w:val="00BD0A96"/>
    <w:rsid w:val="00BD3859"/>
    <w:rsid w:val="00BE4B74"/>
    <w:rsid w:val="00BE77D2"/>
    <w:rsid w:val="00BF41E0"/>
    <w:rsid w:val="00BF4DAA"/>
    <w:rsid w:val="00BF5865"/>
    <w:rsid w:val="00C13261"/>
    <w:rsid w:val="00C22904"/>
    <w:rsid w:val="00C310C8"/>
    <w:rsid w:val="00C338E4"/>
    <w:rsid w:val="00C33F0A"/>
    <w:rsid w:val="00C4396B"/>
    <w:rsid w:val="00C4601F"/>
    <w:rsid w:val="00C53721"/>
    <w:rsid w:val="00C53A78"/>
    <w:rsid w:val="00C60938"/>
    <w:rsid w:val="00C61D9F"/>
    <w:rsid w:val="00C62BE6"/>
    <w:rsid w:val="00C65C5C"/>
    <w:rsid w:val="00C71C94"/>
    <w:rsid w:val="00C7246C"/>
    <w:rsid w:val="00C7781C"/>
    <w:rsid w:val="00C834BA"/>
    <w:rsid w:val="00C84572"/>
    <w:rsid w:val="00C84DAE"/>
    <w:rsid w:val="00C953CA"/>
    <w:rsid w:val="00C97A89"/>
    <w:rsid w:val="00CB23C5"/>
    <w:rsid w:val="00CB42C3"/>
    <w:rsid w:val="00CB75BD"/>
    <w:rsid w:val="00CC56E3"/>
    <w:rsid w:val="00CE24AA"/>
    <w:rsid w:val="00CE6DE8"/>
    <w:rsid w:val="00CF2759"/>
    <w:rsid w:val="00CF2E1B"/>
    <w:rsid w:val="00D11910"/>
    <w:rsid w:val="00D179DC"/>
    <w:rsid w:val="00D2194F"/>
    <w:rsid w:val="00D224B1"/>
    <w:rsid w:val="00D328C4"/>
    <w:rsid w:val="00D33986"/>
    <w:rsid w:val="00D33A37"/>
    <w:rsid w:val="00D33B73"/>
    <w:rsid w:val="00D5277B"/>
    <w:rsid w:val="00D550A8"/>
    <w:rsid w:val="00D57357"/>
    <w:rsid w:val="00D75B17"/>
    <w:rsid w:val="00D82165"/>
    <w:rsid w:val="00D908ED"/>
    <w:rsid w:val="00D94ABF"/>
    <w:rsid w:val="00D96CA2"/>
    <w:rsid w:val="00DA3C30"/>
    <w:rsid w:val="00DA611C"/>
    <w:rsid w:val="00DB187F"/>
    <w:rsid w:val="00DC6E83"/>
    <w:rsid w:val="00DD0F52"/>
    <w:rsid w:val="00DD6B6D"/>
    <w:rsid w:val="00DE11A0"/>
    <w:rsid w:val="00DE3F68"/>
    <w:rsid w:val="00DE5E1C"/>
    <w:rsid w:val="00DF24F8"/>
    <w:rsid w:val="00E11830"/>
    <w:rsid w:val="00E15461"/>
    <w:rsid w:val="00E2674C"/>
    <w:rsid w:val="00E27690"/>
    <w:rsid w:val="00E31F56"/>
    <w:rsid w:val="00E322BC"/>
    <w:rsid w:val="00E33A58"/>
    <w:rsid w:val="00E40B61"/>
    <w:rsid w:val="00E4301D"/>
    <w:rsid w:val="00E469CC"/>
    <w:rsid w:val="00E53BEA"/>
    <w:rsid w:val="00E55F61"/>
    <w:rsid w:val="00E6087E"/>
    <w:rsid w:val="00E609FD"/>
    <w:rsid w:val="00E65B2A"/>
    <w:rsid w:val="00E67453"/>
    <w:rsid w:val="00E804D2"/>
    <w:rsid w:val="00E87C9E"/>
    <w:rsid w:val="00EA2571"/>
    <w:rsid w:val="00EA7717"/>
    <w:rsid w:val="00EB30F1"/>
    <w:rsid w:val="00EB3F4E"/>
    <w:rsid w:val="00EC2ACA"/>
    <w:rsid w:val="00EC70CF"/>
    <w:rsid w:val="00EE0758"/>
    <w:rsid w:val="00EE7B9D"/>
    <w:rsid w:val="00EF0E8D"/>
    <w:rsid w:val="00EF3A89"/>
    <w:rsid w:val="00EF6046"/>
    <w:rsid w:val="00F02A68"/>
    <w:rsid w:val="00F05F03"/>
    <w:rsid w:val="00F2772C"/>
    <w:rsid w:val="00F40A22"/>
    <w:rsid w:val="00F55B6D"/>
    <w:rsid w:val="00F55C42"/>
    <w:rsid w:val="00F5774F"/>
    <w:rsid w:val="00F57DA5"/>
    <w:rsid w:val="00F62B03"/>
    <w:rsid w:val="00F7024E"/>
    <w:rsid w:val="00F72BF7"/>
    <w:rsid w:val="00F82260"/>
    <w:rsid w:val="00F84ABF"/>
    <w:rsid w:val="00F8639E"/>
    <w:rsid w:val="00F90D30"/>
    <w:rsid w:val="00FB7562"/>
    <w:rsid w:val="00FC16D5"/>
    <w:rsid w:val="00FC5A6F"/>
    <w:rsid w:val="00FD25DD"/>
    <w:rsid w:val="00FD32A3"/>
    <w:rsid w:val="00FD4EF4"/>
    <w:rsid w:val="00FE00BB"/>
    <w:rsid w:val="00FE020C"/>
    <w:rsid w:val="00FE1E6D"/>
    <w:rsid w:val="00FE23BB"/>
    <w:rsid w:val="45B0101B"/>
    <w:rsid w:val="4C98698D"/>
    <w:rsid w:val="61B0C45E"/>
    <w:rsid w:val="63A63D91"/>
    <w:rsid w:val="6DC0D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53A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3"/>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3"/>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3"/>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3"/>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3"/>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3"/>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3"/>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9D7"/>
    <w:rPr>
      <w:color w:val="0000FF"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rsid w:val="000849D7"/>
    <w:pPr>
      <w:spacing w:before="0" w:after="160" w:line="240" w:lineRule="exact"/>
    </w:pPr>
    <w:rPr>
      <w:rFonts w:asciiTheme="minorHAnsi" w:hAnsiTheme="minorHAnsi" w:cstheme="minorBidi"/>
      <w:sz w:val="22"/>
      <w:vertAlign w:val="superscript"/>
      <w:lang w:val="en-US"/>
    </w:rPr>
  </w:style>
  <w:style w:type="character" w:styleId="FollowedHyperlink">
    <w:name w:val="FollowedHyperlink"/>
    <w:basedOn w:val="DefaultParagraphFont"/>
    <w:uiPriority w:val="99"/>
    <w:semiHidden/>
    <w:unhideWhenUsed/>
    <w:rsid w:val="009F680C"/>
    <w:rPr>
      <w:color w:val="800080" w:themeColor="followedHyperlink"/>
      <w:u w:val="single"/>
    </w:rPr>
  </w:style>
  <w:style w:type="paragraph" w:styleId="ListBullet">
    <w:name w:val="List Bullet"/>
    <w:basedOn w:val="Normal"/>
    <w:uiPriority w:val="99"/>
    <w:semiHidden/>
    <w:unhideWhenUsed/>
    <w:rsid w:val="008477BB"/>
    <w:pPr>
      <w:numPr>
        <w:numId w:val="2"/>
      </w:numPr>
      <w:contextualSpacing/>
    </w:pPr>
  </w:style>
  <w:style w:type="paragraph" w:styleId="ListBullet2">
    <w:name w:val="List Bullet 2"/>
    <w:basedOn w:val="Normal"/>
    <w:uiPriority w:val="99"/>
    <w:semiHidden/>
    <w:unhideWhenUsed/>
    <w:rsid w:val="008477BB"/>
    <w:pPr>
      <w:numPr>
        <w:numId w:val="3"/>
      </w:numPr>
      <w:contextualSpacing/>
    </w:pPr>
  </w:style>
  <w:style w:type="paragraph" w:styleId="ListBullet3">
    <w:name w:val="List Bullet 3"/>
    <w:basedOn w:val="Normal"/>
    <w:uiPriority w:val="99"/>
    <w:semiHidden/>
    <w:unhideWhenUsed/>
    <w:rsid w:val="008477BB"/>
    <w:pPr>
      <w:numPr>
        <w:numId w:val="4"/>
      </w:numPr>
      <w:contextualSpacing/>
    </w:pPr>
  </w:style>
  <w:style w:type="paragraph" w:styleId="ListBullet4">
    <w:name w:val="List Bullet 4"/>
    <w:basedOn w:val="Normal"/>
    <w:uiPriority w:val="99"/>
    <w:semiHidden/>
    <w:unhideWhenUsed/>
    <w:rsid w:val="008477BB"/>
    <w:pPr>
      <w:numPr>
        <w:numId w:val="5"/>
      </w:numPr>
      <w:contextualSpacing/>
    </w:pPr>
  </w:style>
  <w:style w:type="paragraph" w:styleId="Caption">
    <w:name w:val="caption"/>
    <w:basedOn w:val="Normal"/>
    <w:next w:val="Normal"/>
    <w:uiPriority w:val="35"/>
    <w:semiHidden/>
    <w:unhideWhenUsed/>
    <w:qFormat/>
    <w:rsid w:val="00CE6DE8"/>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CE6DE8"/>
    <w:pPr>
      <w:spacing w:after="0"/>
    </w:pPr>
  </w:style>
  <w:style w:type="paragraph" w:styleId="ListNumber">
    <w:name w:val="List Number"/>
    <w:basedOn w:val="Normal"/>
    <w:uiPriority w:val="99"/>
    <w:semiHidden/>
    <w:unhideWhenUsed/>
    <w:rsid w:val="00CE6DE8"/>
    <w:pPr>
      <w:numPr>
        <w:numId w:val="7"/>
      </w:numPr>
      <w:contextualSpacing/>
    </w:pPr>
  </w:style>
  <w:style w:type="paragraph" w:styleId="ListNumber2">
    <w:name w:val="List Number 2"/>
    <w:basedOn w:val="Normal"/>
    <w:uiPriority w:val="99"/>
    <w:semiHidden/>
    <w:unhideWhenUsed/>
    <w:rsid w:val="00CE6DE8"/>
    <w:pPr>
      <w:numPr>
        <w:numId w:val="8"/>
      </w:numPr>
      <w:contextualSpacing/>
    </w:pPr>
  </w:style>
  <w:style w:type="paragraph" w:styleId="ListNumber3">
    <w:name w:val="List Number 3"/>
    <w:basedOn w:val="Normal"/>
    <w:uiPriority w:val="99"/>
    <w:semiHidden/>
    <w:unhideWhenUsed/>
    <w:rsid w:val="00CE6DE8"/>
    <w:pPr>
      <w:numPr>
        <w:numId w:val="9"/>
      </w:numPr>
      <w:contextualSpacing/>
    </w:pPr>
  </w:style>
  <w:style w:type="paragraph" w:styleId="ListNumber4">
    <w:name w:val="List Number 4"/>
    <w:basedOn w:val="Normal"/>
    <w:uiPriority w:val="99"/>
    <w:semiHidden/>
    <w:unhideWhenUsed/>
    <w:rsid w:val="00CE6DE8"/>
    <w:pPr>
      <w:numPr>
        <w:numId w:val="10"/>
      </w:numPr>
      <w:contextualSpacing/>
    </w:pPr>
  </w:style>
  <w:style w:type="character" w:styleId="CommentReference">
    <w:name w:val="annotation reference"/>
    <w:basedOn w:val="DefaultParagraphFont"/>
    <w:uiPriority w:val="99"/>
    <w:semiHidden/>
    <w:unhideWhenUsed/>
    <w:rsid w:val="00941EA0"/>
    <w:rPr>
      <w:sz w:val="16"/>
      <w:szCs w:val="16"/>
    </w:rPr>
  </w:style>
  <w:style w:type="paragraph" w:styleId="CommentText">
    <w:name w:val="annotation text"/>
    <w:basedOn w:val="Normal"/>
    <w:link w:val="CommentTextChar"/>
    <w:uiPriority w:val="99"/>
    <w:unhideWhenUsed/>
    <w:rsid w:val="00941EA0"/>
    <w:rPr>
      <w:sz w:val="20"/>
      <w:szCs w:val="20"/>
    </w:rPr>
  </w:style>
  <w:style w:type="character" w:customStyle="1" w:styleId="CommentTextChar">
    <w:name w:val="Comment Text Char"/>
    <w:basedOn w:val="DefaultParagraphFont"/>
    <w:link w:val="CommentText"/>
    <w:uiPriority w:val="99"/>
    <w:rsid w:val="00941EA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941EA0"/>
    <w:rPr>
      <w:b/>
      <w:bCs/>
    </w:rPr>
  </w:style>
  <w:style w:type="character" w:customStyle="1" w:styleId="CommentSubjectChar">
    <w:name w:val="Comment Subject Char"/>
    <w:basedOn w:val="CommentTextChar"/>
    <w:link w:val="CommentSubject"/>
    <w:uiPriority w:val="99"/>
    <w:semiHidden/>
    <w:rsid w:val="00941EA0"/>
    <w:rPr>
      <w:rFonts w:ascii="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941EA0"/>
    <w:rPr>
      <w:color w:val="605E5C"/>
      <w:shd w:val="clear" w:color="auto" w:fill="E1DFDD"/>
    </w:rPr>
  </w:style>
  <w:style w:type="paragraph" w:styleId="Revision">
    <w:name w:val="Revision"/>
    <w:hidden/>
    <w:uiPriority w:val="99"/>
    <w:semiHidden/>
    <w:rsid w:val="00C338E4"/>
    <w:pPr>
      <w:spacing w:after="0" w:line="240" w:lineRule="auto"/>
    </w:pPr>
    <w:rPr>
      <w:rFonts w:ascii="Times New Roman" w:hAnsi="Times New Roman" w:cs="Times New Roman"/>
      <w:sz w:val="24"/>
      <w:lang w:val="en-GB"/>
    </w:rPr>
  </w:style>
  <w:style w:type="table" w:styleId="TableGrid">
    <w:name w:val="Table Grid"/>
    <w:basedOn w:val="TableNormal"/>
    <w:uiPriority w:val="59"/>
    <w:rsid w:val="007E7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671A67"/>
    <w:rPr>
      <w:rFonts w:ascii="Times New Roman" w:hAnsi="Times New Roman" w:cs="Times New Roman"/>
      <w:sz w:val="24"/>
      <w:lang w:val="en-GB"/>
    </w:rPr>
  </w:style>
  <w:style w:type="character" w:customStyle="1" w:styleId="FooterChar">
    <w:name w:val="Footer Char"/>
    <w:basedOn w:val="DefaultParagraphFont"/>
    <w:link w:val="Footer"/>
    <w:uiPriority w:val="99"/>
    <w:rsid w:val="00671A6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symbolCarZchn"/>
    <w:uiPriority w:val="99"/>
    <w:semiHidden/>
    <w:unhideWhenUsed/>
    <w:rPr>
      <w:shd w:val="clear" w:color="auto" w:fill="auto"/>
      <w:vertAlign w:val="superscript"/>
    </w:rPr>
  </w:style>
  <w:style w:type="paragraph" w:customStyle="1" w:styleId="HeaderSensitivity">
    <w:name w:val="Header Sensitivity"/>
    <w:basedOn w:val="Normal"/>
    <w:rsid w:val="00671A6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671A67"/>
    <w:pPr>
      <w:spacing w:before="0"/>
      <w:jc w:val="right"/>
    </w:pPr>
    <w:rPr>
      <w:sz w:val="28"/>
    </w:rPr>
  </w:style>
  <w:style w:type="paragraph" w:customStyle="1" w:styleId="FooterSensitivity">
    <w:name w:val="Footer Sensitivity"/>
    <w:basedOn w:val="Normal"/>
    <w:rsid w:val="00671A6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29"/>
      </w:numPr>
    </w:pPr>
  </w:style>
  <w:style w:type="paragraph" w:customStyle="1" w:styleId="Tiret4">
    <w:name w:val="Tiret 4"/>
    <w:basedOn w:val="Point4"/>
    <w:pPr>
      <w:numPr>
        <w:numId w:val="30"/>
      </w:numPr>
    </w:pPr>
  </w:style>
  <w:style w:type="paragraph" w:customStyle="1" w:styleId="Tiret5">
    <w:name w:val="Tiret 5"/>
    <w:basedOn w:val="Point5"/>
    <w:pPr>
      <w:numPr>
        <w:numId w:val="31"/>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2"/>
      </w:numPr>
    </w:pPr>
  </w:style>
  <w:style w:type="paragraph" w:customStyle="1" w:styleId="NumPar2">
    <w:name w:val="NumPar 2"/>
    <w:basedOn w:val="Normal"/>
    <w:next w:val="Text1"/>
    <w:pPr>
      <w:numPr>
        <w:ilvl w:val="1"/>
        <w:numId w:val="32"/>
      </w:numPr>
    </w:pPr>
  </w:style>
  <w:style w:type="paragraph" w:customStyle="1" w:styleId="NumPar3">
    <w:name w:val="NumPar 3"/>
    <w:basedOn w:val="Normal"/>
    <w:next w:val="Text1"/>
    <w:pPr>
      <w:numPr>
        <w:ilvl w:val="2"/>
        <w:numId w:val="32"/>
      </w:numPr>
    </w:pPr>
  </w:style>
  <w:style w:type="paragraph" w:customStyle="1" w:styleId="NumPar4">
    <w:name w:val="NumPar 4"/>
    <w:basedOn w:val="Normal"/>
    <w:next w:val="Text1"/>
    <w:pPr>
      <w:numPr>
        <w:ilvl w:val="3"/>
        <w:numId w:val="32"/>
      </w:numPr>
    </w:pPr>
  </w:style>
  <w:style w:type="paragraph" w:customStyle="1" w:styleId="NumPar5">
    <w:name w:val="NumPar 5"/>
    <w:basedOn w:val="Normal"/>
    <w:next w:val="Text2"/>
    <w:pPr>
      <w:numPr>
        <w:ilvl w:val="4"/>
        <w:numId w:val="32"/>
      </w:numPr>
    </w:pPr>
  </w:style>
  <w:style w:type="paragraph" w:customStyle="1" w:styleId="NumPar6">
    <w:name w:val="NumPar 6"/>
    <w:basedOn w:val="Normal"/>
    <w:next w:val="Text2"/>
    <w:pPr>
      <w:numPr>
        <w:ilvl w:val="5"/>
        <w:numId w:val="32"/>
      </w:numPr>
    </w:pPr>
  </w:style>
  <w:style w:type="paragraph" w:customStyle="1" w:styleId="NumPar7">
    <w:name w:val="NumPar 7"/>
    <w:basedOn w:val="Normal"/>
    <w:next w:val="Text2"/>
    <w:pPr>
      <w:numPr>
        <w:ilvl w:val="6"/>
        <w:numId w:val="32"/>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4"/>
      </w:numPr>
    </w:pPr>
  </w:style>
  <w:style w:type="paragraph" w:customStyle="1" w:styleId="Point1number">
    <w:name w:val="Point 1 (number)"/>
    <w:basedOn w:val="Normal"/>
    <w:pPr>
      <w:numPr>
        <w:ilvl w:val="2"/>
        <w:numId w:val="34"/>
      </w:numPr>
    </w:pPr>
  </w:style>
  <w:style w:type="paragraph" w:customStyle="1" w:styleId="Point2number">
    <w:name w:val="Point 2 (number)"/>
    <w:basedOn w:val="Normal"/>
    <w:pPr>
      <w:numPr>
        <w:ilvl w:val="4"/>
        <w:numId w:val="34"/>
      </w:numPr>
    </w:pPr>
  </w:style>
  <w:style w:type="paragraph" w:customStyle="1" w:styleId="Point3number">
    <w:name w:val="Point 3 (number)"/>
    <w:basedOn w:val="Normal"/>
    <w:pPr>
      <w:numPr>
        <w:ilvl w:val="6"/>
        <w:numId w:val="34"/>
      </w:numPr>
    </w:pPr>
  </w:style>
  <w:style w:type="paragraph" w:customStyle="1" w:styleId="Point0letter">
    <w:name w:val="Point 0 (letter)"/>
    <w:basedOn w:val="Normal"/>
    <w:pPr>
      <w:numPr>
        <w:ilvl w:val="1"/>
        <w:numId w:val="34"/>
      </w:numPr>
    </w:pPr>
  </w:style>
  <w:style w:type="paragraph" w:customStyle="1" w:styleId="Point1letter">
    <w:name w:val="Point 1 (letter)"/>
    <w:basedOn w:val="Normal"/>
    <w:pPr>
      <w:numPr>
        <w:ilvl w:val="3"/>
        <w:numId w:val="34"/>
      </w:numPr>
    </w:pPr>
  </w:style>
  <w:style w:type="paragraph" w:customStyle="1" w:styleId="Point2letter">
    <w:name w:val="Point 2 (letter)"/>
    <w:basedOn w:val="Normal"/>
    <w:pPr>
      <w:numPr>
        <w:ilvl w:val="5"/>
        <w:numId w:val="34"/>
      </w:numPr>
    </w:pPr>
  </w:style>
  <w:style w:type="paragraph" w:customStyle="1" w:styleId="Point3letter">
    <w:name w:val="Point 3 (letter)"/>
    <w:basedOn w:val="Normal"/>
    <w:pPr>
      <w:numPr>
        <w:ilvl w:val="7"/>
        <w:numId w:val="34"/>
      </w:numPr>
    </w:pPr>
  </w:style>
  <w:style w:type="paragraph" w:customStyle="1" w:styleId="Point4letter">
    <w:name w:val="Point 4 (letter)"/>
    <w:basedOn w:val="Normal"/>
    <w:pPr>
      <w:numPr>
        <w:ilvl w:val="8"/>
        <w:numId w:val="34"/>
      </w:numPr>
    </w:pPr>
  </w:style>
  <w:style w:type="paragraph" w:customStyle="1" w:styleId="Bullet0">
    <w:name w:val="Bullet 0"/>
    <w:basedOn w:val="Normal"/>
    <w:pPr>
      <w:numPr>
        <w:numId w:val="35"/>
      </w:numPr>
    </w:pPr>
  </w:style>
  <w:style w:type="paragraph" w:customStyle="1" w:styleId="Bullet1">
    <w:name w:val="Bullet 1"/>
    <w:basedOn w:val="Normal"/>
    <w:pPr>
      <w:numPr>
        <w:numId w:val="36"/>
      </w:numPr>
    </w:pPr>
  </w:style>
  <w:style w:type="paragraph" w:customStyle="1" w:styleId="Bullet2">
    <w:name w:val="Bullet 2"/>
    <w:basedOn w:val="Normal"/>
    <w:pPr>
      <w:numPr>
        <w:numId w:val="37"/>
      </w:numPr>
    </w:pPr>
  </w:style>
  <w:style w:type="paragraph" w:customStyle="1" w:styleId="Bullet3">
    <w:name w:val="Bullet 3"/>
    <w:basedOn w:val="Normal"/>
    <w:pPr>
      <w:numPr>
        <w:numId w:val="38"/>
      </w:numPr>
    </w:pPr>
  </w:style>
  <w:style w:type="paragraph" w:customStyle="1" w:styleId="Bullet4">
    <w:name w:val="Bullet 4"/>
    <w:basedOn w:val="Normal"/>
    <w:pPr>
      <w:numPr>
        <w:numId w:val="39"/>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0"/>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671A67"/>
    <w:pPr>
      <w:tabs>
        <w:tab w:val="center" w:pos="4535"/>
        <w:tab w:val="right" w:pos="9071"/>
      </w:tabs>
      <w:spacing w:before="0"/>
    </w:pPr>
  </w:style>
  <w:style w:type="paragraph" w:customStyle="1" w:styleId="HeaderLandscape">
    <w:name w:val="HeaderLandscape"/>
    <w:basedOn w:val="Normal"/>
    <w:rsid w:val="00671A67"/>
    <w:pPr>
      <w:tabs>
        <w:tab w:val="center" w:pos="7285"/>
        <w:tab w:val="right" w:pos="14003"/>
      </w:tabs>
      <w:spacing w:before="0"/>
    </w:pPr>
  </w:style>
  <w:style w:type="paragraph" w:styleId="Footer">
    <w:name w:val="footer"/>
    <w:basedOn w:val="Normal"/>
    <w:link w:val="FooterChar"/>
    <w:uiPriority w:val="99"/>
    <w:unhideWhenUsed/>
    <w:rsid w:val="00671A6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671A6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4.png"/><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footer" Target="foot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image" Target="media/image7.png"/></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AUTO/?uri=OJ:C:2012:271: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A12EBBE768C458E41CF953221EDB1" ma:contentTypeVersion="20" ma:contentTypeDescription="Create a new document." ma:contentTypeScope="" ma:versionID="d27530eecd99e6aaeccf50177fed1c5a">
  <xsd:schema xmlns:xsd="http://www.w3.org/2001/XMLSchema" xmlns:xs="http://www.w3.org/2001/XMLSchema" xmlns:p="http://schemas.microsoft.com/office/2006/metadata/properties" xmlns:ns2="f76611c0-4082-4d80-aa9e-b82bf290bbd2" xmlns:ns3="b6d4cde7-209b-4353-8904-a6d145be66ae" targetNamespace="http://schemas.microsoft.com/office/2006/metadata/properties" ma:root="true" ma:fieldsID="ba22cde770ef27330c795d5fa2e821cf" ns2:_="" ns3:_="">
    <xsd:import namespace="f76611c0-4082-4d80-aa9e-b82bf290bbd2"/>
    <xsd:import namespace="b6d4cde7-209b-4353-8904-a6d145be66ae"/>
    <xsd:element name="properties">
      <xsd:complexType>
        <xsd:sequence>
          <xsd:element name="documentManagement">
            <xsd:complexType>
              <xsd:all>
                <xsd:element ref="ns2:Users" minOccurs="0"/>
                <xsd:element ref="ns2:Comments" minOccurs="0"/>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escription_2"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611c0-4082-4d80-aa9e-b82bf290bbd2" elementFormDefault="qualified">
    <xsd:import namespace="http://schemas.microsoft.com/office/2006/documentManagement/types"/>
    <xsd:import namespace="http://schemas.microsoft.com/office/infopath/2007/PartnerControls"/>
    <xsd:element name="Users" ma:index="2" nillable="true" ma:displayName="Users" ma:format="Dropdown" ma:list="UserInfo" ma:SharePointGroup="0" ma:internalName="User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3" nillable="true" ma:displayName="SPO Comments" ma:format="Dropdown" ma:internalName="Comments">
      <xsd:simpleType>
        <xsd:restriction base="dms:Note">
          <xsd:maxLength value="255"/>
        </xsd:restriction>
      </xsd:simpleType>
    </xsd:element>
    <xsd:element name="Description" ma:index="4" nillable="true" ma:displayName="Description" ma:format="Dropdown" ma:internalNam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Description_2" ma:index="23" nillable="true" ma:displayName="Description_2" ma:format="Dropdown" ma:internalName="Description_2">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d4cde7-209b-4353-8904-a6d145be66a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d32c070-1309-46aa-9390-a4831651057c}" ma:internalName="TaxCatchAll" ma:showField="CatchAllData" ma:web="b6d4cde7-209b-4353-8904-a6d145be6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scription_2 xmlns="f76611c0-4082-4d80-aa9e-b82bf290bbd2" xsi:nil="true"/>
    <Comments xmlns="f76611c0-4082-4d80-aa9e-b82bf290bbd2" xsi:nil="true"/>
    <Description xmlns="f76611c0-4082-4d80-aa9e-b82bf290bbd2" xsi:nil="true"/>
    <Users xmlns="f76611c0-4082-4d80-aa9e-b82bf290bbd2">
      <UserInfo>
        <DisplayName/>
        <AccountId xsi:nil="true"/>
        <AccountType/>
      </UserInfo>
    </Users>
    <lcf76f155ced4ddcb4097134ff3c332f xmlns="f76611c0-4082-4d80-aa9e-b82bf290bbd2">
      <Terms xmlns="http://schemas.microsoft.com/office/infopath/2007/PartnerControls"/>
    </lcf76f155ced4ddcb4097134ff3c332f>
    <TaxCatchAll xmlns="b6d4cde7-209b-4353-8904-a6d145be66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C0E42A-13CA-4C07-B739-76B0C161F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611c0-4082-4d80-aa9e-b82bf290bbd2"/>
    <ds:schemaRef ds:uri="b6d4cde7-209b-4353-8904-a6d145be6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D14378-B181-4B96-9EF1-A63A2E6167D1}">
  <ds:schemaRefs>
    <ds:schemaRef ds:uri="http://purl.org/dc/dcmitype/"/>
    <ds:schemaRef ds:uri="b6d4cde7-209b-4353-8904-a6d145be66ae"/>
    <ds:schemaRef ds:uri="http://schemas.microsoft.com/office/2006/documentManagement/types"/>
    <ds:schemaRef ds:uri="http://schemas.microsoft.com/office/2006/metadata/properties"/>
    <ds:schemaRef ds:uri="http://purl.org/dc/elements/1.1/"/>
    <ds:schemaRef ds:uri="http://schemas.microsoft.com/office/infopath/2007/PartnerControls"/>
    <ds:schemaRef ds:uri="f76611c0-4082-4d80-aa9e-b82bf290bbd2"/>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791DC4E4-B817-4B34-A315-7C74411D9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ANNEX</Template>
  <TotalTime>0</TotalTime>
  <Pages>7</Pages>
  <Words>895</Words>
  <Characters>5107</Characters>
  <Application>Microsoft Office Word</Application>
  <DocSecurity>0</DocSecurity>
  <Lines>42</Lines>
  <Paragraphs>11</Paragraphs>
  <ScaleCrop>false</ScaleCrop>
  <Manager/>
  <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2025-07-17T20:33:00Z</dcterms:created>
  <dcterms:modified xsi:type="dcterms:W3CDTF">2025-07-17T20:33:00Z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9.1, Build 20240808</vt:lpwstr>
  </property>
  <property fmtid="{D5CDD505-2E9C-101B-9397-08002B2CF9AE}" pid="3" name="Last annex">
    <vt:lpwstr>5</vt:lpwstr>
  </property>
  <property fmtid="{D5CDD505-2E9C-101B-9397-08002B2CF9AE}" pid="4" name="MSIP_Label_6bd9ddd1-4d20-43f6-abfa-fc3c07406f94_Name">
    <vt:lpwstr>Commission Use</vt:lpwstr>
  </property>
  <property fmtid="{D5CDD505-2E9C-101B-9397-08002B2CF9AE}" pid="5" name="Version">
    <vt:lpwstr>8.0.25.0</vt:lpwstr>
  </property>
  <property fmtid="{D5CDD505-2E9C-101B-9397-08002B2CF9AE}" pid="6" name="Part">
    <vt:lpwstr>&lt;UNUSED&gt;</vt:lpwstr>
  </property>
  <property fmtid="{D5CDD505-2E9C-101B-9397-08002B2CF9AE}" pid="7" name="MediaServiceImageTags">
    <vt:lpwstr/>
  </property>
  <property fmtid="{D5CDD505-2E9C-101B-9397-08002B2CF9AE}" pid="8" name="MSIP_Label_6bd9ddd1-4d20-43f6-abfa-fc3c07406f94_ContentBits">
    <vt:lpwstr>0</vt:lpwstr>
  </property>
  <property fmtid="{D5CDD505-2E9C-101B-9397-08002B2CF9AE}" pid="9" name="ContentTypeId">
    <vt:lpwstr>0x0101007B5A12EBBE768C458E41CF953221EDB1</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Method">
    <vt:lpwstr>Standard</vt:lpwstr>
  </property>
  <property fmtid="{D5CDD505-2E9C-101B-9397-08002B2CF9AE}" pid="12" name="MSIP_Label_6bd9ddd1-4d20-43f6-abfa-fc3c07406f94_Enabled">
    <vt:lpwstr>true</vt:lpwstr>
  </property>
  <property fmtid="{D5CDD505-2E9C-101B-9397-08002B2CF9AE}" pid="13" name="Created using">
    <vt:lpwstr>LW 9.1, Build 20240808</vt:lpwstr>
  </property>
  <property fmtid="{D5CDD505-2E9C-101B-9397-08002B2CF9AE}" pid="14" name="Total parts">
    <vt:lpwstr>&lt;UNUSED&gt;</vt:lpwstr>
  </property>
  <property fmtid="{D5CDD505-2E9C-101B-9397-08002B2CF9AE}" pid="15" name="Unique annex">
    <vt:lpwstr>0</vt:lpwstr>
  </property>
  <property fmtid="{D5CDD505-2E9C-101B-9397-08002B2CF9AE}" pid="16" name="Category">
    <vt:lpwstr>COM/ANNEX</vt:lpwstr>
  </property>
  <property fmtid="{D5CDD505-2E9C-101B-9397-08002B2CF9AE}" pid="17" name="First annex">
    <vt:lpwstr>2</vt:lpwstr>
  </property>
  <property fmtid="{D5CDD505-2E9C-101B-9397-08002B2CF9AE}" pid="18" name="MSIP_Label_6bd9ddd1-4d20-43f6-abfa-fc3c07406f94_SetDate">
    <vt:lpwstr>2025-06-25T09:21:01Z</vt:lpwstr>
  </property>
  <property fmtid="{D5CDD505-2E9C-101B-9397-08002B2CF9AE}" pid="19" name="Level of sensitivity">
    <vt:lpwstr>Standard treatment</vt:lpwstr>
  </property>
  <property fmtid="{D5CDD505-2E9C-101B-9397-08002B2CF9AE}" pid="20" name="MSIP_Label_6bd9ddd1-4d20-43f6-abfa-fc3c07406f94_ActionId">
    <vt:lpwstr>3926b5b6-2317-4bd9-8771-b8367919f7a2</vt:lpwstr>
  </property>
  <property fmtid="{D5CDD505-2E9C-101B-9397-08002B2CF9AE}" pid="21" name="LWTemplateID">
    <vt:lpwstr>SG-017</vt:lpwstr>
  </property>
  <property fmtid="{D5CDD505-2E9C-101B-9397-08002B2CF9AE}" pid="22" name="DQCStatus">
    <vt:lpwstr>Yellow (DQC version 03)</vt:lpwstr>
  </property>
</Properties>
</file>