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C6C6D" w:rsidRDefault="004C6C6D" w:rsidP="008A647B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2023 m. vasario 10 d.</w:t>
      </w:r>
    </w:p>
    <w:p w:rsidR="004C6C6D" w:rsidRDefault="004C6C6D" w:rsidP="008A647B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1-oji diskusija apie Sanglaudos politikos ateitį post-2027</w:t>
      </w:r>
    </w:p>
    <w:p w:rsidR="004C6C6D" w:rsidRDefault="004C6C6D" w:rsidP="008A647B">
      <w:pPr>
        <w:jc w:val="center"/>
        <w:rPr>
          <w:b/>
          <w:bCs/>
        </w:rPr>
      </w:pPr>
      <w:r>
        <w:rPr>
          <w:b/>
          <w:bCs/>
          <w:lang w:val="lt-LT"/>
        </w:rPr>
        <w:t>„Sanglaudos politikos vizija – atėjo laikas keistis?</w:t>
      </w:r>
      <w:r>
        <w:rPr>
          <w:b/>
          <w:bCs/>
        </w:rPr>
        <w:t>!”</w:t>
      </w:r>
    </w:p>
    <w:p w:rsidR="004C6C6D" w:rsidRPr="004C6C6D" w:rsidRDefault="004C6C6D" w:rsidP="008A647B">
      <w:pPr>
        <w:jc w:val="center"/>
        <w:rPr>
          <w:b/>
          <w:bCs/>
          <w:lang w:val="lt-LT"/>
        </w:rPr>
      </w:pPr>
      <w:r>
        <w:rPr>
          <w:b/>
          <w:bCs/>
        </w:rPr>
        <w:t>DISKUSIJ</w:t>
      </w:r>
      <w:r>
        <w:rPr>
          <w:b/>
          <w:bCs/>
          <w:lang w:val="lt-LT"/>
        </w:rPr>
        <w:t>OS SANTRAUKA</w:t>
      </w:r>
    </w:p>
    <w:p w:rsidR="00E36EBC" w:rsidRDefault="00B27A10" w:rsidP="00CF54E7">
      <w:pPr>
        <w:rPr>
          <w:b/>
          <w:bCs/>
          <w:lang w:val="lt-LT"/>
        </w:rPr>
      </w:pPr>
      <w:r w:rsidRPr="007F0CEB">
        <w:rPr>
          <w:b/>
          <w:bCs/>
          <w:lang w:val="lt-LT"/>
        </w:rPr>
        <w:t>Dalyviai: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6C6D" w:rsidTr="004C6C6D">
        <w:tc>
          <w:tcPr>
            <w:tcW w:w="9350" w:type="dxa"/>
          </w:tcPr>
          <w:p w:rsidR="00CF54E7" w:rsidRDefault="004C6C6D" w:rsidP="00CF54E7">
            <w:pPr>
              <w:spacing w:after="160" w:line="259" w:lineRule="auto"/>
              <w:rPr>
                <w:lang w:val="lt-LT"/>
              </w:rPr>
            </w:pPr>
            <w:r>
              <w:rPr>
                <w:lang w:val="lt-LT"/>
              </w:rPr>
              <w:t>FM</w:t>
            </w:r>
            <w:r w:rsidR="00CF54E7">
              <w:rPr>
                <w:lang w:val="lt-LT"/>
              </w:rPr>
              <w:t xml:space="preserve">: R. Dapkutė-Stankevičienė, P. </w:t>
            </w:r>
            <w:proofErr w:type="spellStart"/>
            <w:r w:rsidR="00CF54E7">
              <w:rPr>
                <w:lang w:val="lt-LT"/>
              </w:rPr>
              <w:t>Baniūnas</w:t>
            </w:r>
            <w:proofErr w:type="spellEnd"/>
            <w:r w:rsidR="00CF54E7">
              <w:rPr>
                <w:lang w:val="lt-LT"/>
              </w:rPr>
              <w:t xml:space="preserve">, S. </w:t>
            </w:r>
            <w:proofErr w:type="spellStart"/>
            <w:r w:rsidR="00CF54E7">
              <w:rPr>
                <w:lang w:val="lt-LT"/>
              </w:rPr>
              <w:t>Daukilaite-Džibladzė</w:t>
            </w:r>
            <w:proofErr w:type="spellEnd"/>
            <w:r w:rsidR="00CF54E7">
              <w:rPr>
                <w:lang w:val="lt-LT"/>
              </w:rPr>
              <w:t xml:space="preserve">, J. </w:t>
            </w:r>
            <w:proofErr w:type="spellStart"/>
            <w:r w:rsidR="00CF54E7">
              <w:rPr>
                <w:lang w:val="lt-LT"/>
              </w:rPr>
              <w:t>Kvietkė</w:t>
            </w:r>
            <w:proofErr w:type="spellEnd"/>
            <w:r w:rsidR="00CF54E7">
              <w:rPr>
                <w:lang w:val="lt-LT"/>
              </w:rPr>
              <w:t xml:space="preserve">, M. </w:t>
            </w:r>
            <w:proofErr w:type="spellStart"/>
            <w:r w:rsidR="00CF54E7">
              <w:rPr>
                <w:lang w:val="lt-LT"/>
              </w:rPr>
              <w:t>Cancingeris</w:t>
            </w:r>
            <w:proofErr w:type="spellEnd"/>
            <w:r w:rsidR="00CF54E7">
              <w:rPr>
                <w:lang w:val="lt-LT"/>
              </w:rPr>
              <w:t xml:space="preserve">, J. </w:t>
            </w:r>
            <w:proofErr w:type="spellStart"/>
            <w:r w:rsidR="00CF54E7">
              <w:rPr>
                <w:lang w:val="lt-LT"/>
              </w:rPr>
              <w:t>Gratulevičius</w:t>
            </w:r>
            <w:proofErr w:type="spellEnd"/>
            <w:r w:rsidR="005A71FC">
              <w:rPr>
                <w:lang w:val="lt-LT"/>
              </w:rPr>
              <w:t xml:space="preserve">, </w:t>
            </w:r>
            <w:proofErr w:type="spellStart"/>
            <w:r w:rsidR="005A71FC">
              <w:rPr>
                <w:lang w:val="lt-LT"/>
              </w:rPr>
              <w:t>V.Vilimaitė</w:t>
            </w:r>
            <w:proofErr w:type="spellEnd"/>
            <w:r w:rsidR="005A71FC">
              <w:rPr>
                <w:lang w:val="lt-LT"/>
              </w:rPr>
              <w:t>-Zubrickienė</w:t>
            </w:r>
          </w:p>
          <w:p w:rsidR="00CF54E7" w:rsidRPr="00785F99" w:rsidRDefault="004C6C6D" w:rsidP="00CF54E7">
            <w:pPr>
              <w:spacing w:after="160" w:line="259" w:lineRule="auto"/>
              <w:rPr>
                <w:lang w:val="lt-LT"/>
              </w:rPr>
            </w:pPr>
            <w:r>
              <w:rPr>
                <w:lang w:val="lt-LT"/>
              </w:rPr>
              <w:t>CPVA</w:t>
            </w:r>
            <w:r w:rsidR="00CF54E7">
              <w:rPr>
                <w:lang w:val="lt-LT"/>
              </w:rPr>
              <w:t xml:space="preserve"> </w:t>
            </w:r>
            <w:r w:rsidR="00785F99">
              <w:t>L. Ka</w:t>
            </w:r>
            <w:proofErr w:type="spellStart"/>
            <w:r w:rsidR="00785F99">
              <w:rPr>
                <w:lang w:val="lt-LT"/>
              </w:rPr>
              <w:t>šubienė</w:t>
            </w:r>
            <w:proofErr w:type="spellEnd"/>
          </w:p>
          <w:p w:rsidR="004C6C6D" w:rsidRPr="004C6C6D" w:rsidRDefault="00CF54E7" w:rsidP="00CF54E7">
            <w:pPr>
              <w:spacing w:after="160" w:line="259" w:lineRule="auto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="004C6C6D">
              <w:rPr>
                <w:lang w:val="lt-LT"/>
              </w:rPr>
              <w:t xml:space="preserve">viestiniai ekspertai – R. Vilpišauskas, H. </w:t>
            </w:r>
            <w:proofErr w:type="spellStart"/>
            <w:r w:rsidR="004C6C6D">
              <w:rPr>
                <w:lang w:val="lt-LT"/>
              </w:rPr>
              <w:t>Brožaitis</w:t>
            </w:r>
            <w:proofErr w:type="spellEnd"/>
          </w:p>
        </w:tc>
      </w:tr>
    </w:tbl>
    <w:p w:rsidR="004C6C6D" w:rsidRPr="007F0CEB" w:rsidRDefault="004C6C6D" w:rsidP="00CF54E7">
      <w:pPr>
        <w:rPr>
          <w:b/>
          <w:bCs/>
          <w:lang w:val="lt-LT"/>
        </w:rPr>
      </w:pPr>
    </w:p>
    <w:p w:rsidR="004C6C6D" w:rsidRPr="004C6C6D" w:rsidRDefault="004C6C6D" w:rsidP="00CF54E7">
      <w:pPr>
        <w:rPr>
          <w:b/>
          <w:bCs/>
          <w:lang w:val="lt-LT"/>
        </w:rPr>
      </w:pPr>
      <w:r w:rsidRPr="004C6C6D">
        <w:rPr>
          <w:b/>
          <w:bCs/>
          <w:lang w:val="lt-LT"/>
        </w:rPr>
        <w:t>Diskusiniai klausimai: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6C6D" w:rsidTr="004C6C6D">
        <w:tc>
          <w:tcPr>
            <w:tcW w:w="9350" w:type="dxa"/>
          </w:tcPr>
          <w:p w:rsidR="004C6C6D" w:rsidRDefault="004C6C6D" w:rsidP="00CF54E7">
            <w:pPr>
              <w:pStyle w:val="ListParagraph"/>
              <w:numPr>
                <w:ilvl w:val="0"/>
                <w:numId w:val="3"/>
              </w:numPr>
              <w:rPr>
                <w:lang w:val="lt-LT"/>
              </w:rPr>
            </w:pPr>
            <w:r>
              <w:rPr>
                <w:lang w:val="lt-LT"/>
              </w:rPr>
              <w:t xml:space="preserve">Koks Lietuvai labiausiai </w:t>
            </w:r>
            <w:proofErr w:type="spellStart"/>
            <w:r w:rsidRPr="004C6C6D">
              <w:rPr>
                <w:i/>
                <w:iCs/>
                <w:lang w:val="lt-LT"/>
              </w:rPr>
              <w:t>versus</w:t>
            </w:r>
            <w:proofErr w:type="spellEnd"/>
            <w:r>
              <w:rPr>
                <w:lang w:val="lt-LT"/>
              </w:rPr>
              <w:t xml:space="preserve"> mažiausiai priimtinas SP ateities scenarijus? Į kokius scenarijų bruožus vertėtų atkreipti dėmesį?</w:t>
            </w:r>
          </w:p>
          <w:p w:rsidR="004C6C6D" w:rsidRDefault="004C6C6D" w:rsidP="00CF54E7">
            <w:pPr>
              <w:pStyle w:val="ListParagraph"/>
              <w:numPr>
                <w:ilvl w:val="0"/>
                <w:numId w:val="3"/>
              </w:numPr>
              <w:rPr>
                <w:lang w:val="lt-LT"/>
              </w:rPr>
            </w:pPr>
            <w:r>
              <w:rPr>
                <w:lang w:val="lt-LT"/>
              </w:rPr>
              <w:t>Kokie dabartiniai SP bruožai ir principai turi būti išlaikomi, o kuriuos verta keisti?</w:t>
            </w:r>
          </w:p>
          <w:p w:rsidR="004C6C6D" w:rsidRDefault="004C6C6D" w:rsidP="00CF54E7">
            <w:pPr>
              <w:pStyle w:val="ListParagraph"/>
              <w:numPr>
                <w:ilvl w:val="0"/>
                <w:numId w:val="3"/>
              </w:numPr>
              <w:rPr>
                <w:lang w:val="lt-LT"/>
              </w:rPr>
            </w:pPr>
            <w:r>
              <w:rPr>
                <w:lang w:val="lt-LT"/>
              </w:rPr>
              <w:t>Kokiu mastu SP turi būti susiejama su reformomis?</w:t>
            </w:r>
          </w:p>
          <w:p w:rsidR="004C6C6D" w:rsidRPr="004C6C6D" w:rsidRDefault="004C6C6D" w:rsidP="00CF54E7">
            <w:pPr>
              <w:pStyle w:val="ListParagraph"/>
              <w:numPr>
                <w:ilvl w:val="0"/>
                <w:numId w:val="3"/>
              </w:numPr>
              <w:rPr>
                <w:lang w:val="lt-LT"/>
              </w:rPr>
            </w:pPr>
            <w:r>
              <w:rPr>
                <w:lang w:val="lt-LT"/>
              </w:rPr>
              <w:t>Koks optimalus SP santykis su kitais instrumentais? Kokias kitų instrumentų praktikas SP vertėtų perimti, ypač lyginant su RRF?</w:t>
            </w:r>
          </w:p>
        </w:tc>
      </w:tr>
    </w:tbl>
    <w:p w:rsidR="004C6C6D" w:rsidRDefault="004C6C6D" w:rsidP="00C47C0D">
      <w:pPr>
        <w:jc w:val="both"/>
        <w:rPr>
          <w:lang w:val="lt-LT"/>
        </w:rPr>
      </w:pPr>
    </w:p>
    <w:p w:rsidR="00180F88" w:rsidRPr="00D94DC3" w:rsidRDefault="00D94DC3" w:rsidP="000F2B68">
      <w:pPr>
        <w:jc w:val="both"/>
        <w:rPr>
          <w:b/>
          <w:bCs/>
          <w:noProof/>
          <w:lang w:val="lt-LT"/>
        </w:rPr>
      </w:pPr>
      <w:r w:rsidRPr="00D94DC3">
        <w:rPr>
          <w:b/>
          <w:bCs/>
          <w:noProof/>
          <w:lang w:val="lt-LT"/>
        </w:rPr>
        <w:t>Esminės diskusijos mintys: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4F6D" w:rsidTr="001D4F6D">
        <w:tc>
          <w:tcPr>
            <w:tcW w:w="9350" w:type="dxa"/>
          </w:tcPr>
          <w:p w:rsidR="00D27EC4" w:rsidRPr="00A7276D" w:rsidRDefault="008C6F73">
            <w:pPr>
              <w:jc w:val="both"/>
              <w:rPr>
                <w:b/>
                <w:bCs/>
                <w:lang w:val="lt-LT"/>
              </w:rPr>
            </w:pPr>
            <w:r w:rsidRPr="00A7276D">
              <w:rPr>
                <w:b/>
                <w:bCs/>
                <w:lang w:val="lt-LT"/>
              </w:rPr>
              <w:t xml:space="preserve">1. ES lygmens akademinės studijos rodo, jog didžiausią efektą </w:t>
            </w:r>
            <w:r w:rsidR="007B795B">
              <w:rPr>
                <w:b/>
                <w:bCs/>
                <w:lang w:val="lt-LT"/>
              </w:rPr>
              <w:t>valstybių narių</w:t>
            </w:r>
            <w:r w:rsidRPr="00A7276D">
              <w:rPr>
                <w:b/>
                <w:bCs/>
                <w:lang w:val="lt-LT"/>
              </w:rPr>
              <w:t xml:space="preserve"> konvergencijai turi dalyvavimas ES vi</w:t>
            </w:r>
            <w:r w:rsidR="009C700A" w:rsidRPr="00A7276D">
              <w:rPr>
                <w:b/>
                <w:bCs/>
                <w:lang w:val="lt-LT"/>
              </w:rPr>
              <w:t>eningoje</w:t>
            </w:r>
            <w:r w:rsidRPr="00A7276D">
              <w:rPr>
                <w:b/>
                <w:bCs/>
                <w:lang w:val="lt-LT"/>
              </w:rPr>
              <w:t xml:space="preserve"> rinkoje</w:t>
            </w:r>
            <w:r w:rsidR="00D27EC4" w:rsidRPr="00A7276D">
              <w:rPr>
                <w:b/>
                <w:bCs/>
                <w:lang w:val="lt-LT"/>
              </w:rPr>
              <w:t xml:space="preserve">: </w:t>
            </w:r>
          </w:p>
          <w:p w:rsidR="001D4F6D" w:rsidRDefault="00D27EC4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Pr="00D27EC4">
              <w:rPr>
                <w:lang w:val="lt-LT"/>
              </w:rPr>
              <w:t>SP</w:t>
            </w:r>
            <w:r>
              <w:rPr>
                <w:lang w:val="lt-LT"/>
              </w:rPr>
              <w:t xml:space="preserve"> rolė</w:t>
            </w:r>
            <w:r w:rsidR="007B795B">
              <w:rPr>
                <w:lang w:val="lt-LT"/>
              </w:rPr>
              <w:t xml:space="preserve"> nuo</w:t>
            </w:r>
            <w:r w:rsidRPr="00D27EC4">
              <w:rPr>
                <w:lang w:val="lt-LT"/>
              </w:rPr>
              <w:t xml:space="preserve"> </w:t>
            </w:r>
            <w:r w:rsidR="0087655B">
              <w:rPr>
                <w:lang w:val="lt-LT"/>
              </w:rPr>
              <w:t>š</w:t>
            </w:r>
            <w:r w:rsidR="007B795B">
              <w:rPr>
                <w:lang w:val="lt-LT"/>
              </w:rPr>
              <w:t>ios politikos atsiradimo ištakų</w:t>
            </w:r>
            <w:r w:rsidRPr="00D27EC4">
              <w:rPr>
                <w:lang w:val="lt-LT"/>
              </w:rPr>
              <w:t xml:space="preserve"> </w:t>
            </w:r>
            <w:r w:rsidR="00F12518">
              <w:rPr>
                <w:lang w:val="lt-LT"/>
              </w:rPr>
              <w:t xml:space="preserve">iš esmės </w:t>
            </w:r>
            <w:r w:rsidR="0087655B">
              <w:rPr>
                <w:lang w:val="lt-LT"/>
              </w:rPr>
              <w:t>buvo</w:t>
            </w:r>
            <w:r>
              <w:rPr>
                <w:lang w:val="lt-LT"/>
              </w:rPr>
              <w:t xml:space="preserve"> </w:t>
            </w:r>
            <w:r w:rsidR="007B795B">
              <w:rPr>
                <w:lang w:val="lt-LT"/>
              </w:rPr>
              <w:t>skirta</w:t>
            </w:r>
            <w:r>
              <w:rPr>
                <w:lang w:val="lt-LT"/>
              </w:rPr>
              <w:t xml:space="preserve"> perskirstyti </w:t>
            </w:r>
            <w:r w:rsidRPr="00D27EC4">
              <w:rPr>
                <w:lang w:val="lt-LT"/>
              </w:rPr>
              <w:t>lėšas tarp regionų arba kompensuo</w:t>
            </w:r>
            <w:r>
              <w:rPr>
                <w:lang w:val="lt-LT"/>
              </w:rPr>
              <w:t>ti</w:t>
            </w:r>
            <w:r w:rsidRPr="00D27EC4">
              <w:rPr>
                <w:lang w:val="lt-LT"/>
              </w:rPr>
              <w:t xml:space="preserve"> rinkos ydas</w:t>
            </w:r>
            <w:r w:rsidR="003324F3">
              <w:rPr>
                <w:lang w:val="lt-LT"/>
              </w:rPr>
              <w:t xml:space="preserve"> </w:t>
            </w:r>
            <w:r w:rsidR="003324F3" w:rsidRPr="003324F3">
              <w:rPr>
                <w:lang w:val="lt-LT"/>
              </w:rPr>
              <w:sym w:font="Wingdings" w:char="F0E0"/>
            </w:r>
            <w:r w:rsidR="003324F3">
              <w:rPr>
                <w:lang w:val="lt-LT"/>
              </w:rPr>
              <w:t xml:space="preserve"> SP atveju ES lygiu kyla nuolatinė įtampa tarp perskirstymo ir</w:t>
            </w:r>
            <w:r w:rsidR="007B795B">
              <w:rPr>
                <w:lang w:val="lt-LT"/>
              </w:rPr>
              <w:t xml:space="preserve"> investicijų į </w:t>
            </w:r>
            <w:r w:rsidR="003324F3">
              <w:rPr>
                <w:lang w:val="lt-LT"/>
              </w:rPr>
              <w:t>augim</w:t>
            </w:r>
            <w:r w:rsidR="007B795B">
              <w:rPr>
                <w:lang w:val="lt-LT"/>
              </w:rPr>
              <w:t>ą</w:t>
            </w:r>
            <w:r w:rsidR="003324F3">
              <w:rPr>
                <w:lang w:val="lt-LT"/>
              </w:rPr>
              <w:t>.</w:t>
            </w:r>
          </w:p>
          <w:p w:rsidR="003324F3" w:rsidRDefault="003324F3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Šiuo metu SP ekonominė plėtra yra prioritetas, o socialinė ir teritorinė konvergencija yra antraeilė („pamiršta“)</w:t>
            </w:r>
            <w:r w:rsidR="00766D4E">
              <w:rPr>
                <w:lang w:val="lt-LT"/>
              </w:rPr>
              <w:t>.</w:t>
            </w:r>
          </w:p>
          <w:p w:rsidR="006C234E" w:rsidRDefault="00B13FE0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Kitos ES politikos dalinai kenkia „nedaryti žalos sanglaudai“ principui (pavyzdžiui, apribojimai paslaugoms)</w:t>
            </w:r>
            <w:r w:rsidR="006C234E">
              <w:rPr>
                <w:lang w:val="lt-LT"/>
              </w:rPr>
              <w:t>.</w:t>
            </w:r>
          </w:p>
          <w:p w:rsidR="00292592" w:rsidRDefault="00292592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="009C700A">
              <w:rPr>
                <w:lang w:val="lt-LT"/>
              </w:rPr>
              <w:t>LT poreikis ir galimybė įvertinti, kurios sritys/sektoriai turi didžiausią potencialą sustiprinti Lietuvos pozicijas ES vieningos rinkos</w:t>
            </w:r>
            <w:r w:rsidR="00BC2CFB">
              <w:rPr>
                <w:lang w:val="lt-LT"/>
              </w:rPr>
              <w:t xml:space="preserve"> mechanizmuose.</w:t>
            </w:r>
          </w:p>
          <w:p w:rsidR="0052032D" w:rsidRDefault="0052032D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LT svarbu infrastruktūros jungtys su ES ir kaimyninėmis valstybėmis (3B, PL) </w:t>
            </w:r>
            <w:r w:rsidRPr="0052032D">
              <w:rPr>
                <w:lang w:val="lt-LT"/>
              </w:rPr>
              <w:sym w:font="Wingdings" w:char="F0E0"/>
            </w:r>
            <w:r>
              <w:rPr>
                <w:lang w:val="lt-LT"/>
              </w:rPr>
              <w:t xml:space="preserve"> Lietuva yra ES </w:t>
            </w:r>
            <w:r w:rsidR="0087655B">
              <w:rPr>
                <w:lang w:val="lt-LT"/>
              </w:rPr>
              <w:t>išorės sienos</w:t>
            </w:r>
            <w:r>
              <w:rPr>
                <w:lang w:val="lt-LT"/>
              </w:rPr>
              <w:t xml:space="preserve"> valstybė – geresnis junglumas didina galimybes veikti vieningoje rinkoje.</w:t>
            </w:r>
          </w:p>
          <w:p w:rsidR="00BC2CFB" w:rsidRDefault="00BC2CFB">
            <w:pPr>
              <w:jc w:val="both"/>
              <w:rPr>
                <w:lang w:val="lt-LT"/>
              </w:rPr>
            </w:pPr>
          </w:p>
          <w:p w:rsidR="00292592" w:rsidRDefault="00292592">
            <w:pPr>
              <w:jc w:val="both"/>
              <w:rPr>
                <w:lang w:val="lt-LT"/>
              </w:rPr>
            </w:pPr>
            <w:r w:rsidRPr="00A7276D">
              <w:rPr>
                <w:b/>
                <w:bCs/>
                <w:lang w:val="lt-LT"/>
              </w:rPr>
              <w:t>2. SP yra bene didžiausias ES investavimo instrumentas, todėl SP</w:t>
            </w:r>
            <w:r w:rsidRPr="00BC2CFB">
              <w:rPr>
                <w:b/>
                <w:bCs/>
                <w:lang w:val="lt-LT"/>
              </w:rPr>
              <w:t xml:space="preserve"> svarbu matyti tarptautinį kontekstą</w:t>
            </w:r>
            <w:r w:rsidR="00BC2CFB">
              <w:rPr>
                <w:lang w:val="lt-LT"/>
              </w:rPr>
              <w:t>:</w:t>
            </w:r>
          </w:p>
          <w:p w:rsidR="00292592" w:rsidRDefault="00292592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="00BC2CFB">
              <w:rPr>
                <w:lang w:val="lt-LT"/>
              </w:rPr>
              <w:t>SP  tikslai ir konkretūs uždaviniai turi būti nukreipti į vieningos rinkos stiprinimą</w:t>
            </w:r>
            <w:r w:rsidR="0052032D">
              <w:rPr>
                <w:lang w:val="lt-LT"/>
              </w:rPr>
              <w:t>.</w:t>
            </w:r>
          </w:p>
          <w:p w:rsidR="0052032D" w:rsidRDefault="00BC2CFB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="0052032D">
              <w:rPr>
                <w:lang w:val="lt-LT"/>
              </w:rPr>
              <w:t xml:space="preserve">SP turi prisidėti prie globalios ES konkurencijos su JAV ir Kinija ir atliepti </w:t>
            </w:r>
            <w:proofErr w:type="spellStart"/>
            <w:r w:rsidR="0052032D">
              <w:rPr>
                <w:lang w:val="lt-LT"/>
              </w:rPr>
              <w:t>mega</w:t>
            </w:r>
            <w:proofErr w:type="spellEnd"/>
            <w:r w:rsidR="0052032D">
              <w:rPr>
                <w:lang w:val="lt-LT"/>
              </w:rPr>
              <w:t>-tendencijas (</w:t>
            </w:r>
            <w:r w:rsidR="00983B3D">
              <w:rPr>
                <w:lang w:val="lt-LT"/>
              </w:rPr>
              <w:t xml:space="preserve">globalizacija, klimato kaita, </w:t>
            </w:r>
            <w:r w:rsidR="0052032D">
              <w:rPr>
                <w:lang w:val="lt-LT"/>
              </w:rPr>
              <w:t xml:space="preserve"> ir skaitmeninė pertvark</w:t>
            </w:r>
            <w:r w:rsidR="00983B3D">
              <w:rPr>
                <w:lang w:val="lt-LT"/>
              </w:rPr>
              <w:t>a</w:t>
            </w:r>
            <w:r w:rsidR="0052032D">
              <w:rPr>
                <w:lang w:val="lt-LT"/>
              </w:rPr>
              <w:t xml:space="preserve">, </w:t>
            </w:r>
            <w:r w:rsidR="00983B3D">
              <w:rPr>
                <w:lang w:val="lt-LT"/>
              </w:rPr>
              <w:t>demografiniai pokyčiai</w:t>
            </w:r>
            <w:r w:rsidR="0052032D">
              <w:rPr>
                <w:lang w:val="lt-LT"/>
              </w:rPr>
              <w:t>).</w:t>
            </w:r>
          </w:p>
          <w:p w:rsidR="006C234E" w:rsidRDefault="0052032D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SP turi prisidėti prie ES atsparumo didinimo</w:t>
            </w:r>
            <w:r w:rsidR="006C234E">
              <w:rPr>
                <w:lang w:val="lt-LT"/>
              </w:rPr>
              <w:t xml:space="preserve"> (SP neturi būti instrumentas per kurį užtikrinamas investavimas į augančias ES ambicijas, o būtų fokusuojam</w:t>
            </w:r>
            <w:r w:rsidR="0045009C">
              <w:rPr>
                <w:lang w:val="lt-LT"/>
              </w:rPr>
              <w:t>a</w:t>
            </w:r>
            <w:r w:rsidR="006C234E">
              <w:rPr>
                <w:lang w:val="lt-LT"/>
              </w:rPr>
              <w:t>si į struktūrinius netolygumus ir gilumines VN netolygumų problemų priežastis).</w:t>
            </w:r>
          </w:p>
          <w:p w:rsidR="0052032D" w:rsidRDefault="0052032D">
            <w:pPr>
              <w:ind w:left="720"/>
              <w:jc w:val="both"/>
              <w:rPr>
                <w:lang w:val="lt-LT"/>
              </w:rPr>
            </w:pPr>
          </w:p>
          <w:p w:rsidR="0052032D" w:rsidRDefault="0052032D">
            <w:pPr>
              <w:jc w:val="both"/>
              <w:rPr>
                <w:lang w:val="lt-LT"/>
              </w:rPr>
            </w:pPr>
            <w:r w:rsidRPr="00A7276D">
              <w:rPr>
                <w:b/>
                <w:bCs/>
                <w:lang w:val="lt-LT"/>
              </w:rPr>
              <w:t>3.</w:t>
            </w:r>
            <w:r>
              <w:rPr>
                <w:lang w:val="lt-LT"/>
              </w:rPr>
              <w:t xml:space="preserve"> </w:t>
            </w:r>
            <w:r w:rsidRPr="00A7276D">
              <w:rPr>
                <w:b/>
                <w:bCs/>
                <w:lang w:val="lt-LT"/>
              </w:rPr>
              <w:t>LT norėdama valdyti vidutinių pajamų spąstų rizikas privalo siekti SP aktyvios rolės</w:t>
            </w:r>
            <w:r w:rsidR="00F0404E" w:rsidRPr="00A7276D">
              <w:rPr>
                <w:b/>
                <w:bCs/>
                <w:lang w:val="lt-LT"/>
              </w:rPr>
              <w:t>, atitinkančios LT2050 strategijos prioritetus</w:t>
            </w:r>
            <w:r w:rsidR="00A7276D">
              <w:rPr>
                <w:b/>
                <w:bCs/>
                <w:lang w:val="lt-LT"/>
              </w:rPr>
              <w:t xml:space="preserve"> ir kitus nacionalinio planavimo dokumentus</w:t>
            </w:r>
            <w:r w:rsidR="00F0404E">
              <w:rPr>
                <w:lang w:val="lt-LT"/>
              </w:rPr>
              <w:t>:</w:t>
            </w:r>
          </w:p>
          <w:p w:rsidR="00FB3482" w:rsidRDefault="00F0404E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Investicijos</w:t>
            </w:r>
            <w:r w:rsidR="00A7276D">
              <w:rPr>
                <w:lang w:val="lt-LT"/>
              </w:rPr>
              <w:t xml:space="preserve"> į įgūdžius, technologijas ir inovacijas</w:t>
            </w:r>
            <w:r w:rsidR="0019528F">
              <w:rPr>
                <w:lang w:val="lt-LT"/>
              </w:rPr>
              <w:t xml:space="preserve"> (kuriančias</w:t>
            </w:r>
            <w:r w:rsidR="005F7686">
              <w:rPr>
                <w:lang w:val="lt-LT"/>
              </w:rPr>
              <w:t xml:space="preserve"> aukštos pridėtinės vertės</w:t>
            </w:r>
            <w:r w:rsidR="0019528F">
              <w:rPr>
                <w:lang w:val="lt-LT"/>
              </w:rPr>
              <w:t xml:space="preserve"> darbo vietas), gerą valdyseną</w:t>
            </w:r>
            <w:r w:rsidR="00A7276D">
              <w:rPr>
                <w:lang w:val="lt-LT"/>
              </w:rPr>
              <w:t xml:space="preserve"> turi būti</w:t>
            </w:r>
            <w:r w:rsidR="00766D4E">
              <w:rPr>
                <w:lang w:val="lt-LT"/>
              </w:rPr>
              <w:t xml:space="preserve"> SP</w:t>
            </w:r>
            <w:r w:rsidR="00A7276D">
              <w:rPr>
                <w:lang w:val="lt-LT"/>
              </w:rPr>
              <w:t xml:space="preserve"> prioritetas</w:t>
            </w:r>
            <w:r w:rsidR="0045009C">
              <w:rPr>
                <w:lang w:val="lt-LT"/>
              </w:rPr>
              <w:t>, nes ta</w:t>
            </w:r>
            <w:r w:rsidR="00C61A37">
              <w:rPr>
                <w:lang w:val="lt-LT"/>
              </w:rPr>
              <w:t>i</w:t>
            </w:r>
            <w:r w:rsidR="0045009C">
              <w:rPr>
                <w:lang w:val="lt-LT"/>
              </w:rPr>
              <w:t xml:space="preserve"> yra faktoriai, padedantys išvengti arba išeiti iš vidutinių pajamų spąstų</w:t>
            </w:r>
            <w:r w:rsidR="00C61A37">
              <w:rPr>
                <w:lang w:val="lt-LT"/>
              </w:rPr>
              <w:t xml:space="preserve">. </w:t>
            </w:r>
            <w:r w:rsidR="00FB3482" w:rsidDel="00C61A37">
              <w:rPr>
                <w:lang w:val="lt-LT"/>
              </w:rPr>
              <w:t xml:space="preserve"> </w:t>
            </w:r>
          </w:p>
          <w:p w:rsidR="00A04AC5" w:rsidRDefault="00FB3482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Investicijos į infrastruktūrą (vyksta sėkmingai)</w:t>
            </w:r>
            <w:r w:rsidRPr="009647D5">
              <w:rPr>
                <w:i/>
                <w:iCs/>
                <w:lang w:val="lt-LT"/>
              </w:rPr>
              <w:t xml:space="preserve"> </w:t>
            </w:r>
            <w:proofErr w:type="spellStart"/>
            <w:r w:rsidRPr="009647D5">
              <w:rPr>
                <w:i/>
                <w:iCs/>
                <w:lang w:val="lt-LT"/>
              </w:rPr>
              <w:t>versus</w:t>
            </w:r>
            <w:proofErr w:type="spellEnd"/>
            <w:r>
              <w:rPr>
                <w:lang w:val="lt-LT"/>
              </w:rPr>
              <w:t xml:space="preserve"> investicijos į „žmogų“ (reikėtų stiprinti). Reikalinga didesnė sinergija tarp šių investicijų (ypač </w:t>
            </w:r>
            <w:proofErr w:type="spellStart"/>
            <w:r>
              <w:rPr>
                <w:lang w:val="lt-LT"/>
              </w:rPr>
              <w:t>įveiklinant</w:t>
            </w:r>
            <w:proofErr w:type="spellEnd"/>
            <w:r>
              <w:rPr>
                <w:lang w:val="lt-LT"/>
              </w:rPr>
              <w:t xml:space="preserve"> infrastruktūrą, užtikrinant išlaikymą ir palaikymą/atnaujinimą).</w:t>
            </w:r>
          </w:p>
          <w:p w:rsidR="003324F3" w:rsidRDefault="00A7276D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Prieš post-2027 SP laikotarpį Lietuva turi turėti parengtą naują N</w:t>
            </w:r>
            <w:r w:rsidR="00C61A37">
              <w:rPr>
                <w:lang w:val="lt-LT"/>
              </w:rPr>
              <w:t>acionalinės pažangos planą</w:t>
            </w:r>
            <w:r>
              <w:rPr>
                <w:lang w:val="lt-LT"/>
              </w:rPr>
              <w:t>, jog programavimas remtųsi aiškiomis valstybės prioritetinės investavimo gairės 2030-2040 m. laikotarpiui.</w:t>
            </w:r>
          </w:p>
          <w:p w:rsidR="00B13FE0" w:rsidRDefault="00B13FE0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Tam tikr</w:t>
            </w:r>
            <w:r w:rsidR="0045009C">
              <w:rPr>
                <w:lang w:val="lt-LT"/>
              </w:rPr>
              <w:t>ų</w:t>
            </w:r>
            <w:r>
              <w:rPr>
                <w:lang w:val="lt-LT"/>
              </w:rPr>
              <w:t xml:space="preserve"> nacionalinės politikos sektori</w:t>
            </w:r>
            <w:r w:rsidR="0045009C">
              <w:rPr>
                <w:lang w:val="lt-LT"/>
              </w:rPr>
              <w:t>ų investicijoms</w:t>
            </w:r>
            <w:r>
              <w:rPr>
                <w:lang w:val="lt-LT"/>
              </w:rPr>
              <w:t xml:space="preserve"> (švietimas, </w:t>
            </w:r>
            <w:r w:rsidR="007B50F4">
              <w:rPr>
                <w:lang w:val="lt-LT"/>
              </w:rPr>
              <w:t xml:space="preserve">mokslas, </w:t>
            </w:r>
            <w:r>
              <w:rPr>
                <w:lang w:val="lt-LT"/>
              </w:rPr>
              <w:t>sveikata</w:t>
            </w:r>
            <w:r w:rsidR="0045009C">
              <w:rPr>
                <w:lang w:val="lt-LT"/>
              </w:rPr>
              <w:t xml:space="preserve"> ir kt.</w:t>
            </w:r>
            <w:r>
              <w:rPr>
                <w:lang w:val="lt-LT"/>
              </w:rPr>
              <w:t xml:space="preserve">) SP sukuria </w:t>
            </w:r>
            <w:r w:rsidR="0045009C">
              <w:rPr>
                <w:lang w:val="lt-LT"/>
              </w:rPr>
              <w:t>didelę priklausomybę nuo išorės finansavimo</w:t>
            </w:r>
            <w:r>
              <w:rPr>
                <w:lang w:val="lt-LT"/>
              </w:rPr>
              <w:t>,</w:t>
            </w:r>
            <w:r w:rsidR="007B50F4">
              <w:rPr>
                <w:lang w:val="lt-LT"/>
              </w:rPr>
              <w:t xml:space="preserve"> neskatina</w:t>
            </w:r>
            <w:r w:rsidR="00FC1651">
              <w:rPr>
                <w:lang w:val="lt-LT"/>
              </w:rPr>
              <w:t xml:space="preserve"> efektyviai</w:t>
            </w:r>
            <w:r w:rsidR="007B50F4">
              <w:rPr>
                <w:lang w:val="lt-LT"/>
              </w:rPr>
              <w:t xml:space="preserve"> optimizuoti savo </w:t>
            </w:r>
            <w:r w:rsidR="00A04AC5">
              <w:rPr>
                <w:lang w:val="lt-LT"/>
              </w:rPr>
              <w:t>ekosistemos</w:t>
            </w:r>
            <w:r w:rsidR="007B50F4">
              <w:rPr>
                <w:lang w:val="lt-LT"/>
              </w:rPr>
              <w:t>,</w:t>
            </w:r>
            <w:r>
              <w:rPr>
                <w:lang w:val="lt-LT"/>
              </w:rPr>
              <w:t xml:space="preserve"> todėl turi būti siekiama </w:t>
            </w:r>
            <w:r w:rsidR="007B50F4">
              <w:rPr>
                <w:lang w:val="lt-LT"/>
              </w:rPr>
              <w:t>mažinti priklausomybę</w:t>
            </w:r>
            <w:r>
              <w:rPr>
                <w:lang w:val="lt-LT"/>
              </w:rPr>
              <w:t xml:space="preserve"> nuo ES dotacijų.</w:t>
            </w:r>
          </w:p>
          <w:p w:rsidR="00F0404E" w:rsidRDefault="00F0404E">
            <w:pPr>
              <w:jc w:val="both"/>
              <w:rPr>
                <w:lang w:val="lt-LT"/>
              </w:rPr>
            </w:pPr>
          </w:p>
          <w:p w:rsidR="00F0404E" w:rsidRDefault="00F0404E">
            <w:pPr>
              <w:jc w:val="both"/>
              <w:rPr>
                <w:lang w:val="lt-LT"/>
              </w:rPr>
            </w:pPr>
            <w:r w:rsidRPr="003324F3">
              <w:rPr>
                <w:b/>
                <w:bCs/>
                <w:lang w:val="lt-LT"/>
              </w:rPr>
              <w:t>4.</w:t>
            </w:r>
            <w:r>
              <w:rPr>
                <w:lang w:val="lt-LT"/>
              </w:rPr>
              <w:t xml:space="preserve"> </w:t>
            </w:r>
            <w:r w:rsidRPr="00A7276D">
              <w:rPr>
                <w:b/>
                <w:bCs/>
                <w:lang w:val="lt-LT"/>
              </w:rPr>
              <w:t>SP krepšelio</w:t>
            </w:r>
            <w:r w:rsidR="003324F3">
              <w:rPr>
                <w:b/>
                <w:bCs/>
                <w:lang w:val="lt-LT"/>
              </w:rPr>
              <w:t xml:space="preserve"> pokyčiai turi rizikų, kurios</w:t>
            </w:r>
            <w:r w:rsidRPr="00A7276D">
              <w:rPr>
                <w:b/>
                <w:bCs/>
                <w:lang w:val="lt-LT"/>
              </w:rPr>
              <w:t xml:space="preserve"> Lietuvai nebūtinai yra nauding</w:t>
            </w:r>
            <w:r w:rsidR="00A04AC5">
              <w:rPr>
                <w:b/>
                <w:bCs/>
                <w:lang w:val="lt-LT"/>
              </w:rPr>
              <w:t>os</w:t>
            </w:r>
            <w:r>
              <w:rPr>
                <w:lang w:val="lt-LT"/>
              </w:rPr>
              <w:t>:</w:t>
            </w:r>
          </w:p>
          <w:p w:rsidR="000F68D4" w:rsidRDefault="00F0404E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</w:t>
            </w:r>
            <w:r w:rsidR="000F68D4">
              <w:rPr>
                <w:lang w:val="lt-LT"/>
              </w:rPr>
              <w:t xml:space="preserve"> LT SP yra labai reikšminga, nes sudaro ½ </w:t>
            </w:r>
            <w:r w:rsidR="002261F4">
              <w:rPr>
                <w:lang w:val="lt-LT"/>
              </w:rPr>
              <w:t>viso</w:t>
            </w:r>
            <w:r w:rsidR="000F68D4">
              <w:rPr>
                <w:lang w:val="lt-LT"/>
              </w:rPr>
              <w:t xml:space="preserve"> Lietuvos </w:t>
            </w:r>
            <w:r w:rsidR="00F12518">
              <w:rPr>
                <w:lang w:val="lt-LT"/>
              </w:rPr>
              <w:t>viešųjų investicijų po</w:t>
            </w:r>
            <w:r w:rsidR="002261F4">
              <w:rPr>
                <w:lang w:val="lt-LT"/>
              </w:rPr>
              <w:t>r</w:t>
            </w:r>
            <w:r w:rsidR="00F12518">
              <w:rPr>
                <w:lang w:val="lt-LT"/>
              </w:rPr>
              <w:t>t</w:t>
            </w:r>
            <w:r w:rsidR="002261F4">
              <w:rPr>
                <w:lang w:val="lt-LT"/>
              </w:rPr>
              <w:t>felio.</w:t>
            </w:r>
          </w:p>
          <w:p w:rsidR="00F0404E" w:rsidRDefault="000F68D4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</w:t>
            </w:r>
            <w:r w:rsidR="003324F3">
              <w:rPr>
                <w:lang w:val="lt-LT"/>
              </w:rPr>
              <w:t xml:space="preserve">LT, artėjant prie 100 % ES BVP vidurkio – kiekvienas papildomas euras iš ES nebeatneš tokio teigiamo poveikio BVP augimui </w:t>
            </w:r>
            <w:r w:rsidR="003324F3" w:rsidRPr="003324F3">
              <w:rPr>
                <w:lang w:val="lt-LT"/>
              </w:rPr>
              <w:sym w:font="Wingdings" w:char="F0E0"/>
            </w:r>
            <w:r w:rsidR="003324F3">
              <w:rPr>
                <w:lang w:val="lt-LT"/>
              </w:rPr>
              <w:t xml:space="preserve"> svarbu ne kiek lėšų, o kaip jos naudojamos.</w:t>
            </w:r>
          </w:p>
          <w:p w:rsidR="00A7276D" w:rsidRDefault="00A7276D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- 2021-2027 m. ES DFP derybos parodė, kad SP VN vokai didinami ES lygmens iniciatyvų sąskaita (dažniausiai nuimama nuo TEN-T tinklų arba MTEPI </w:t>
            </w:r>
            <w:proofErr w:type="spellStart"/>
            <w:r>
              <w:rPr>
                <w:lang w:val="lt-LT"/>
              </w:rPr>
              <w:t>Horizon</w:t>
            </w:r>
            <w:proofErr w:type="spellEnd"/>
            <w:r>
              <w:rPr>
                <w:lang w:val="lt-LT"/>
              </w:rPr>
              <w:t xml:space="preserve"> pinigų) </w:t>
            </w:r>
            <w:r w:rsidRPr="00A7276D">
              <w:rPr>
                <w:lang w:val="lt-LT"/>
              </w:rPr>
              <w:sym w:font="Wingdings" w:char="F0E0"/>
            </w:r>
            <w:r>
              <w:rPr>
                <w:lang w:val="lt-LT"/>
              </w:rPr>
              <w:t xml:space="preserve"> Lietuva turi neišnaudotas galimybės, stipriau </w:t>
            </w:r>
            <w:proofErr w:type="spellStart"/>
            <w:r>
              <w:rPr>
                <w:lang w:val="lt-LT"/>
              </w:rPr>
              <w:t>įsitinklinti</w:t>
            </w:r>
            <w:proofErr w:type="spellEnd"/>
            <w:r>
              <w:rPr>
                <w:lang w:val="lt-LT"/>
              </w:rPr>
              <w:t xml:space="preserve"> į ES lygmens iniciatyvas ir programas (nesiremiant vien SP dotacijomis)</w:t>
            </w:r>
            <w:r w:rsidR="003324F3">
              <w:rPr>
                <w:lang w:val="lt-LT"/>
              </w:rPr>
              <w:t>.</w:t>
            </w:r>
          </w:p>
          <w:p w:rsidR="002046A5" w:rsidRDefault="002046A5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LT </w:t>
            </w:r>
            <w:r w:rsidR="007B50F4">
              <w:rPr>
                <w:lang w:val="lt-LT"/>
              </w:rPr>
              <w:t>arti</w:t>
            </w:r>
            <w:r>
              <w:rPr>
                <w:lang w:val="lt-LT"/>
              </w:rPr>
              <w:t xml:space="preserve"> 90 % ES BVP vidurk</w:t>
            </w:r>
            <w:r w:rsidR="007B50F4">
              <w:rPr>
                <w:lang w:val="lt-LT"/>
              </w:rPr>
              <w:t xml:space="preserve">io, todėl </w:t>
            </w:r>
            <w:r>
              <w:rPr>
                <w:lang w:val="lt-LT"/>
              </w:rPr>
              <w:t xml:space="preserve"> netenkame Sa</w:t>
            </w:r>
            <w:r w:rsidR="00F12518">
              <w:rPr>
                <w:lang w:val="lt-LT"/>
              </w:rPr>
              <w:t>nglaudos</w:t>
            </w:r>
            <w:r>
              <w:rPr>
                <w:lang w:val="lt-LT"/>
              </w:rPr>
              <w:t xml:space="preserve"> fondo. Taip pat, </w:t>
            </w:r>
            <w:r w:rsidR="007B50F4">
              <w:rPr>
                <w:lang w:val="lt-LT"/>
              </w:rPr>
              <w:t xml:space="preserve">kitame laikotarpyje </w:t>
            </w:r>
            <w:r>
              <w:rPr>
                <w:lang w:val="lt-LT"/>
              </w:rPr>
              <w:t>galime tapti neto mokėtoju – auginsime krepšelį, patys ir mokėsime.</w:t>
            </w:r>
          </w:p>
          <w:p w:rsidR="001A02C2" w:rsidRDefault="001A02C2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Turime nepamiršti, kad pasibaigus karui UA, bus skiriama didelė ES parama tiek UA atstatymui, tiek </w:t>
            </w:r>
            <w:r w:rsidR="003251A3">
              <w:rPr>
                <w:lang w:val="lt-LT"/>
              </w:rPr>
              <w:t xml:space="preserve">pasiruošimui </w:t>
            </w:r>
            <w:r w:rsidR="00F12518">
              <w:rPr>
                <w:lang w:val="lt-LT"/>
              </w:rPr>
              <w:t>integracijai</w:t>
            </w:r>
            <w:r>
              <w:rPr>
                <w:lang w:val="lt-LT"/>
              </w:rPr>
              <w:t>,</w:t>
            </w:r>
            <w:r w:rsidR="00A57FA7">
              <w:rPr>
                <w:lang w:val="lt-LT"/>
              </w:rPr>
              <w:t xml:space="preserve"> taip pat NGEU lėšų grąžinimas,</w:t>
            </w:r>
            <w:r>
              <w:rPr>
                <w:lang w:val="lt-LT"/>
              </w:rPr>
              <w:t xml:space="preserve"> todėl dalis ES bi</w:t>
            </w:r>
            <w:r w:rsidR="003251A3">
              <w:rPr>
                <w:lang w:val="lt-LT"/>
              </w:rPr>
              <w:t>udžeto turėtų būti skiriama ši</w:t>
            </w:r>
            <w:r w:rsidR="00A57FA7">
              <w:rPr>
                <w:lang w:val="lt-LT"/>
              </w:rPr>
              <w:t>ems</w:t>
            </w:r>
            <w:r>
              <w:rPr>
                <w:lang w:val="lt-LT"/>
              </w:rPr>
              <w:t xml:space="preserve"> tiksl</w:t>
            </w:r>
            <w:r w:rsidR="00A57FA7">
              <w:rPr>
                <w:lang w:val="lt-LT"/>
              </w:rPr>
              <w:t>ams</w:t>
            </w:r>
            <w:r w:rsidR="003251A3">
              <w:rPr>
                <w:lang w:val="lt-LT"/>
              </w:rPr>
              <w:t xml:space="preserve"> (</w:t>
            </w:r>
            <w:r>
              <w:rPr>
                <w:lang w:val="lt-LT"/>
              </w:rPr>
              <w:t>kitų programų sąskaita</w:t>
            </w:r>
            <w:r w:rsidR="003251A3">
              <w:rPr>
                <w:lang w:val="lt-LT"/>
              </w:rPr>
              <w:t>)</w:t>
            </w:r>
            <w:r>
              <w:rPr>
                <w:lang w:val="lt-LT"/>
              </w:rPr>
              <w:t>.</w:t>
            </w:r>
            <w:r w:rsidR="000F68D4">
              <w:rPr>
                <w:lang w:val="lt-LT"/>
              </w:rPr>
              <w:t xml:space="preserve"> </w:t>
            </w:r>
          </w:p>
          <w:p w:rsidR="00A7276D" w:rsidRDefault="00A7276D">
            <w:pPr>
              <w:jc w:val="both"/>
              <w:rPr>
                <w:lang w:val="lt-LT"/>
              </w:rPr>
            </w:pPr>
          </w:p>
          <w:p w:rsidR="00D27EC4" w:rsidRDefault="003324F3">
            <w:pPr>
              <w:jc w:val="both"/>
              <w:rPr>
                <w:b/>
                <w:bCs/>
                <w:lang w:val="lt-LT"/>
              </w:rPr>
            </w:pPr>
            <w:r w:rsidRPr="003324F3">
              <w:rPr>
                <w:b/>
                <w:bCs/>
                <w:lang w:val="lt-LT"/>
              </w:rPr>
              <w:t xml:space="preserve">5. </w:t>
            </w:r>
            <w:r w:rsidR="00F802BA">
              <w:rPr>
                <w:b/>
                <w:bCs/>
                <w:lang w:val="lt-LT"/>
              </w:rPr>
              <w:t>SP santykis su regionine politika ir balansas tarp ES regionų</w:t>
            </w:r>
            <w:r w:rsidR="00C14EAF">
              <w:rPr>
                <w:b/>
                <w:bCs/>
                <w:lang w:val="lt-LT"/>
              </w:rPr>
              <w:t>:</w:t>
            </w:r>
          </w:p>
          <w:p w:rsidR="00C14EAF" w:rsidRDefault="00C14EAF">
            <w:pPr>
              <w:ind w:left="720"/>
              <w:jc w:val="both"/>
              <w:rPr>
                <w:lang w:val="lt-LT"/>
              </w:rPr>
            </w:pPr>
            <w:r w:rsidRPr="00C14EAF">
              <w:rPr>
                <w:lang w:val="lt-LT"/>
              </w:rPr>
              <w:t xml:space="preserve">- </w:t>
            </w:r>
            <w:r w:rsidR="002C0DAD">
              <w:rPr>
                <w:lang w:val="lt-LT"/>
              </w:rPr>
              <w:t>Kadangi SP tikslas yra kuo labiau padėti mažiausiai išsivysčiusiems regionam</w:t>
            </w:r>
            <w:r w:rsidR="00073120">
              <w:rPr>
                <w:lang w:val="lt-LT"/>
              </w:rPr>
              <w:t>s</w:t>
            </w:r>
            <w:r w:rsidR="00A11459">
              <w:rPr>
                <w:lang w:val="lt-LT"/>
              </w:rPr>
              <w:t>, t</w:t>
            </w:r>
            <w:r w:rsidR="002C0DAD">
              <w:rPr>
                <w:lang w:val="lt-LT"/>
              </w:rPr>
              <w:t xml:space="preserve">ai kelia riziką </w:t>
            </w:r>
            <w:r w:rsidR="002046A5">
              <w:rPr>
                <w:lang w:val="lt-LT"/>
              </w:rPr>
              <w:t>sumažinti neto mokėtojų įsitraukim</w:t>
            </w:r>
            <w:r w:rsidR="00073120">
              <w:rPr>
                <w:lang w:val="lt-LT"/>
              </w:rPr>
              <w:t>ą, motyvaciją bei įtaką ir lem</w:t>
            </w:r>
            <w:r w:rsidR="00A11459">
              <w:rPr>
                <w:lang w:val="lt-LT"/>
              </w:rPr>
              <w:t>ia</w:t>
            </w:r>
            <w:r w:rsidR="00073120">
              <w:rPr>
                <w:lang w:val="lt-LT"/>
              </w:rPr>
              <w:t xml:space="preserve"> mažėjančius</w:t>
            </w:r>
            <w:r w:rsidR="002046A5">
              <w:rPr>
                <w:lang w:val="lt-LT"/>
              </w:rPr>
              <w:t xml:space="preserve"> krepšelius </w:t>
            </w:r>
            <w:r w:rsidR="00823E42">
              <w:rPr>
                <w:lang w:val="lt-LT"/>
              </w:rPr>
              <w:t>neto žaidėjams (be aktyvaus jų įsitraukimo silpnėja SP rolė į ekonomikos augimą ir didėja kompensacinis SP mechanizmas, mažesnis SP fokusas į vieningos rinkos vystymąsi).</w:t>
            </w:r>
          </w:p>
          <w:p w:rsidR="002046A5" w:rsidRDefault="002046A5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</w:t>
            </w:r>
            <w:r w:rsidR="00593058">
              <w:rPr>
                <w:lang w:val="lt-LT"/>
              </w:rPr>
              <w:t xml:space="preserve"> SP visiems regionams rei</w:t>
            </w:r>
            <w:r w:rsidR="00626D39">
              <w:rPr>
                <w:lang w:val="lt-LT"/>
              </w:rPr>
              <w:t>š</w:t>
            </w:r>
            <w:r w:rsidR="00593058">
              <w:rPr>
                <w:lang w:val="lt-LT"/>
              </w:rPr>
              <w:t>kia visų</w:t>
            </w:r>
            <w:r w:rsidR="00A11459">
              <w:rPr>
                <w:lang w:val="lt-LT"/>
              </w:rPr>
              <w:t xml:space="preserve"> šalių</w:t>
            </w:r>
            <w:r w:rsidR="00593058">
              <w:rPr>
                <w:lang w:val="lt-LT"/>
              </w:rPr>
              <w:t xml:space="preserve"> įsitraukimą, tačiau išsklaidomas dėmesys įvairioms </w:t>
            </w:r>
            <w:r w:rsidR="00626D39">
              <w:rPr>
                <w:lang w:val="lt-LT"/>
              </w:rPr>
              <w:t xml:space="preserve">regionų </w:t>
            </w:r>
            <w:r w:rsidR="00A11459">
              <w:rPr>
                <w:lang w:val="lt-LT"/>
              </w:rPr>
              <w:t>kategorijoms, nesikoncentruojant</w:t>
            </w:r>
            <w:r w:rsidR="00626D39">
              <w:rPr>
                <w:lang w:val="lt-LT"/>
              </w:rPr>
              <w:t xml:space="preserve"> tik į mažiau išsivysčiusius</w:t>
            </w:r>
            <w:r w:rsidR="00A11459">
              <w:rPr>
                <w:lang w:val="lt-LT"/>
              </w:rPr>
              <w:t>, daug lėčiau nyksta išsivystymo skirtumai (jei iš viso nyksta).</w:t>
            </w:r>
          </w:p>
          <w:p w:rsidR="00A11459" w:rsidRDefault="004B6F8C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SP neįvertina netolygumų NUTS2 regionų viduje (pvz.</w:t>
            </w:r>
            <w:r w:rsidR="00A11459">
              <w:rPr>
                <w:lang w:val="lt-LT"/>
              </w:rPr>
              <w:t>,</w:t>
            </w:r>
            <w:r>
              <w:rPr>
                <w:lang w:val="lt-LT"/>
              </w:rPr>
              <w:t xml:space="preserve"> Sostinės regiono atvejis).</w:t>
            </w:r>
            <w:r w:rsidR="00766D4E">
              <w:rPr>
                <w:lang w:val="lt-LT"/>
              </w:rPr>
              <w:t xml:space="preserve"> LT du NUTS2 regionai yra papildoma administracinė našta</w:t>
            </w:r>
            <w:r w:rsidR="00593058">
              <w:rPr>
                <w:lang w:val="lt-LT"/>
              </w:rPr>
              <w:t>, dirbtinis suskirstymas, tačiau</w:t>
            </w:r>
            <w:r w:rsidR="001A02C2">
              <w:rPr>
                <w:lang w:val="lt-LT"/>
              </w:rPr>
              <w:t xml:space="preserve"> parodo Vidurio ir vakarų Lietuvos atotrūkį nuo Sostinės</w:t>
            </w:r>
            <w:r w:rsidR="00593058">
              <w:rPr>
                <w:lang w:val="lt-LT"/>
              </w:rPr>
              <w:t xml:space="preserve"> Vilniaus. Tačiau kitos Sostinės regione esančios savivaldybės pagal išsivystymą yra labiau artimos Vidurio ir vakarų Lietuvos regiono savivaldybėms nei Vilniaus miesto savivaldybei</w:t>
            </w:r>
            <w:r w:rsidR="00A11459">
              <w:rPr>
                <w:lang w:val="lt-LT"/>
              </w:rPr>
              <w:t>.</w:t>
            </w:r>
          </w:p>
          <w:p w:rsidR="00A11459" w:rsidRDefault="00A11459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ES partnerystės klausimas (Ukraina, Moldova, Gruzija, Bosnija ir Hercegovina) </w:t>
            </w:r>
            <w:r w:rsidRPr="00E6500A">
              <w:rPr>
                <w:lang w:val="lt-LT"/>
              </w:rPr>
              <w:sym w:font="Wingdings" w:char="F0E0"/>
            </w:r>
            <w:r>
              <w:rPr>
                <w:lang w:val="lt-LT"/>
              </w:rPr>
              <w:t xml:space="preserve"> naujos SP dalyvės netolimoje ateityje.</w:t>
            </w:r>
          </w:p>
          <w:p w:rsidR="00F802BA" w:rsidRDefault="00F802BA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Dalis ES regionų jau yra išsivystymo spąstuose (</w:t>
            </w:r>
            <w:proofErr w:type="spellStart"/>
            <w:r>
              <w:rPr>
                <w:lang w:val="lt-LT"/>
              </w:rPr>
              <w:t>stagnuoja</w:t>
            </w:r>
            <w:proofErr w:type="spellEnd"/>
            <w:r>
              <w:rPr>
                <w:lang w:val="lt-LT"/>
              </w:rPr>
              <w:t>), potencialiai gali formuotis naujos skirtys dėl nevienodų ES regionų startinių pozicijų realizuojant žaliąją ir skaitmeninę pertvarkas, taip pat struktūrinių problemų susijusių su demografijos, migracijos, talentų pritraukimo, inovacijų atotrūkio neigiamomis tendencijomis.</w:t>
            </w:r>
          </w:p>
          <w:p w:rsidR="00CC2376" w:rsidRDefault="00CC2376" w:rsidP="00F802BA">
            <w:pPr>
              <w:ind w:left="720"/>
              <w:jc w:val="both"/>
              <w:rPr>
                <w:lang w:val="lt-LT"/>
              </w:rPr>
            </w:pPr>
          </w:p>
          <w:p w:rsidR="004B74DF" w:rsidRPr="00F802BA" w:rsidRDefault="00CC2376" w:rsidP="00F802BA">
            <w:pPr>
              <w:jc w:val="both"/>
              <w:rPr>
                <w:b/>
                <w:bCs/>
                <w:lang w:val="lt-LT"/>
              </w:rPr>
            </w:pPr>
            <w:r w:rsidRPr="00F802BA">
              <w:rPr>
                <w:b/>
                <w:bCs/>
                <w:lang w:val="lt-LT"/>
              </w:rPr>
              <w:t xml:space="preserve">6. </w:t>
            </w:r>
            <w:r w:rsidR="00F802BA" w:rsidRPr="00F802BA">
              <w:rPr>
                <w:b/>
                <w:bCs/>
                <w:lang w:val="lt-LT"/>
              </w:rPr>
              <w:t>SP turi būti modernizuota, kitaip ji pasmerkta mažėti tiek biudžeto, tiek reikšmės prasme, tačiau keičiantis SP, dalis pasiteisinusių jos bruožų turi likti:</w:t>
            </w:r>
          </w:p>
          <w:p w:rsidR="004B6F8C" w:rsidRDefault="004B74DF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Aiški orientacija į regionines iniciatyvas</w:t>
            </w:r>
            <w:r w:rsidR="004C4FBE">
              <w:rPr>
                <w:lang w:val="lt-LT"/>
              </w:rPr>
              <w:t>, teritorinę sanglaudą, planavimą „iš apačios į viršų</w:t>
            </w:r>
            <w:r>
              <w:rPr>
                <w:lang w:val="lt-LT"/>
              </w:rPr>
              <w:t>“</w:t>
            </w:r>
            <w:r w:rsidR="001E4A2A">
              <w:rPr>
                <w:lang w:val="lt-LT"/>
              </w:rPr>
              <w:t>.</w:t>
            </w:r>
          </w:p>
          <w:p w:rsidR="00EE2030" w:rsidRDefault="00EE2030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Neabsoliuti teminė konce</w:t>
            </w:r>
            <w:r w:rsidR="00DC5491">
              <w:rPr>
                <w:lang w:val="lt-LT"/>
              </w:rPr>
              <w:t>ntracija, kuri palieka erdvės šaliai</w:t>
            </w:r>
            <w:r>
              <w:rPr>
                <w:lang w:val="lt-LT"/>
              </w:rPr>
              <w:t xml:space="preserve"> pačiai nuspręsti, kur turi būti investuojamos SP lėšos.</w:t>
            </w:r>
          </w:p>
          <w:p w:rsidR="00DC5491" w:rsidRDefault="00D05D68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Pasidalijamasis valdymas, kuri</w:t>
            </w:r>
            <w:r w:rsidR="00EE2030">
              <w:rPr>
                <w:lang w:val="lt-LT"/>
              </w:rPr>
              <w:t>ame</w:t>
            </w:r>
            <w:r>
              <w:rPr>
                <w:lang w:val="lt-LT"/>
              </w:rPr>
              <w:t xml:space="preserve"> VN turi pagrindinę sprendžiamąją teisę (RRF atveju – valdymas priklauso </w:t>
            </w:r>
            <w:r w:rsidR="00DC5491">
              <w:rPr>
                <w:lang w:val="lt-LT"/>
              </w:rPr>
              <w:t>COM</w:t>
            </w:r>
            <w:r>
              <w:rPr>
                <w:lang w:val="lt-LT"/>
              </w:rPr>
              <w:t xml:space="preserve"> ir neto mokėtojams).</w:t>
            </w:r>
            <w:r w:rsidR="00DC5491">
              <w:rPr>
                <w:lang w:val="lt-LT"/>
              </w:rPr>
              <w:t xml:space="preserve"> </w:t>
            </w:r>
          </w:p>
          <w:p w:rsidR="00DC5491" w:rsidRDefault="00DC5491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Partnerytės skatinimas, socialinius-ekonominius partnerius įtraukiant į visus SP įgyvendinimo etapus.</w:t>
            </w:r>
          </w:p>
          <w:p w:rsidR="00D05D68" w:rsidRDefault="00D05D68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</w:t>
            </w:r>
            <w:r w:rsidR="00A11459">
              <w:rPr>
                <w:lang w:val="lt-LT"/>
              </w:rPr>
              <w:t xml:space="preserve"> </w:t>
            </w:r>
            <w:r>
              <w:rPr>
                <w:lang w:val="lt-LT"/>
              </w:rPr>
              <w:t>SP param</w:t>
            </w:r>
            <w:r w:rsidR="00A11459">
              <w:rPr>
                <w:lang w:val="lt-LT"/>
              </w:rPr>
              <w:t>a</w:t>
            </w:r>
            <w:r>
              <w:rPr>
                <w:lang w:val="lt-LT"/>
              </w:rPr>
              <w:t xml:space="preserve"> </w:t>
            </w:r>
            <w:r w:rsidR="00E41BFF">
              <w:rPr>
                <w:lang w:val="lt-LT"/>
              </w:rPr>
              <w:t xml:space="preserve">tiek </w:t>
            </w:r>
            <w:r>
              <w:rPr>
                <w:lang w:val="lt-LT"/>
              </w:rPr>
              <w:t>reformoms</w:t>
            </w:r>
            <w:r w:rsidR="00F802BA">
              <w:rPr>
                <w:lang w:val="lt-LT"/>
              </w:rPr>
              <w:t>,</w:t>
            </w:r>
            <w:r w:rsidR="00E41BFF">
              <w:rPr>
                <w:lang w:val="lt-LT"/>
              </w:rPr>
              <w:t xml:space="preserve"> tiek ir</w:t>
            </w:r>
            <w:r>
              <w:rPr>
                <w:lang w:val="lt-LT"/>
              </w:rPr>
              <w:t xml:space="preserve"> investicijoms, įskaitant administracinių gebėjimų stiprinimą</w:t>
            </w:r>
            <w:r w:rsidR="00E41BFF">
              <w:rPr>
                <w:lang w:val="lt-LT"/>
              </w:rPr>
              <w:t xml:space="preserve"> ir techninę paramą</w:t>
            </w:r>
            <w:r>
              <w:rPr>
                <w:lang w:val="lt-LT"/>
              </w:rPr>
              <w:t>.</w:t>
            </w:r>
            <w:r w:rsidR="00E41BFF">
              <w:rPr>
                <w:lang w:val="lt-LT"/>
              </w:rPr>
              <w:t xml:space="preserve"> SP įgyvendinimo laikotarpis 7+n, todėl reformų įgyvendinimas SP galėtų būti sąlyga, užtikrinanti reformų tęstinumą, ambicijos išlaikymą.</w:t>
            </w:r>
          </w:p>
          <w:p w:rsidR="001E4A2A" w:rsidRDefault="001E4A2A">
            <w:pPr>
              <w:ind w:left="720"/>
              <w:jc w:val="both"/>
              <w:rPr>
                <w:lang w:val="lt-LT"/>
              </w:rPr>
            </w:pPr>
          </w:p>
          <w:p w:rsidR="001E4A2A" w:rsidRPr="00766D4E" w:rsidRDefault="001E4A2A">
            <w:pPr>
              <w:jc w:val="both"/>
              <w:rPr>
                <w:b/>
                <w:bCs/>
                <w:lang w:val="lt-LT"/>
              </w:rPr>
            </w:pPr>
            <w:r w:rsidRPr="00766D4E">
              <w:rPr>
                <w:b/>
                <w:bCs/>
                <w:lang w:val="lt-LT"/>
              </w:rPr>
              <w:t>7. Esmin</w:t>
            </w:r>
            <w:r w:rsidR="000E4465">
              <w:rPr>
                <w:b/>
                <w:bCs/>
                <w:lang w:val="lt-LT"/>
              </w:rPr>
              <w:t>iai</w:t>
            </w:r>
            <w:r w:rsidRPr="00766D4E">
              <w:rPr>
                <w:b/>
                <w:bCs/>
                <w:lang w:val="lt-LT"/>
              </w:rPr>
              <w:t xml:space="preserve"> SP </w:t>
            </w:r>
            <w:r w:rsidR="000E4465">
              <w:rPr>
                <w:b/>
                <w:bCs/>
                <w:lang w:val="lt-LT"/>
              </w:rPr>
              <w:t>aspektai</w:t>
            </w:r>
            <w:r w:rsidRPr="00766D4E">
              <w:rPr>
                <w:b/>
                <w:bCs/>
                <w:lang w:val="lt-LT"/>
              </w:rPr>
              <w:t>, kuri</w:t>
            </w:r>
            <w:r w:rsidR="006C234E">
              <w:rPr>
                <w:b/>
                <w:bCs/>
                <w:lang w:val="lt-LT"/>
              </w:rPr>
              <w:t>e</w:t>
            </w:r>
            <w:r w:rsidRPr="00766D4E">
              <w:rPr>
                <w:b/>
                <w:bCs/>
                <w:lang w:val="lt-LT"/>
              </w:rPr>
              <w:t xml:space="preserve"> turėtų keistis:</w:t>
            </w:r>
          </w:p>
          <w:p w:rsidR="000E4465" w:rsidRDefault="000E4465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SP turi permąstyti savo indėlio epicentrą – ar tai investicijos į efektyviausias ir greitą </w:t>
            </w:r>
            <w:r w:rsidR="007B795B">
              <w:rPr>
                <w:lang w:val="lt-LT"/>
              </w:rPr>
              <w:t>atsaką į kritines si</w:t>
            </w:r>
            <w:r w:rsidR="004B74DF">
              <w:rPr>
                <w:lang w:val="lt-LT"/>
              </w:rPr>
              <w:t>tuacijas</w:t>
            </w:r>
            <w:r>
              <w:rPr>
                <w:lang w:val="lt-LT"/>
              </w:rPr>
              <w:t xml:space="preserve"> atnešanči</w:t>
            </w:r>
            <w:r w:rsidR="004B74DF">
              <w:rPr>
                <w:lang w:val="lt-LT"/>
              </w:rPr>
              <w:t>os</w:t>
            </w:r>
            <w:r>
              <w:rPr>
                <w:lang w:val="lt-LT"/>
              </w:rPr>
              <w:t xml:space="preserve"> priemon</w:t>
            </w:r>
            <w:r w:rsidR="004B74DF">
              <w:rPr>
                <w:lang w:val="lt-LT"/>
              </w:rPr>
              <w:t>ė</w:t>
            </w:r>
            <w:r>
              <w:rPr>
                <w:lang w:val="lt-LT"/>
              </w:rPr>
              <w:t>s, ar į</w:t>
            </w:r>
            <w:r w:rsidR="00EE2030">
              <w:rPr>
                <w:lang w:val="lt-LT"/>
              </w:rPr>
              <w:t xml:space="preserve"> ilgalaikius tikslus, </w:t>
            </w:r>
            <w:r>
              <w:rPr>
                <w:lang w:val="lt-LT"/>
              </w:rPr>
              <w:t xml:space="preserve"> rinkos ydas ir struktūrines VN problemas.</w:t>
            </w:r>
          </w:p>
          <w:p w:rsidR="001E4A2A" w:rsidRDefault="000E4465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Finansavimo raktas, remiantis BVP, yra tik dalinai efektyvus.</w:t>
            </w:r>
            <w:r w:rsidR="001E4A2A">
              <w:rPr>
                <w:lang w:val="lt-LT"/>
              </w:rPr>
              <w:t xml:space="preserve"> </w:t>
            </w:r>
          </w:p>
          <w:p w:rsidR="004B74DF" w:rsidRDefault="007B795B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SP įgyvendinimo </w:t>
            </w:r>
            <w:r w:rsidR="004B74DF">
              <w:rPr>
                <w:lang w:val="lt-LT"/>
              </w:rPr>
              <w:t>modeli</w:t>
            </w:r>
            <w:r>
              <w:rPr>
                <w:lang w:val="lt-LT"/>
              </w:rPr>
              <w:t>s</w:t>
            </w:r>
            <w:r w:rsidR="004B74DF">
              <w:rPr>
                <w:lang w:val="lt-LT"/>
              </w:rPr>
              <w:t xml:space="preserve"> turi keistis (</w:t>
            </w:r>
            <w:r>
              <w:rPr>
                <w:lang w:val="lt-LT"/>
              </w:rPr>
              <w:t xml:space="preserve">galimai </w:t>
            </w:r>
            <w:r w:rsidR="004B74DF">
              <w:rPr>
                <w:lang w:val="lt-LT"/>
              </w:rPr>
              <w:t xml:space="preserve">perimant dalį praktikos iš tiesioginiai valdomų instrumentų), nes investicijų tempas yra lėtas ir kiekvienas programavimo </w:t>
            </w:r>
            <w:r>
              <w:rPr>
                <w:lang w:val="lt-LT"/>
              </w:rPr>
              <w:t>laikotarpis vis daugiau vėluoja, neįmanoma lanksčiai ir greitai reaguoti į pasikeitusią situaciją.</w:t>
            </w:r>
            <w:r w:rsidR="004B74DF">
              <w:rPr>
                <w:lang w:val="lt-LT"/>
              </w:rPr>
              <w:t xml:space="preserve"> </w:t>
            </w:r>
          </w:p>
          <w:p w:rsidR="000E4465" w:rsidRDefault="006C234E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</w:t>
            </w:r>
            <w:r w:rsidR="00D57059">
              <w:rPr>
                <w:lang w:val="lt-LT"/>
              </w:rPr>
              <w:t xml:space="preserve"> </w:t>
            </w:r>
            <w:r w:rsidR="007B795B">
              <w:rPr>
                <w:lang w:val="lt-LT"/>
              </w:rPr>
              <w:t>Būtinas a</w:t>
            </w:r>
            <w:r w:rsidR="00D05D68">
              <w:rPr>
                <w:lang w:val="lt-LT"/>
              </w:rPr>
              <w:t>dministracinės naštos mažinimas</w:t>
            </w:r>
            <w:r w:rsidR="007B795B">
              <w:rPr>
                <w:lang w:val="lt-LT"/>
              </w:rPr>
              <w:t xml:space="preserve"> iš esmės, kadangi </w:t>
            </w:r>
            <w:r w:rsidR="00D05D68">
              <w:rPr>
                <w:lang w:val="lt-LT"/>
              </w:rPr>
              <w:t xml:space="preserve">supaprastintų išlaidų apmokėjimo </w:t>
            </w:r>
            <w:r w:rsidR="007B795B">
              <w:rPr>
                <w:lang w:val="lt-LT"/>
              </w:rPr>
              <w:t xml:space="preserve">būdų taikymas nėra visuotinis, deklaruojamas naštos mažinimas – </w:t>
            </w:r>
            <w:proofErr w:type="spellStart"/>
            <w:r w:rsidR="007B795B">
              <w:rPr>
                <w:lang w:val="lt-LT"/>
              </w:rPr>
              <w:t>inkrementinis</w:t>
            </w:r>
            <w:proofErr w:type="spellEnd"/>
            <w:r w:rsidR="007B795B">
              <w:rPr>
                <w:lang w:val="lt-LT"/>
              </w:rPr>
              <w:t xml:space="preserve">. </w:t>
            </w:r>
          </w:p>
          <w:p w:rsidR="006C234E" w:rsidRDefault="00B13FE0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SP santykis su kitais finansavimo šaltiniai – ne SP turi derintis prie kitų šaltinių, o kiti šaltiniai prie SP</w:t>
            </w:r>
            <w:r w:rsidR="006F5694">
              <w:rPr>
                <w:lang w:val="lt-LT"/>
              </w:rPr>
              <w:t xml:space="preserve"> </w:t>
            </w:r>
            <w:r w:rsidR="006F5694" w:rsidRPr="006F5694">
              <w:rPr>
                <w:lang w:val="lt-LT"/>
              </w:rPr>
              <w:sym w:font="Wingdings" w:char="F0E0"/>
            </w:r>
            <w:r w:rsidR="006F5694">
              <w:rPr>
                <w:lang w:val="lt-LT"/>
              </w:rPr>
              <w:t xml:space="preserve"> LT turi sustiprinti </w:t>
            </w:r>
            <w:proofErr w:type="spellStart"/>
            <w:r w:rsidR="006F5694">
              <w:rPr>
                <w:lang w:val="lt-LT"/>
              </w:rPr>
              <w:t>sinergijas</w:t>
            </w:r>
            <w:proofErr w:type="spellEnd"/>
            <w:r w:rsidR="006F5694">
              <w:rPr>
                <w:lang w:val="lt-LT"/>
              </w:rPr>
              <w:t xml:space="preserve"> su CEF, Erasmus, LIFE+, </w:t>
            </w:r>
            <w:proofErr w:type="spellStart"/>
            <w:r w:rsidR="006F5694">
              <w:rPr>
                <w:lang w:val="lt-LT"/>
              </w:rPr>
              <w:t>Horizon</w:t>
            </w:r>
            <w:proofErr w:type="spellEnd"/>
            <w:r w:rsidR="006F5694">
              <w:rPr>
                <w:lang w:val="lt-LT"/>
              </w:rPr>
              <w:t xml:space="preserve"> </w:t>
            </w:r>
            <w:proofErr w:type="spellStart"/>
            <w:r w:rsidR="006F5694">
              <w:rPr>
                <w:lang w:val="lt-LT"/>
              </w:rPr>
              <w:t>Europe</w:t>
            </w:r>
            <w:proofErr w:type="spellEnd"/>
            <w:r w:rsidR="001A7224">
              <w:rPr>
                <w:lang w:val="lt-LT"/>
              </w:rPr>
              <w:t>, EU4Health ir kt. ES lygmens inciatyvomis.</w:t>
            </w:r>
          </w:p>
          <w:p w:rsidR="00DC5491" w:rsidRDefault="006C234E">
            <w:pPr>
              <w:ind w:left="720"/>
              <w:jc w:val="both"/>
              <w:rPr>
                <w:lang w:val="lt-LT"/>
              </w:rPr>
            </w:pPr>
            <w:r>
              <w:rPr>
                <w:lang w:val="lt-LT"/>
              </w:rPr>
              <w:t>- VN tur</w:t>
            </w:r>
            <w:r w:rsidR="003251A3">
              <w:rPr>
                <w:lang w:val="lt-LT"/>
              </w:rPr>
              <w:t>ėtų</w:t>
            </w:r>
            <w:r>
              <w:rPr>
                <w:lang w:val="lt-LT"/>
              </w:rPr>
              <w:t xml:space="preserve"> gauti teisę lanksčiau laviruoti SP lėšomis (pervedimai tarp fondų, tarp regionų kategorijų, į tiesiogines EK programas ir pan.)</w:t>
            </w:r>
            <w:r w:rsidR="003251A3">
              <w:rPr>
                <w:lang w:val="lt-LT"/>
              </w:rPr>
              <w:t>, taip užtikrinant atitikimą vietos poreikiams</w:t>
            </w:r>
            <w:r w:rsidR="00D57059">
              <w:rPr>
                <w:lang w:val="lt-LT"/>
              </w:rPr>
              <w:t>.</w:t>
            </w:r>
          </w:p>
          <w:p w:rsidR="00B13FE0" w:rsidRPr="00C14EAF" w:rsidRDefault="00B13FE0">
            <w:pPr>
              <w:ind w:left="720"/>
              <w:jc w:val="both"/>
              <w:rPr>
                <w:lang w:val="lt-LT"/>
              </w:rPr>
            </w:pPr>
          </w:p>
        </w:tc>
      </w:tr>
    </w:tbl>
    <w:p w:rsidR="000F68D4" w:rsidRDefault="000E5C0B" w:rsidP="00D1002E">
      <w:pPr>
        <w:jc w:val="both"/>
        <w:rPr>
          <w:lang w:val="lt-LT"/>
        </w:rPr>
      </w:pPr>
      <w:r>
        <w:rPr>
          <w:lang w:val="lt-LT"/>
        </w:rPr>
        <w:br w:type="page"/>
      </w:r>
      <w:r w:rsidR="000F68D4" w:rsidRPr="00D1002E">
        <w:rPr>
          <w:b/>
          <w:lang w:val="lt-LT"/>
        </w:rPr>
        <w:t>Išvados</w:t>
      </w:r>
      <w:r w:rsidR="000F68D4">
        <w:rPr>
          <w:lang w:val="lt-LT"/>
        </w:rPr>
        <w:t>:</w:t>
      </w:r>
    </w:p>
    <w:p w:rsidR="009862F7" w:rsidRDefault="002261F4" w:rsidP="00D1002E">
      <w:pPr>
        <w:pStyle w:val="ListParagraph"/>
        <w:numPr>
          <w:ilvl w:val="0"/>
          <w:numId w:val="4"/>
        </w:numPr>
        <w:jc w:val="both"/>
        <w:rPr>
          <w:lang w:val="lt-LT"/>
        </w:rPr>
      </w:pPr>
      <w:r>
        <w:rPr>
          <w:lang w:val="lt-LT"/>
        </w:rPr>
        <w:t xml:space="preserve">Kadangi SP sudaro didelę dalį </w:t>
      </w:r>
      <w:r w:rsidR="00E737AB">
        <w:rPr>
          <w:lang w:val="lt-LT"/>
        </w:rPr>
        <w:t>LT viešųjų investicijų,</w:t>
      </w:r>
      <w:r>
        <w:rPr>
          <w:lang w:val="lt-LT"/>
        </w:rPr>
        <w:t xml:space="preserve"> svarbu išlaikyti SP svarbos akcentavimą</w:t>
      </w:r>
      <w:r w:rsidR="00912B0C">
        <w:rPr>
          <w:lang w:val="lt-LT"/>
        </w:rPr>
        <w:t xml:space="preserve"> (išlaikant balansą tarp paskirstymo ir augimo)</w:t>
      </w:r>
      <w:r w:rsidR="004B74DF">
        <w:rPr>
          <w:lang w:val="lt-LT"/>
        </w:rPr>
        <w:t>, tačiau kartu</w:t>
      </w:r>
      <w:r w:rsidR="00912B0C">
        <w:rPr>
          <w:lang w:val="lt-LT"/>
        </w:rPr>
        <w:t xml:space="preserve"> </w:t>
      </w:r>
      <w:r w:rsidR="000F68D4">
        <w:rPr>
          <w:lang w:val="lt-LT"/>
        </w:rPr>
        <w:t>siekti SP modernizavimo</w:t>
      </w:r>
      <w:r w:rsidR="00912B0C">
        <w:rPr>
          <w:lang w:val="lt-LT"/>
        </w:rPr>
        <w:t>.</w:t>
      </w:r>
    </w:p>
    <w:p w:rsidR="00912B0C" w:rsidRDefault="00912B0C" w:rsidP="00D1002E">
      <w:pPr>
        <w:pStyle w:val="ListParagraph"/>
        <w:numPr>
          <w:ilvl w:val="0"/>
          <w:numId w:val="4"/>
        </w:numPr>
        <w:jc w:val="both"/>
        <w:rPr>
          <w:lang w:val="lt-LT"/>
        </w:rPr>
      </w:pPr>
      <w:r>
        <w:rPr>
          <w:lang w:val="lt-LT"/>
        </w:rPr>
        <w:t xml:space="preserve">Siūlomi SP prioritetai turi atliepti globalias tendencijas, tačiau LT </w:t>
      </w:r>
      <w:r w:rsidR="0019528F">
        <w:rPr>
          <w:lang w:val="lt-LT"/>
        </w:rPr>
        <w:t xml:space="preserve">taip pat </w:t>
      </w:r>
      <w:r>
        <w:rPr>
          <w:lang w:val="lt-LT"/>
        </w:rPr>
        <w:t>turėtų siūlyti tuos prioritetus/sektorius, kurie turi didžiausią potencialą sustiprinti Lietuvos pozicijas ES vieningos rinkos mechanizmuose</w:t>
      </w:r>
      <w:r w:rsidR="00C61A37">
        <w:rPr>
          <w:lang w:val="lt-LT"/>
        </w:rPr>
        <w:t xml:space="preserve">, </w:t>
      </w:r>
      <w:r w:rsidR="0019528F">
        <w:rPr>
          <w:lang w:val="lt-LT"/>
        </w:rPr>
        <w:t>išvengti galimų vidutinių pajamų spąstų (t.y.</w:t>
      </w:r>
      <w:r w:rsidR="004B74DF">
        <w:rPr>
          <w:lang w:val="lt-LT"/>
        </w:rPr>
        <w:t>,</w:t>
      </w:r>
      <w:r w:rsidR="0019528F">
        <w:rPr>
          <w:lang w:val="lt-LT"/>
        </w:rPr>
        <w:t xml:space="preserve"> greta žalinimo ir skaitmeninimo turi būti išryškinti įgūdžiai, inovacijos ir technologijos, viešojo valdymo stiprinima</w:t>
      </w:r>
      <w:r w:rsidR="00E737AB">
        <w:rPr>
          <w:lang w:val="lt-LT"/>
        </w:rPr>
        <w:t>s</w:t>
      </w:r>
      <w:r w:rsidR="0019528F">
        <w:rPr>
          <w:lang w:val="lt-LT"/>
        </w:rPr>
        <w:t>, infrastruktūros jungtys su ES ir kaimyninėmis valstybėmis</w:t>
      </w:r>
      <w:r w:rsidR="00DC5491">
        <w:rPr>
          <w:lang w:val="lt-LT"/>
        </w:rPr>
        <w:t>)</w:t>
      </w:r>
      <w:r w:rsidR="00C61A37">
        <w:rPr>
          <w:lang w:val="lt-LT"/>
        </w:rPr>
        <w:t>.</w:t>
      </w:r>
    </w:p>
    <w:p w:rsidR="00E737AB" w:rsidRDefault="00E737AB" w:rsidP="00D1002E">
      <w:pPr>
        <w:pStyle w:val="ListParagraph"/>
        <w:numPr>
          <w:ilvl w:val="0"/>
          <w:numId w:val="4"/>
        </w:numPr>
        <w:jc w:val="both"/>
        <w:rPr>
          <w:lang w:val="lt-LT"/>
        </w:rPr>
      </w:pPr>
      <w:r>
        <w:rPr>
          <w:lang w:val="lt-LT"/>
        </w:rPr>
        <w:t xml:space="preserve">SP turi išlaikyti orientaciją į ilgalaikius tikslus ir prisidėti prie ES </w:t>
      </w:r>
      <w:r w:rsidR="000F2B68">
        <w:rPr>
          <w:lang w:val="lt-LT"/>
        </w:rPr>
        <w:t>ir valstybių narių</w:t>
      </w:r>
      <w:r>
        <w:rPr>
          <w:lang w:val="lt-LT"/>
        </w:rPr>
        <w:t xml:space="preserve"> ekonomikos atsparumo didinimo, ta</w:t>
      </w:r>
      <w:r w:rsidR="00C91EDF">
        <w:rPr>
          <w:lang w:val="lt-LT"/>
        </w:rPr>
        <w:t>čiau lanksti re</w:t>
      </w:r>
      <w:r w:rsidR="004B74DF">
        <w:rPr>
          <w:lang w:val="lt-LT"/>
        </w:rPr>
        <w:t>akcija į krizes tam tikra apimtimi</w:t>
      </w:r>
      <w:r w:rsidR="00C91EDF">
        <w:rPr>
          <w:lang w:val="lt-LT"/>
        </w:rPr>
        <w:t xml:space="preserve"> taip pat galima. </w:t>
      </w:r>
    </w:p>
    <w:p w:rsidR="002261F4" w:rsidRDefault="002261F4" w:rsidP="00D1002E">
      <w:pPr>
        <w:pStyle w:val="ListParagraph"/>
        <w:numPr>
          <w:ilvl w:val="0"/>
          <w:numId w:val="4"/>
        </w:numPr>
        <w:jc w:val="both"/>
        <w:rPr>
          <w:lang w:val="lt-LT"/>
        </w:rPr>
      </w:pPr>
      <w:r>
        <w:rPr>
          <w:lang w:val="lt-LT"/>
        </w:rPr>
        <w:t>SP finansavimo raktas, remiantis BVP vienam gyventojui vidurkiu, yra tik dalinai efektyvus, todėl svarstytini papildomi, LT palankūs kriterijai.</w:t>
      </w:r>
      <w:r w:rsidR="00C61A37">
        <w:rPr>
          <w:lang w:val="lt-LT"/>
        </w:rPr>
        <w:t xml:space="preserve"> Tačiau lygiagrečiai būtina mažinti </w:t>
      </w:r>
      <w:r w:rsidR="00DC5491">
        <w:rPr>
          <w:lang w:val="lt-LT"/>
        </w:rPr>
        <w:t>dalies sektorių priklausomybę nuo SP.</w:t>
      </w:r>
    </w:p>
    <w:p w:rsidR="004B74DF" w:rsidRDefault="00D57059" w:rsidP="00D1002E">
      <w:pPr>
        <w:pStyle w:val="ListParagraph"/>
        <w:numPr>
          <w:ilvl w:val="0"/>
          <w:numId w:val="4"/>
        </w:numPr>
        <w:jc w:val="both"/>
        <w:rPr>
          <w:lang w:val="lt-LT"/>
        </w:rPr>
      </w:pPr>
      <w:r>
        <w:rPr>
          <w:lang w:val="lt-LT"/>
        </w:rPr>
        <w:t xml:space="preserve">SP turi turėti galimybę finansuoti tiek reformas, tiek ir investicijas, </w:t>
      </w:r>
      <w:r w:rsidR="00FB3482">
        <w:rPr>
          <w:lang w:val="lt-LT"/>
        </w:rPr>
        <w:t>sustiprinti sinergijas su kitais finansavimo šaltiniais.</w:t>
      </w:r>
    </w:p>
    <w:p w:rsidR="00FB3482" w:rsidRDefault="00FB3482" w:rsidP="00D1002E">
      <w:pPr>
        <w:pStyle w:val="ListParagraph"/>
        <w:numPr>
          <w:ilvl w:val="0"/>
          <w:numId w:val="4"/>
        </w:numPr>
        <w:jc w:val="both"/>
        <w:rPr>
          <w:lang w:val="lt-LT"/>
        </w:rPr>
      </w:pPr>
      <w:r>
        <w:rPr>
          <w:lang w:val="lt-LT"/>
        </w:rPr>
        <w:t>Modernizuojant SP dalis pasiteisinusių jos bruožų</w:t>
      </w:r>
      <w:r w:rsidR="00E41BFF">
        <w:rPr>
          <w:lang w:val="lt-LT"/>
        </w:rPr>
        <w:t xml:space="preserve"> </w:t>
      </w:r>
      <w:r w:rsidR="00496B24">
        <w:rPr>
          <w:lang w:val="lt-LT"/>
        </w:rPr>
        <w:t>(r</w:t>
      </w:r>
      <w:r w:rsidR="00E41BFF">
        <w:rPr>
          <w:lang w:val="lt-LT"/>
        </w:rPr>
        <w:t>egiono ir vietos iniciatyva grįstas požiūris, pasidalijamasis valdymas, partnerystė, tematinė koncentracija</w:t>
      </w:r>
      <w:r>
        <w:rPr>
          <w:lang w:val="lt-LT"/>
        </w:rPr>
        <w:t xml:space="preserve"> </w:t>
      </w:r>
      <w:r w:rsidR="00496B24">
        <w:rPr>
          <w:lang w:val="lt-LT"/>
        </w:rPr>
        <w:t xml:space="preserve">ir pan.) </w:t>
      </w:r>
      <w:r>
        <w:rPr>
          <w:lang w:val="lt-LT"/>
        </w:rPr>
        <w:t>turi likti</w:t>
      </w:r>
      <w:r w:rsidR="00E41BFF">
        <w:rPr>
          <w:lang w:val="lt-LT"/>
        </w:rPr>
        <w:t>, tačiau SP įgyvendinimo modelis turi keistis, nes administracinė našta SP nesuteikia reikiamo greičio ir lankstumo reaguoti į rinkos pokyčius.</w:t>
      </w:r>
    </w:p>
    <w:p w:rsidR="000F68D4" w:rsidRPr="000F68D4" w:rsidRDefault="000F68D4" w:rsidP="00D1002E">
      <w:pPr>
        <w:pStyle w:val="ListParagraph"/>
        <w:ind w:left="1440"/>
        <w:jc w:val="both"/>
        <w:rPr>
          <w:lang w:val="lt-LT"/>
        </w:rPr>
      </w:pPr>
    </w:p>
    <w:p w:rsidR="009862F7" w:rsidRPr="007F0CEB" w:rsidRDefault="009862F7" w:rsidP="00D1002E">
      <w:pPr>
        <w:jc w:val="both"/>
        <w:rPr>
          <w:lang w:val="lt-LT"/>
        </w:rPr>
      </w:pPr>
    </w:p>
    <w:p w:rsidR="00BA70C5" w:rsidRPr="007F0CEB" w:rsidRDefault="00BA70C5" w:rsidP="00D1002E">
      <w:pPr>
        <w:jc w:val="both"/>
        <w:rPr>
          <w:lang w:val="lt-LT"/>
        </w:rPr>
      </w:pPr>
    </w:p>
    <w:p w:rsidR="003A34B0" w:rsidRPr="007F0CEB" w:rsidRDefault="003A34B0" w:rsidP="00D1002E">
      <w:pPr>
        <w:jc w:val="both"/>
        <w:rPr>
          <w:lang w:val="lt-LT"/>
        </w:rPr>
      </w:pPr>
    </w:p>
    <w:sectPr w:rsidR="003A34B0" w:rsidRPr="007F0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E1BD8"/>
    <w:multiLevelType w:val="hybridMultilevel"/>
    <w:tmpl w:val="F6CA5BD2"/>
    <w:lvl w:ilvl="0" w:tplc="1AC8CB1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B7A08"/>
    <w:multiLevelType w:val="hybridMultilevel"/>
    <w:tmpl w:val="8E44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B05AA"/>
    <w:multiLevelType w:val="hybridMultilevel"/>
    <w:tmpl w:val="E0E070DC"/>
    <w:lvl w:ilvl="0" w:tplc="36888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DA4CC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1F87E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014078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FA47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1AC73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930D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B14C07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95E3C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710F2843"/>
    <w:multiLevelType w:val="hybridMultilevel"/>
    <w:tmpl w:val="A4C6AB84"/>
    <w:lvl w:ilvl="0" w:tplc="82905A1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9716">
    <w:abstractNumId w:val="2"/>
  </w:num>
  <w:num w:numId="2" w16cid:durableId="1914394327">
    <w:abstractNumId w:val="0"/>
  </w:num>
  <w:num w:numId="3" w16cid:durableId="291787649">
    <w:abstractNumId w:val="1"/>
  </w:num>
  <w:num w:numId="4" w16cid:durableId="2020502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EBC"/>
    <w:rsid w:val="00073120"/>
    <w:rsid w:val="000E2014"/>
    <w:rsid w:val="000E4465"/>
    <w:rsid w:val="000E5C0B"/>
    <w:rsid w:val="000F2B68"/>
    <w:rsid w:val="000F68D4"/>
    <w:rsid w:val="001006EA"/>
    <w:rsid w:val="00102470"/>
    <w:rsid w:val="00121597"/>
    <w:rsid w:val="001619D6"/>
    <w:rsid w:val="00175B59"/>
    <w:rsid w:val="00180F88"/>
    <w:rsid w:val="0019528F"/>
    <w:rsid w:val="001A02C2"/>
    <w:rsid w:val="001A7224"/>
    <w:rsid w:val="001B4EA9"/>
    <w:rsid w:val="001D1F97"/>
    <w:rsid w:val="001D4F6D"/>
    <w:rsid w:val="001E4A2A"/>
    <w:rsid w:val="002046A5"/>
    <w:rsid w:val="002261F4"/>
    <w:rsid w:val="0027033D"/>
    <w:rsid w:val="00292592"/>
    <w:rsid w:val="002A51A8"/>
    <w:rsid w:val="002C0DAD"/>
    <w:rsid w:val="002C5F15"/>
    <w:rsid w:val="002D6CDB"/>
    <w:rsid w:val="00320FE6"/>
    <w:rsid w:val="003251A3"/>
    <w:rsid w:val="003324F3"/>
    <w:rsid w:val="003523AA"/>
    <w:rsid w:val="00386502"/>
    <w:rsid w:val="003A34B0"/>
    <w:rsid w:val="003D54B7"/>
    <w:rsid w:val="003F0B68"/>
    <w:rsid w:val="003F24B0"/>
    <w:rsid w:val="00407916"/>
    <w:rsid w:val="004312A3"/>
    <w:rsid w:val="004321B3"/>
    <w:rsid w:val="0045009C"/>
    <w:rsid w:val="00496B24"/>
    <w:rsid w:val="004B6F8C"/>
    <w:rsid w:val="004B74DF"/>
    <w:rsid w:val="004C4FBE"/>
    <w:rsid w:val="004C6C6D"/>
    <w:rsid w:val="004C7558"/>
    <w:rsid w:val="004E6801"/>
    <w:rsid w:val="004F05BE"/>
    <w:rsid w:val="004F60DA"/>
    <w:rsid w:val="0052032D"/>
    <w:rsid w:val="00553D73"/>
    <w:rsid w:val="005824A5"/>
    <w:rsid w:val="00593058"/>
    <w:rsid w:val="005A71FC"/>
    <w:rsid w:val="005B4F1B"/>
    <w:rsid w:val="005C5B08"/>
    <w:rsid w:val="005E06FD"/>
    <w:rsid w:val="005F7686"/>
    <w:rsid w:val="00603813"/>
    <w:rsid w:val="00626D39"/>
    <w:rsid w:val="00654B94"/>
    <w:rsid w:val="006C234E"/>
    <w:rsid w:val="006E46CA"/>
    <w:rsid w:val="006E740C"/>
    <w:rsid w:val="006F5694"/>
    <w:rsid w:val="007032B8"/>
    <w:rsid w:val="00721B62"/>
    <w:rsid w:val="007314EC"/>
    <w:rsid w:val="0075045A"/>
    <w:rsid w:val="0076570B"/>
    <w:rsid w:val="00766D4E"/>
    <w:rsid w:val="007703B5"/>
    <w:rsid w:val="00785F99"/>
    <w:rsid w:val="00791161"/>
    <w:rsid w:val="007B50F4"/>
    <w:rsid w:val="007B795B"/>
    <w:rsid w:val="007C4ED1"/>
    <w:rsid w:val="007F0CEB"/>
    <w:rsid w:val="007F2F76"/>
    <w:rsid w:val="007F4776"/>
    <w:rsid w:val="00823E42"/>
    <w:rsid w:val="0087655B"/>
    <w:rsid w:val="008A042D"/>
    <w:rsid w:val="008A647B"/>
    <w:rsid w:val="008C6F73"/>
    <w:rsid w:val="00912B0C"/>
    <w:rsid w:val="00915455"/>
    <w:rsid w:val="009224E2"/>
    <w:rsid w:val="009647D5"/>
    <w:rsid w:val="0098207C"/>
    <w:rsid w:val="00983B3D"/>
    <w:rsid w:val="009862F7"/>
    <w:rsid w:val="009C700A"/>
    <w:rsid w:val="00A032F3"/>
    <w:rsid w:val="00A04AC5"/>
    <w:rsid w:val="00A11459"/>
    <w:rsid w:val="00A33E75"/>
    <w:rsid w:val="00A57FA7"/>
    <w:rsid w:val="00A63D54"/>
    <w:rsid w:val="00A66F79"/>
    <w:rsid w:val="00A7276D"/>
    <w:rsid w:val="00A80B78"/>
    <w:rsid w:val="00A815DE"/>
    <w:rsid w:val="00B13FE0"/>
    <w:rsid w:val="00B27A10"/>
    <w:rsid w:val="00B70A35"/>
    <w:rsid w:val="00BA70C5"/>
    <w:rsid w:val="00BA732C"/>
    <w:rsid w:val="00BB4125"/>
    <w:rsid w:val="00BC2CFB"/>
    <w:rsid w:val="00BC7CF1"/>
    <w:rsid w:val="00BD5A07"/>
    <w:rsid w:val="00C03024"/>
    <w:rsid w:val="00C14EAF"/>
    <w:rsid w:val="00C4093A"/>
    <w:rsid w:val="00C47C0D"/>
    <w:rsid w:val="00C5529C"/>
    <w:rsid w:val="00C61A37"/>
    <w:rsid w:val="00C91EDF"/>
    <w:rsid w:val="00CA72C9"/>
    <w:rsid w:val="00CC1CD5"/>
    <w:rsid w:val="00CC2376"/>
    <w:rsid w:val="00CF3C03"/>
    <w:rsid w:val="00CF54E7"/>
    <w:rsid w:val="00D05D68"/>
    <w:rsid w:val="00D1002E"/>
    <w:rsid w:val="00D27EC4"/>
    <w:rsid w:val="00D46D58"/>
    <w:rsid w:val="00D474E4"/>
    <w:rsid w:val="00D57059"/>
    <w:rsid w:val="00D654CC"/>
    <w:rsid w:val="00D94DC3"/>
    <w:rsid w:val="00DB03F9"/>
    <w:rsid w:val="00DC5491"/>
    <w:rsid w:val="00DD65EF"/>
    <w:rsid w:val="00E14B2C"/>
    <w:rsid w:val="00E24B60"/>
    <w:rsid w:val="00E35867"/>
    <w:rsid w:val="00E36EBC"/>
    <w:rsid w:val="00E41BFF"/>
    <w:rsid w:val="00E6500A"/>
    <w:rsid w:val="00E737AB"/>
    <w:rsid w:val="00EB38C8"/>
    <w:rsid w:val="00EB605D"/>
    <w:rsid w:val="00EE12FE"/>
    <w:rsid w:val="00EE2030"/>
    <w:rsid w:val="00F0404E"/>
    <w:rsid w:val="00F12518"/>
    <w:rsid w:val="00F45D2F"/>
    <w:rsid w:val="00F572A3"/>
    <w:rsid w:val="00F7284C"/>
    <w:rsid w:val="00F77539"/>
    <w:rsid w:val="00F77E57"/>
    <w:rsid w:val="00F802BA"/>
    <w:rsid w:val="00F93897"/>
    <w:rsid w:val="00FA7E24"/>
    <w:rsid w:val="00FB3482"/>
    <w:rsid w:val="00FC1651"/>
    <w:rsid w:val="00F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7E05"/>
  <w15:docId w15:val="{521B1765-BCE2-4FE2-94C8-E0358FE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54"/>
    <w:pPr>
      <w:spacing w:after="0" w:line="240" w:lineRule="auto"/>
      <w:ind w:left="720"/>
    </w:pPr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39"/>
    <w:rsid w:val="004C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6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5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5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BC03-311F-4A31-AD08-E4A51A72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Gratulevičius</dc:creator>
  <cp:keywords/>
  <dc:description/>
  <cp:lastModifiedBy>Urtė Morozovaitė</cp:lastModifiedBy>
  <cp:revision>1</cp:revision>
  <dcterms:created xsi:type="dcterms:W3CDTF">2024-05-15T08:03:00Z</dcterms:created>
  <dcterms:modified xsi:type="dcterms:W3CDTF">2024-05-15T08:03:00Z</dcterms:modified>
</cp:coreProperties>
</file>