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1CB2" w14:textId="77777777" w:rsidR="0036662A" w:rsidRPr="00017566" w:rsidRDefault="0036662A" w:rsidP="0036662A">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36662A">
      <w:pPr>
        <w:jc w:val="center"/>
        <w:rPr>
          <w:b/>
          <w:bCs/>
        </w:rPr>
      </w:pPr>
    </w:p>
    <w:p w14:paraId="61FE5354" w14:textId="019F6895" w:rsidR="0036662A" w:rsidRPr="00192134" w:rsidRDefault="0036662A" w:rsidP="0036662A">
      <w:pPr>
        <w:jc w:val="center"/>
        <w:rPr>
          <w:b/>
          <w:bCs/>
        </w:rPr>
      </w:pPr>
      <w:r w:rsidRPr="00017566">
        <w:rPr>
          <w:b/>
          <w:bCs/>
        </w:rPr>
        <w:t xml:space="preserve">SOCIALINIŲ IR EKONOMINIŲ PARTNERIŲ PATEIKTŲ PASTABŲ IR PASIŪLYMŲ DĖL </w:t>
      </w:r>
      <w:r w:rsidR="00A323E0" w:rsidRPr="00A323E0">
        <w:rPr>
          <w:b/>
          <w:bCs/>
        </w:rPr>
        <w:t>2022–2030 METŲ PLĖTROS PROGRAMOS VALDYTOJOS LIETUVOS RESPUBLIKOS EKONOMIKOS IR INOVACIJŲ MINISTERIJOS EKONOMIKOS TRANSFORMACIJOS IR KONKURENCINGUMO PLĖTROS PROGRAMOS PAŽANGOS PRIEMONĖS NR. 05-001-01-04-02 „SKATINTI ĮMONES PEREITI LINK NEUTRALIOS KLIMATUI EKONOMIKOS“ INVESTICINĖS VEIKLOS „</w:t>
      </w:r>
      <w:r w:rsidR="00192134" w:rsidRPr="00192134">
        <w:rPr>
          <w:b/>
          <w:bCs/>
        </w:rPr>
        <w:t>DIDINTI ENERGIJOS VARTOJIMO EFEKTYVUMĄ PRAMONĖS ĮMONĖSE (SOSTINĖS IR VIDURIO IR VAKARŲ LIETUVOS REGIONAS)“ PROJEKTŲ ATRANKOS KRITERIJŲ DERINIMAS</w:t>
      </w:r>
    </w:p>
    <w:p w14:paraId="74CF9614" w14:textId="77777777" w:rsidR="0036662A" w:rsidRPr="00017566" w:rsidRDefault="0036662A" w:rsidP="0036662A">
      <w:pPr>
        <w:rPr>
          <w:b/>
          <w:bCs/>
        </w:rPr>
      </w:pPr>
    </w:p>
    <w:tbl>
      <w:tblPr>
        <w:tblStyle w:val="Lentelstinklelis"/>
        <w:tblW w:w="14742" w:type="dxa"/>
        <w:tblInd w:w="108" w:type="dxa"/>
        <w:tblLook w:val="04A0" w:firstRow="1" w:lastRow="0" w:firstColumn="1" w:lastColumn="0" w:noHBand="0" w:noVBand="1"/>
      </w:tblPr>
      <w:tblGrid>
        <w:gridCol w:w="6804"/>
        <w:gridCol w:w="7938"/>
      </w:tblGrid>
      <w:tr w:rsidR="0036662A" w:rsidRPr="00017566" w14:paraId="186CD4CE" w14:textId="77777777" w:rsidTr="00335D39">
        <w:tc>
          <w:tcPr>
            <w:tcW w:w="6804" w:type="dxa"/>
          </w:tcPr>
          <w:p w14:paraId="5ABD71ED" w14:textId="53972006" w:rsidR="0036662A" w:rsidRPr="00017566" w:rsidRDefault="0036662A" w:rsidP="00335D39">
            <w:pPr>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938" w:type="dxa"/>
          </w:tcPr>
          <w:p w14:paraId="30C88A42" w14:textId="7F422C06" w:rsidR="0036662A" w:rsidRPr="00017566" w:rsidRDefault="00F65129" w:rsidP="00335D39">
            <w:pPr>
              <w:rPr>
                <w:szCs w:val="24"/>
              </w:rPr>
            </w:pPr>
            <w:r w:rsidRPr="00017566">
              <w:rPr>
                <w:szCs w:val="24"/>
              </w:rPr>
              <w:t>202</w:t>
            </w:r>
            <w:r w:rsidR="005B09A6">
              <w:rPr>
                <w:szCs w:val="24"/>
              </w:rPr>
              <w:t>2</w:t>
            </w:r>
            <w:r w:rsidRPr="00017566">
              <w:rPr>
                <w:szCs w:val="24"/>
              </w:rPr>
              <w:t>-0</w:t>
            </w:r>
            <w:r w:rsidR="00787C89">
              <w:rPr>
                <w:szCs w:val="24"/>
              </w:rPr>
              <w:t>8</w:t>
            </w:r>
            <w:r w:rsidRPr="00017566">
              <w:rPr>
                <w:szCs w:val="24"/>
              </w:rPr>
              <w:t>-</w:t>
            </w:r>
            <w:r w:rsidR="00562683">
              <w:rPr>
                <w:szCs w:val="24"/>
              </w:rPr>
              <w:t>12</w:t>
            </w:r>
          </w:p>
        </w:tc>
      </w:tr>
      <w:tr w:rsidR="0036662A" w:rsidRPr="00017566" w14:paraId="0B887416" w14:textId="77777777" w:rsidTr="00335D39">
        <w:tc>
          <w:tcPr>
            <w:tcW w:w="6804" w:type="dxa"/>
          </w:tcPr>
          <w:p w14:paraId="222C999C" w14:textId="77777777" w:rsidR="0036662A" w:rsidRPr="00017566" w:rsidRDefault="0036662A" w:rsidP="00335D39">
            <w:pPr>
              <w:rPr>
                <w:b/>
                <w:szCs w:val="24"/>
              </w:rPr>
            </w:pPr>
            <w:r w:rsidRPr="00017566">
              <w:rPr>
                <w:b/>
                <w:szCs w:val="24"/>
              </w:rPr>
              <w:t>Ar gauta pastabų ir (ar) pasiūlymų?</w:t>
            </w:r>
          </w:p>
          <w:p w14:paraId="240DC70C" w14:textId="77777777" w:rsidR="0036662A" w:rsidRPr="00017566" w:rsidRDefault="0036662A" w:rsidP="0036662A">
            <w:pPr>
              <w:rPr>
                <w:i/>
                <w:sz w:val="20"/>
              </w:rPr>
            </w:pPr>
            <w:r w:rsidRPr="00017566">
              <w:rPr>
                <w:i/>
                <w:sz w:val="20"/>
              </w:rPr>
              <w:t>Jei pastabų ir pasiūlymų nebuvo gauta, į kitą klausimą neatsakoma ir žemiau esanti lentelė nepildoma</w:t>
            </w:r>
          </w:p>
        </w:tc>
        <w:tc>
          <w:tcPr>
            <w:tcW w:w="7938" w:type="dxa"/>
          </w:tcPr>
          <w:p w14:paraId="3F99D4E0" w14:textId="289C4488" w:rsidR="0036662A" w:rsidRPr="00017566" w:rsidRDefault="005B09A6" w:rsidP="0070221E">
            <w:r>
              <w:fldChar w:fldCharType="begin">
                <w:ffData>
                  <w:name w:val="Check1"/>
                  <w:enabled/>
                  <w:calcOnExit w:val="0"/>
                  <w:checkBox>
                    <w:sizeAuto/>
                    <w:default w:val="1"/>
                  </w:checkBox>
                </w:ffData>
              </w:fldChar>
            </w:r>
            <w:bookmarkStart w:id="0" w:name="Check1"/>
            <w:r>
              <w:instrText xml:space="preserve"> FORMCHECKBOX </w:instrText>
            </w:r>
            <w:r w:rsidR="006B138B">
              <w:fldChar w:fldCharType="separate"/>
            </w:r>
            <w:r>
              <w:fldChar w:fldCharType="end"/>
            </w:r>
            <w:bookmarkEnd w:id="0"/>
            <w:r w:rsidR="0036662A" w:rsidRPr="00017566">
              <w:t xml:space="preserve"> </w:t>
            </w:r>
            <w:r w:rsidR="0036662A" w:rsidRPr="00017566">
              <w:rPr>
                <w:szCs w:val="24"/>
              </w:rPr>
              <w:t xml:space="preserve">Taip </w:t>
            </w:r>
            <w:sdt>
              <w:sdtPr>
                <w:rPr>
                  <w:szCs w:val="24"/>
                </w:rPr>
                <w:id w:val="164368749"/>
              </w:sdtPr>
              <w:sdtEndPr/>
              <w:sdtContent>
                <w:r>
                  <w:rPr>
                    <w:b/>
                    <w:szCs w:val="24"/>
                  </w:rPr>
                  <w:fldChar w:fldCharType="begin">
                    <w:ffData>
                      <w:name w:val=""/>
                      <w:enabled/>
                      <w:calcOnExit w:val="0"/>
                      <w:checkBox>
                        <w:sizeAuto/>
                        <w:default w:val="0"/>
                      </w:checkBox>
                    </w:ffData>
                  </w:fldChar>
                </w:r>
                <w:r>
                  <w:rPr>
                    <w:b/>
                    <w:szCs w:val="24"/>
                  </w:rPr>
                  <w:instrText xml:space="preserve"> FORMCHECKBOX </w:instrText>
                </w:r>
                <w:r w:rsidR="006B138B">
                  <w:rPr>
                    <w:b/>
                    <w:szCs w:val="24"/>
                  </w:rPr>
                </w:r>
                <w:r w:rsidR="006B138B">
                  <w:rPr>
                    <w:b/>
                    <w:szCs w:val="24"/>
                  </w:rPr>
                  <w:fldChar w:fldCharType="separate"/>
                </w:r>
                <w:r>
                  <w:rPr>
                    <w:b/>
                    <w:szCs w:val="24"/>
                  </w:rPr>
                  <w:fldChar w:fldCharType="end"/>
                </w:r>
                <w:r w:rsidR="0036662A" w:rsidRPr="00017566">
                  <w:rPr>
                    <w:szCs w:val="24"/>
                  </w:rPr>
                  <w:t xml:space="preserve"> </w:t>
                </w:r>
              </w:sdtContent>
            </w:sdt>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335D39">
        <w:tc>
          <w:tcPr>
            <w:tcW w:w="6804" w:type="dxa"/>
          </w:tcPr>
          <w:p w14:paraId="0CDA3A40" w14:textId="77777777" w:rsidR="0036662A" w:rsidRPr="00017566" w:rsidRDefault="0036662A" w:rsidP="00335D39">
            <w:pPr>
              <w:rPr>
                <w:b/>
                <w:szCs w:val="24"/>
              </w:rPr>
            </w:pPr>
            <w:r w:rsidRPr="00017566">
              <w:rPr>
                <w:b/>
                <w:szCs w:val="24"/>
              </w:rPr>
              <w:t>Ar į visas pastabas ir (ar) pasiūlymus atsižvelgta?</w:t>
            </w:r>
          </w:p>
          <w:p w14:paraId="2AF95CF4" w14:textId="77777777" w:rsidR="0036662A" w:rsidRPr="00017566" w:rsidRDefault="0036662A" w:rsidP="00335D39">
            <w:pPr>
              <w:rPr>
                <w:i/>
                <w:sz w:val="20"/>
              </w:rPr>
            </w:pPr>
            <w:r w:rsidRPr="00017566">
              <w:rPr>
                <w:i/>
                <w:sz w:val="20"/>
              </w:rPr>
              <w:t>Jei atsižvelgta į visas pastabas ir (ar) pasiūlymus, žemiau esanti lentelė nepildoma</w:t>
            </w:r>
          </w:p>
        </w:tc>
        <w:tc>
          <w:tcPr>
            <w:tcW w:w="7938" w:type="dxa"/>
          </w:tcPr>
          <w:p w14:paraId="3B6FBCDB" w14:textId="401EE63E" w:rsidR="0036662A" w:rsidRPr="00017566" w:rsidRDefault="006B138B" w:rsidP="0070221E">
            <w:pPr>
              <w:rPr>
                <w:szCs w:val="24"/>
              </w:rPr>
            </w:pPr>
            <w:sdt>
              <w:sdtPr>
                <w:id w:val="-1548671976"/>
              </w:sdtPr>
              <w:sdtEndPr/>
              <w:sdtContent>
                <w:r w:rsidR="0036662A" w:rsidRPr="00017566">
                  <w:fldChar w:fldCharType="begin">
                    <w:ffData>
                      <w:name w:val="Check1"/>
                      <w:enabled/>
                      <w:calcOnExit w:val="0"/>
                      <w:checkBox>
                        <w:sizeAuto/>
                        <w:default w:val="0"/>
                      </w:checkBox>
                    </w:ffData>
                  </w:fldChar>
                </w:r>
                <w:r w:rsidR="0036662A" w:rsidRPr="00017566">
                  <w:instrText xml:space="preserve"> FORMCHECKBOX </w:instrText>
                </w:r>
                <w:r>
                  <w:fldChar w:fldCharType="separate"/>
                </w:r>
                <w:r w:rsidR="0036662A" w:rsidRPr="00017566">
                  <w:fldChar w:fldCharType="end"/>
                </w:r>
              </w:sdtContent>
            </w:sdt>
            <w:r w:rsidR="0036662A" w:rsidRPr="00017566">
              <w:rPr>
                <w:szCs w:val="24"/>
              </w:rPr>
              <w:t xml:space="preserve"> Taip </w:t>
            </w:r>
            <w:sdt>
              <w:sdtPr>
                <w:id w:val="-338542889"/>
              </w:sdtPr>
              <w:sdtEndPr/>
              <w:sdtContent>
                <w:r w:rsidR="005B09A6">
                  <w:fldChar w:fldCharType="begin">
                    <w:ffData>
                      <w:name w:val=""/>
                      <w:enabled/>
                      <w:calcOnExit w:val="0"/>
                      <w:checkBox>
                        <w:sizeAuto/>
                        <w:default w:val="1"/>
                      </w:checkBox>
                    </w:ffData>
                  </w:fldChar>
                </w:r>
                <w:r w:rsidR="005B09A6">
                  <w:instrText xml:space="preserve"> FORMCHECKBOX </w:instrText>
                </w:r>
                <w:r>
                  <w:fldChar w:fldCharType="separate"/>
                </w:r>
                <w:r w:rsidR="005B09A6">
                  <w:fldChar w:fldCharType="end"/>
                </w:r>
              </w:sdtContent>
            </w:sdt>
            <w:r w:rsidR="0036662A" w:rsidRPr="00017566">
              <w:rPr>
                <w:szCs w:val="24"/>
              </w:rPr>
              <w:t xml:space="preserve"> Ne </w:t>
            </w:r>
          </w:p>
        </w:tc>
      </w:tr>
    </w:tbl>
    <w:p w14:paraId="2CB04BD8" w14:textId="77777777" w:rsidR="0036662A" w:rsidRPr="00017566" w:rsidRDefault="0036662A" w:rsidP="0036662A">
      <w:pPr>
        <w:rPr>
          <w:szCs w:val="24"/>
        </w:rPr>
      </w:pPr>
    </w:p>
    <w:tbl>
      <w:tblPr>
        <w:tblStyle w:val="Lentelstinklelis"/>
        <w:tblW w:w="14771" w:type="dxa"/>
        <w:tblInd w:w="108" w:type="dxa"/>
        <w:tblLayout w:type="fixed"/>
        <w:tblLook w:val="04A0" w:firstRow="1" w:lastRow="0" w:firstColumn="1" w:lastColumn="0" w:noHBand="0" w:noVBand="1"/>
      </w:tblPr>
      <w:tblGrid>
        <w:gridCol w:w="567"/>
        <w:gridCol w:w="1560"/>
        <w:gridCol w:w="7116"/>
        <w:gridCol w:w="5528"/>
      </w:tblGrid>
      <w:tr w:rsidR="0036662A" w:rsidRPr="00C85D29" w14:paraId="6A4E2F17" w14:textId="77777777" w:rsidTr="008914DC">
        <w:tc>
          <w:tcPr>
            <w:tcW w:w="567" w:type="dxa"/>
          </w:tcPr>
          <w:p w14:paraId="025A5EA9" w14:textId="77777777" w:rsidR="0036662A" w:rsidRPr="00C85D29" w:rsidRDefault="0036662A" w:rsidP="00335D39">
            <w:pPr>
              <w:jc w:val="center"/>
              <w:rPr>
                <w:b/>
                <w:szCs w:val="24"/>
              </w:rPr>
            </w:pPr>
            <w:r w:rsidRPr="00C85D29">
              <w:rPr>
                <w:b/>
                <w:szCs w:val="24"/>
              </w:rPr>
              <w:t>Nr.</w:t>
            </w:r>
          </w:p>
        </w:tc>
        <w:tc>
          <w:tcPr>
            <w:tcW w:w="1560" w:type="dxa"/>
          </w:tcPr>
          <w:p w14:paraId="5FEE2DEB" w14:textId="77777777" w:rsidR="0036662A" w:rsidRPr="00C85D29" w:rsidRDefault="0036662A" w:rsidP="00335D39">
            <w:pPr>
              <w:jc w:val="center"/>
              <w:rPr>
                <w:b/>
                <w:szCs w:val="24"/>
              </w:rPr>
            </w:pPr>
            <w:r w:rsidRPr="00C85D29">
              <w:rPr>
                <w:b/>
                <w:szCs w:val="24"/>
              </w:rPr>
              <w:t>Institucija</w:t>
            </w:r>
          </w:p>
        </w:tc>
        <w:tc>
          <w:tcPr>
            <w:tcW w:w="7116" w:type="dxa"/>
          </w:tcPr>
          <w:p w14:paraId="4F6476E0" w14:textId="77777777" w:rsidR="0036662A" w:rsidRPr="00C85D29" w:rsidRDefault="0036662A" w:rsidP="00335D39">
            <w:pPr>
              <w:jc w:val="center"/>
              <w:rPr>
                <w:b/>
                <w:szCs w:val="24"/>
              </w:rPr>
            </w:pPr>
            <w:r w:rsidRPr="00C85D29">
              <w:rPr>
                <w:b/>
                <w:bCs/>
              </w:rPr>
              <w:t>Pastabos ir pasiūlymai</w:t>
            </w:r>
          </w:p>
        </w:tc>
        <w:tc>
          <w:tcPr>
            <w:tcW w:w="5528" w:type="dxa"/>
          </w:tcPr>
          <w:p w14:paraId="5C314C6F" w14:textId="77777777" w:rsidR="0036662A" w:rsidRPr="00C85D29" w:rsidRDefault="0036662A" w:rsidP="00335D39">
            <w:pPr>
              <w:jc w:val="center"/>
              <w:rPr>
                <w:b/>
                <w:szCs w:val="24"/>
              </w:rPr>
            </w:pPr>
            <w:r w:rsidRPr="00C85D29">
              <w:rPr>
                <w:b/>
                <w:bCs/>
              </w:rPr>
              <w:t>Pastabų ir pasiūlymų vertinimas ir (jei taikoma) argumentai, kodėl neatsižvelgta į pastabas ar pasiūlymus</w:t>
            </w:r>
          </w:p>
        </w:tc>
      </w:tr>
      <w:tr w:rsidR="00D36D9D" w:rsidRPr="006168AD" w14:paraId="281D077B" w14:textId="77777777" w:rsidTr="008914DC">
        <w:tc>
          <w:tcPr>
            <w:tcW w:w="567" w:type="dxa"/>
          </w:tcPr>
          <w:p w14:paraId="66C96C52" w14:textId="5A535EDC" w:rsidR="00D36D9D" w:rsidRPr="00C85D29" w:rsidRDefault="00D36D9D" w:rsidP="00335D39">
            <w:pPr>
              <w:jc w:val="center"/>
              <w:rPr>
                <w:bCs/>
                <w:szCs w:val="24"/>
              </w:rPr>
            </w:pPr>
            <w:r w:rsidRPr="00C85D29">
              <w:rPr>
                <w:bCs/>
                <w:szCs w:val="24"/>
              </w:rPr>
              <w:t>1.</w:t>
            </w:r>
          </w:p>
        </w:tc>
        <w:tc>
          <w:tcPr>
            <w:tcW w:w="1560" w:type="dxa"/>
          </w:tcPr>
          <w:p w14:paraId="584D81CC" w14:textId="24D92FFB" w:rsidR="00D36D9D" w:rsidRPr="00C85D29" w:rsidRDefault="00D36D9D" w:rsidP="00CA3ADD">
            <w:pPr>
              <w:rPr>
                <w:b/>
                <w:szCs w:val="24"/>
              </w:rPr>
            </w:pPr>
            <w:r w:rsidRPr="00C85D29">
              <w:t xml:space="preserve">UAB „Biovela </w:t>
            </w:r>
            <w:proofErr w:type="spellStart"/>
            <w:r w:rsidRPr="00C85D29">
              <w:t>group</w:t>
            </w:r>
            <w:proofErr w:type="spellEnd"/>
            <w:r w:rsidRPr="00C85D29">
              <w:t>“</w:t>
            </w:r>
          </w:p>
        </w:tc>
        <w:tc>
          <w:tcPr>
            <w:tcW w:w="7116" w:type="dxa"/>
          </w:tcPr>
          <w:p w14:paraId="3B2513D5" w14:textId="77777777" w:rsidR="001904C5" w:rsidRPr="001904C5" w:rsidRDefault="001904C5" w:rsidP="001904C5">
            <w:pPr>
              <w:jc w:val="both"/>
            </w:pPr>
            <w:r w:rsidRPr="001904C5">
              <w:t xml:space="preserve">Neturint informacijos dėl: </w:t>
            </w:r>
          </w:p>
          <w:p w14:paraId="18769AB0" w14:textId="77777777" w:rsidR="001904C5" w:rsidRPr="001904C5" w:rsidRDefault="001904C5" w:rsidP="001904C5">
            <w:pPr>
              <w:numPr>
                <w:ilvl w:val="0"/>
                <w:numId w:val="12"/>
              </w:numPr>
              <w:jc w:val="both"/>
            </w:pPr>
            <w:r w:rsidRPr="001904C5">
              <w:t xml:space="preserve">Tinkamų finansuoti išlaidų sąrašo, </w:t>
            </w:r>
            <w:proofErr w:type="spellStart"/>
            <w:r w:rsidRPr="001904C5">
              <w:t>t.y</w:t>
            </w:r>
            <w:proofErr w:type="spellEnd"/>
            <w:r w:rsidRPr="001904C5">
              <w:t>. ką pareiškėjai galės įsigyti;</w:t>
            </w:r>
          </w:p>
          <w:p w14:paraId="19191048" w14:textId="77777777" w:rsidR="001904C5" w:rsidRPr="001904C5" w:rsidRDefault="001904C5" w:rsidP="001904C5">
            <w:pPr>
              <w:numPr>
                <w:ilvl w:val="0"/>
                <w:numId w:val="12"/>
              </w:numPr>
              <w:jc w:val="both"/>
            </w:pPr>
            <w:r w:rsidRPr="001904C5">
              <w:t>Maksimalios paramos sumos vienam projektui;</w:t>
            </w:r>
          </w:p>
          <w:p w14:paraId="7192526D" w14:textId="77777777" w:rsidR="001904C5" w:rsidRPr="001904C5" w:rsidRDefault="001904C5" w:rsidP="001904C5">
            <w:pPr>
              <w:numPr>
                <w:ilvl w:val="0"/>
                <w:numId w:val="12"/>
              </w:numPr>
              <w:jc w:val="both"/>
            </w:pPr>
            <w:r w:rsidRPr="001904C5">
              <w:t>Paramos intensyvumo;</w:t>
            </w:r>
          </w:p>
          <w:p w14:paraId="15710940" w14:textId="77777777" w:rsidR="001904C5" w:rsidRPr="001904C5" w:rsidRDefault="001904C5" w:rsidP="001904C5">
            <w:pPr>
              <w:jc w:val="both"/>
            </w:pPr>
            <w:r w:rsidRPr="001904C5">
              <w:t xml:space="preserve">Neįmanoma objektyviai pateikti pastabų atrankos kriterijų projektui. </w:t>
            </w:r>
            <w:proofErr w:type="spellStart"/>
            <w:r w:rsidRPr="001904C5">
              <w:t>T.y</w:t>
            </w:r>
            <w:proofErr w:type="spellEnd"/>
            <w:r w:rsidRPr="001904C5">
              <w:t>. neįmanoma įsivertinti, ar su projektui skiriamu finansavimu apskritai įmanoma sumažinti ŠESD efektą, nekalbant jau apie tokius rodiklius kaip 30 proc., kurie buvo pasiekti daugumoje įmonių 2018-2020 metais po pirmųjų energetinių auditų atlikimo. Tai nuo to rodiklio pasiekti tokius reikšmingus pokyčius kaip 30 proc. reikia atitinkamo finansavimo. Apie jį ir apie priemones – tinkamas finansuoti išlaidas nieko nekalbama.</w:t>
            </w:r>
          </w:p>
          <w:p w14:paraId="2C7C9439" w14:textId="77777777" w:rsidR="001904C5" w:rsidRPr="001904C5" w:rsidRDefault="001904C5" w:rsidP="001904C5">
            <w:pPr>
              <w:jc w:val="both"/>
            </w:pPr>
          </w:p>
          <w:p w14:paraId="424F1C7C" w14:textId="77777777" w:rsidR="001904C5" w:rsidRPr="001904C5" w:rsidRDefault="001904C5" w:rsidP="00F332C7">
            <w:pPr>
              <w:tabs>
                <w:tab w:val="left" w:pos="342"/>
                <w:tab w:val="left" w:pos="483"/>
                <w:tab w:val="left" w:pos="625"/>
              </w:tabs>
              <w:jc w:val="both"/>
            </w:pPr>
            <w:r w:rsidRPr="001904C5">
              <w:lastRenderedPageBreak/>
              <w:t>3.               Projektu siekiama bent 30 proc. sumažinti tiesiogiai ir netiesiogiai išmetamą šiltnamio efektą sukeliančių dujų kiekį, palyginus su energijos vartojimo efektyvumo audite nurodytų išmetamu kiekiu.</w:t>
            </w:r>
          </w:p>
          <w:p w14:paraId="7004895A" w14:textId="77777777" w:rsidR="001904C5" w:rsidRPr="001904C5" w:rsidRDefault="001904C5" w:rsidP="001904C5">
            <w:pPr>
              <w:jc w:val="both"/>
            </w:pPr>
            <w:r w:rsidRPr="001904C5">
              <w:t>4.               Projektu siekiama daugiau kaip 30 proc. sumažinti tiesiogiai ir netiesiogiai išmetamą šiltnamio efektą sukeliančių dujų kiekį, palyginus su energijos vartojimo efektyvumo audite nurodytu bendru įmonės (pareiškėjo) išmetamu kiekiu.</w:t>
            </w:r>
          </w:p>
          <w:p w14:paraId="79162665" w14:textId="77777777" w:rsidR="001904C5" w:rsidRPr="001904C5" w:rsidRDefault="001904C5" w:rsidP="001904C5">
            <w:pPr>
              <w:jc w:val="both"/>
            </w:pPr>
          </w:p>
          <w:p w14:paraId="61CBF5B0" w14:textId="4E9E871D" w:rsidR="001904C5" w:rsidRPr="001904C5" w:rsidRDefault="001904C5" w:rsidP="001904C5">
            <w:pPr>
              <w:jc w:val="both"/>
            </w:pPr>
            <w:r w:rsidRPr="001904C5">
              <w:t xml:space="preserve">Aplinkos ministerija neseniai derino panašią priemonę, kur projekto paramos suma 1,5 mln. </w:t>
            </w:r>
            <w:r w:rsidR="00F332C7">
              <w:t>E</w:t>
            </w:r>
            <w:r w:rsidRPr="001904C5">
              <w:t xml:space="preserve">ur su 40-50 proc. intensyvumu, tai ten visa pramonė pateikė pastabas, kad net su tokio dydžio finansavimu taupymai galimi iki 15-20 proc. lygio (jokiu būdu ne 30 proc.) ir tik PROJEKTO lygmeny, </w:t>
            </w:r>
            <w:proofErr w:type="spellStart"/>
            <w:r w:rsidRPr="001904C5">
              <w:t>t.y</w:t>
            </w:r>
            <w:proofErr w:type="spellEnd"/>
            <w:r w:rsidRPr="001904C5">
              <w:t xml:space="preserve">. kai viena nauja energijos priemonė pakeičia kitą konkrečią seną energijos priemonę, o ne žiūrint į visą įmonės ŠESD suvartojimą. </w:t>
            </w:r>
          </w:p>
          <w:p w14:paraId="689D4AA9" w14:textId="77777777" w:rsidR="001904C5" w:rsidRPr="001904C5" w:rsidRDefault="001904C5" w:rsidP="001904C5">
            <w:pPr>
              <w:jc w:val="both"/>
            </w:pPr>
          </w:p>
          <w:p w14:paraId="75461A8B" w14:textId="77777777" w:rsidR="001904C5" w:rsidRPr="001904C5" w:rsidRDefault="001904C5" w:rsidP="001904C5">
            <w:pPr>
              <w:jc w:val="both"/>
            </w:pPr>
            <w:r w:rsidRPr="001904C5">
              <w:t xml:space="preserve">Supraskime, pramonės sektorius nėra labai mažos įmonės su 10 darbuotojų ir mini energetika, kur investicija už 100.000 </w:t>
            </w:r>
            <w:proofErr w:type="spellStart"/>
            <w:r w:rsidRPr="001904C5">
              <w:t>eur</w:t>
            </w:r>
            <w:proofErr w:type="spellEnd"/>
            <w:r w:rsidRPr="001904C5">
              <w:t xml:space="preserve"> 30 proc. energijos ŠESD sumažintų. </w:t>
            </w:r>
          </w:p>
          <w:p w14:paraId="307945A7" w14:textId="32B231C3" w:rsidR="001904C5" w:rsidRPr="00C85D29" w:rsidRDefault="001904C5" w:rsidP="00D36D9D">
            <w:pPr>
              <w:jc w:val="both"/>
            </w:pPr>
            <w:r w:rsidRPr="001904C5">
              <w:t xml:space="preserve">Kadangi priemonė konkrečiai skirta pramonės įmonėms, tai derinimui būtina pateikti daugiau informacijos. </w:t>
            </w:r>
          </w:p>
        </w:tc>
        <w:tc>
          <w:tcPr>
            <w:tcW w:w="5528" w:type="dxa"/>
          </w:tcPr>
          <w:p w14:paraId="32B103C4" w14:textId="79F358C3" w:rsidR="00527115" w:rsidRPr="006168AD" w:rsidRDefault="00B259E5" w:rsidP="004B5C52">
            <w:pPr>
              <w:rPr>
                <w:b/>
                <w:bCs/>
                <w:szCs w:val="24"/>
                <w:lang w:eastAsia="en-US"/>
              </w:rPr>
            </w:pPr>
            <w:r w:rsidRPr="006168AD">
              <w:rPr>
                <w:b/>
                <w:bCs/>
                <w:szCs w:val="24"/>
                <w:lang w:eastAsia="en-US"/>
              </w:rPr>
              <w:lastRenderedPageBreak/>
              <w:t>Paaiškinta</w:t>
            </w:r>
            <w:r w:rsidR="002C57F4" w:rsidRPr="006168AD">
              <w:rPr>
                <w:b/>
                <w:bCs/>
                <w:szCs w:val="24"/>
                <w:lang w:eastAsia="en-US"/>
              </w:rPr>
              <w:t>.</w:t>
            </w:r>
          </w:p>
          <w:p w14:paraId="1D71D8CF" w14:textId="55CDD477" w:rsidR="005F50FF" w:rsidRDefault="001D7687" w:rsidP="0082387B">
            <w:pPr>
              <w:pStyle w:val="prastasiniatinklio"/>
              <w:jc w:val="both"/>
              <w:rPr>
                <w:lang w:eastAsia="en-US"/>
              </w:rPr>
            </w:pPr>
            <w:r w:rsidRPr="006168AD">
              <w:rPr>
                <w:lang w:eastAsia="en-US"/>
              </w:rPr>
              <w:t xml:space="preserve">Atkreipiame dėmesį, kad </w:t>
            </w:r>
            <w:r>
              <w:rPr>
                <w:lang w:eastAsia="en-US"/>
              </w:rPr>
              <w:t xml:space="preserve">projektų atrankos kriterijai </w:t>
            </w:r>
            <w:r w:rsidRPr="006168AD">
              <w:rPr>
                <w:lang w:eastAsia="en-US"/>
              </w:rPr>
              <w:t xml:space="preserve">turi būti patvirtinti </w:t>
            </w:r>
            <w:r w:rsidR="009C76B6" w:rsidRPr="009C76B6">
              <w:rPr>
                <w:lang w:eastAsia="en-US"/>
              </w:rPr>
              <w:t>2021-2027 metų Europos Sąjungos fondų investicijų programos</w:t>
            </w:r>
            <w:r w:rsidR="009C76B6" w:rsidRPr="009C76B6">
              <w:rPr>
                <w:lang w:eastAsia="en-US"/>
              </w:rPr>
              <w:t xml:space="preserve"> </w:t>
            </w:r>
            <w:r w:rsidRPr="006168AD">
              <w:rPr>
                <w:lang w:eastAsia="en-US"/>
              </w:rPr>
              <w:t xml:space="preserve">Stebėsenos komitete </w:t>
            </w:r>
            <w:r w:rsidR="008D1E04">
              <w:rPr>
                <w:lang w:eastAsia="en-US"/>
              </w:rPr>
              <w:t xml:space="preserve">dar </w:t>
            </w:r>
            <w:r w:rsidRPr="006168AD">
              <w:rPr>
                <w:lang w:eastAsia="en-US"/>
              </w:rPr>
              <w:t xml:space="preserve">iki </w:t>
            </w:r>
            <w:r>
              <w:rPr>
                <w:lang w:eastAsia="en-US"/>
              </w:rPr>
              <w:t xml:space="preserve">projektų finansavimo sąlygų aprašo </w:t>
            </w:r>
            <w:r w:rsidRPr="006168AD">
              <w:rPr>
                <w:lang w:eastAsia="en-US"/>
              </w:rPr>
              <w:t>tvirtinimo</w:t>
            </w:r>
            <w:r w:rsidR="008D1E04">
              <w:rPr>
                <w:lang w:eastAsia="en-US"/>
              </w:rPr>
              <w:t xml:space="preserve">. </w:t>
            </w:r>
            <w:r w:rsidR="009C76B6">
              <w:rPr>
                <w:lang w:eastAsia="en-US"/>
              </w:rPr>
              <w:t>P</w:t>
            </w:r>
            <w:r w:rsidR="0086132D" w:rsidRPr="0086132D">
              <w:rPr>
                <w:lang w:eastAsia="en-US"/>
              </w:rPr>
              <w:t>ažangos priemonės Nr. 05-001-01-04-02 „Skatinti įmones pereiti link neutralios klimatui ekonomikos“ investicinės veiklos „</w:t>
            </w:r>
            <w:r w:rsidR="008D1E04">
              <w:rPr>
                <w:lang w:eastAsia="en-US"/>
              </w:rPr>
              <w:t>D</w:t>
            </w:r>
            <w:r w:rsidR="008D1E04" w:rsidRPr="008D1E04">
              <w:rPr>
                <w:lang w:eastAsia="en-US"/>
              </w:rPr>
              <w:t>idinti energijos vartojimo efektyvumą pramonės įmonėse (</w:t>
            </w:r>
            <w:r w:rsidR="008D1E04">
              <w:rPr>
                <w:lang w:eastAsia="en-US"/>
              </w:rPr>
              <w:t>S</w:t>
            </w:r>
            <w:r w:rsidR="008D1E04" w:rsidRPr="008D1E04">
              <w:rPr>
                <w:lang w:eastAsia="en-US"/>
              </w:rPr>
              <w:t xml:space="preserve">ostinės ir </w:t>
            </w:r>
            <w:r w:rsidR="008D1E04">
              <w:rPr>
                <w:lang w:eastAsia="en-US"/>
              </w:rPr>
              <w:t>V</w:t>
            </w:r>
            <w:r w:rsidR="008D1E04" w:rsidRPr="008D1E04">
              <w:rPr>
                <w:lang w:eastAsia="en-US"/>
              </w:rPr>
              <w:t xml:space="preserve">idurio ir vakarų </w:t>
            </w:r>
            <w:r w:rsidR="008D1E04">
              <w:rPr>
                <w:lang w:eastAsia="en-US"/>
              </w:rPr>
              <w:t>L</w:t>
            </w:r>
            <w:r w:rsidR="008D1E04" w:rsidRPr="008D1E04">
              <w:rPr>
                <w:lang w:eastAsia="en-US"/>
              </w:rPr>
              <w:t>ietuvos regionas)</w:t>
            </w:r>
            <w:r w:rsidR="008D1E04" w:rsidRPr="0086132D">
              <w:rPr>
                <w:lang w:eastAsia="en-US"/>
              </w:rPr>
              <w:t xml:space="preserve">“ </w:t>
            </w:r>
            <w:r w:rsidR="0086132D" w:rsidRPr="0086132D">
              <w:rPr>
                <w:lang w:eastAsia="en-US"/>
              </w:rPr>
              <w:t xml:space="preserve">projektų finansavimo sąlygų apraše bus </w:t>
            </w:r>
            <w:r w:rsidR="008D1E04" w:rsidRPr="006168AD">
              <w:rPr>
                <w:lang w:eastAsia="en-US"/>
              </w:rPr>
              <w:t>nustatytas paramos intensyvumas, mak</w:t>
            </w:r>
            <w:r w:rsidR="006E7CEF" w:rsidRPr="006168AD">
              <w:rPr>
                <w:lang w:eastAsia="en-US"/>
              </w:rPr>
              <w:t>simali paramos suma vienam projektui, tinkamo finansuoti išlaidos ir kiti reikalavimai.</w:t>
            </w:r>
            <w:r w:rsidR="005F50FF" w:rsidRPr="006168AD">
              <w:rPr>
                <w:lang w:eastAsia="en-US"/>
              </w:rPr>
              <w:t xml:space="preserve"> Finansavimo sąlygų aprašas bus teikiamas viešam aptarimui </w:t>
            </w:r>
            <w:r w:rsidR="005F50FF" w:rsidRPr="005F50FF">
              <w:rPr>
                <w:lang w:eastAsia="en-US"/>
              </w:rPr>
              <w:t xml:space="preserve">su suinteresuotomis šalimis ir socialiniais ir ekonominiais </w:t>
            </w:r>
            <w:r w:rsidR="005F50FF" w:rsidRPr="005F50FF">
              <w:rPr>
                <w:lang w:eastAsia="en-US"/>
              </w:rPr>
              <w:lastRenderedPageBreak/>
              <w:t>partneriais</w:t>
            </w:r>
            <w:r w:rsidR="005F50FF" w:rsidRPr="006168AD">
              <w:rPr>
                <w:lang w:eastAsia="en-US"/>
              </w:rPr>
              <w:t xml:space="preserve"> </w:t>
            </w:r>
            <w:r w:rsidR="005F50FF" w:rsidRPr="006168AD">
              <w:rPr>
                <w:lang w:eastAsia="en-US"/>
              </w:rPr>
              <w:t xml:space="preserve">kaip </w:t>
            </w:r>
            <w:r w:rsidR="005F50FF" w:rsidRPr="006168AD">
              <w:rPr>
                <w:lang w:eastAsia="en-US"/>
              </w:rPr>
              <w:t xml:space="preserve">tai </w:t>
            </w:r>
            <w:r w:rsidR="005F50FF" w:rsidRPr="006168AD">
              <w:rPr>
                <w:lang w:eastAsia="en-US"/>
              </w:rPr>
              <w:t xml:space="preserve">nustatyta Strateginio valdymo metodikos 11–14 punktuose </w:t>
            </w:r>
            <w:r w:rsidR="006168AD" w:rsidRPr="006168AD">
              <w:rPr>
                <w:lang w:eastAsia="en-US"/>
              </w:rPr>
              <w:t>bei</w:t>
            </w:r>
            <w:r w:rsidR="005F50FF" w:rsidRPr="006168AD">
              <w:rPr>
                <w:lang w:eastAsia="en-US"/>
              </w:rPr>
              <w:t xml:space="preserve"> vadovaujantis </w:t>
            </w:r>
            <w:hyperlink r:id="rId9" w:history="1">
              <w:r w:rsidR="005F50FF" w:rsidRPr="006168AD">
                <w:rPr>
                  <w:lang w:eastAsia="en-US"/>
                </w:rPr>
                <w:t>Viešųjų konsultacijų metodika</w:t>
              </w:r>
            </w:hyperlink>
            <w:r w:rsidR="00AF640E">
              <w:rPr>
                <w:lang w:eastAsia="en-US"/>
              </w:rPr>
              <w:t>.</w:t>
            </w:r>
          </w:p>
          <w:p w14:paraId="545CCE31" w14:textId="782B28B5" w:rsidR="00342BD5" w:rsidRPr="0082757B" w:rsidRDefault="00F01F99" w:rsidP="0082387B">
            <w:pPr>
              <w:pStyle w:val="Sraopastraipa"/>
              <w:tabs>
                <w:tab w:val="left" w:pos="743"/>
              </w:tabs>
              <w:ind w:left="34"/>
              <w:jc w:val="both"/>
              <w:rPr>
                <w:szCs w:val="24"/>
                <w:lang w:eastAsia="en-US"/>
              </w:rPr>
            </w:pPr>
            <w:r>
              <w:rPr>
                <w:lang w:eastAsia="en-US"/>
              </w:rPr>
              <w:t>Įgyvendinant numatytą pažangos priemonės veiklą, f</w:t>
            </w:r>
            <w:r w:rsidRPr="00F01F99">
              <w:rPr>
                <w:lang w:eastAsia="en-US"/>
              </w:rPr>
              <w:t>inansavima</w:t>
            </w:r>
            <w:r w:rsidR="0082757B">
              <w:rPr>
                <w:lang w:eastAsia="en-US"/>
              </w:rPr>
              <w:t xml:space="preserve">s </w:t>
            </w:r>
            <w:r>
              <w:rPr>
                <w:lang w:eastAsia="en-US"/>
              </w:rPr>
              <w:t>projektams bus</w:t>
            </w:r>
            <w:r w:rsidRPr="00F01F99">
              <w:rPr>
                <w:lang w:eastAsia="en-US"/>
              </w:rPr>
              <w:t xml:space="preserve"> skiriamas kaip valstybės pagalba, kuri teikiama </w:t>
            </w:r>
            <w:r w:rsidR="006B138B">
              <w:rPr>
                <w:lang w:eastAsia="en-US"/>
              </w:rPr>
              <w:t>vadovaujantis</w:t>
            </w:r>
            <w:r w:rsidRPr="00F01F99">
              <w:rPr>
                <w:lang w:eastAsia="en-US"/>
              </w:rPr>
              <w:t xml:space="preserve"> </w:t>
            </w:r>
            <w:r w:rsidR="0082757B" w:rsidRPr="0082757B">
              <w:rPr>
                <w:szCs w:val="24"/>
                <w:lang w:eastAsia="en-US"/>
              </w:rPr>
              <w:t>2014 m. birželio 17 d. Komisijos reglament</w:t>
            </w:r>
            <w:r w:rsidR="0082757B">
              <w:rPr>
                <w:szCs w:val="24"/>
                <w:lang w:eastAsia="en-US"/>
              </w:rPr>
              <w:t>o</w:t>
            </w:r>
            <w:r w:rsidR="0082757B" w:rsidRPr="0082757B">
              <w:rPr>
                <w:szCs w:val="24"/>
                <w:lang w:eastAsia="en-US"/>
              </w:rPr>
              <w:t xml:space="preserve"> (ES) Nr. 651/2014</w:t>
            </w:r>
            <w:r w:rsidR="008914DC">
              <w:rPr>
                <w:szCs w:val="24"/>
                <w:lang w:eastAsia="en-US"/>
              </w:rPr>
              <w:t xml:space="preserve"> </w:t>
            </w:r>
            <w:r w:rsidR="008914DC">
              <w:rPr>
                <w:lang w:val="en-US" w:eastAsia="en-US"/>
              </w:rPr>
              <w:t>38</w:t>
            </w:r>
            <w:r w:rsidRPr="00F01F99">
              <w:rPr>
                <w:lang w:eastAsia="en-US"/>
              </w:rPr>
              <w:t xml:space="preserve"> straipsn</w:t>
            </w:r>
            <w:r w:rsidR="006B138B">
              <w:rPr>
                <w:lang w:eastAsia="en-US"/>
              </w:rPr>
              <w:t>iu ir</w:t>
            </w:r>
            <w:r w:rsidRPr="00F01F99">
              <w:rPr>
                <w:lang w:eastAsia="en-US"/>
              </w:rPr>
              <w:t xml:space="preserve"> atsižvelgiant į I skyriaus nuostatas bei 1 straipsnio 2–5 dalyse nustatytus apribojimus.</w:t>
            </w:r>
          </w:p>
          <w:p w14:paraId="3771E9A4" w14:textId="2AC58D0F" w:rsidR="002C57F4" w:rsidRPr="006B138B" w:rsidRDefault="002870E4" w:rsidP="006B138B">
            <w:pPr>
              <w:jc w:val="both"/>
              <w:rPr>
                <w:bCs/>
                <w:szCs w:val="24"/>
                <w:lang w:eastAsia="en-US"/>
              </w:rPr>
            </w:pPr>
            <w:r w:rsidRPr="002870E4">
              <w:rPr>
                <w:bCs/>
                <w:szCs w:val="24"/>
                <w:lang w:eastAsia="en-US"/>
              </w:rPr>
              <w:t>P</w:t>
            </w:r>
            <w:r w:rsidRPr="002870E4">
              <w:rPr>
                <w:bCs/>
                <w:szCs w:val="24"/>
                <w:lang w:eastAsia="en-US"/>
              </w:rPr>
              <w:t>agal intervencinę sritį  (04</w:t>
            </w:r>
            <w:r w:rsidRPr="002870E4">
              <w:rPr>
                <w:bCs/>
                <w:szCs w:val="24"/>
                <w:lang w:eastAsia="en-US"/>
              </w:rPr>
              <w:t>0</w:t>
            </w:r>
            <w:r w:rsidRPr="002870E4">
              <w:rPr>
                <w:rFonts w:ascii="TimesNewRomanPSMT" w:eastAsiaTheme="minorHAnsi" w:hAnsi="TimesNewRomanPSMT" w:cs="TimesNewRomanPSMT"/>
                <w:color w:val="000000"/>
                <w:sz w:val="22"/>
                <w:szCs w:val="22"/>
                <w:lang w:eastAsia="en-US"/>
              </w:rPr>
              <w:t xml:space="preserve"> </w:t>
            </w:r>
            <w:r w:rsidRPr="002870E4">
              <w:rPr>
                <w:bCs/>
                <w:szCs w:val="24"/>
                <w:lang w:eastAsia="en-US"/>
              </w:rPr>
              <w:t>MVĮ arba didelių įmonių efektyvus energijos vartojimas ir jose vykdomi parodomieji projektai, taip pat pagalbinės priemonės, atitinkančios energijos vartojimo efektyvumo kriterijus</w:t>
            </w:r>
            <w:r w:rsidR="00C03A09">
              <w:rPr>
                <w:bCs/>
                <w:szCs w:val="24"/>
                <w:lang w:eastAsia="en-US"/>
              </w:rPr>
              <w:t xml:space="preserve">) </w:t>
            </w:r>
            <w:r w:rsidRPr="002870E4">
              <w:rPr>
                <w:bCs/>
                <w:szCs w:val="24"/>
                <w:lang w:eastAsia="en-US"/>
              </w:rPr>
              <w:t>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1 priedu</w:t>
            </w:r>
            <w:r>
              <w:rPr>
                <w:bCs/>
                <w:szCs w:val="24"/>
                <w:lang w:eastAsia="en-US"/>
              </w:rPr>
              <w:t xml:space="preserve">, turi </w:t>
            </w:r>
            <w:r w:rsidRPr="0084616F">
              <w:rPr>
                <w:bCs/>
                <w:szCs w:val="24"/>
                <w:lang w:eastAsia="en-US"/>
              </w:rPr>
              <w:t xml:space="preserve">būti siekiama </w:t>
            </w:r>
            <w:r w:rsidRPr="0084616F">
              <w:rPr>
                <w:bCs/>
                <w:szCs w:val="24"/>
                <w:lang w:eastAsia="en-US"/>
              </w:rPr>
              <w:t xml:space="preserve">vidutiniškai bent 30% sumažinti tiesiogiai ir netiesiogiai išmetamą šiltnamio efektą sukeliančių dujų kiekį, palyginti su </w:t>
            </w:r>
            <w:proofErr w:type="spellStart"/>
            <w:r w:rsidRPr="0084616F">
              <w:rPr>
                <w:bCs/>
                <w:i/>
                <w:iCs/>
                <w:szCs w:val="24"/>
                <w:lang w:eastAsia="en-US"/>
              </w:rPr>
              <w:t>ex</w:t>
            </w:r>
            <w:proofErr w:type="spellEnd"/>
            <w:r w:rsidRPr="0084616F">
              <w:rPr>
                <w:bCs/>
                <w:i/>
                <w:iCs/>
                <w:szCs w:val="24"/>
                <w:lang w:eastAsia="en-US"/>
              </w:rPr>
              <w:t xml:space="preserve"> ante </w:t>
            </w:r>
            <w:r w:rsidRPr="0084616F">
              <w:rPr>
                <w:bCs/>
                <w:szCs w:val="24"/>
                <w:lang w:eastAsia="en-US"/>
              </w:rPr>
              <w:t>išmetamu kiekiu.</w:t>
            </w:r>
            <w:r w:rsidRPr="002870E4">
              <w:rPr>
                <w:bCs/>
                <w:szCs w:val="24"/>
                <w:lang w:val="en-US" w:eastAsia="en-US"/>
              </w:rPr>
              <w:t xml:space="preserve"> </w:t>
            </w:r>
          </w:p>
        </w:tc>
      </w:tr>
    </w:tbl>
    <w:p w14:paraId="00AABEA2" w14:textId="77777777" w:rsidR="005C5ECB" w:rsidRPr="00017566" w:rsidRDefault="005C5ECB">
      <w:pPr>
        <w:rPr>
          <w:b/>
          <w:bCs/>
          <w:caps/>
          <w:szCs w:val="24"/>
        </w:rPr>
      </w:pPr>
    </w:p>
    <w:sectPr w:rsidR="005C5ECB" w:rsidRPr="00017566" w:rsidSect="0036662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NewRomanPSMT"/>
    <w:panose1 w:val="00000000000000000000"/>
    <w:charset w:val="EE"/>
    <w:family w:val="roman"/>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9F1351"/>
    <w:multiLevelType w:val="hybridMultilevel"/>
    <w:tmpl w:val="8148068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5"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1"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1923180287">
    <w:abstractNumId w:val="8"/>
  </w:num>
  <w:num w:numId="2" w16cid:durableId="1251894571">
    <w:abstractNumId w:val="7"/>
  </w:num>
  <w:num w:numId="3" w16cid:durableId="987710396">
    <w:abstractNumId w:val="9"/>
  </w:num>
  <w:num w:numId="4" w16cid:durableId="1235975087">
    <w:abstractNumId w:val="1"/>
  </w:num>
  <w:num w:numId="5" w16cid:durableId="1293905906">
    <w:abstractNumId w:val="2"/>
  </w:num>
  <w:num w:numId="6" w16cid:durableId="342897358">
    <w:abstractNumId w:val="0"/>
  </w:num>
  <w:num w:numId="7" w16cid:durableId="1846628409">
    <w:abstractNumId w:val="4"/>
  </w:num>
  <w:num w:numId="8" w16cid:durableId="1239708479">
    <w:abstractNumId w:val="6"/>
  </w:num>
  <w:num w:numId="9" w16cid:durableId="940339901">
    <w:abstractNumId w:val="10"/>
  </w:num>
  <w:num w:numId="10" w16cid:durableId="1080298597">
    <w:abstractNumId w:val="5"/>
  </w:num>
  <w:num w:numId="11" w16cid:durableId="1060401310">
    <w:abstractNumId w:val="11"/>
  </w:num>
  <w:num w:numId="12" w16cid:durableId="177073349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5FAA"/>
    <w:rsid w:val="00007463"/>
    <w:rsid w:val="0001428A"/>
    <w:rsid w:val="00016435"/>
    <w:rsid w:val="00017566"/>
    <w:rsid w:val="000202E8"/>
    <w:rsid w:val="00023010"/>
    <w:rsid w:val="000240C4"/>
    <w:rsid w:val="00030D25"/>
    <w:rsid w:val="00030DBB"/>
    <w:rsid w:val="0003188A"/>
    <w:rsid w:val="00032985"/>
    <w:rsid w:val="00033CEB"/>
    <w:rsid w:val="00044CAB"/>
    <w:rsid w:val="00046DFE"/>
    <w:rsid w:val="00050427"/>
    <w:rsid w:val="00053D41"/>
    <w:rsid w:val="00055508"/>
    <w:rsid w:val="00060B0B"/>
    <w:rsid w:val="00062518"/>
    <w:rsid w:val="00063152"/>
    <w:rsid w:val="000640C7"/>
    <w:rsid w:val="00066215"/>
    <w:rsid w:val="000671F1"/>
    <w:rsid w:val="00070B21"/>
    <w:rsid w:val="00070ED6"/>
    <w:rsid w:val="00070EF3"/>
    <w:rsid w:val="00077247"/>
    <w:rsid w:val="00081BC9"/>
    <w:rsid w:val="000909EB"/>
    <w:rsid w:val="00095A64"/>
    <w:rsid w:val="00095B14"/>
    <w:rsid w:val="00096A65"/>
    <w:rsid w:val="000A0E20"/>
    <w:rsid w:val="000A3FD2"/>
    <w:rsid w:val="000B19E9"/>
    <w:rsid w:val="000B1AF5"/>
    <w:rsid w:val="000B2D7C"/>
    <w:rsid w:val="000B7125"/>
    <w:rsid w:val="000C6DCD"/>
    <w:rsid w:val="000D22BB"/>
    <w:rsid w:val="000D2E71"/>
    <w:rsid w:val="000D3EFE"/>
    <w:rsid w:val="000D748B"/>
    <w:rsid w:val="000E057B"/>
    <w:rsid w:val="000E128C"/>
    <w:rsid w:val="000E1F0C"/>
    <w:rsid w:val="000E275C"/>
    <w:rsid w:val="000E5A48"/>
    <w:rsid w:val="000E7A99"/>
    <w:rsid w:val="000F1049"/>
    <w:rsid w:val="000F5CE6"/>
    <w:rsid w:val="00105F91"/>
    <w:rsid w:val="001132AD"/>
    <w:rsid w:val="00115372"/>
    <w:rsid w:val="00124A1B"/>
    <w:rsid w:val="00143277"/>
    <w:rsid w:val="001445E4"/>
    <w:rsid w:val="00150B26"/>
    <w:rsid w:val="00156FCF"/>
    <w:rsid w:val="00157004"/>
    <w:rsid w:val="001577E4"/>
    <w:rsid w:val="00162289"/>
    <w:rsid w:val="001661A8"/>
    <w:rsid w:val="001705CF"/>
    <w:rsid w:val="00175B04"/>
    <w:rsid w:val="0018373E"/>
    <w:rsid w:val="0018469B"/>
    <w:rsid w:val="00184FC3"/>
    <w:rsid w:val="00186511"/>
    <w:rsid w:val="001904C5"/>
    <w:rsid w:val="0019085C"/>
    <w:rsid w:val="00191782"/>
    <w:rsid w:val="00192134"/>
    <w:rsid w:val="001923DD"/>
    <w:rsid w:val="00194702"/>
    <w:rsid w:val="001A0E47"/>
    <w:rsid w:val="001A5935"/>
    <w:rsid w:val="001C2F60"/>
    <w:rsid w:val="001C65B5"/>
    <w:rsid w:val="001D0FA0"/>
    <w:rsid w:val="001D3C04"/>
    <w:rsid w:val="001D6507"/>
    <w:rsid w:val="001D6F4A"/>
    <w:rsid w:val="001D7687"/>
    <w:rsid w:val="001E4CE7"/>
    <w:rsid w:val="001E6748"/>
    <w:rsid w:val="001E67A5"/>
    <w:rsid w:val="001E754D"/>
    <w:rsid w:val="0020434A"/>
    <w:rsid w:val="00207E63"/>
    <w:rsid w:val="00211B2A"/>
    <w:rsid w:val="00212ADD"/>
    <w:rsid w:val="00224286"/>
    <w:rsid w:val="0022435B"/>
    <w:rsid w:val="0023024D"/>
    <w:rsid w:val="00233335"/>
    <w:rsid w:val="00234AE2"/>
    <w:rsid w:val="00241069"/>
    <w:rsid w:val="00241C69"/>
    <w:rsid w:val="0024541C"/>
    <w:rsid w:val="00247BB5"/>
    <w:rsid w:val="00256BE3"/>
    <w:rsid w:val="00266F48"/>
    <w:rsid w:val="00270AE5"/>
    <w:rsid w:val="00271242"/>
    <w:rsid w:val="0027186C"/>
    <w:rsid w:val="002730D8"/>
    <w:rsid w:val="00280FCB"/>
    <w:rsid w:val="00281473"/>
    <w:rsid w:val="00282D46"/>
    <w:rsid w:val="002870E4"/>
    <w:rsid w:val="002923A6"/>
    <w:rsid w:val="002929F7"/>
    <w:rsid w:val="00294FB1"/>
    <w:rsid w:val="00297D19"/>
    <w:rsid w:val="002A27A2"/>
    <w:rsid w:val="002A2BDD"/>
    <w:rsid w:val="002B1648"/>
    <w:rsid w:val="002B31F3"/>
    <w:rsid w:val="002C57F4"/>
    <w:rsid w:val="002C7407"/>
    <w:rsid w:val="002C79BA"/>
    <w:rsid w:val="002D0B08"/>
    <w:rsid w:val="002D1CED"/>
    <w:rsid w:val="002D4D56"/>
    <w:rsid w:val="002D6D79"/>
    <w:rsid w:val="002E1B28"/>
    <w:rsid w:val="002F3746"/>
    <w:rsid w:val="00316D2C"/>
    <w:rsid w:val="003214A4"/>
    <w:rsid w:val="00330974"/>
    <w:rsid w:val="00330EC9"/>
    <w:rsid w:val="00333A39"/>
    <w:rsid w:val="00342BD5"/>
    <w:rsid w:val="00344A49"/>
    <w:rsid w:val="0034540C"/>
    <w:rsid w:val="00347C65"/>
    <w:rsid w:val="003529B3"/>
    <w:rsid w:val="003652F0"/>
    <w:rsid w:val="00366151"/>
    <w:rsid w:val="0036662A"/>
    <w:rsid w:val="003865B8"/>
    <w:rsid w:val="00391584"/>
    <w:rsid w:val="0039259D"/>
    <w:rsid w:val="00397AD7"/>
    <w:rsid w:val="003A1AD9"/>
    <w:rsid w:val="003A332E"/>
    <w:rsid w:val="003B2FAE"/>
    <w:rsid w:val="003B6643"/>
    <w:rsid w:val="003B726A"/>
    <w:rsid w:val="003C6054"/>
    <w:rsid w:val="003D4EB4"/>
    <w:rsid w:val="003E09D5"/>
    <w:rsid w:val="003E1CEA"/>
    <w:rsid w:val="003E77A4"/>
    <w:rsid w:val="003F5676"/>
    <w:rsid w:val="003F7DF8"/>
    <w:rsid w:val="0040628C"/>
    <w:rsid w:val="004136A8"/>
    <w:rsid w:val="00414392"/>
    <w:rsid w:val="00417DC7"/>
    <w:rsid w:val="00421AD5"/>
    <w:rsid w:val="004322A4"/>
    <w:rsid w:val="004378EE"/>
    <w:rsid w:val="00447D74"/>
    <w:rsid w:val="00452AAF"/>
    <w:rsid w:val="00452FA3"/>
    <w:rsid w:val="00455305"/>
    <w:rsid w:val="004631DA"/>
    <w:rsid w:val="004639C4"/>
    <w:rsid w:val="00475D1E"/>
    <w:rsid w:val="00475E13"/>
    <w:rsid w:val="00482B56"/>
    <w:rsid w:val="004853EA"/>
    <w:rsid w:val="00485F22"/>
    <w:rsid w:val="00487204"/>
    <w:rsid w:val="004876E5"/>
    <w:rsid w:val="004923DB"/>
    <w:rsid w:val="004A0897"/>
    <w:rsid w:val="004A42BF"/>
    <w:rsid w:val="004A5F41"/>
    <w:rsid w:val="004A6A07"/>
    <w:rsid w:val="004A704E"/>
    <w:rsid w:val="004B2CD5"/>
    <w:rsid w:val="004B5C52"/>
    <w:rsid w:val="004C1CE4"/>
    <w:rsid w:val="004C44BD"/>
    <w:rsid w:val="004C58E9"/>
    <w:rsid w:val="004D11D5"/>
    <w:rsid w:val="004D1FB6"/>
    <w:rsid w:val="004D5FC3"/>
    <w:rsid w:val="004D66FF"/>
    <w:rsid w:val="004E0590"/>
    <w:rsid w:val="004E358F"/>
    <w:rsid w:val="004E6B69"/>
    <w:rsid w:val="005004F3"/>
    <w:rsid w:val="005054C5"/>
    <w:rsid w:val="00510A85"/>
    <w:rsid w:val="005206B0"/>
    <w:rsid w:val="00520904"/>
    <w:rsid w:val="00527115"/>
    <w:rsid w:val="0053023F"/>
    <w:rsid w:val="005303DC"/>
    <w:rsid w:val="00530480"/>
    <w:rsid w:val="0053182B"/>
    <w:rsid w:val="0054453C"/>
    <w:rsid w:val="00547C74"/>
    <w:rsid w:val="005516A5"/>
    <w:rsid w:val="005533C2"/>
    <w:rsid w:val="00562683"/>
    <w:rsid w:val="00563838"/>
    <w:rsid w:val="00563B3D"/>
    <w:rsid w:val="005671CE"/>
    <w:rsid w:val="00571253"/>
    <w:rsid w:val="0057371A"/>
    <w:rsid w:val="00581B51"/>
    <w:rsid w:val="005903F9"/>
    <w:rsid w:val="00593EE0"/>
    <w:rsid w:val="005953D7"/>
    <w:rsid w:val="00597AFF"/>
    <w:rsid w:val="005A0AC7"/>
    <w:rsid w:val="005A3FE6"/>
    <w:rsid w:val="005A4A5F"/>
    <w:rsid w:val="005A771F"/>
    <w:rsid w:val="005B09A6"/>
    <w:rsid w:val="005B1293"/>
    <w:rsid w:val="005B79FB"/>
    <w:rsid w:val="005B7C13"/>
    <w:rsid w:val="005C11A9"/>
    <w:rsid w:val="005C492A"/>
    <w:rsid w:val="005C5B4A"/>
    <w:rsid w:val="005C5ECB"/>
    <w:rsid w:val="005D1053"/>
    <w:rsid w:val="005E0604"/>
    <w:rsid w:val="005E1221"/>
    <w:rsid w:val="005E5744"/>
    <w:rsid w:val="005F038F"/>
    <w:rsid w:val="005F0F88"/>
    <w:rsid w:val="005F50FF"/>
    <w:rsid w:val="006078D1"/>
    <w:rsid w:val="00607C88"/>
    <w:rsid w:val="006106A7"/>
    <w:rsid w:val="00611C52"/>
    <w:rsid w:val="00613BBB"/>
    <w:rsid w:val="00615ACB"/>
    <w:rsid w:val="006168AD"/>
    <w:rsid w:val="006179ED"/>
    <w:rsid w:val="006259D7"/>
    <w:rsid w:val="00626D21"/>
    <w:rsid w:val="006301B9"/>
    <w:rsid w:val="00631726"/>
    <w:rsid w:val="00633EC5"/>
    <w:rsid w:val="006351B9"/>
    <w:rsid w:val="00635B87"/>
    <w:rsid w:val="006507EE"/>
    <w:rsid w:val="00661D02"/>
    <w:rsid w:val="00665BE2"/>
    <w:rsid w:val="0067708D"/>
    <w:rsid w:val="0067787C"/>
    <w:rsid w:val="00677B1E"/>
    <w:rsid w:val="00677C93"/>
    <w:rsid w:val="006824CC"/>
    <w:rsid w:val="006836FA"/>
    <w:rsid w:val="00686E67"/>
    <w:rsid w:val="00690AB6"/>
    <w:rsid w:val="00690B46"/>
    <w:rsid w:val="00696DBF"/>
    <w:rsid w:val="00696E7D"/>
    <w:rsid w:val="006A1E78"/>
    <w:rsid w:val="006A22E2"/>
    <w:rsid w:val="006B0D85"/>
    <w:rsid w:val="006B138B"/>
    <w:rsid w:val="006B526A"/>
    <w:rsid w:val="006B75D2"/>
    <w:rsid w:val="006C0163"/>
    <w:rsid w:val="006D1718"/>
    <w:rsid w:val="006E05A9"/>
    <w:rsid w:val="006E0B8B"/>
    <w:rsid w:val="006E16C9"/>
    <w:rsid w:val="006E67AE"/>
    <w:rsid w:val="006E798D"/>
    <w:rsid w:val="006E7C89"/>
    <w:rsid w:val="006E7CEF"/>
    <w:rsid w:val="006F23CE"/>
    <w:rsid w:val="0070221E"/>
    <w:rsid w:val="007070F4"/>
    <w:rsid w:val="00707C95"/>
    <w:rsid w:val="00710DD2"/>
    <w:rsid w:val="0072623F"/>
    <w:rsid w:val="007263AF"/>
    <w:rsid w:val="00727011"/>
    <w:rsid w:val="007350FF"/>
    <w:rsid w:val="00741C32"/>
    <w:rsid w:val="00742585"/>
    <w:rsid w:val="00747BC9"/>
    <w:rsid w:val="00751DDD"/>
    <w:rsid w:val="007537EC"/>
    <w:rsid w:val="0075725A"/>
    <w:rsid w:val="00760318"/>
    <w:rsid w:val="00761496"/>
    <w:rsid w:val="00761F33"/>
    <w:rsid w:val="007769FC"/>
    <w:rsid w:val="0078534B"/>
    <w:rsid w:val="00787C89"/>
    <w:rsid w:val="00791279"/>
    <w:rsid w:val="007972A2"/>
    <w:rsid w:val="007B3E81"/>
    <w:rsid w:val="007C1CA1"/>
    <w:rsid w:val="007D3038"/>
    <w:rsid w:val="007D42C6"/>
    <w:rsid w:val="007E1501"/>
    <w:rsid w:val="007E33DA"/>
    <w:rsid w:val="007E69B5"/>
    <w:rsid w:val="007F5F38"/>
    <w:rsid w:val="0080172F"/>
    <w:rsid w:val="00811BF1"/>
    <w:rsid w:val="008127AF"/>
    <w:rsid w:val="00814122"/>
    <w:rsid w:val="00817EF3"/>
    <w:rsid w:val="0082387B"/>
    <w:rsid w:val="0082428A"/>
    <w:rsid w:val="0082757B"/>
    <w:rsid w:val="008359DC"/>
    <w:rsid w:val="0084616F"/>
    <w:rsid w:val="0085384B"/>
    <w:rsid w:val="0085430B"/>
    <w:rsid w:val="00856EDA"/>
    <w:rsid w:val="008576A6"/>
    <w:rsid w:val="0086132D"/>
    <w:rsid w:val="00865C80"/>
    <w:rsid w:val="008663E3"/>
    <w:rsid w:val="00880909"/>
    <w:rsid w:val="008820BA"/>
    <w:rsid w:val="00885C3D"/>
    <w:rsid w:val="00890A7C"/>
    <w:rsid w:val="008914DC"/>
    <w:rsid w:val="008923B9"/>
    <w:rsid w:val="00894683"/>
    <w:rsid w:val="008A3E24"/>
    <w:rsid w:val="008A53CB"/>
    <w:rsid w:val="008A5A0D"/>
    <w:rsid w:val="008B3037"/>
    <w:rsid w:val="008C3DAE"/>
    <w:rsid w:val="008C4CE9"/>
    <w:rsid w:val="008D1E04"/>
    <w:rsid w:val="008D4415"/>
    <w:rsid w:val="008D444C"/>
    <w:rsid w:val="008D55D4"/>
    <w:rsid w:val="008D5F38"/>
    <w:rsid w:val="008D7278"/>
    <w:rsid w:val="008E2069"/>
    <w:rsid w:val="008E3A92"/>
    <w:rsid w:val="008E3C68"/>
    <w:rsid w:val="008F38C3"/>
    <w:rsid w:val="009220EC"/>
    <w:rsid w:val="00926630"/>
    <w:rsid w:val="00933886"/>
    <w:rsid w:val="00934F45"/>
    <w:rsid w:val="009422B0"/>
    <w:rsid w:val="00947C9D"/>
    <w:rsid w:val="00954EEB"/>
    <w:rsid w:val="00956C1E"/>
    <w:rsid w:val="0097341D"/>
    <w:rsid w:val="009913E3"/>
    <w:rsid w:val="009924A0"/>
    <w:rsid w:val="0099342A"/>
    <w:rsid w:val="009961A8"/>
    <w:rsid w:val="009A1219"/>
    <w:rsid w:val="009A3E23"/>
    <w:rsid w:val="009A662F"/>
    <w:rsid w:val="009B2BC0"/>
    <w:rsid w:val="009B3957"/>
    <w:rsid w:val="009B4714"/>
    <w:rsid w:val="009B7A40"/>
    <w:rsid w:val="009C1904"/>
    <w:rsid w:val="009C687C"/>
    <w:rsid w:val="009C76B6"/>
    <w:rsid w:val="009D3B8E"/>
    <w:rsid w:val="009D3BAD"/>
    <w:rsid w:val="009E1857"/>
    <w:rsid w:val="009E69E2"/>
    <w:rsid w:val="009E7F18"/>
    <w:rsid w:val="009F0535"/>
    <w:rsid w:val="00A00DB1"/>
    <w:rsid w:val="00A05F9C"/>
    <w:rsid w:val="00A076DC"/>
    <w:rsid w:val="00A127C6"/>
    <w:rsid w:val="00A24DB0"/>
    <w:rsid w:val="00A26CB7"/>
    <w:rsid w:val="00A2721F"/>
    <w:rsid w:val="00A31C11"/>
    <w:rsid w:val="00A323E0"/>
    <w:rsid w:val="00A34915"/>
    <w:rsid w:val="00A3535C"/>
    <w:rsid w:val="00A35603"/>
    <w:rsid w:val="00A37D8F"/>
    <w:rsid w:val="00A4128B"/>
    <w:rsid w:val="00A442E9"/>
    <w:rsid w:val="00A47552"/>
    <w:rsid w:val="00A47E71"/>
    <w:rsid w:val="00A51B2D"/>
    <w:rsid w:val="00A52C00"/>
    <w:rsid w:val="00A533D4"/>
    <w:rsid w:val="00A54BBD"/>
    <w:rsid w:val="00A65189"/>
    <w:rsid w:val="00A6632E"/>
    <w:rsid w:val="00A7066D"/>
    <w:rsid w:val="00A709C3"/>
    <w:rsid w:val="00A725A8"/>
    <w:rsid w:val="00A73B39"/>
    <w:rsid w:val="00A80ADA"/>
    <w:rsid w:val="00A845D7"/>
    <w:rsid w:val="00A91F0C"/>
    <w:rsid w:val="00A937EF"/>
    <w:rsid w:val="00A9443D"/>
    <w:rsid w:val="00AA30C9"/>
    <w:rsid w:val="00AA3EF8"/>
    <w:rsid w:val="00AB4283"/>
    <w:rsid w:val="00AC4B6C"/>
    <w:rsid w:val="00AC6352"/>
    <w:rsid w:val="00AC644B"/>
    <w:rsid w:val="00AC73C3"/>
    <w:rsid w:val="00AD5789"/>
    <w:rsid w:val="00AE3CE8"/>
    <w:rsid w:val="00AE4ABF"/>
    <w:rsid w:val="00AE5848"/>
    <w:rsid w:val="00AE6787"/>
    <w:rsid w:val="00AF029B"/>
    <w:rsid w:val="00AF0898"/>
    <w:rsid w:val="00AF0A0D"/>
    <w:rsid w:val="00AF1F99"/>
    <w:rsid w:val="00AF25D0"/>
    <w:rsid w:val="00AF2A89"/>
    <w:rsid w:val="00AF640E"/>
    <w:rsid w:val="00B00E19"/>
    <w:rsid w:val="00B058B6"/>
    <w:rsid w:val="00B0591B"/>
    <w:rsid w:val="00B06DF8"/>
    <w:rsid w:val="00B14AA0"/>
    <w:rsid w:val="00B259E5"/>
    <w:rsid w:val="00B26628"/>
    <w:rsid w:val="00B3130A"/>
    <w:rsid w:val="00B33BD8"/>
    <w:rsid w:val="00B42F3A"/>
    <w:rsid w:val="00B4351C"/>
    <w:rsid w:val="00B46548"/>
    <w:rsid w:val="00B47BB9"/>
    <w:rsid w:val="00B51113"/>
    <w:rsid w:val="00B66D73"/>
    <w:rsid w:val="00B67720"/>
    <w:rsid w:val="00B70A77"/>
    <w:rsid w:val="00B7378D"/>
    <w:rsid w:val="00B748DF"/>
    <w:rsid w:val="00B75709"/>
    <w:rsid w:val="00B87121"/>
    <w:rsid w:val="00B905D0"/>
    <w:rsid w:val="00B92508"/>
    <w:rsid w:val="00B92EC5"/>
    <w:rsid w:val="00B9676C"/>
    <w:rsid w:val="00BA3F54"/>
    <w:rsid w:val="00BA57E5"/>
    <w:rsid w:val="00BA694E"/>
    <w:rsid w:val="00BB138B"/>
    <w:rsid w:val="00BC5BDA"/>
    <w:rsid w:val="00BD0780"/>
    <w:rsid w:val="00BD17AE"/>
    <w:rsid w:val="00BE1E8F"/>
    <w:rsid w:val="00BE6468"/>
    <w:rsid w:val="00BE6CC1"/>
    <w:rsid w:val="00BF587A"/>
    <w:rsid w:val="00BF7592"/>
    <w:rsid w:val="00C02E76"/>
    <w:rsid w:val="00C03A09"/>
    <w:rsid w:val="00C13806"/>
    <w:rsid w:val="00C2262B"/>
    <w:rsid w:val="00C23560"/>
    <w:rsid w:val="00C25577"/>
    <w:rsid w:val="00C25B44"/>
    <w:rsid w:val="00C3317D"/>
    <w:rsid w:val="00C33E49"/>
    <w:rsid w:val="00C35591"/>
    <w:rsid w:val="00C35A56"/>
    <w:rsid w:val="00C40546"/>
    <w:rsid w:val="00C41BD5"/>
    <w:rsid w:val="00C41EDB"/>
    <w:rsid w:val="00C42FA7"/>
    <w:rsid w:val="00C469DB"/>
    <w:rsid w:val="00C52B5C"/>
    <w:rsid w:val="00C535B1"/>
    <w:rsid w:val="00C5774B"/>
    <w:rsid w:val="00C6260A"/>
    <w:rsid w:val="00C728D0"/>
    <w:rsid w:val="00C72AC6"/>
    <w:rsid w:val="00C730D6"/>
    <w:rsid w:val="00C7415C"/>
    <w:rsid w:val="00C81DDD"/>
    <w:rsid w:val="00C85D29"/>
    <w:rsid w:val="00C916C8"/>
    <w:rsid w:val="00C94B40"/>
    <w:rsid w:val="00C96B29"/>
    <w:rsid w:val="00C97E60"/>
    <w:rsid w:val="00CA08AD"/>
    <w:rsid w:val="00CA2E85"/>
    <w:rsid w:val="00CA3ADD"/>
    <w:rsid w:val="00CA4007"/>
    <w:rsid w:val="00CA6AE7"/>
    <w:rsid w:val="00CB2043"/>
    <w:rsid w:val="00CB2790"/>
    <w:rsid w:val="00CB505F"/>
    <w:rsid w:val="00CB7939"/>
    <w:rsid w:val="00CC5451"/>
    <w:rsid w:val="00CE3166"/>
    <w:rsid w:val="00CE3F94"/>
    <w:rsid w:val="00CE53AB"/>
    <w:rsid w:val="00CF169A"/>
    <w:rsid w:val="00CF1DFC"/>
    <w:rsid w:val="00CF2C5D"/>
    <w:rsid w:val="00CF78C6"/>
    <w:rsid w:val="00CF7C87"/>
    <w:rsid w:val="00D0429B"/>
    <w:rsid w:val="00D16B4A"/>
    <w:rsid w:val="00D16C72"/>
    <w:rsid w:val="00D245EA"/>
    <w:rsid w:val="00D24AF2"/>
    <w:rsid w:val="00D36D9D"/>
    <w:rsid w:val="00D3775B"/>
    <w:rsid w:val="00D4190F"/>
    <w:rsid w:val="00D44882"/>
    <w:rsid w:val="00D548C8"/>
    <w:rsid w:val="00D54ED4"/>
    <w:rsid w:val="00D554B6"/>
    <w:rsid w:val="00D6001B"/>
    <w:rsid w:val="00D64E07"/>
    <w:rsid w:val="00D66763"/>
    <w:rsid w:val="00D7108A"/>
    <w:rsid w:val="00D73ECD"/>
    <w:rsid w:val="00D74707"/>
    <w:rsid w:val="00D75FA7"/>
    <w:rsid w:val="00D85ACE"/>
    <w:rsid w:val="00DB0A35"/>
    <w:rsid w:val="00DB3586"/>
    <w:rsid w:val="00DB5C6B"/>
    <w:rsid w:val="00DC11E3"/>
    <w:rsid w:val="00DC5385"/>
    <w:rsid w:val="00DC769B"/>
    <w:rsid w:val="00DC7728"/>
    <w:rsid w:val="00DC7AB7"/>
    <w:rsid w:val="00DD622B"/>
    <w:rsid w:val="00DD6CB9"/>
    <w:rsid w:val="00DE1BD0"/>
    <w:rsid w:val="00DE27F8"/>
    <w:rsid w:val="00DE55A6"/>
    <w:rsid w:val="00DE693B"/>
    <w:rsid w:val="00E010D9"/>
    <w:rsid w:val="00E14905"/>
    <w:rsid w:val="00E17087"/>
    <w:rsid w:val="00E307F8"/>
    <w:rsid w:val="00E30E83"/>
    <w:rsid w:val="00E314FC"/>
    <w:rsid w:val="00E409B4"/>
    <w:rsid w:val="00E42B0B"/>
    <w:rsid w:val="00E47083"/>
    <w:rsid w:val="00E47926"/>
    <w:rsid w:val="00E52C47"/>
    <w:rsid w:val="00E53DCA"/>
    <w:rsid w:val="00E6399A"/>
    <w:rsid w:val="00E72F4B"/>
    <w:rsid w:val="00E8785C"/>
    <w:rsid w:val="00E87AF4"/>
    <w:rsid w:val="00E95B1A"/>
    <w:rsid w:val="00EA47FF"/>
    <w:rsid w:val="00EB6DB9"/>
    <w:rsid w:val="00EB7F68"/>
    <w:rsid w:val="00EC036E"/>
    <w:rsid w:val="00EC0828"/>
    <w:rsid w:val="00EC38AE"/>
    <w:rsid w:val="00EC641A"/>
    <w:rsid w:val="00EC6B07"/>
    <w:rsid w:val="00ED0AC3"/>
    <w:rsid w:val="00ED76BF"/>
    <w:rsid w:val="00EE0D2D"/>
    <w:rsid w:val="00EE5396"/>
    <w:rsid w:val="00EE6176"/>
    <w:rsid w:val="00EF0A83"/>
    <w:rsid w:val="00EF5D3D"/>
    <w:rsid w:val="00EF6363"/>
    <w:rsid w:val="00F01F99"/>
    <w:rsid w:val="00F047A9"/>
    <w:rsid w:val="00F063F4"/>
    <w:rsid w:val="00F07C3A"/>
    <w:rsid w:val="00F15BB7"/>
    <w:rsid w:val="00F15C25"/>
    <w:rsid w:val="00F16636"/>
    <w:rsid w:val="00F17A0F"/>
    <w:rsid w:val="00F201A8"/>
    <w:rsid w:val="00F30E99"/>
    <w:rsid w:val="00F332C7"/>
    <w:rsid w:val="00F34B89"/>
    <w:rsid w:val="00F36127"/>
    <w:rsid w:val="00F37C02"/>
    <w:rsid w:val="00F43952"/>
    <w:rsid w:val="00F449CA"/>
    <w:rsid w:val="00F45551"/>
    <w:rsid w:val="00F45F44"/>
    <w:rsid w:val="00F46B15"/>
    <w:rsid w:val="00F46DCE"/>
    <w:rsid w:val="00F50C1A"/>
    <w:rsid w:val="00F51170"/>
    <w:rsid w:val="00F56078"/>
    <w:rsid w:val="00F636CC"/>
    <w:rsid w:val="00F65129"/>
    <w:rsid w:val="00F66624"/>
    <w:rsid w:val="00F66BB6"/>
    <w:rsid w:val="00F66C18"/>
    <w:rsid w:val="00F7164D"/>
    <w:rsid w:val="00F74AD4"/>
    <w:rsid w:val="00F760E7"/>
    <w:rsid w:val="00F7759E"/>
    <w:rsid w:val="00F822A7"/>
    <w:rsid w:val="00F8394C"/>
    <w:rsid w:val="00F83B83"/>
    <w:rsid w:val="00F860AD"/>
    <w:rsid w:val="00F90E2E"/>
    <w:rsid w:val="00FA05C8"/>
    <w:rsid w:val="00FA1112"/>
    <w:rsid w:val="00FA1C73"/>
    <w:rsid w:val="00FA2FE9"/>
    <w:rsid w:val="00FB2A58"/>
    <w:rsid w:val="00FB32DA"/>
    <w:rsid w:val="00FC1DE0"/>
    <w:rsid w:val="00FC48EB"/>
    <w:rsid w:val="00FD0EAB"/>
    <w:rsid w:val="00FE2A36"/>
    <w:rsid w:val="00FE47BC"/>
    <w:rsid w:val="00FF329F"/>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62A"/>
    <w:pPr>
      <w:spacing w:after="0"/>
      <w:jc w:val="left"/>
    </w:pPr>
    <w:rPr>
      <w:rFonts w:eastAsia="Times New Roman"/>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6662A"/>
    <w:pPr>
      <w:ind w:left="720"/>
      <w:contextualSpacing/>
    </w:pPr>
  </w:style>
  <w:style w:type="table" w:styleId="Lentelstinklelis">
    <w:name w:val="Table Grid"/>
    <w:basedOn w:val="prastojilente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2A"/>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E010D9"/>
    <w:rPr>
      <w:color w:val="0000FF" w:themeColor="hyperlink"/>
      <w:u w:val="single"/>
    </w:rPr>
  </w:style>
  <w:style w:type="character" w:styleId="Neapdorotaspaminjimas">
    <w:name w:val="Unresolved Mention"/>
    <w:basedOn w:val="Numatytasispastraiposriftas"/>
    <w:uiPriority w:val="99"/>
    <w:semiHidden/>
    <w:unhideWhenUsed/>
    <w:rsid w:val="00E010D9"/>
    <w:rPr>
      <w:color w:val="605E5C"/>
      <w:shd w:val="clear" w:color="auto" w:fill="E1DFDD"/>
    </w:rPr>
  </w:style>
  <w:style w:type="character" w:styleId="Komentaronuoroda">
    <w:name w:val="annotation reference"/>
    <w:basedOn w:val="Numatytasispastraiposriftas"/>
    <w:uiPriority w:val="99"/>
    <w:semiHidden/>
    <w:unhideWhenUsed/>
    <w:rsid w:val="00C02E76"/>
    <w:rPr>
      <w:sz w:val="16"/>
      <w:szCs w:val="16"/>
    </w:rPr>
  </w:style>
  <w:style w:type="paragraph" w:styleId="Komentarotekstas">
    <w:name w:val="annotation text"/>
    <w:basedOn w:val="prastasis"/>
    <w:link w:val="KomentarotekstasDiagrama"/>
    <w:uiPriority w:val="99"/>
    <w:unhideWhenUsed/>
    <w:rsid w:val="00C02E76"/>
    <w:rPr>
      <w:sz w:val="20"/>
    </w:rPr>
  </w:style>
  <w:style w:type="character" w:customStyle="1" w:styleId="KomentarotekstasDiagrama">
    <w:name w:val="Komentaro tekstas Diagrama"/>
    <w:basedOn w:val="Numatytasispastraiposriftas"/>
    <w:link w:val="Komentarotekstas"/>
    <w:uiPriority w:val="99"/>
    <w:rsid w:val="00C02E76"/>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02E76"/>
    <w:rPr>
      <w:b/>
      <w:bCs/>
    </w:rPr>
  </w:style>
  <w:style w:type="character" w:customStyle="1" w:styleId="KomentarotemaDiagrama">
    <w:name w:val="Komentaro tema Diagrama"/>
    <w:basedOn w:val="KomentarotekstasDiagrama"/>
    <w:link w:val="Komentarotema"/>
    <w:uiPriority w:val="99"/>
    <w:semiHidden/>
    <w:rsid w:val="00C02E76"/>
    <w:rPr>
      <w:rFonts w:eastAsia="Times New Roman"/>
      <w:b/>
      <w:bCs/>
      <w:sz w:val="20"/>
      <w:szCs w:val="20"/>
      <w:lang w:eastAsia="lt-LT"/>
    </w:rPr>
  </w:style>
  <w:style w:type="paragraph" w:styleId="Pataisymai">
    <w:name w:val="Revision"/>
    <w:hidden/>
    <w:uiPriority w:val="99"/>
    <w:semiHidden/>
    <w:rsid w:val="00DC11E3"/>
    <w:pPr>
      <w:spacing w:after="0"/>
      <w:jc w:val="left"/>
    </w:pPr>
    <w:rPr>
      <w:rFonts w:eastAsia="Times New Roman"/>
      <w:szCs w:val="20"/>
      <w:lang w:eastAsia="lt-LT"/>
    </w:rPr>
  </w:style>
  <w:style w:type="paragraph" w:styleId="prastasiniatinklio">
    <w:name w:val="Normal (Web)"/>
    <w:basedOn w:val="prastasis"/>
    <w:uiPriority w:val="99"/>
    <w:semiHidden/>
    <w:unhideWhenUsed/>
    <w:rsid w:val="005F50F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685181202">
      <w:bodyDiv w:val="1"/>
      <w:marLeft w:val="0"/>
      <w:marRight w:val="0"/>
      <w:marTop w:val="0"/>
      <w:marBottom w:val="0"/>
      <w:divBdr>
        <w:top w:val="none" w:sz="0" w:space="0" w:color="auto"/>
        <w:left w:val="none" w:sz="0" w:space="0" w:color="auto"/>
        <w:bottom w:val="none" w:sz="0" w:space="0" w:color="auto"/>
        <w:right w:val="none" w:sz="0" w:space="0" w:color="auto"/>
      </w:divBdr>
    </w:div>
    <w:div w:id="737242562">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194028852">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epilietis.lrv.lt/uploads/epilietis/documents/files/A_LRV_visas_el_leidinys_WEB.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4.xml><?xml version="1.0" encoding="utf-8"?>
<ds:datastoreItem xmlns:ds="http://schemas.openxmlformats.org/officeDocument/2006/customXml" ds:itemID="{6692929F-4D35-46B6-9635-23F2EC6A2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2</Pages>
  <Words>764</Words>
  <Characters>4356</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Renata Čitavičienė</cp:lastModifiedBy>
  <cp:revision>285</cp:revision>
  <dcterms:created xsi:type="dcterms:W3CDTF">2021-04-27T13:32:00Z</dcterms:created>
  <dcterms:modified xsi:type="dcterms:W3CDTF">2022-08-30T06:30:00Z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