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C3E0E03A-12E5-414E-B037-E4F8893FF07D}"/>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skyrius|2dc2f6d3-2445-4367-ada3-9d9c6cbeaac6;#3308;#Procesų valdymo skyrius|1d2453fc-c175-46b4-b9fe-6151c1a059d8</vt:lpwstr>
  </property>
  <property fmtid="{D5CDD505-2E9C-101B-9397-08002B2CF9AE}" pid="7" name="DmsPermissionsUsers">
    <vt:lpwstr>629;#Jurgita Musteikienė;#90;#Laura Neliupšytė;#24;#Ineta Valantinavičiūtė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