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7F26F" w14:textId="77777777" w:rsidR="00A2424A" w:rsidRPr="00BB421E" w:rsidRDefault="00A2424A">
      <w:pPr>
        <w:tabs>
          <w:tab w:val="center" w:pos="4819"/>
          <w:tab w:val="right" w:pos="9638"/>
        </w:tabs>
        <w:jc w:val="center"/>
        <w:rPr>
          <w:sz w:val="22"/>
          <w:szCs w:val="22"/>
        </w:rPr>
      </w:pPr>
    </w:p>
    <w:p w14:paraId="098C4AE5" w14:textId="77777777" w:rsidR="00A2424A" w:rsidRPr="00BB421E" w:rsidRDefault="00A2424A">
      <w:pPr>
        <w:tabs>
          <w:tab w:val="center" w:pos="4819"/>
          <w:tab w:val="right" w:pos="9638"/>
        </w:tabs>
        <w:rPr>
          <w:sz w:val="22"/>
          <w:szCs w:val="22"/>
        </w:rPr>
      </w:pPr>
    </w:p>
    <w:p w14:paraId="3BB535A6" w14:textId="3BF15F23" w:rsidR="00A2424A" w:rsidRPr="00BB421E" w:rsidRDefault="004D727A">
      <w:pPr>
        <w:ind w:left="9639"/>
        <w:jc w:val="both"/>
        <w:rPr>
          <w:szCs w:val="24"/>
        </w:rPr>
      </w:pPr>
      <w:r w:rsidRPr="00BB421E">
        <w:t xml:space="preserve">2022–2030 m. plėtros programos valdytojos Lietuvos Respublikos ekonomikos ir inovacijų ministerijos ekonomikos transformacijos ir konkurencingumo plėtros programos </w:t>
      </w:r>
      <w:r w:rsidRPr="00BB421E">
        <w:rPr>
          <w:bCs/>
        </w:rPr>
        <w:t xml:space="preserve">pažangos priemonės Nr. </w:t>
      </w:r>
      <w:r w:rsidRPr="00BB421E">
        <w:rPr>
          <w:szCs w:val="24"/>
        </w:rPr>
        <w:t>05-001-01-04-02 „Skatinti įmones pereiti link neutralios klimatui ekonomikos“</w:t>
      </w:r>
      <w:r w:rsidRPr="00BB421E">
        <w:rPr>
          <w:b/>
          <w:bCs/>
        </w:rPr>
        <w:t xml:space="preserve"> </w:t>
      </w:r>
      <w:r w:rsidRPr="00BB421E">
        <w:rPr>
          <w:bCs/>
        </w:rPr>
        <w:t xml:space="preserve">aprašo </w:t>
      </w:r>
      <w:r w:rsidR="00237799" w:rsidRPr="00BB421E">
        <w:rPr>
          <w:bCs/>
        </w:rPr>
        <w:t>6</w:t>
      </w:r>
      <w:r w:rsidR="00237799" w:rsidRPr="00BB421E">
        <w:rPr>
          <w:szCs w:val="24"/>
        </w:rPr>
        <w:t xml:space="preserve"> </w:t>
      </w:r>
      <w:r w:rsidR="009048B8" w:rsidRPr="00BB421E">
        <w:rPr>
          <w:szCs w:val="24"/>
        </w:rPr>
        <w:t>priedas</w:t>
      </w:r>
    </w:p>
    <w:p w14:paraId="31D8009D" w14:textId="77777777" w:rsidR="00A2424A" w:rsidRPr="00BB421E" w:rsidRDefault="00A2424A">
      <w:pPr>
        <w:jc w:val="center"/>
        <w:rPr>
          <w:iCs/>
          <w:szCs w:val="24"/>
        </w:rPr>
      </w:pPr>
    </w:p>
    <w:p w14:paraId="37DBEA20" w14:textId="47FD8238" w:rsidR="00A2424A" w:rsidRPr="00BB421E" w:rsidRDefault="004D727A" w:rsidP="002548B1">
      <w:pPr>
        <w:jc w:val="center"/>
        <w:rPr>
          <w:szCs w:val="24"/>
        </w:rPr>
      </w:pPr>
      <w:r w:rsidRPr="00BB421E">
        <w:rPr>
          <w:b/>
          <w:bCs/>
        </w:rPr>
        <w:t xml:space="preserve">2022–2030 M. PLĖTROS PROGRAMOS VALDYTOJOS LIETUVOS RESPUBLIKOS EKONOMIKOS IR INOVACIJŲ MINISTERIJOS EKONOMIKOS TRANSFORMACIJOS IR KONKURENCINGUMO PLĖTROS PROGRAMOS PAŽANGOS PRIEMONĖS NR. </w:t>
      </w:r>
      <w:r w:rsidRPr="00BB421E">
        <w:rPr>
          <w:b/>
          <w:bCs/>
          <w:szCs w:val="24"/>
        </w:rPr>
        <w:t>05-001-01-04-02 „SKATINTI ĮMONES PEREITI LINK NEUTRALIOS KLIMATUI EKONOMIKOS“</w:t>
      </w:r>
      <w:r w:rsidR="001F440B" w:rsidRPr="00BB421E">
        <w:rPr>
          <w:b/>
          <w:bCs/>
          <w:szCs w:val="24"/>
        </w:rPr>
        <w:t xml:space="preserve"> VEIKLOS </w:t>
      </w:r>
      <w:r w:rsidR="001F440B" w:rsidRPr="00BB421E">
        <w:rPr>
          <w:b/>
          <w:bCs/>
          <w:iCs/>
          <w:szCs w:val="24"/>
        </w:rPr>
        <w:t>„</w:t>
      </w:r>
      <w:r w:rsidR="001F440B" w:rsidRPr="00BB421E">
        <w:rPr>
          <w:b/>
          <w:bCs/>
          <w:szCs w:val="24"/>
        </w:rPr>
        <w:t>CO</w:t>
      </w:r>
      <w:r w:rsidR="001F440B" w:rsidRPr="00BB421E">
        <w:rPr>
          <w:b/>
          <w:bCs/>
          <w:szCs w:val="24"/>
          <w:vertAlign w:val="subscript"/>
        </w:rPr>
        <w:t>2</w:t>
      </w:r>
      <w:r w:rsidR="001F440B" w:rsidRPr="00BB421E">
        <w:rPr>
          <w:b/>
          <w:bCs/>
          <w:szCs w:val="24"/>
        </w:rPr>
        <w:t xml:space="preserve"> SUGAVIMO IR SAUGOJIMO, VANDENILIO IR KITŲ INOVATYVIŲ TECHNOLOGIJŲ PANAUDOJIMO GALIMYB</w:t>
      </w:r>
      <w:r w:rsidR="006B1E98" w:rsidRPr="00BB421E">
        <w:rPr>
          <w:b/>
          <w:bCs/>
          <w:szCs w:val="24"/>
        </w:rPr>
        <w:t>IŲ VERTINIMAS</w:t>
      </w:r>
      <w:r w:rsidR="001F440B" w:rsidRPr="00BB421E">
        <w:rPr>
          <w:b/>
          <w:bCs/>
          <w:szCs w:val="24"/>
        </w:rPr>
        <w:t xml:space="preserve"> LIETUVOS PRAMONĖS ĮMONĖSE, VEIKIANČIOSE LABIAUSIAI NEIGIAMAI PAVEIKTOSE TERITORIJOSE“ </w:t>
      </w:r>
      <w:r w:rsidR="009048B8" w:rsidRPr="00BB421E">
        <w:rPr>
          <w:b/>
          <w:bCs/>
          <w:szCs w:val="24"/>
        </w:rPr>
        <w:t>PROJEKTŲ FINANSAVIMO SĄLYGŲ APRAŠAS</w:t>
      </w:r>
    </w:p>
    <w:p w14:paraId="016CD209" w14:textId="77777777" w:rsidR="00A2424A" w:rsidRPr="00BB421E" w:rsidRDefault="00A2424A">
      <w:pPr>
        <w:rPr>
          <w:sz w:val="14"/>
          <w:szCs w:val="14"/>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2"/>
        <w:gridCol w:w="850"/>
        <w:gridCol w:w="1134"/>
        <w:gridCol w:w="993"/>
        <w:gridCol w:w="1388"/>
        <w:gridCol w:w="1344"/>
        <w:gridCol w:w="1080"/>
        <w:gridCol w:w="1344"/>
        <w:gridCol w:w="1328"/>
        <w:gridCol w:w="1132"/>
        <w:gridCol w:w="1149"/>
      </w:tblGrid>
      <w:tr w:rsidR="00A2424A" w:rsidRPr="00BB421E" w14:paraId="271C7F5B" w14:textId="77777777">
        <w:tc>
          <w:tcPr>
            <w:tcW w:w="14856" w:type="dxa"/>
            <w:gridSpan w:val="12"/>
            <w:vAlign w:val="center"/>
          </w:tcPr>
          <w:p w14:paraId="46C24D4E" w14:textId="77777777" w:rsidR="00A2424A" w:rsidRPr="00BB421E" w:rsidRDefault="009048B8">
            <w:pPr>
              <w:jc w:val="center"/>
              <w:rPr>
                <w:b/>
                <w:sz w:val="22"/>
                <w:szCs w:val="22"/>
              </w:rPr>
            </w:pPr>
            <w:r w:rsidRPr="00BB421E">
              <w:rPr>
                <w:b/>
                <w:sz w:val="22"/>
                <w:szCs w:val="22"/>
              </w:rPr>
              <w:t>VEIKLOS AR POVEIKLĖS, KURIOMS NUSTATOMOS PROJEKTŲ FINANSAVIMO SĄLYGOS</w:t>
            </w:r>
          </w:p>
        </w:tc>
      </w:tr>
      <w:tr w:rsidR="004B585D" w:rsidRPr="00BB421E" w14:paraId="3DD8FC22" w14:textId="77777777" w:rsidTr="00B827A6">
        <w:tc>
          <w:tcPr>
            <w:tcW w:w="2122" w:type="dxa"/>
            <w:vAlign w:val="center"/>
          </w:tcPr>
          <w:p w14:paraId="0B4E9915" w14:textId="7CA60FE3" w:rsidR="00A2424A" w:rsidRPr="00BB421E" w:rsidRDefault="009048B8">
            <w:pPr>
              <w:jc w:val="center"/>
              <w:rPr>
                <w:b/>
                <w:sz w:val="20"/>
                <w:szCs w:val="22"/>
              </w:rPr>
            </w:pPr>
            <w:r w:rsidRPr="00BB421E">
              <w:rPr>
                <w:b/>
                <w:sz w:val="20"/>
                <w:szCs w:val="22"/>
              </w:rPr>
              <w:t xml:space="preserve">Veiklos ar </w:t>
            </w:r>
            <w:proofErr w:type="spellStart"/>
            <w:r w:rsidRPr="00BB421E">
              <w:rPr>
                <w:b/>
                <w:sz w:val="20"/>
                <w:szCs w:val="22"/>
              </w:rPr>
              <w:t>poveiklės</w:t>
            </w:r>
            <w:proofErr w:type="spellEnd"/>
            <w:r w:rsidR="00B9077D" w:rsidRPr="00BB421E">
              <w:rPr>
                <w:b/>
                <w:sz w:val="20"/>
                <w:szCs w:val="22"/>
              </w:rPr>
              <w:t xml:space="preserve"> </w:t>
            </w:r>
            <w:r w:rsidRPr="00BB421E">
              <w:rPr>
                <w:b/>
                <w:sz w:val="20"/>
                <w:szCs w:val="22"/>
              </w:rPr>
              <w:t>pavadinimas</w:t>
            </w:r>
          </w:p>
        </w:tc>
        <w:tc>
          <w:tcPr>
            <w:tcW w:w="992" w:type="dxa"/>
            <w:vAlign w:val="center"/>
          </w:tcPr>
          <w:p w14:paraId="615377FE" w14:textId="77777777" w:rsidR="00A2424A" w:rsidRPr="00BB421E" w:rsidRDefault="009048B8">
            <w:pPr>
              <w:jc w:val="center"/>
              <w:rPr>
                <w:b/>
                <w:sz w:val="20"/>
                <w:szCs w:val="22"/>
              </w:rPr>
            </w:pPr>
            <w:proofErr w:type="spellStart"/>
            <w:r w:rsidRPr="00BB421E">
              <w:rPr>
                <w:b/>
                <w:sz w:val="20"/>
                <w:szCs w:val="22"/>
              </w:rPr>
              <w:t>Finansa</w:t>
            </w:r>
            <w:proofErr w:type="spellEnd"/>
            <w:r w:rsidRPr="00BB421E">
              <w:rPr>
                <w:b/>
                <w:sz w:val="20"/>
                <w:szCs w:val="22"/>
              </w:rPr>
              <w:t>-vimo šaltinis</w:t>
            </w:r>
          </w:p>
        </w:tc>
        <w:tc>
          <w:tcPr>
            <w:tcW w:w="850" w:type="dxa"/>
            <w:vAlign w:val="center"/>
          </w:tcPr>
          <w:p w14:paraId="5A2F4268" w14:textId="637974E2" w:rsidR="00A2424A" w:rsidRPr="00BB421E" w:rsidRDefault="009048B8">
            <w:pPr>
              <w:jc w:val="center"/>
              <w:rPr>
                <w:b/>
                <w:sz w:val="20"/>
                <w:szCs w:val="22"/>
              </w:rPr>
            </w:pPr>
            <w:r w:rsidRPr="00BB421E">
              <w:rPr>
                <w:b/>
                <w:bCs/>
                <w:sz w:val="20"/>
                <w:szCs w:val="22"/>
              </w:rPr>
              <w:t>Prioritetas ar komponentas</w:t>
            </w:r>
          </w:p>
        </w:tc>
        <w:tc>
          <w:tcPr>
            <w:tcW w:w="1134" w:type="dxa"/>
            <w:vAlign w:val="center"/>
          </w:tcPr>
          <w:p w14:paraId="621388A4" w14:textId="77777777" w:rsidR="00A2424A" w:rsidRPr="00BB421E" w:rsidRDefault="009048B8">
            <w:pPr>
              <w:jc w:val="center"/>
              <w:rPr>
                <w:b/>
                <w:sz w:val="20"/>
                <w:szCs w:val="22"/>
              </w:rPr>
            </w:pPr>
            <w:proofErr w:type="spellStart"/>
            <w:r w:rsidRPr="00BB421E">
              <w:rPr>
                <w:b/>
                <w:bCs/>
                <w:sz w:val="20"/>
                <w:szCs w:val="22"/>
              </w:rPr>
              <w:t>Uždavi-nys</w:t>
            </w:r>
            <w:proofErr w:type="spellEnd"/>
            <w:r w:rsidRPr="00BB421E">
              <w:rPr>
                <w:b/>
                <w:bCs/>
                <w:sz w:val="20"/>
                <w:szCs w:val="22"/>
              </w:rPr>
              <w:t xml:space="preserve"> ar priemonė</w:t>
            </w:r>
          </w:p>
        </w:tc>
        <w:tc>
          <w:tcPr>
            <w:tcW w:w="993" w:type="dxa"/>
            <w:vAlign w:val="center"/>
          </w:tcPr>
          <w:p w14:paraId="226DD4E5" w14:textId="77777777" w:rsidR="00A2424A" w:rsidRPr="00BB421E" w:rsidRDefault="009048B8">
            <w:pPr>
              <w:jc w:val="center"/>
              <w:rPr>
                <w:b/>
                <w:sz w:val="20"/>
                <w:szCs w:val="22"/>
              </w:rPr>
            </w:pPr>
            <w:r w:rsidRPr="00BB421E">
              <w:rPr>
                <w:b/>
                <w:bCs/>
                <w:sz w:val="20"/>
                <w:szCs w:val="22"/>
              </w:rPr>
              <w:t xml:space="preserve">Veikla ar </w:t>
            </w:r>
            <w:proofErr w:type="spellStart"/>
            <w:r w:rsidRPr="00BB421E">
              <w:rPr>
                <w:b/>
                <w:bCs/>
                <w:sz w:val="20"/>
                <w:szCs w:val="22"/>
              </w:rPr>
              <w:t>poveiklė</w:t>
            </w:r>
            <w:proofErr w:type="spellEnd"/>
          </w:p>
        </w:tc>
        <w:tc>
          <w:tcPr>
            <w:tcW w:w="1388" w:type="dxa"/>
            <w:vAlign w:val="center"/>
          </w:tcPr>
          <w:p w14:paraId="6A8D1C72" w14:textId="77777777" w:rsidR="00A2424A" w:rsidRPr="00BB421E" w:rsidRDefault="009048B8">
            <w:pPr>
              <w:jc w:val="center"/>
              <w:rPr>
                <w:b/>
                <w:sz w:val="20"/>
                <w:szCs w:val="22"/>
              </w:rPr>
            </w:pPr>
            <w:r w:rsidRPr="00BB421E">
              <w:rPr>
                <w:b/>
                <w:sz w:val="20"/>
                <w:szCs w:val="22"/>
              </w:rPr>
              <w:t>Intervencinės priemonės kodas</w:t>
            </w:r>
          </w:p>
        </w:tc>
        <w:tc>
          <w:tcPr>
            <w:tcW w:w="1344" w:type="dxa"/>
            <w:vAlign w:val="center"/>
          </w:tcPr>
          <w:p w14:paraId="428937A7" w14:textId="77777777" w:rsidR="00A2424A" w:rsidRPr="00BB421E" w:rsidRDefault="009048B8">
            <w:pPr>
              <w:jc w:val="center"/>
              <w:rPr>
                <w:b/>
                <w:bCs/>
                <w:sz w:val="20"/>
                <w:szCs w:val="22"/>
              </w:rPr>
            </w:pPr>
            <w:r w:rsidRPr="00BB421E">
              <w:rPr>
                <w:b/>
                <w:sz w:val="20"/>
              </w:rPr>
              <w:t xml:space="preserve">Regionas, kuriam priskiriama veikla ar </w:t>
            </w:r>
            <w:proofErr w:type="spellStart"/>
            <w:r w:rsidRPr="00BB421E">
              <w:rPr>
                <w:b/>
                <w:sz w:val="20"/>
              </w:rPr>
              <w:t>poveiklė</w:t>
            </w:r>
            <w:proofErr w:type="spellEnd"/>
          </w:p>
        </w:tc>
        <w:tc>
          <w:tcPr>
            <w:tcW w:w="1080" w:type="dxa"/>
            <w:vAlign w:val="center"/>
          </w:tcPr>
          <w:p w14:paraId="2528CD46" w14:textId="77777777" w:rsidR="00A2424A" w:rsidRPr="00BB421E" w:rsidRDefault="009048B8">
            <w:pPr>
              <w:jc w:val="center"/>
              <w:rPr>
                <w:b/>
                <w:sz w:val="20"/>
                <w:szCs w:val="22"/>
              </w:rPr>
            </w:pPr>
            <w:r w:rsidRPr="00BB421E">
              <w:rPr>
                <w:b/>
                <w:bCs/>
                <w:sz w:val="20"/>
                <w:szCs w:val="22"/>
              </w:rPr>
              <w:t>Paramos formos kodas</w:t>
            </w:r>
          </w:p>
        </w:tc>
        <w:tc>
          <w:tcPr>
            <w:tcW w:w="1344" w:type="dxa"/>
            <w:vAlign w:val="center"/>
          </w:tcPr>
          <w:p w14:paraId="2957B479" w14:textId="77777777" w:rsidR="00A2424A" w:rsidRPr="00BB421E" w:rsidRDefault="009048B8">
            <w:pPr>
              <w:jc w:val="center"/>
              <w:rPr>
                <w:b/>
                <w:sz w:val="20"/>
                <w:szCs w:val="22"/>
              </w:rPr>
            </w:pPr>
            <w:r w:rsidRPr="00BB421E">
              <w:rPr>
                <w:b/>
                <w:bCs/>
                <w:sz w:val="20"/>
                <w:szCs w:val="22"/>
              </w:rPr>
              <w:t>Pagrindinės teritorinės srities kodas (-ai)</w:t>
            </w:r>
          </w:p>
        </w:tc>
        <w:tc>
          <w:tcPr>
            <w:tcW w:w="1328" w:type="dxa"/>
            <w:vAlign w:val="center"/>
          </w:tcPr>
          <w:p w14:paraId="24B348B8" w14:textId="77777777" w:rsidR="00A2424A" w:rsidRPr="00BB421E" w:rsidRDefault="009048B8">
            <w:pPr>
              <w:jc w:val="center"/>
              <w:rPr>
                <w:b/>
                <w:sz w:val="20"/>
                <w:szCs w:val="22"/>
              </w:rPr>
            </w:pPr>
            <w:r w:rsidRPr="00BB421E">
              <w:rPr>
                <w:b/>
                <w:bCs/>
                <w:sz w:val="20"/>
                <w:szCs w:val="22"/>
              </w:rPr>
              <w:t>Ekonominės veiklos kodas (-ai)</w:t>
            </w:r>
          </w:p>
        </w:tc>
        <w:tc>
          <w:tcPr>
            <w:tcW w:w="1132" w:type="dxa"/>
            <w:vAlign w:val="center"/>
          </w:tcPr>
          <w:p w14:paraId="0CF98E9E" w14:textId="77777777" w:rsidR="00A2424A" w:rsidRPr="00BB421E" w:rsidRDefault="009048B8">
            <w:pPr>
              <w:jc w:val="center"/>
              <w:rPr>
                <w:b/>
                <w:bCs/>
                <w:sz w:val="20"/>
                <w:szCs w:val="22"/>
              </w:rPr>
            </w:pPr>
            <w:r w:rsidRPr="00BB421E">
              <w:rPr>
                <w:b/>
                <w:bCs/>
                <w:sz w:val="20"/>
                <w:szCs w:val="22"/>
              </w:rPr>
              <w:t>„Europos socialinio fondo +“ (toliau – ESF+) antrinių temų kodai</w:t>
            </w:r>
          </w:p>
        </w:tc>
        <w:tc>
          <w:tcPr>
            <w:tcW w:w="1149" w:type="dxa"/>
            <w:vAlign w:val="center"/>
          </w:tcPr>
          <w:p w14:paraId="5CE0F9B8" w14:textId="77777777" w:rsidR="00A2424A" w:rsidRPr="00BB421E" w:rsidRDefault="009048B8">
            <w:pPr>
              <w:jc w:val="center"/>
              <w:rPr>
                <w:b/>
                <w:bCs/>
                <w:sz w:val="20"/>
                <w:szCs w:val="22"/>
              </w:rPr>
            </w:pPr>
            <w:r w:rsidRPr="00BB421E">
              <w:rPr>
                <w:b/>
                <w:bCs/>
                <w:sz w:val="20"/>
                <w:szCs w:val="22"/>
              </w:rPr>
              <w:t>Lyčių lygybės matmens kodas</w:t>
            </w:r>
          </w:p>
        </w:tc>
      </w:tr>
      <w:tr w:rsidR="004B585D" w:rsidRPr="00BB421E" w14:paraId="2075166C" w14:textId="77777777" w:rsidTr="00B827A6">
        <w:trPr>
          <w:trHeight w:val="278"/>
        </w:trPr>
        <w:tc>
          <w:tcPr>
            <w:tcW w:w="2122" w:type="dxa"/>
            <w:tcMar>
              <w:left w:w="28" w:type="dxa"/>
              <w:right w:w="28" w:type="dxa"/>
            </w:tcMar>
          </w:tcPr>
          <w:p w14:paraId="484D7A98" w14:textId="4585FA70" w:rsidR="00404B63" w:rsidRPr="00BB421E" w:rsidRDefault="00404B63" w:rsidP="00404B63">
            <w:pPr>
              <w:jc w:val="center"/>
              <w:rPr>
                <w:bCs/>
                <w:sz w:val="20"/>
                <w:lang w:bidi="lt-LT"/>
              </w:rPr>
            </w:pPr>
            <w:r w:rsidRPr="00BB421E">
              <w:rPr>
                <w:bCs/>
                <w:sz w:val="20"/>
                <w:lang w:bidi="lt-LT"/>
              </w:rPr>
              <w:t>CO</w:t>
            </w:r>
            <w:r w:rsidRPr="00BB421E">
              <w:rPr>
                <w:bCs/>
                <w:sz w:val="20"/>
                <w:vertAlign w:val="subscript"/>
                <w:lang w:bidi="lt-LT"/>
              </w:rPr>
              <w:t>2</w:t>
            </w:r>
            <w:r w:rsidRPr="00BB421E">
              <w:rPr>
                <w:bCs/>
                <w:sz w:val="20"/>
                <w:lang w:bidi="lt-LT"/>
              </w:rPr>
              <w:t xml:space="preserve"> sugavimo ir saugojimo, vandenilio ir kitų inovatyvių technologijų panaudojimo </w:t>
            </w:r>
            <w:r w:rsidR="00F4514C" w:rsidRPr="00BB421E">
              <w:rPr>
                <w:bCs/>
                <w:sz w:val="20"/>
                <w:lang w:bidi="lt-LT"/>
              </w:rPr>
              <w:t xml:space="preserve">galimybių vertinimas </w:t>
            </w:r>
            <w:r w:rsidRPr="00BB421E">
              <w:rPr>
                <w:bCs/>
                <w:sz w:val="20"/>
                <w:lang w:bidi="lt-LT"/>
              </w:rPr>
              <w:t>Lietuvos pramonės įmonėse, veikiančiose labiausiai neigiamai paveiktose teritorijose</w:t>
            </w:r>
          </w:p>
        </w:tc>
        <w:tc>
          <w:tcPr>
            <w:tcW w:w="992" w:type="dxa"/>
            <w:tcMar>
              <w:left w:w="28" w:type="dxa"/>
              <w:right w:w="28" w:type="dxa"/>
            </w:tcMar>
          </w:tcPr>
          <w:p w14:paraId="02C21A59" w14:textId="77777777" w:rsidR="00404B63" w:rsidRPr="00BB421E" w:rsidRDefault="00404B63" w:rsidP="00404B63">
            <w:pPr>
              <w:jc w:val="center"/>
              <w:rPr>
                <w:bCs/>
                <w:sz w:val="20"/>
                <w:lang w:bidi="lt-LT"/>
              </w:rPr>
            </w:pPr>
            <w:r w:rsidRPr="00BB421E">
              <w:rPr>
                <w:bCs/>
                <w:sz w:val="20"/>
                <w:lang w:bidi="lt-LT"/>
              </w:rPr>
              <w:t>2021–2027 metų Europos Sąjungos fondų investicijų programa</w:t>
            </w:r>
          </w:p>
          <w:p w14:paraId="3F31F398" w14:textId="6B797C2E" w:rsidR="00404B63" w:rsidRPr="00BB421E" w:rsidRDefault="00404B63" w:rsidP="00404B63">
            <w:pPr>
              <w:jc w:val="center"/>
              <w:rPr>
                <w:bCs/>
                <w:sz w:val="20"/>
                <w:lang w:bidi="lt-LT"/>
              </w:rPr>
            </w:pPr>
            <w:r w:rsidRPr="00BB421E">
              <w:rPr>
                <w:bCs/>
                <w:sz w:val="20"/>
                <w:lang w:bidi="lt-LT"/>
              </w:rPr>
              <w:t>(toliau – Investicijų programa)</w:t>
            </w:r>
          </w:p>
        </w:tc>
        <w:tc>
          <w:tcPr>
            <w:tcW w:w="850" w:type="dxa"/>
            <w:tcMar>
              <w:left w:w="28" w:type="dxa"/>
              <w:right w:w="28" w:type="dxa"/>
            </w:tcMar>
          </w:tcPr>
          <w:p w14:paraId="7A5AF0D2" w14:textId="3F17A6AB" w:rsidR="00404B63" w:rsidRPr="00BB421E" w:rsidRDefault="00404B63" w:rsidP="00404B63">
            <w:pPr>
              <w:jc w:val="center"/>
              <w:rPr>
                <w:bCs/>
                <w:sz w:val="20"/>
                <w:lang w:bidi="lt-LT"/>
              </w:rPr>
            </w:pPr>
            <w:r w:rsidRPr="00BB421E">
              <w:rPr>
                <w:bCs/>
                <w:sz w:val="20"/>
                <w:lang w:bidi="lt-LT"/>
              </w:rPr>
              <w:t>9</w:t>
            </w:r>
          </w:p>
        </w:tc>
        <w:tc>
          <w:tcPr>
            <w:tcW w:w="1134" w:type="dxa"/>
            <w:tcMar>
              <w:left w:w="28" w:type="dxa"/>
              <w:right w:w="28" w:type="dxa"/>
            </w:tcMar>
          </w:tcPr>
          <w:p w14:paraId="0DD5A9FE" w14:textId="4250C339" w:rsidR="00404B63" w:rsidRPr="00BB421E" w:rsidRDefault="00404B63" w:rsidP="00404B63">
            <w:pPr>
              <w:jc w:val="center"/>
              <w:rPr>
                <w:bCs/>
                <w:sz w:val="20"/>
                <w:lang w:bidi="lt-LT"/>
              </w:rPr>
            </w:pPr>
            <w:r w:rsidRPr="00BB421E">
              <w:rPr>
                <w:bCs/>
                <w:sz w:val="20"/>
                <w:lang w:bidi="lt-LT"/>
              </w:rPr>
              <w:t>9.1</w:t>
            </w:r>
          </w:p>
          <w:p w14:paraId="58E738EF" w14:textId="77777777" w:rsidR="00404B63" w:rsidRPr="00BB421E" w:rsidRDefault="00404B63" w:rsidP="00404B63">
            <w:pPr>
              <w:jc w:val="center"/>
              <w:rPr>
                <w:bCs/>
                <w:sz w:val="20"/>
                <w:lang w:bidi="lt-LT"/>
              </w:rPr>
            </w:pPr>
          </w:p>
        </w:tc>
        <w:tc>
          <w:tcPr>
            <w:tcW w:w="993" w:type="dxa"/>
            <w:tcMar>
              <w:left w:w="28" w:type="dxa"/>
              <w:right w:w="28" w:type="dxa"/>
            </w:tcMar>
          </w:tcPr>
          <w:p w14:paraId="125D24E4" w14:textId="77777777" w:rsidR="00404B63" w:rsidRPr="00BB421E" w:rsidRDefault="00B22E0D" w:rsidP="00404B63">
            <w:pPr>
              <w:jc w:val="center"/>
              <w:rPr>
                <w:bCs/>
                <w:sz w:val="20"/>
                <w:lang w:bidi="lt-LT"/>
              </w:rPr>
            </w:pPr>
            <w:r w:rsidRPr="00BB421E">
              <w:rPr>
                <w:bCs/>
                <w:sz w:val="20"/>
                <w:lang w:bidi="lt-LT"/>
              </w:rPr>
              <w:t>9.1.1</w:t>
            </w:r>
          </w:p>
          <w:p w14:paraId="3980037D" w14:textId="7EA53F84" w:rsidR="00B22E0D" w:rsidRPr="00BB421E" w:rsidRDefault="00B22E0D" w:rsidP="00404B63">
            <w:pPr>
              <w:jc w:val="center"/>
              <w:rPr>
                <w:bCs/>
                <w:sz w:val="20"/>
                <w:lang w:bidi="lt-LT"/>
              </w:rPr>
            </w:pPr>
            <w:r w:rsidRPr="00BB421E">
              <w:rPr>
                <w:bCs/>
                <w:sz w:val="20"/>
                <w:lang w:bidi="lt-LT"/>
              </w:rPr>
              <w:t>ES ATLPS dalyvaujančių pramonės įmonių transformacija (</w:t>
            </w:r>
            <w:proofErr w:type="spellStart"/>
            <w:r w:rsidRPr="00BB421E">
              <w:rPr>
                <w:bCs/>
                <w:sz w:val="20"/>
                <w:lang w:bidi="lt-LT"/>
              </w:rPr>
              <w:t>dekarbonizavimas</w:t>
            </w:r>
            <w:proofErr w:type="spellEnd"/>
            <w:r w:rsidRPr="00BB421E">
              <w:rPr>
                <w:bCs/>
                <w:sz w:val="20"/>
                <w:lang w:bidi="lt-LT"/>
              </w:rPr>
              <w:t>).</w:t>
            </w:r>
          </w:p>
        </w:tc>
        <w:tc>
          <w:tcPr>
            <w:tcW w:w="1388" w:type="dxa"/>
            <w:tcMar>
              <w:left w:w="28" w:type="dxa"/>
              <w:right w:w="28" w:type="dxa"/>
            </w:tcMar>
          </w:tcPr>
          <w:p w14:paraId="7F12A401" w14:textId="1209CEFF" w:rsidR="00404B63" w:rsidRPr="00BB421E" w:rsidRDefault="00404B63" w:rsidP="00404B63">
            <w:pPr>
              <w:jc w:val="center"/>
              <w:rPr>
                <w:bCs/>
                <w:sz w:val="20"/>
                <w:lang w:bidi="lt-LT"/>
              </w:rPr>
            </w:pPr>
            <w:r w:rsidRPr="00BB421E">
              <w:rPr>
                <w:bCs/>
                <w:sz w:val="20"/>
                <w:lang w:bidi="lt-LT"/>
              </w:rPr>
              <w:t>029</w:t>
            </w:r>
          </w:p>
        </w:tc>
        <w:tc>
          <w:tcPr>
            <w:tcW w:w="1344" w:type="dxa"/>
            <w:tcMar>
              <w:left w:w="28" w:type="dxa"/>
              <w:right w:w="28" w:type="dxa"/>
            </w:tcMar>
          </w:tcPr>
          <w:p w14:paraId="6EA23C7F" w14:textId="77777777" w:rsidR="00404B63" w:rsidRPr="00BB421E" w:rsidRDefault="00404B63" w:rsidP="00404B63">
            <w:pPr>
              <w:jc w:val="center"/>
              <w:rPr>
                <w:bCs/>
                <w:sz w:val="20"/>
                <w:lang w:bidi="lt-LT"/>
              </w:rPr>
            </w:pPr>
            <w:r w:rsidRPr="00BB421E">
              <w:rPr>
                <w:bCs/>
                <w:sz w:val="20"/>
                <w:lang w:bidi="lt-LT"/>
              </w:rPr>
              <w:t>Vidurio ir vakarų Lietuvos regionas</w:t>
            </w:r>
          </w:p>
          <w:p w14:paraId="30C4245C" w14:textId="026B6F87" w:rsidR="00404B63" w:rsidRPr="00BB421E" w:rsidRDefault="00404B63" w:rsidP="00404B63">
            <w:pPr>
              <w:jc w:val="center"/>
              <w:rPr>
                <w:bCs/>
                <w:sz w:val="20"/>
                <w:lang w:bidi="lt-LT"/>
              </w:rPr>
            </w:pPr>
          </w:p>
        </w:tc>
        <w:tc>
          <w:tcPr>
            <w:tcW w:w="1080" w:type="dxa"/>
            <w:tcMar>
              <w:left w:w="28" w:type="dxa"/>
              <w:right w:w="28" w:type="dxa"/>
            </w:tcMar>
          </w:tcPr>
          <w:p w14:paraId="40D6F4A7" w14:textId="77777777" w:rsidR="00404B63" w:rsidRPr="00BB421E" w:rsidRDefault="00404B63" w:rsidP="00404B63">
            <w:pPr>
              <w:jc w:val="center"/>
              <w:rPr>
                <w:bCs/>
                <w:sz w:val="20"/>
                <w:lang w:bidi="lt-LT"/>
              </w:rPr>
            </w:pPr>
            <w:r w:rsidRPr="00BB421E">
              <w:rPr>
                <w:bCs/>
                <w:sz w:val="20"/>
                <w:lang w:bidi="lt-LT"/>
              </w:rPr>
              <w:t>01 – dotacija</w:t>
            </w:r>
          </w:p>
          <w:p w14:paraId="6FB3AC9E" w14:textId="28A0EDFE" w:rsidR="00404B63" w:rsidRPr="00BB421E" w:rsidRDefault="00404B63" w:rsidP="00404B63">
            <w:pPr>
              <w:jc w:val="center"/>
              <w:rPr>
                <w:bCs/>
                <w:sz w:val="20"/>
                <w:lang w:bidi="lt-LT"/>
              </w:rPr>
            </w:pPr>
          </w:p>
        </w:tc>
        <w:tc>
          <w:tcPr>
            <w:tcW w:w="1344" w:type="dxa"/>
            <w:tcMar>
              <w:left w:w="28" w:type="dxa"/>
              <w:right w:w="28" w:type="dxa"/>
            </w:tcMar>
          </w:tcPr>
          <w:p w14:paraId="5AF22960" w14:textId="2B968DB9" w:rsidR="00404B63" w:rsidRPr="00BB421E" w:rsidRDefault="00DE508E" w:rsidP="00404B63">
            <w:pPr>
              <w:jc w:val="center"/>
              <w:rPr>
                <w:bCs/>
                <w:sz w:val="20"/>
                <w:lang w:bidi="lt-LT"/>
              </w:rPr>
            </w:pPr>
            <w:r w:rsidRPr="00BB421E">
              <w:rPr>
                <w:bCs/>
                <w:sz w:val="20"/>
                <w:lang w:bidi="lt-LT"/>
              </w:rPr>
              <w:t>32 - Kitų rūšių tikslinės teritorijos</w:t>
            </w:r>
          </w:p>
        </w:tc>
        <w:tc>
          <w:tcPr>
            <w:tcW w:w="1328" w:type="dxa"/>
            <w:tcMar>
              <w:left w:w="28" w:type="dxa"/>
              <w:right w:w="28" w:type="dxa"/>
            </w:tcMar>
          </w:tcPr>
          <w:p w14:paraId="47C0AB1E" w14:textId="35C7D873" w:rsidR="00404B63" w:rsidRPr="00BB421E" w:rsidRDefault="004519B6" w:rsidP="00404B63">
            <w:pPr>
              <w:jc w:val="center"/>
              <w:rPr>
                <w:bCs/>
                <w:sz w:val="20"/>
                <w:lang w:bidi="lt-LT"/>
              </w:rPr>
            </w:pPr>
            <w:r w:rsidRPr="00BB421E">
              <w:rPr>
                <w:bCs/>
                <w:sz w:val="20"/>
                <w:lang w:bidi="lt-LT"/>
              </w:rPr>
              <w:t>26 (kitos nenurodytos paslaugos)</w:t>
            </w:r>
          </w:p>
        </w:tc>
        <w:tc>
          <w:tcPr>
            <w:tcW w:w="1132" w:type="dxa"/>
            <w:tcMar>
              <w:left w:w="28" w:type="dxa"/>
              <w:right w:w="28" w:type="dxa"/>
            </w:tcMar>
          </w:tcPr>
          <w:p w14:paraId="45716B00" w14:textId="209CCEF4" w:rsidR="00404B63" w:rsidRPr="00BB421E" w:rsidRDefault="00404B63" w:rsidP="00404B63">
            <w:pPr>
              <w:jc w:val="center"/>
              <w:rPr>
                <w:bCs/>
                <w:sz w:val="20"/>
                <w:lang w:bidi="lt-LT"/>
              </w:rPr>
            </w:pPr>
            <w:r w:rsidRPr="00BB421E">
              <w:rPr>
                <w:bCs/>
                <w:sz w:val="20"/>
                <w:lang w:bidi="lt-LT"/>
              </w:rPr>
              <w:t>-</w:t>
            </w:r>
          </w:p>
          <w:p w14:paraId="2B22B552" w14:textId="77777777" w:rsidR="00404B63" w:rsidRPr="00BB421E" w:rsidRDefault="00404B63" w:rsidP="00404B63">
            <w:pPr>
              <w:jc w:val="center"/>
              <w:rPr>
                <w:bCs/>
                <w:sz w:val="20"/>
                <w:lang w:bidi="lt-LT"/>
              </w:rPr>
            </w:pPr>
          </w:p>
        </w:tc>
        <w:tc>
          <w:tcPr>
            <w:tcW w:w="1149" w:type="dxa"/>
            <w:tcMar>
              <w:left w:w="28" w:type="dxa"/>
              <w:right w:w="28" w:type="dxa"/>
            </w:tcMar>
          </w:tcPr>
          <w:p w14:paraId="3309F7D3" w14:textId="443682E1" w:rsidR="00404B63" w:rsidRPr="00BB421E" w:rsidRDefault="00404B63" w:rsidP="00404B63">
            <w:pPr>
              <w:jc w:val="center"/>
              <w:rPr>
                <w:bCs/>
                <w:sz w:val="20"/>
                <w:lang w:bidi="lt-LT"/>
              </w:rPr>
            </w:pPr>
            <w:r w:rsidRPr="00BB421E">
              <w:rPr>
                <w:bCs/>
                <w:sz w:val="20"/>
                <w:lang w:bidi="lt-LT"/>
              </w:rPr>
              <w:t>03 – neutralumas lyties požiūriu</w:t>
            </w:r>
          </w:p>
        </w:tc>
      </w:tr>
    </w:tbl>
    <w:p w14:paraId="46E9ECA0" w14:textId="77777777" w:rsidR="00A2424A" w:rsidRPr="00BB421E" w:rsidRDefault="00A2424A">
      <w:pPr>
        <w:ind w:firstLine="567"/>
        <w:jc w:val="both"/>
        <w:rPr>
          <w:bCs/>
          <w:sz w:val="20"/>
          <w:lang w:bidi="lt-LT"/>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A2424A" w:rsidRPr="00BB421E" w14:paraId="2E1E339F" w14:textId="77777777">
        <w:trPr>
          <w:trHeight w:val="405"/>
        </w:trPr>
        <w:tc>
          <w:tcPr>
            <w:tcW w:w="3688" w:type="dxa"/>
            <w:shd w:val="clear" w:color="auto" w:fill="auto"/>
            <w:vAlign w:val="center"/>
          </w:tcPr>
          <w:p w14:paraId="1727833B" w14:textId="77777777" w:rsidR="00A2424A" w:rsidRPr="00BB421E" w:rsidRDefault="009048B8">
            <w:pPr>
              <w:jc w:val="center"/>
              <w:rPr>
                <w:sz w:val="18"/>
                <w:szCs w:val="18"/>
              </w:rPr>
            </w:pPr>
            <w:r w:rsidRPr="00BB421E">
              <w:rPr>
                <w:sz w:val="22"/>
                <w:szCs w:val="22"/>
              </w:rPr>
              <w:t>Rodiklio pavadinimas</w:t>
            </w:r>
          </w:p>
        </w:tc>
        <w:tc>
          <w:tcPr>
            <w:tcW w:w="3688" w:type="dxa"/>
            <w:shd w:val="clear" w:color="auto" w:fill="auto"/>
            <w:vAlign w:val="center"/>
          </w:tcPr>
          <w:p w14:paraId="61E21E63" w14:textId="77777777" w:rsidR="00A2424A" w:rsidRPr="00BB421E" w:rsidRDefault="009048B8">
            <w:pPr>
              <w:jc w:val="center"/>
              <w:rPr>
                <w:sz w:val="18"/>
                <w:szCs w:val="18"/>
              </w:rPr>
            </w:pPr>
            <w:r w:rsidRPr="00BB421E">
              <w:rPr>
                <w:sz w:val="22"/>
                <w:szCs w:val="22"/>
              </w:rPr>
              <w:t>Rodiklio kodas</w:t>
            </w:r>
          </w:p>
        </w:tc>
        <w:tc>
          <w:tcPr>
            <w:tcW w:w="3688" w:type="dxa"/>
            <w:shd w:val="clear" w:color="auto" w:fill="auto"/>
            <w:vAlign w:val="center"/>
          </w:tcPr>
          <w:p w14:paraId="3AB49F65" w14:textId="77777777" w:rsidR="00A2424A" w:rsidRPr="00BB421E" w:rsidRDefault="009048B8">
            <w:pPr>
              <w:jc w:val="center"/>
              <w:rPr>
                <w:sz w:val="18"/>
                <w:szCs w:val="18"/>
              </w:rPr>
            </w:pPr>
            <w:r w:rsidRPr="00BB421E">
              <w:rPr>
                <w:sz w:val="22"/>
                <w:szCs w:val="22"/>
              </w:rPr>
              <w:t>Matavimo vienetai</w:t>
            </w:r>
          </w:p>
        </w:tc>
        <w:tc>
          <w:tcPr>
            <w:tcW w:w="3688" w:type="dxa"/>
            <w:shd w:val="clear" w:color="auto" w:fill="auto"/>
            <w:vAlign w:val="center"/>
          </w:tcPr>
          <w:p w14:paraId="3E53C0F4" w14:textId="77777777" w:rsidR="00A2424A" w:rsidRPr="00BB421E" w:rsidRDefault="009048B8">
            <w:pPr>
              <w:jc w:val="center"/>
              <w:rPr>
                <w:sz w:val="18"/>
                <w:szCs w:val="18"/>
              </w:rPr>
            </w:pPr>
            <w:r w:rsidRPr="00BB421E">
              <w:rPr>
                <w:sz w:val="22"/>
                <w:szCs w:val="22"/>
              </w:rPr>
              <w:t>Siektina reikšmė</w:t>
            </w:r>
          </w:p>
        </w:tc>
      </w:tr>
      <w:tr w:rsidR="00425FBB" w:rsidRPr="00BB421E" w14:paraId="6DD0589D" w14:textId="77777777" w:rsidTr="00425FBB">
        <w:trPr>
          <w:trHeight w:val="541"/>
        </w:trPr>
        <w:tc>
          <w:tcPr>
            <w:tcW w:w="3688" w:type="dxa"/>
            <w:shd w:val="clear" w:color="auto" w:fill="auto"/>
            <w:vAlign w:val="center"/>
          </w:tcPr>
          <w:p w14:paraId="60B969A7" w14:textId="04E2A136" w:rsidR="00425FBB" w:rsidRPr="00BB421E" w:rsidRDefault="00425FBB">
            <w:pPr>
              <w:jc w:val="center"/>
              <w:rPr>
                <w:sz w:val="22"/>
                <w:szCs w:val="22"/>
              </w:rPr>
            </w:pPr>
            <w:r w:rsidRPr="00BB421E">
              <w:rPr>
                <w:sz w:val="22"/>
                <w:szCs w:val="22"/>
              </w:rPr>
              <w:lastRenderedPageBreak/>
              <w:t>Perkančiosios organizacijos įsigyta galimybių studija</w:t>
            </w:r>
          </w:p>
        </w:tc>
        <w:tc>
          <w:tcPr>
            <w:tcW w:w="3688" w:type="dxa"/>
            <w:shd w:val="clear" w:color="auto" w:fill="auto"/>
            <w:vAlign w:val="center"/>
          </w:tcPr>
          <w:p w14:paraId="6837821E" w14:textId="77777777" w:rsidR="00425FBB" w:rsidRPr="00BB421E" w:rsidRDefault="00780FB0">
            <w:pPr>
              <w:jc w:val="center"/>
              <w:rPr>
                <w:sz w:val="22"/>
                <w:szCs w:val="22"/>
              </w:rPr>
            </w:pPr>
            <w:r w:rsidRPr="00BB421E">
              <w:rPr>
                <w:sz w:val="22"/>
                <w:szCs w:val="22"/>
              </w:rPr>
              <w:t>P-05-001-01-04-02-13</w:t>
            </w:r>
          </w:p>
          <w:p w14:paraId="441717CA" w14:textId="4828B89A" w:rsidR="0005666B" w:rsidRPr="00BB421E" w:rsidRDefault="0005666B">
            <w:pPr>
              <w:jc w:val="center"/>
              <w:rPr>
                <w:sz w:val="22"/>
                <w:szCs w:val="22"/>
              </w:rPr>
            </w:pPr>
            <w:r w:rsidRPr="00BB421E">
              <w:rPr>
                <w:sz w:val="22"/>
                <w:szCs w:val="22"/>
              </w:rPr>
              <w:t>(P.S.2. 1040)</w:t>
            </w:r>
          </w:p>
        </w:tc>
        <w:tc>
          <w:tcPr>
            <w:tcW w:w="3688" w:type="dxa"/>
            <w:shd w:val="clear" w:color="auto" w:fill="auto"/>
            <w:vAlign w:val="center"/>
          </w:tcPr>
          <w:p w14:paraId="44F87E58" w14:textId="65A13DF1" w:rsidR="00425FBB" w:rsidRPr="00BB421E" w:rsidRDefault="00666917">
            <w:pPr>
              <w:jc w:val="center"/>
              <w:rPr>
                <w:sz w:val="22"/>
                <w:szCs w:val="22"/>
              </w:rPr>
            </w:pPr>
            <w:r w:rsidRPr="00BB421E">
              <w:rPr>
                <w:sz w:val="22"/>
                <w:szCs w:val="22"/>
              </w:rPr>
              <w:t>Vienetai</w:t>
            </w:r>
          </w:p>
        </w:tc>
        <w:tc>
          <w:tcPr>
            <w:tcW w:w="3688" w:type="dxa"/>
            <w:shd w:val="clear" w:color="auto" w:fill="auto"/>
            <w:vAlign w:val="center"/>
          </w:tcPr>
          <w:p w14:paraId="0C13C745" w14:textId="75D231C5" w:rsidR="00425FBB" w:rsidRPr="00BB421E" w:rsidRDefault="00666917">
            <w:pPr>
              <w:jc w:val="center"/>
              <w:rPr>
                <w:sz w:val="22"/>
                <w:szCs w:val="22"/>
              </w:rPr>
            </w:pPr>
            <w:r w:rsidRPr="00BB421E">
              <w:rPr>
                <w:sz w:val="22"/>
                <w:szCs w:val="22"/>
              </w:rPr>
              <w:t>1</w:t>
            </w:r>
          </w:p>
        </w:tc>
      </w:tr>
      <w:tr w:rsidR="00A2424A" w:rsidRPr="00BB421E" w14:paraId="362575DB" w14:textId="77777777">
        <w:trPr>
          <w:trHeight w:val="725"/>
        </w:trPr>
        <w:tc>
          <w:tcPr>
            <w:tcW w:w="3688" w:type="dxa"/>
          </w:tcPr>
          <w:p w14:paraId="77342D1B" w14:textId="2E9EE6D8" w:rsidR="00A2424A" w:rsidRPr="00BB421E" w:rsidRDefault="005B3C18">
            <w:pPr>
              <w:jc w:val="center"/>
              <w:rPr>
                <w:sz w:val="22"/>
                <w:szCs w:val="22"/>
              </w:rPr>
            </w:pPr>
            <w:r w:rsidRPr="00BB421E">
              <w:rPr>
                <w:sz w:val="22"/>
                <w:szCs w:val="22"/>
              </w:rPr>
              <w:t>E</w:t>
            </w:r>
            <w:r w:rsidR="00D662E9" w:rsidRPr="00BB421E">
              <w:rPr>
                <w:sz w:val="22"/>
                <w:szCs w:val="22"/>
              </w:rPr>
              <w:t>uropos Sąjungos (toliau – E</w:t>
            </w:r>
            <w:r w:rsidRPr="00BB421E">
              <w:rPr>
                <w:sz w:val="22"/>
                <w:szCs w:val="22"/>
              </w:rPr>
              <w:t>S</w:t>
            </w:r>
            <w:r w:rsidR="00D662E9" w:rsidRPr="00BB421E">
              <w:rPr>
                <w:sz w:val="22"/>
                <w:szCs w:val="22"/>
              </w:rPr>
              <w:t xml:space="preserve">) </w:t>
            </w:r>
            <w:r w:rsidRPr="00BB421E">
              <w:rPr>
                <w:sz w:val="22"/>
                <w:szCs w:val="22"/>
              </w:rPr>
              <w:t xml:space="preserve"> </w:t>
            </w:r>
            <w:r w:rsidR="00D662E9" w:rsidRPr="00BB421E">
              <w:rPr>
                <w:sz w:val="22"/>
                <w:szCs w:val="22"/>
              </w:rPr>
              <w:t xml:space="preserve">apyvartinių taršos leidimų prekybos sistemoje (toliau – </w:t>
            </w:r>
            <w:r w:rsidRPr="00BB421E">
              <w:rPr>
                <w:sz w:val="22"/>
                <w:szCs w:val="22"/>
              </w:rPr>
              <w:t>ATLPS</w:t>
            </w:r>
            <w:r w:rsidR="00D662E9" w:rsidRPr="00BB421E">
              <w:rPr>
                <w:sz w:val="22"/>
                <w:szCs w:val="22"/>
              </w:rPr>
              <w:t xml:space="preserve">) </w:t>
            </w:r>
            <w:r w:rsidRPr="00BB421E">
              <w:rPr>
                <w:sz w:val="22"/>
                <w:szCs w:val="22"/>
              </w:rPr>
              <w:t>dalyvaujančių įmonių, potencialiai galinčių diegti įperkamai švariai energijai skirtas technologijas, sistemas ir infrastruktūras, dalis nuo visų ES ATL PS dalyvaujančių įmonių</w:t>
            </w:r>
          </w:p>
        </w:tc>
        <w:tc>
          <w:tcPr>
            <w:tcW w:w="3688" w:type="dxa"/>
          </w:tcPr>
          <w:p w14:paraId="2AFF0C48" w14:textId="6AD6F26E" w:rsidR="005B3C18" w:rsidRPr="00BB421E" w:rsidRDefault="005B3C18" w:rsidP="005B3C18">
            <w:pPr>
              <w:spacing w:line="256" w:lineRule="auto"/>
              <w:jc w:val="center"/>
              <w:rPr>
                <w:sz w:val="22"/>
                <w:szCs w:val="22"/>
              </w:rPr>
            </w:pPr>
            <w:r w:rsidRPr="00BB421E">
              <w:rPr>
                <w:sz w:val="22"/>
                <w:szCs w:val="22"/>
              </w:rPr>
              <w:t>R-05-001-01-04-02-25</w:t>
            </w:r>
          </w:p>
          <w:p w14:paraId="531F5561" w14:textId="53342D2C" w:rsidR="0005666B" w:rsidRPr="00BB421E" w:rsidRDefault="003C36CA" w:rsidP="005B3C18">
            <w:pPr>
              <w:spacing w:line="256" w:lineRule="auto"/>
              <w:jc w:val="center"/>
              <w:rPr>
                <w:sz w:val="22"/>
                <w:szCs w:val="22"/>
              </w:rPr>
            </w:pPr>
            <w:r w:rsidRPr="00BB421E">
              <w:rPr>
                <w:sz w:val="22"/>
                <w:szCs w:val="22"/>
              </w:rPr>
              <w:t>(R.S.2. 3041)</w:t>
            </w:r>
          </w:p>
          <w:p w14:paraId="27931D49" w14:textId="1718F81B" w:rsidR="00A2424A" w:rsidRPr="00BB421E" w:rsidRDefault="00A2424A">
            <w:pPr>
              <w:jc w:val="center"/>
              <w:rPr>
                <w:sz w:val="22"/>
                <w:szCs w:val="22"/>
              </w:rPr>
            </w:pPr>
          </w:p>
        </w:tc>
        <w:tc>
          <w:tcPr>
            <w:tcW w:w="3688" w:type="dxa"/>
          </w:tcPr>
          <w:p w14:paraId="51D73F34" w14:textId="3FB6FF5A" w:rsidR="00A2424A" w:rsidRPr="00BB421E" w:rsidRDefault="005B3C18">
            <w:pPr>
              <w:jc w:val="center"/>
              <w:rPr>
                <w:sz w:val="22"/>
                <w:szCs w:val="22"/>
              </w:rPr>
            </w:pPr>
            <w:r w:rsidRPr="00BB421E">
              <w:rPr>
                <w:sz w:val="22"/>
                <w:szCs w:val="22"/>
              </w:rPr>
              <w:t>Procentai</w:t>
            </w:r>
          </w:p>
        </w:tc>
        <w:tc>
          <w:tcPr>
            <w:tcW w:w="3688" w:type="dxa"/>
          </w:tcPr>
          <w:p w14:paraId="2E16A785" w14:textId="64370972" w:rsidR="00A2424A" w:rsidRPr="00BB421E" w:rsidRDefault="005B3C18">
            <w:pPr>
              <w:jc w:val="center"/>
              <w:rPr>
                <w:sz w:val="22"/>
                <w:szCs w:val="22"/>
              </w:rPr>
            </w:pPr>
            <w:r w:rsidRPr="00BB421E">
              <w:rPr>
                <w:sz w:val="22"/>
                <w:szCs w:val="22"/>
              </w:rPr>
              <w:t>35</w:t>
            </w:r>
          </w:p>
        </w:tc>
      </w:tr>
    </w:tbl>
    <w:p w14:paraId="679302AE" w14:textId="77777777" w:rsidR="00A2424A" w:rsidRPr="00BB421E" w:rsidRDefault="00A2424A">
      <w:pPr>
        <w:ind w:firstLine="567"/>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A2424A" w:rsidRPr="00BB421E" w14:paraId="1A2A59AC" w14:textId="77777777" w:rsidTr="7B1CEF05">
        <w:tc>
          <w:tcPr>
            <w:tcW w:w="14709" w:type="dxa"/>
          </w:tcPr>
          <w:p w14:paraId="0DDAB3A4" w14:textId="77777777" w:rsidR="00A2424A" w:rsidRPr="00BB421E" w:rsidRDefault="009048B8">
            <w:pPr>
              <w:rPr>
                <w:b/>
                <w:szCs w:val="24"/>
              </w:rPr>
            </w:pPr>
            <w:r w:rsidRPr="00BB421E">
              <w:rPr>
                <w:b/>
                <w:szCs w:val="24"/>
              </w:rPr>
              <w:t>SPECIALIEJI FINANSAVIMO REIKALAVIMAI</w:t>
            </w:r>
          </w:p>
        </w:tc>
      </w:tr>
      <w:tr w:rsidR="00A2424A" w:rsidRPr="00BB421E" w14:paraId="63C048EB" w14:textId="77777777" w:rsidTr="7B1CEF05">
        <w:tc>
          <w:tcPr>
            <w:tcW w:w="14709" w:type="dxa"/>
          </w:tcPr>
          <w:p w14:paraId="65BECCB6" w14:textId="77777777" w:rsidR="00A2424A" w:rsidRPr="00BB421E" w:rsidRDefault="009048B8">
            <w:pPr>
              <w:rPr>
                <w:b/>
                <w:bCs/>
                <w:szCs w:val="24"/>
              </w:rPr>
            </w:pPr>
            <w:r w:rsidRPr="00BB421E">
              <w:rPr>
                <w:b/>
                <w:bCs/>
                <w:szCs w:val="24"/>
              </w:rPr>
              <w:t>1. Taikomi teisės aktai</w:t>
            </w:r>
          </w:p>
        </w:tc>
      </w:tr>
      <w:tr w:rsidR="00A2424A" w:rsidRPr="00BB421E" w14:paraId="1E681053" w14:textId="77777777" w:rsidTr="7B1CEF05">
        <w:tc>
          <w:tcPr>
            <w:tcW w:w="14709" w:type="dxa"/>
          </w:tcPr>
          <w:p w14:paraId="573DE2C9" w14:textId="7B695EBD" w:rsidR="00410241" w:rsidRPr="00BB421E" w:rsidRDefault="00F12B12" w:rsidP="00410241">
            <w:pPr>
              <w:tabs>
                <w:tab w:val="left" w:pos="458"/>
              </w:tabs>
              <w:jc w:val="both"/>
              <w:rPr>
                <w:rStyle w:val="normaltextrun"/>
                <w:color w:val="000000"/>
                <w:szCs w:val="24"/>
                <w:shd w:val="clear" w:color="auto" w:fill="FFFFFF"/>
              </w:rPr>
            </w:pPr>
            <w:r w:rsidRPr="00BB421E">
              <w:rPr>
                <w:szCs w:val="24"/>
              </w:rPr>
              <w:t>1.1. Teisės aktai, kuriais vadovaujamasi rengiant, teikiant ir vertinant projekto įgyvendinimo planą (toliau – PĮP), priimant sprendimą dėl projekto finansavimo, sudarant projekto sutartį ir įgyvendinant projektą, finansuojamą pagal 2022–2030 metų plėtros programos valdytojos Lietuvos Respublikos ekonomikos ir inovacijų ministerijos ekonomikos transformacijos ir konkurencingumo plėtros programos pažangos priemonės Nr. 05-001-01-04-02 „Skatinti įmones pereiti link neutralios klimatui ekonomikos“ veiklos „CO</w:t>
            </w:r>
            <w:r w:rsidRPr="00BB421E">
              <w:rPr>
                <w:szCs w:val="24"/>
                <w:vertAlign w:val="subscript"/>
              </w:rPr>
              <w:t>2</w:t>
            </w:r>
            <w:r w:rsidRPr="00BB421E">
              <w:rPr>
                <w:szCs w:val="24"/>
              </w:rPr>
              <w:t xml:space="preserve"> sugavimo ir saugojimo, vandenilio ir kitų inovatyvių technologijų panaudojimo galimyb</w:t>
            </w:r>
            <w:r w:rsidR="000B0814" w:rsidRPr="00BB421E">
              <w:rPr>
                <w:szCs w:val="24"/>
              </w:rPr>
              <w:t>ių vertinimas</w:t>
            </w:r>
            <w:r w:rsidRPr="00BB421E">
              <w:rPr>
                <w:szCs w:val="24"/>
              </w:rPr>
              <w:t xml:space="preserve"> Lietuvos pramonės įmonėse, veikiančiose labiausiai neigiamai</w:t>
            </w:r>
            <w:r w:rsidR="3CB6FCD6" w:rsidRPr="00BB421E">
              <w:rPr>
                <w:sz w:val="20"/>
                <w:lang w:bidi="lt-LT"/>
              </w:rPr>
              <w:t xml:space="preserve"> </w:t>
            </w:r>
            <w:r w:rsidR="3CB6FCD6" w:rsidRPr="00BB421E">
              <w:t>paveiktose teritorijos</w:t>
            </w:r>
            <w:r w:rsidR="3CB6FCD6" w:rsidRPr="00BB421E">
              <w:rPr>
                <w:sz w:val="20"/>
                <w:lang w:bidi="lt-LT"/>
              </w:rPr>
              <w:t>e</w:t>
            </w:r>
            <w:r w:rsidRPr="00BB421E">
              <w:rPr>
                <w:szCs w:val="24"/>
              </w:rPr>
              <w:t>“ projektų finansavimo sąlygų aprašą (toliau – PFSA):</w:t>
            </w:r>
            <w:r w:rsidRPr="00BB421E">
              <w:rPr>
                <w:rStyle w:val="normaltextrun"/>
                <w:color w:val="000000" w:themeColor="text1"/>
              </w:rPr>
              <w:t xml:space="preserve"> </w:t>
            </w:r>
          </w:p>
          <w:p w14:paraId="2ED8705D" w14:textId="77777777" w:rsidR="00410241" w:rsidRPr="00BB421E" w:rsidRDefault="00214E8D" w:rsidP="00410241">
            <w:pPr>
              <w:tabs>
                <w:tab w:val="left" w:pos="458"/>
              </w:tabs>
              <w:jc w:val="both"/>
              <w:rPr>
                <w:color w:val="000000"/>
                <w:szCs w:val="24"/>
                <w:shd w:val="clear" w:color="auto" w:fill="FFFFFF"/>
              </w:rPr>
            </w:pPr>
            <w:r w:rsidRPr="00BB421E">
              <w:rPr>
                <w:szCs w:val="24"/>
              </w:rPr>
              <w:t xml:space="preserve">1.1.1. </w:t>
            </w:r>
            <w:r w:rsidRPr="00BB421E">
              <w:rPr>
                <w:rFonts w:eastAsia="Calibri"/>
              </w:rPr>
              <w:t>2021 m. birželio 24 d. Europos Parlamento ir Tarybos reglamentas (ES) 2021/1056 kuriuo įsteigiamas Teisingos pertvarkos fondas</w:t>
            </w:r>
            <w:r w:rsidR="0020698B" w:rsidRPr="00BB421E">
              <w:rPr>
                <w:rFonts w:eastAsia="Calibri"/>
              </w:rPr>
              <w:t>;</w:t>
            </w:r>
          </w:p>
          <w:p w14:paraId="37ADE530" w14:textId="2A3ADA60" w:rsidR="0020698B" w:rsidRPr="00BB421E" w:rsidRDefault="0020698B" w:rsidP="00410241">
            <w:pPr>
              <w:tabs>
                <w:tab w:val="left" w:pos="458"/>
              </w:tabs>
              <w:jc w:val="both"/>
              <w:rPr>
                <w:color w:val="000000"/>
                <w:szCs w:val="24"/>
                <w:shd w:val="clear" w:color="auto" w:fill="FFFFFF"/>
              </w:rPr>
            </w:pPr>
            <w:r w:rsidRPr="00BB421E">
              <w:rPr>
                <w:szCs w:val="24"/>
              </w:rPr>
              <w:t xml:space="preserve">1.1.2. </w:t>
            </w:r>
            <w:r w:rsidRPr="00BB421E">
              <w:rPr>
                <w:iCs/>
                <w:szCs w:val="24"/>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15B0EE40" w14:textId="65DEDD31" w:rsidR="0020698B" w:rsidRPr="00BB421E" w:rsidRDefault="0020698B" w:rsidP="00410241">
            <w:pPr>
              <w:tabs>
                <w:tab w:val="left" w:pos="458"/>
              </w:tabs>
              <w:jc w:val="both"/>
              <w:rPr>
                <w:lang w:eastAsia="lt-LT"/>
              </w:rPr>
            </w:pPr>
            <w:r w:rsidRPr="00BB421E">
              <w:rPr>
                <w:szCs w:val="24"/>
              </w:rPr>
              <w:t xml:space="preserve">1.1.3. </w:t>
            </w:r>
            <w:r w:rsidRPr="00BB421E">
              <w:rPr>
                <w:color w:val="000000"/>
              </w:rPr>
              <w:t xml:space="preserve">2021–2027 metų Europos Sąjungos fondų investicijų programa, patvirtinta </w:t>
            </w:r>
            <w:r w:rsidR="00927907" w:rsidRPr="00BB421E">
              <w:rPr>
                <w:szCs w:val="24"/>
              </w:rPr>
              <w:t>2022 m. rugpjūčio 3 d. Europos Komisijos įgyvendinimo sprendimu Nr. C(2022)</w:t>
            </w:r>
            <w:r w:rsidR="00667E3E" w:rsidRPr="00BB421E">
              <w:rPr>
                <w:szCs w:val="24"/>
              </w:rPr>
              <w:t xml:space="preserve"> 5742</w:t>
            </w:r>
            <w:r w:rsidR="00927907" w:rsidRPr="00BB421E">
              <w:rPr>
                <w:szCs w:val="24"/>
              </w:rPr>
              <w:t>,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w:t>
            </w:r>
            <w:r w:rsidRPr="00BB421E">
              <w:rPr>
                <w:lang w:eastAsia="lt-LT"/>
              </w:rPr>
              <w:t>;</w:t>
            </w:r>
          </w:p>
          <w:p w14:paraId="2D14321B" w14:textId="692E949E" w:rsidR="00B1011E" w:rsidRPr="00BB421E" w:rsidRDefault="00B1011E" w:rsidP="0020698B">
            <w:pPr>
              <w:pStyle w:val="ListParagraph"/>
              <w:tabs>
                <w:tab w:val="left" w:pos="458"/>
              </w:tabs>
              <w:ind w:left="34"/>
              <w:jc w:val="both"/>
              <w:rPr>
                <w:szCs w:val="24"/>
              </w:rPr>
            </w:pPr>
            <w:r w:rsidRPr="00BB421E">
              <w:rPr>
                <w:lang w:eastAsia="lt-LT"/>
              </w:rPr>
              <w:t xml:space="preserve">1.1.4. </w:t>
            </w:r>
            <w:r w:rsidR="00571A29" w:rsidRPr="00BB421E">
              <w:rPr>
                <w:szCs w:val="24"/>
              </w:rPr>
              <w:t>Teritorinis teisingos pertvarkos planas, patvirtintas 2022 m. gruodžio 13 d. Europos Komisijos įgyvendinimo sprendimu Nr. C(2022) 9626, kuriuo iš dalies keičiamas Įgyvendinimo sprendimas C(2022) 5742, kuriuo patvirtinama programa „2021–2027 metų Europos Sąjungos fondų investicijų programa“ dėl paramos iš Europos regioninės plėtros fondo, Sanglaudos fondo ir „Europos socialinio fondo +“ Lietuvoje siekiant investicijų į darbo vietų kūrimą ir ekonomikos augimą tikslo;</w:t>
            </w:r>
          </w:p>
          <w:p w14:paraId="5FB00EB3" w14:textId="0480891D" w:rsidR="0020698B" w:rsidRPr="00BB421E" w:rsidRDefault="0020698B" w:rsidP="0020698B">
            <w:pPr>
              <w:tabs>
                <w:tab w:val="left" w:pos="458"/>
              </w:tabs>
              <w:jc w:val="both"/>
            </w:pPr>
            <w:r w:rsidRPr="00BB421E">
              <w:rPr>
                <w:szCs w:val="24"/>
              </w:rPr>
              <w:t>1.1.</w:t>
            </w:r>
            <w:r w:rsidR="00B1011E" w:rsidRPr="00BB421E">
              <w:rPr>
                <w:szCs w:val="24"/>
              </w:rPr>
              <w:t>5</w:t>
            </w:r>
            <w:r w:rsidRPr="00BB421E">
              <w:rPr>
                <w:szCs w:val="24"/>
              </w:rPr>
              <w:t xml:space="preserve">. </w:t>
            </w:r>
            <w:r w:rsidRPr="00BB421E">
              <w:t>Lietuvos Respublikos strateginio valdymo įstatymas;</w:t>
            </w:r>
          </w:p>
          <w:p w14:paraId="2E58FAA8" w14:textId="1C92F7B7" w:rsidR="001F7B5E" w:rsidRPr="00BB421E" w:rsidRDefault="001F7B5E" w:rsidP="00410241">
            <w:pPr>
              <w:tabs>
                <w:tab w:val="left" w:pos="458"/>
              </w:tabs>
              <w:jc w:val="both"/>
              <w:rPr>
                <w:szCs w:val="24"/>
              </w:rPr>
            </w:pPr>
            <w:r w:rsidRPr="00BB421E">
              <w:rPr>
                <w:szCs w:val="24"/>
              </w:rPr>
              <w:lastRenderedPageBreak/>
              <w:t>1.1.</w:t>
            </w:r>
            <w:r w:rsidR="00B1011E" w:rsidRPr="00BB421E">
              <w:rPr>
                <w:szCs w:val="24"/>
              </w:rPr>
              <w:t>6</w:t>
            </w:r>
            <w:r w:rsidRPr="00BB421E">
              <w:rPr>
                <w:szCs w:val="24"/>
              </w:rPr>
              <w:t>. 2022–2030 m. plėtros programos valdytojos Lietuvos Respublikos ekonomikos ir inovacijų ministerijos ekonomikos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w:t>
            </w:r>
          </w:p>
          <w:p w14:paraId="2694D8CC" w14:textId="5D74C2BE" w:rsidR="001F7B5E" w:rsidRPr="00BB421E" w:rsidRDefault="001F7B5E" w:rsidP="00410241">
            <w:pPr>
              <w:tabs>
                <w:tab w:val="left" w:pos="458"/>
              </w:tabs>
              <w:jc w:val="both"/>
              <w:rPr>
                <w:szCs w:val="24"/>
                <w:shd w:val="clear" w:color="auto" w:fill="FFFFFF"/>
              </w:rPr>
            </w:pPr>
            <w:r w:rsidRPr="00BB421E">
              <w:rPr>
                <w:rStyle w:val="normaltextrun"/>
              </w:rPr>
              <w:t>1.1.</w:t>
            </w:r>
            <w:r w:rsidR="00B1011E" w:rsidRPr="00BB421E">
              <w:rPr>
                <w:rStyle w:val="normaltextrun"/>
              </w:rPr>
              <w:t>7</w:t>
            </w:r>
            <w:r w:rsidRPr="00BB421E">
              <w:rPr>
                <w:rStyle w:val="normaltextrun"/>
              </w:rPr>
              <w:t xml:space="preserve">. </w:t>
            </w:r>
            <w:r w:rsidRPr="00BB421E">
              <w:rPr>
                <w:szCs w:val="24"/>
                <w:shd w:val="clear" w:color="auto" w:fill="FFFFFF"/>
              </w:rPr>
              <w:t>Strateginio valdymo metodika, patvirtinta Lietuvos Respublikos Vyriausybės 2021 m. balandžio 28 d. nutarimu Nr. 292 „</w:t>
            </w:r>
            <w:r w:rsidR="00C00FF0" w:rsidRPr="00BB421E">
              <w:rPr>
                <w:szCs w:val="24"/>
                <w:shd w:val="clear" w:color="auto" w:fill="FFFFFF"/>
              </w:rPr>
              <w:t>Dėl strateginio valdymo metodikos patvirtinimo</w:t>
            </w:r>
            <w:r w:rsidRPr="00BB421E">
              <w:rPr>
                <w:szCs w:val="24"/>
                <w:shd w:val="clear" w:color="auto" w:fill="FFFFFF"/>
              </w:rPr>
              <w:t>“;</w:t>
            </w:r>
          </w:p>
          <w:p w14:paraId="374DD4D0" w14:textId="687DA315" w:rsidR="001F7B5E" w:rsidRPr="00BB421E" w:rsidRDefault="001F7B5E" w:rsidP="00410241">
            <w:pPr>
              <w:tabs>
                <w:tab w:val="left" w:pos="458"/>
                <w:tab w:val="left" w:pos="595"/>
                <w:tab w:val="left" w:pos="1028"/>
              </w:tabs>
              <w:jc w:val="both"/>
              <w:rPr>
                <w:szCs w:val="24"/>
              </w:rPr>
            </w:pPr>
            <w:r w:rsidRPr="00BB421E">
              <w:rPr>
                <w:szCs w:val="24"/>
              </w:rPr>
              <w:t>1.1.</w:t>
            </w:r>
            <w:r w:rsidR="00B1011E" w:rsidRPr="00BB421E">
              <w:rPr>
                <w:szCs w:val="24"/>
              </w:rPr>
              <w:t>8</w:t>
            </w:r>
            <w:r w:rsidRPr="00BB421E">
              <w:rPr>
                <w:szCs w:val="24"/>
              </w:rPr>
              <w:t xml:space="preserve">. </w:t>
            </w:r>
            <w:bookmarkStart w:id="0" w:name="_Hlk117688796"/>
            <w:r w:rsidRPr="00BB421E">
              <w:rPr>
                <w:szCs w:val="24"/>
              </w:rPr>
              <w:t>Vadovaujančiosios, administruojančiosios ir audito institucijų funkcijų, įgyvendinant Ekonomikos gaivinimo ir atsparumo didinimo planą „Naujos kartos Lietuva“, paskirstymo taisyklės, patvirtintos Lietuvos Respublikos Vyriausybės 2020 m. lapkričio 25 d. nutarimu Nr. 1322 „Dėl pasirengimo administruoti Europos Sąjungos lėšas ir jų administravimo“;</w:t>
            </w:r>
            <w:bookmarkEnd w:id="0"/>
          </w:p>
          <w:p w14:paraId="59E598D8" w14:textId="661C09ED" w:rsidR="009277B5" w:rsidRPr="00BB421E" w:rsidRDefault="009277B5" w:rsidP="00410241">
            <w:pPr>
              <w:tabs>
                <w:tab w:val="left" w:pos="458"/>
                <w:tab w:val="left" w:pos="595"/>
                <w:tab w:val="left" w:pos="1028"/>
              </w:tabs>
              <w:jc w:val="both"/>
              <w:rPr>
                <w:szCs w:val="24"/>
              </w:rPr>
            </w:pPr>
            <w:r w:rsidRPr="00BB421E">
              <w:rPr>
                <w:szCs w:val="24"/>
              </w:rPr>
              <w:t>1.1.</w:t>
            </w:r>
            <w:r w:rsidR="00C604A9" w:rsidRPr="00BB421E">
              <w:rPr>
                <w:szCs w:val="24"/>
              </w:rPr>
              <w:t>9</w:t>
            </w:r>
            <w:r w:rsidRPr="00BB421E">
              <w:rPr>
                <w:szCs w:val="24"/>
              </w:rPr>
              <w:t>.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582580B8" w14:textId="5CB5BF09" w:rsidR="009277B5" w:rsidRPr="00BB421E" w:rsidRDefault="009277B5" w:rsidP="00410241">
            <w:pPr>
              <w:tabs>
                <w:tab w:val="left" w:pos="458"/>
                <w:tab w:val="left" w:pos="595"/>
                <w:tab w:val="left" w:pos="1028"/>
              </w:tabs>
              <w:jc w:val="both"/>
              <w:rPr>
                <w:szCs w:val="24"/>
              </w:rPr>
            </w:pPr>
            <w:r w:rsidRPr="00BB421E">
              <w:rPr>
                <w:szCs w:val="24"/>
              </w:rPr>
              <w:t>1.1.1</w:t>
            </w:r>
            <w:r w:rsidR="00C604A9" w:rsidRPr="00BB421E">
              <w:rPr>
                <w:szCs w:val="24"/>
              </w:rPr>
              <w:t>0</w:t>
            </w:r>
            <w:r w:rsidRPr="00BB421E">
              <w:rPr>
                <w:szCs w:val="24"/>
              </w:rPr>
              <w:t>.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4962F7A1" w14:textId="77777777" w:rsidR="00410241" w:rsidRPr="00BB421E" w:rsidRDefault="009277B5" w:rsidP="00410241">
            <w:pPr>
              <w:tabs>
                <w:tab w:val="left" w:pos="458"/>
                <w:tab w:val="left" w:pos="595"/>
                <w:tab w:val="left" w:pos="1028"/>
              </w:tabs>
              <w:jc w:val="both"/>
              <w:rPr>
                <w:szCs w:val="24"/>
              </w:rPr>
            </w:pPr>
            <w:r w:rsidRPr="00BB421E">
              <w:rPr>
                <w:szCs w:val="24"/>
              </w:rPr>
              <w:t>1.1.1</w:t>
            </w:r>
            <w:r w:rsidR="00C604A9" w:rsidRPr="00BB421E">
              <w:rPr>
                <w:szCs w:val="24"/>
              </w:rPr>
              <w:t>1</w:t>
            </w:r>
            <w:r w:rsidRPr="00BB421E">
              <w:rPr>
                <w:szCs w:val="24"/>
              </w:rPr>
              <w:t>. 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r w:rsidR="00410241" w:rsidRPr="00BB421E">
              <w:rPr>
                <w:szCs w:val="24"/>
              </w:rPr>
              <w:t>.</w:t>
            </w:r>
          </w:p>
          <w:p w14:paraId="62E0F6EB" w14:textId="7219230F" w:rsidR="00D23723" w:rsidRPr="00BB421E" w:rsidRDefault="00D23723" w:rsidP="00410241">
            <w:pPr>
              <w:tabs>
                <w:tab w:val="left" w:pos="458"/>
                <w:tab w:val="left" w:pos="595"/>
                <w:tab w:val="left" w:pos="1028"/>
              </w:tabs>
              <w:jc w:val="both"/>
              <w:rPr>
                <w:szCs w:val="24"/>
              </w:rPr>
            </w:pPr>
            <w:r w:rsidRPr="00BB421E">
              <w:rPr>
                <w:bCs/>
                <w:szCs w:val="24"/>
              </w:rPr>
              <w:t xml:space="preserve">1.2. </w:t>
            </w:r>
            <w:r w:rsidRPr="00BB421E">
              <w:rPr>
                <w:color w:val="000000"/>
                <w:szCs w:val="24"/>
              </w:rPr>
              <w:t>PFSA vartojamos sąvokos:</w:t>
            </w:r>
          </w:p>
          <w:p w14:paraId="55772209" w14:textId="2D916575" w:rsidR="003D39BB" w:rsidRPr="00BB421E" w:rsidRDefault="00D23723" w:rsidP="00D23723">
            <w:pPr>
              <w:tabs>
                <w:tab w:val="left" w:pos="458"/>
              </w:tabs>
              <w:jc w:val="both"/>
              <w:rPr>
                <w:b/>
                <w:bCs/>
                <w:color w:val="000000"/>
                <w:szCs w:val="24"/>
              </w:rPr>
            </w:pPr>
            <w:r w:rsidRPr="00BB421E">
              <w:rPr>
                <w:color w:val="000000"/>
                <w:szCs w:val="24"/>
              </w:rPr>
              <w:t>1.2.1.</w:t>
            </w:r>
            <w:r w:rsidRPr="00BB421E">
              <w:rPr>
                <w:b/>
                <w:bCs/>
                <w:color w:val="000000"/>
                <w:szCs w:val="24"/>
              </w:rPr>
              <w:t xml:space="preserve"> </w:t>
            </w:r>
            <w:r w:rsidR="003D39BB" w:rsidRPr="00BB421E">
              <w:rPr>
                <w:b/>
                <w:bCs/>
                <w:color w:val="000000"/>
                <w:szCs w:val="24"/>
              </w:rPr>
              <w:t xml:space="preserve">Galimybių studija </w:t>
            </w:r>
            <w:r w:rsidR="006255D4" w:rsidRPr="00BB421E">
              <w:rPr>
                <w:b/>
                <w:bCs/>
                <w:color w:val="000000"/>
                <w:szCs w:val="24"/>
              </w:rPr>
              <w:t>–</w:t>
            </w:r>
            <w:r w:rsidR="003D39BB" w:rsidRPr="00BB421E">
              <w:rPr>
                <w:b/>
                <w:bCs/>
                <w:color w:val="000000"/>
                <w:szCs w:val="24"/>
              </w:rPr>
              <w:t xml:space="preserve"> </w:t>
            </w:r>
            <w:r w:rsidR="005371FF" w:rsidRPr="00BB421E">
              <w:t>projekto galimybių vertinimas ir analizė, kuriais siekiama paremti sprendimų priėmimo procesą objektyviai ir racionaliai atskleidžiant jo stiprybes, silpnybes, galimybes ir grėsmes, taip pat nustatant išteklius, kurių reikia jam įvykdyti, ir jo sėkmės perspektyvas.</w:t>
            </w:r>
          </w:p>
          <w:p w14:paraId="2AA16C88" w14:textId="3E271C51" w:rsidR="00D23723" w:rsidRPr="00BB421E" w:rsidRDefault="003D39BB" w:rsidP="00D23723">
            <w:pPr>
              <w:tabs>
                <w:tab w:val="left" w:pos="458"/>
              </w:tabs>
              <w:jc w:val="both"/>
              <w:rPr>
                <w:color w:val="000000"/>
                <w:szCs w:val="24"/>
              </w:rPr>
            </w:pPr>
            <w:r w:rsidRPr="00BB421E">
              <w:rPr>
                <w:color w:val="000000" w:themeColor="text1"/>
              </w:rPr>
              <w:t>1.2.2.</w:t>
            </w:r>
            <w:r w:rsidRPr="00BB421E">
              <w:rPr>
                <w:b/>
                <w:color w:val="000000" w:themeColor="text1"/>
              </w:rPr>
              <w:t xml:space="preserve"> </w:t>
            </w:r>
            <w:r w:rsidR="00D23723" w:rsidRPr="00BB421E">
              <w:rPr>
                <w:b/>
                <w:color w:val="000000"/>
              </w:rPr>
              <w:t>Pramonės įmonė </w:t>
            </w:r>
            <w:r w:rsidR="00D23723" w:rsidRPr="00BB421E">
              <w:rPr>
                <w:color w:val="000000"/>
              </w:rPr>
              <w:t>– 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 sekcijai „Kasyba ir karjerų eksploatavimas“ (išskyrus šias ek</w:t>
            </w:r>
            <w:r w:rsidR="00D23723" w:rsidRPr="00BB421E">
              <w:rPr>
                <w:color w:val="000000" w:themeColor="text1"/>
              </w:rPr>
              <w:t>onomines veiklas: B sekcijos 06 </w:t>
            </w:r>
            <w:r w:rsidR="00D23723" w:rsidRPr="00BB421E">
              <w:rPr>
                <w:color w:val="000000"/>
              </w:rPr>
              <w:t>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w:t>
            </w:r>
            <w:proofErr w:type="spellStart"/>
            <w:r w:rsidR="00D23723" w:rsidRPr="00BB421E">
              <w:rPr>
                <w:color w:val="000000"/>
              </w:rPr>
              <w:t>ių</w:t>
            </w:r>
            <w:proofErr w:type="spellEnd"/>
            <w:r w:rsidR="00D23723" w:rsidRPr="00BB421E">
              <w:rPr>
                <w:color w:val="000000"/>
              </w:rPr>
              <w:t>) veiklos (-ų) sudaro ne mažiau kaip</w:t>
            </w:r>
            <w:r w:rsidR="00D23723" w:rsidRPr="00BB421E">
              <w:rPr>
                <w:color w:val="000000" w:themeColor="text1"/>
              </w:rPr>
              <w:t xml:space="preserve"> 51 procentą visų įmonės veiklų.</w:t>
            </w:r>
          </w:p>
          <w:p w14:paraId="62BA414D" w14:textId="45EA2740" w:rsidR="0020698B" w:rsidRPr="00BB421E" w:rsidRDefault="00253C8A" w:rsidP="00571FC9">
            <w:pPr>
              <w:tabs>
                <w:tab w:val="left" w:pos="458"/>
              </w:tabs>
              <w:jc w:val="both"/>
              <w:rPr>
                <w:color w:val="000000"/>
                <w:szCs w:val="24"/>
              </w:rPr>
            </w:pPr>
            <w:r w:rsidRPr="00BB421E">
              <w:rPr>
                <w:szCs w:val="24"/>
                <w:lang w:eastAsia="lt-LT"/>
              </w:rPr>
              <w:t>1.3. Kitos PFSA vartojamos sąvokos suprantamos taip, kaip apibrėžtos PFSA 1.1 papunktyje nurodytuose teisės aktuose.</w:t>
            </w:r>
          </w:p>
        </w:tc>
      </w:tr>
      <w:tr w:rsidR="00A2424A" w:rsidRPr="00BB421E" w14:paraId="54365F8D" w14:textId="77777777" w:rsidTr="7B1CEF05">
        <w:tc>
          <w:tcPr>
            <w:tcW w:w="14709" w:type="dxa"/>
          </w:tcPr>
          <w:p w14:paraId="19470277" w14:textId="77777777" w:rsidR="00A2424A" w:rsidRPr="00BB421E" w:rsidRDefault="009048B8">
            <w:pPr>
              <w:rPr>
                <w:b/>
                <w:szCs w:val="24"/>
              </w:rPr>
            </w:pPr>
            <w:r w:rsidRPr="00BB421E">
              <w:rPr>
                <w:b/>
                <w:szCs w:val="24"/>
              </w:rPr>
              <w:lastRenderedPageBreak/>
              <w:t>2. Reikalavimai projektams</w:t>
            </w:r>
          </w:p>
        </w:tc>
      </w:tr>
      <w:tr w:rsidR="00A2424A" w:rsidRPr="00BB421E" w14:paraId="3B0C90A6" w14:textId="77777777" w:rsidTr="00A02696">
        <w:tc>
          <w:tcPr>
            <w:tcW w:w="14709" w:type="dxa"/>
            <w:shd w:val="clear" w:color="auto" w:fill="auto"/>
          </w:tcPr>
          <w:p w14:paraId="7B210812" w14:textId="353E582F" w:rsidR="00A85360" w:rsidRPr="00BB421E" w:rsidRDefault="7B1CEF05" w:rsidP="00873943">
            <w:pPr>
              <w:pStyle w:val="ListParagraph"/>
              <w:numPr>
                <w:ilvl w:val="1"/>
                <w:numId w:val="2"/>
              </w:numPr>
              <w:tabs>
                <w:tab w:val="left" w:pos="453"/>
              </w:tabs>
              <w:ind w:left="28" w:firstLine="0"/>
              <w:jc w:val="both"/>
              <w:rPr>
                <w:szCs w:val="24"/>
              </w:rPr>
            </w:pPr>
            <w:r w:rsidRPr="00BB421E">
              <w:t xml:space="preserve"> </w:t>
            </w:r>
            <w:r w:rsidRPr="00BB421E">
              <w:rPr>
                <w:szCs w:val="24"/>
              </w:rPr>
              <w:t>Remiama veikla:</w:t>
            </w:r>
            <w:r w:rsidRPr="00BB421E">
              <w:rPr>
                <w:b/>
              </w:rPr>
              <w:t xml:space="preserve"> </w:t>
            </w:r>
            <w:bookmarkStart w:id="1" w:name="_Hlk124512366"/>
            <w:r w:rsidRPr="00BB421E">
              <w:rPr>
                <w:szCs w:val="24"/>
              </w:rPr>
              <w:t>galimybių studijos parengimas, kurioje būtų analizuojama CO</w:t>
            </w:r>
            <w:r w:rsidRPr="00BB421E">
              <w:rPr>
                <w:szCs w:val="24"/>
                <w:vertAlign w:val="subscript"/>
              </w:rPr>
              <w:t>2</w:t>
            </w:r>
            <w:r w:rsidRPr="00BB421E">
              <w:rPr>
                <w:szCs w:val="24"/>
              </w:rPr>
              <w:t xml:space="preserve"> sugavimo ir saugojimo, vandenilio ir kitų inovatyvių technologijų panaudojimo galimybių vertinimas Lietuvos pramonės įmonėse, veikiančiose labiausiai neigiamai paveiktose teritorijose. </w:t>
            </w:r>
            <w:bookmarkEnd w:id="1"/>
            <w:r w:rsidRPr="00BB421E">
              <w:rPr>
                <w:szCs w:val="24"/>
              </w:rPr>
              <w:t xml:space="preserve">Labiausiai dėl perėjimo prie </w:t>
            </w:r>
            <w:r w:rsidRPr="00BB421E">
              <w:rPr>
                <w:szCs w:val="24"/>
              </w:rPr>
              <w:lastRenderedPageBreak/>
              <w:t>klimatui neutralios ekonomikos paveiktos teritorijos suprantamos taip, kaip nustatyta Teritoriniame teisingos pertvarkos plane: Kauno apskritis, Šiaulių apskritis, Telšių apskritis.</w:t>
            </w:r>
          </w:p>
          <w:p w14:paraId="447E711A" w14:textId="4939585C" w:rsidR="0046776E" w:rsidRPr="00BB421E" w:rsidRDefault="7B1CEF05" w:rsidP="00824277">
            <w:pPr>
              <w:jc w:val="both"/>
              <w:rPr>
                <w:szCs w:val="24"/>
              </w:rPr>
            </w:pPr>
            <w:r w:rsidRPr="00BB421E">
              <w:rPr>
                <w:szCs w:val="24"/>
              </w:rPr>
              <w:t>Remiamos veiklos tikslas – nustatyti būtinus parengiamuosius veiksmus, kurių reikėtų imtis nacionaliniu lygiu, norint sudaryti sąlygas ateityje užtikrinti CO</w:t>
            </w:r>
            <w:r w:rsidRPr="00BB421E">
              <w:rPr>
                <w:szCs w:val="24"/>
                <w:vertAlign w:val="subscript"/>
              </w:rPr>
              <w:t>2</w:t>
            </w:r>
            <w:r w:rsidRPr="00BB421E">
              <w:rPr>
                <w:szCs w:val="24"/>
              </w:rPr>
              <w:t xml:space="preserve"> sugavimo ir saugojimo, vandenilio ir kitų inovatyvių technologijų panaudojimo plėtrą Lietuvos pramonės įmonėse, veikiančiose labiausiai neigiamai paveiktose teritorijose. Atliktos galimybių studijos rezultatai turi padėti sudaryti sąlygas pramonės įmonėms, transformuotis ir, kaip nustatyta Nacionalinės klimato kaitos valdymo </w:t>
            </w:r>
            <w:r w:rsidR="5FDB0BBF" w:rsidRPr="00BB421E">
              <w:t>darbotvarkėje,</w:t>
            </w:r>
            <w:r w:rsidRPr="00BB421E">
              <w:rPr>
                <w:szCs w:val="24"/>
              </w:rPr>
              <w:t xml:space="preserve"> patvirtintos Lietuvos Respublikos Seimo 2021 m. birželio 30 d. nutarimu Nr. XIV-490 „Dėl Nacionalinės klimato kaitos valdymo darbotvarkės patvirtinimo“ (toliau – Klimato kaitos valdymo darbotvarkė) 23.1 papunktyje iki 2050 m. pasiekti nacionalinį klimato kaito švelninimo tikslą „sumažinti 100 proc. išmetamų </w:t>
            </w:r>
            <w:r w:rsidR="007034CD" w:rsidRPr="00BB421E">
              <w:rPr>
                <w:szCs w:val="24"/>
              </w:rPr>
              <w:t xml:space="preserve">šiltnamio efektą sukeliančių dujų (toliau – </w:t>
            </w:r>
            <w:r w:rsidRPr="00BB421E">
              <w:rPr>
                <w:szCs w:val="24"/>
              </w:rPr>
              <w:t>ŠESD</w:t>
            </w:r>
            <w:r w:rsidR="007034CD" w:rsidRPr="00BB421E">
              <w:rPr>
                <w:szCs w:val="24"/>
              </w:rPr>
              <w:t>)</w:t>
            </w:r>
            <w:r w:rsidRPr="00BB421E">
              <w:rPr>
                <w:szCs w:val="24"/>
              </w:rPr>
              <w:t xml:space="preserve"> kiekį, palyginti su 1990 m., visuose ekonomikos sektoriuose pereinant prie inovatyvių, mažo išmetamų </w:t>
            </w:r>
            <w:r w:rsidR="5FDB0BBF" w:rsidRPr="00BB421E">
              <w:t>ŠESD</w:t>
            </w:r>
            <w:r w:rsidR="00824277" w:rsidRPr="00BB421E">
              <w:t xml:space="preserve"> </w:t>
            </w:r>
            <w:r w:rsidRPr="00BB421E">
              <w:rPr>
                <w:szCs w:val="24"/>
              </w:rPr>
              <w:t xml:space="preserve">kiekio, aplinkai palankių technologijų ir </w:t>
            </w:r>
            <w:r w:rsidR="007034CD" w:rsidRPr="00BB421E">
              <w:rPr>
                <w:szCs w:val="24"/>
              </w:rPr>
              <w:t xml:space="preserve">atsinaujinančių energijos išteklių (toliau – </w:t>
            </w:r>
            <w:r w:rsidRPr="00BB421E">
              <w:rPr>
                <w:szCs w:val="24"/>
              </w:rPr>
              <w:t>AEI</w:t>
            </w:r>
            <w:r w:rsidR="007034CD" w:rsidRPr="00BB421E">
              <w:rPr>
                <w:szCs w:val="24"/>
              </w:rPr>
              <w:t>)</w:t>
            </w:r>
            <w:r w:rsidRPr="00BB421E">
              <w:rPr>
                <w:szCs w:val="24"/>
              </w:rPr>
              <w:t xml:space="preserve"> panaudojimo, iki 20 proc. padengiant natūraliais </w:t>
            </w:r>
            <w:r w:rsidR="00E83E74" w:rsidRPr="00BB421E">
              <w:rPr>
                <w:szCs w:val="24"/>
              </w:rPr>
              <w:t>ž</w:t>
            </w:r>
            <w:r w:rsidR="00E83E74" w:rsidRPr="00BB421E">
              <w:t>emės naudojimo, žemės naudojimo keitimo ir miškininkystės</w:t>
            </w:r>
            <w:r w:rsidR="00E83E74" w:rsidRPr="00BB421E">
              <w:rPr>
                <w:szCs w:val="24"/>
              </w:rPr>
              <w:t xml:space="preserve"> (toliau </w:t>
            </w:r>
            <w:r w:rsidR="140CB8BC" w:rsidRPr="00BB421E">
              <w:t>-</w:t>
            </w:r>
            <w:r w:rsidR="00E83E74" w:rsidRPr="00BB421E">
              <w:rPr>
                <w:szCs w:val="24"/>
              </w:rPr>
              <w:t xml:space="preserve">– </w:t>
            </w:r>
            <w:r w:rsidRPr="00BB421E">
              <w:rPr>
                <w:szCs w:val="24"/>
              </w:rPr>
              <w:t>ŽNŽNKM</w:t>
            </w:r>
            <w:r w:rsidR="00E83E74" w:rsidRPr="00BB421E">
              <w:rPr>
                <w:szCs w:val="24"/>
              </w:rPr>
              <w:t>)</w:t>
            </w:r>
            <w:r w:rsidRPr="00BB421E">
              <w:rPr>
                <w:szCs w:val="24"/>
              </w:rPr>
              <w:t xml:space="preserve"> sektoriaus absorbentais, ir taikant aplinkosaugos požiūriu saugias anglies dioksido sugavimo ir panaudojimo technologijas (angl. CCU), siekiant kompensuoti išmetamų ŠESD kiekį sektoriuose, kuriuose nebus atrasta technologinių galimybių visiškai neišmesti ŠESD</w:t>
            </w:r>
            <w:r w:rsidR="00670757" w:rsidRPr="00BB421E">
              <w:rPr>
                <w:szCs w:val="24"/>
              </w:rPr>
              <w:t>“.</w:t>
            </w:r>
          </w:p>
          <w:p w14:paraId="2208FBE5" w14:textId="6B0DC6FB" w:rsidR="00CF7521" w:rsidRPr="00BB421E" w:rsidRDefault="00CF7521" w:rsidP="00873943">
            <w:pPr>
              <w:pStyle w:val="ListParagraph"/>
              <w:numPr>
                <w:ilvl w:val="1"/>
                <w:numId w:val="2"/>
              </w:numPr>
              <w:tabs>
                <w:tab w:val="left" w:pos="426"/>
              </w:tabs>
              <w:jc w:val="both"/>
              <w:rPr>
                <w:szCs w:val="24"/>
              </w:rPr>
            </w:pPr>
            <w:r w:rsidRPr="00BB421E">
              <w:rPr>
                <w:szCs w:val="24"/>
              </w:rPr>
              <w:t xml:space="preserve"> Reikalavimai pareiškėjams:</w:t>
            </w:r>
          </w:p>
          <w:p w14:paraId="70138602" w14:textId="6219E059" w:rsidR="00CD2E2D" w:rsidRPr="00BB421E" w:rsidRDefault="00CD2E2D" w:rsidP="00873943">
            <w:pPr>
              <w:tabs>
                <w:tab w:val="left" w:pos="885"/>
              </w:tabs>
              <w:jc w:val="both"/>
              <w:rPr>
                <w:szCs w:val="24"/>
              </w:rPr>
            </w:pPr>
            <w:r w:rsidRPr="00BB421E">
              <w:rPr>
                <w:szCs w:val="24"/>
              </w:rPr>
              <w:t>2.</w:t>
            </w:r>
            <w:r w:rsidR="00824277" w:rsidRPr="00BB421E">
              <w:rPr>
                <w:szCs w:val="24"/>
              </w:rPr>
              <w:t>2</w:t>
            </w:r>
            <w:r w:rsidRPr="00BB421E">
              <w:rPr>
                <w:szCs w:val="24"/>
              </w:rPr>
              <w:t xml:space="preserve">.1. Galimi pareiškėjai – </w:t>
            </w:r>
            <w:r w:rsidR="002B75F8" w:rsidRPr="00BB421E">
              <w:rPr>
                <w:szCs w:val="24"/>
              </w:rPr>
              <w:t>Viešoji įstaiga Inovacijų agentūra</w:t>
            </w:r>
            <w:r w:rsidRPr="00BB421E">
              <w:rPr>
                <w:szCs w:val="24"/>
              </w:rPr>
              <w:t>.</w:t>
            </w:r>
          </w:p>
          <w:p w14:paraId="3808DAEF" w14:textId="1B80EA74" w:rsidR="00CD2E2D" w:rsidRPr="00BB421E" w:rsidRDefault="00CD2E2D" w:rsidP="00873943">
            <w:pPr>
              <w:tabs>
                <w:tab w:val="left" w:pos="885"/>
              </w:tabs>
              <w:jc w:val="both"/>
              <w:rPr>
                <w:szCs w:val="24"/>
              </w:rPr>
            </w:pPr>
            <w:r w:rsidRPr="00BB421E">
              <w:rPr>
                <w:szCs w:val="24"/>
              </w:rPr>
              <w:t>2.</w:t>
            </w:r>
            <w:r w:rsidR="00824277" w:rsidRPr="00BB421E">
              <w:rPr>
                <w:szCs w:val="24"/>
              </w:rPr>
              <w:t>2</w:t>
            </w:r>
            <w:r w:rsidRPr="00BB421E">
              <w:rPr>
                <w:szCs w:val="24"/>
              </w:rPr>
              <w:t>.2. Projekto partneriai nėra galimi.</w:t>
            </w:r>
          </w:p>
          <w:p w14:paraId="6AB90C8A" w14:textId="4BA4C678" w:rsidR="00852F25" w:rsidRPr="00BB421E" w:rsidRDefault="7B1CEF05" w:rsidP="00873943">
            <w:pPr>
              <w:tabs>
                <w:tab w:val="left" w:pos="885"/>
              </w:tabs>
              <w:jc w:val="both"/>
              <w:rPr>
                <w:szCs w:val="24"/>
              </w:rPr>
            </w:pPr>
            <w:r w:rsidRPr="00BB421E">
              <w:rPr>
                <w:szCs w:val="24"/>
              </w:rPr>
              <w:t>2.</w:t>
            </w:r>
            <w:r w:rsidR="00824277" w:rsidRPr="00BB421E">
              <w:rPr>
                <w:szCs w:val="24"/>
              </w:rPr>
              <w:t>2</w:t>
            </w:r>
            <w:r w:rsidRPr="00BB421E">
              <w:rPr>
                <w:szCs w:val="24"/>
              </w:rPr>
              <w:t>.3. Finansavimas gali būti skiriamas pareiškėjui visose srityse, išskyrus 2021 m. birželio 24 d. Europos Parlamento ir Tarybos reglamento (ES) Nr. (ES) 2021/1056 kuriuo įsteigiamas Teisingos pertvarkos fondas 9 straipsnyje nustatytus atvejus.</w:t>
            </w:r>
          </w:p>
          <w:p w14:paraId="33306599" w14:textId="35DB9B2E" w:rsidR="00852F25" w:rsidRPr="00BB421E" w:rsidRDefault="00852F25" w:rsidP="00873943">
            <w:pPr>
              <w:jc w:val="both"/>
              <w:rPr>
                <w:rFonts w:eastAsia="Calibri"/>
              </w:rPr>
            </w:pPr>
            <w:r w:rsidRPr="00BB421E">
              <w:rPr>
                <w:rFonts w:eastAsia="Calibri"/>
                <w:szCs w:val="24"/>
              </w:rPr>
              <w:t>2.</w:t>
            </w:r>
            <w:r w:rsidR="00824277" w:rsidRPr="00BB421E">
              <w:rPr>
                <w:rFonts w:eastAsia="Calibri"/>
                <w:szCs w:val="24"/>
              </w:rPr>
              <w:t>2</w:t>
            </w:r>
            <w:r w:rsidRPr="00BB421E">
              <w:rPr>
                <w:rFonts w:eastAsia="Calibri"/>
                <w:szCs w:val="24"/>
              </w:rPr>
              <w:t>.4. Finansavimas nėra skiriamas pareiškėjui</w:t>
            </w:r>
            <w:r w:rsidR="000E03D3" w:rsidRPr="00BB421E">
              <w:rPr>
                <w:rFonts w:eastAsia="Calibri"/>
                <w:szCs w:val="24"/>
              </w:rPr>
              <w:t xml:space="preserve">, </w:t>
            </w:r>
            <w:r w:rsidRPr="00BB421E">
              <w:rPr>
                <w:rFonts w:eastAsia="Calibri"/>
                <w:szCs w:val="24"/>
              </w:rPr>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w:t>
            </w:r>
            <w:r w:rsidR="00B01D85" w:rsidRPr="00BB421E">
              <w:rPr>
                <w:rFonts w:eastAsia="Calibri"/>
                <w:szCs w:val="24"/>
              </w:rPr>
              <w:t>7</w:t>
            </w:r>
            <w:r w:rsidRPr="00BB421E">
              <w:rPr>
                <w:rFonts w:eastAsia="Calibri"/>
                <w:szCs w:val="24"/>
              </w:rPr>
              <w:t xml:space="preserve"> straipsniu (Juridinių asmenų ar kitų organizacijų, neturinčių juridinio asmens statuso, kurios nuosavybės teise priklauso arba yra kontroliuojamos subjekto, kuriam taikomos sankcijos są</w:t>
            </w:r>
            <w:r w:rsidRPr="00BB421E">
              <w:rPr>
                <w:rFonts w:eastAsia="Calibri"/>
              </w:rPr>
              <w:t xml:space="preserve">rašas skelbiamas Finansinių nusikaltimų tyrimų tarnybos svetainėje </w:t>
            </w:r>
            <w:hyperlink r:id="rId13" w:history="1">
              <w:r w:rsidRPr="00BB421E">
                <w:rPr>
                  <w:rFonts w:eastAsia="Calibri"/>
                </w:rPr>
                <w:t>https://fntt.lt/lt/tarptautines-finansines-sankcijos/4166</w:t>
              </w:r>
            </w:hyperlink>
            <w:r w:rsidRPr="00BB421E">
              <w:rPr>
                <w:rFonts w:eastAsia="Calibri"/>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14" w:history="1">
              <w:r w:rsidRPr="00BB421E">
                <w:rPr>
                  <w:rFonts w:eastAsia="Calibri"/>
                </w:rPr>
                <w:t>www.migracija.lt</w:t>
              </w:r>
            </w:hyperlink>
            <w:r w:rsidRPr="00BB421E">
              <w:rPr>
                <w:rFonts w:eastAsia="Calibri"/>
              </w:rPr>
              <w:t>.</w:t>
            </w:r>
          </w:p>
          <w:p w14:paraId="0A977942" w14:textId="63D58317" w:rsidR="00CD2E2D" w:rsidRPr="00BB421E" w:rsidRDefault="00747714" w:rsidP="004D11E9">
            <w:pPr>
              <w:pStyle w:val="ListParagraph"/>
              <w:numPr>
                <w:ilvl w:val="1"/>
                <w:numId w:val="2"/>
              </w:numPr>
              <w:tabs>
                <w:tab w:val="left" w:pos="426"/>
              </w:tabs>
              <w:jc w:val="both"/>
              <w:rPr>
                <w:rFonts w:eastAsia="Calibri"/>
              </w:rPr>
            </w:pPr>
            <w:r w:rsidRPr="00BB421E">
              <w:rPr>
                <w:rFonts w:eastAsia="Calibri"/>
              </w:rPr>
              <w:t xml:space="preserve"> Reikalavimai</w:t>
            </w:r>
            <w:r w:rsidR="00195ACD" w:rsidRPr="00BB421E">
              <w:rPr>
                <w:rFonts w:eastAsia="Calibri"/>
              </w:rPr>
              <w:t xml:space="preserve"> keliami</w:t>
            </w:r>
            <w:r w:rsidRPr="00BB421E">
              <w:rPr>
                <w:rFonts w:eastAsia="Calibri"/>
              </w:rPr>
              <w:t xml:space="preserve"> projektams:</w:t>
            </w:r>
          </w:p>
          <w:p w14:paraId="14C3D8AE" w14:textId="54909A7B" w:rsidR="00E148A2" w:rsidRPr="00BB421E" w:rsidRDefault="00670757" w:rsidP="002B5A1D">
            <w:pPr>
              <w:tabs>
                <w:tab w:val="left" w:pos="26"/>
                <w:tab w:val="left" w:pos="731"/>
              </w:tabs>
              <w:jc w:val="both"/>
            </w:pPr>
            <w:r w:rsidRPr="00BB421E">
              <w:t xml:space="preserve">2.3.1. </w:t>
            </w:r>
            <w:r w:rsidR="00E148A2" w:rsidRPr="00BB421E">
              <w:t>Projekto veiklos negali būti finansuotos ar finansuojamos iš kitų Lietuvos Respublikos valstybės biudžeto ir (arba) savivaldybių biudžetų, kitų</w:t>
            </w:r>
            <w:r w:rsidR="002B5A1D" w:rsidRPr="00BB421E">
              <w:t xml:space="preserve"> </w:t>
            </w:r>
            <w:r w:rsidR="7B1CEF05" w:rsidRPr="00BB421E">
              <w:t xml:space="preserve">piniginių išteklių, kuriais disponuoja valstybė ir (ar) savivaldybės, ES investicijų fondų, kitų ES finansinės paramos priemonių ar kitos tarptautinės paramos lėšų ir už kurias sumokėti skyrus ES investicijų fondų lėšų jos būtų pripažintos tinkamomis finansuoti ir (arba) apmokėtos daugiau nei vieną kartą, įskaitant </w:t>
            </w:r>
            <w:r w:rsidR="7B1CEF05" w:rsidRPr="00BB421E">
              <w:rPr>
                <w:i/>
                <w:iCs/>
              </w:rPr>
              <w:t xml:space="preserve">de </w:t>
            </w:r>
            <w:proofErr w:type="spellStart"/>
            <w:r w:rsidR="7B1CEF05" w:rsidRPr="00BB421E">
              <w:rPr>
                <w:i/>
                <w:iCs/>
              </w:rPr>
              <w:t>minimis</w:t>
            </w:r>
            <w:proofErr w:type="spellEnd"/>
            <w:r w:rsidR="7B1CEF05" w:rsidRPr="00BB421E">
              <w:t xml:space="preserve"> pagalbą.</w:t>
            </w:r>
          </w:p>
          <w:p w14:paraId="4520043F" w14:textId="276EB818" w:rsidR="00670757" w:rsidRPr="00BB421E" w:rsidRDefault="002B5A1D" w:rsidP="002B5A1D">
            <w:pPr>
              <w:tabs>
                <w:tab w:val="left" w:pos="458"/>
                <w:tab w:val="left" w:pos="731"/>
              </w:tabs>
              <w:contextualSpacing/>
              <w:jc w:val="both"/>
            </w:pPr>
            <w:r w:rsidRPr="00BB421E">
              <w:rPr>
                <w:szCs w:val="24"/>
              </w:rPr>
              <w:t>2</w:t>
            </w:r>
            <w:r w:rsidR="00670757" w:rsidRPr="00BB421E">
              <w:rPr>
                <w:szCs w:val="24"/>
              </w:rPr>
              <w:t xml:space="preserve">.3.2. </w:t>
            </w:r>
            <w:r w:rsidR="00571FC9" w:rsidRPr="00BB421E">
              <w:rPr>
                <w:szCs w:val="24"/>
              </w:rPr>
              <w:t xml:space="preserve">Projektų veiklų įgyvendinimo trukmė turi būti ne ilgesnė kaip </w:t>
            </w:r>
            <w:r w:rsidR="00E937F0" w:rsidRPr="00BB421E">
              <w:t>24</w:t>
            </w:r>
            <w:r w:rsidR="435B083E" w:rsidRPr="00BB421E">
              <w:t> mėnesi</w:t>
            </w:r>
            <w:r w:rsidR="00E937F0" w:rsidRPr="00BB421E">
              <w:t>ai</w:t>
            </w:r>
            <w:r w:rsidR="00571FC9" w:rsidRPr="00BB421E">
              <w:rPr>
                <w:szCs w:val="24"/>
              </w:rPr>
              <w:t xml:space="preserve"> nuo iš</w:t>
            </w:r>
            <w:r w:rsidR="008D3ADB" w:rsidRPr="00BB421E">
              <w:rPr>
                <w:szCs w:val="24"/>
              </w:rPr>
              <w:t xml:space="preserve"> </w:t>
            </w:r>
            <w:r w:rsidR="00571FC9" w:rsidRPr="00BB421E">
              <w:rPr>
                <w:szCs w:val="24"/>
              </w:rPr>
              <w:t>ES investicijų fondų lėšų bendrai finansuojamo projekto</w:t>
            </w:r>
            <w:r w:rsidR="00453E7E" w:rsidRPr="00BB421E">
              <w:rPr>
                <w:szCs w:val="24"/>
              </w:rPr>
              <w:t xml:space="preserve"> </w:t>
            </w:r>
            <w:r w:rsidR="00571FC9" w:rsidRPr="00BB421E">
              <w:rPr>
                <w:szCs w:val="24"/>
              </w:rPr>
              <w:t>sutarties pasirašymo dienos.</w:t>
            </w:r>
            <w:r w:rsidR="00571FC9" w:rsidRPr="00BB421E">
              <w:rPr>
                <w:color w:val="000000" w:themeColor="text1"/>
              </w:rPr>
              <w:t xml:space="preserve"> </w:t>
            </w:r>
            <w:r w:rsidR="00571FC9" w:rsidRPr="00BB421E">
              <w:rPr>
                <w:szCs w:val="24"/>
              </w:rPr>
              <w:t xml:space="preserve">Dėl objektyvių priežasčių, kurių projekto vykdytojas negalėjo numatyti PĮP pateikimo ir vertinimo metu, projekto veiklų </w:t>
            </w:r>
            <w:r w:rsidR="00571FC9" w:rsidRPr="00BB421E">
              <w:rPr>
                <w:szCs w:val="24"/>
              </w:rPr>
              <w:lastRenderedPageBreak/>
              <w:t>įgyvendinimo laikotarpis gali būti pratęstas</w:t>
            </w:r>
            <w:r w:rsidR="00687A43" w:rsidRPr="00BB421E">
              <w:rPr>
                <w:szCs w:val="24"/>
              </w:rPr>
              <w:t xml:space="preserve"> </w:t>
            </w:r>
            <w:r w:rsidR="00687A43" w:rsidRPr="00BB421E">
              <w:t>Projektų administravimo ir finansavimo taisyklėse nustatyta tvarka.</w:t>
            </w:r>
            <w:r w:rsidR="00670757" w:rsidRPr="00BB421E">
              <w:t xml:space="preserve"> Projekto veiklos turi būti baigtos ne vėliau kaip iki 2026 m. rugpjūčio </w:t>
            </w:r>
            <w:r w:rsidR="00161FE7" w:rsidRPr="00BB421E">
              <w:t>31</w:t>
            </w:r>
            <w:r w:rsidR="00670757" w:rsidRPr="00BB421E">
              <w:t xml:space="preserve"> d.</w:t>
            </w:r>
          </w:p>
          <w:p w14:paraId="474FCDFA" w14:textId="65A00AD0" w:rsidR="00277DDA" w:rsidRPr="00BB421E" w:rsidRDefault="00161FE7" w:rsidP="003061B2">
            <w:pPr>
              <w:tabs>
                <w:tab w:val="left" w:pos="458"/>
                <w:tab w:val="left" w:pos="731"/>
              </w:tabs>
              <w:contextualSpacing/>
              <w:jc w:val="both"/>
              <w:rPr>
                <w:szCs w:val="24"/>
              </w:rPr>
            </w:pPr>
            <w:r w:rsidRPr="00BB421E">
              <w:rPr>
                <w:szCs w:val="24"/>
              </w:rPr>
              <w:t xml:space="preserve">2.3.3. </w:t>
            </w:r>
            <w:r w:rsidR="00277DDA" w:rsidRPr="00BB421E">
              <w:rPr>
                <w:szCs w:val="24"/>
              </w:rPr>
              <w:t xml:space="preserve">Projekto veiklos turi būti pradėtos įgyvendinti ne vėliau kaip per 6 mėnesius nuo projekto sutarties pasirašymo dienos. Veiklų pradžia suprantama kaip kvietimo dalyvauti pirkime skelbimo svetainėje </w:t>
            </w:r>
            <w:proofErr w:type="spellStart"/>
            <w:r w:rsidR="00277DDA" w:rsidRPr="00BB421E">
              <w:rPr>
                <w:szCs w:val="24"/>
              </w:rPr>
              <w:t>esinvesticijos.lt</w:t>
            </w:r>
            <w:proofErr w:type="spellEnd"/>
            <w:r w:rsidR="00277DDA" w:rsidRPr="00BB421E">
              <w:rPr>
                <w:szCs w:val="24"/>
              </w:rPr>
              <w:t xml:space="preserve"> data (vykdant konkursą arba derybas, kai tokį pirkimo būdą numato Pirkimų taisyklės). Dėl objektyvių priežasčių, kurių projekto vykdytojas negalėjo numatyti PĮP pateikimo ir vertinimo metu, projekto veiklų pradžios laikotarpis gali būti pratęstas.</w:t>
            </w:r>
          </w:p>
          <w:p w14:paraId="315FF1F1" w14:textId="12888F08" w:rsidR="00474AC4" w:rsidRPr="00BB421E" w:rsidRDefault="001468C7" w:rsidP="003061B2">
            <w:pPr>
              <w:tabs>
                <w:tab w:val="left" w:pos="458"/>
                <w:tab w:val="left" w:pos="731"/>
              </w:tabs>
              <w:contextualSpacing/>
              <w:jc w:val="both"/>
            </w:pPr>
            <w:r w:rsidRPr="00BB421E">
              <w:t xml:space="preserve">2.3.4. </w:t>
            </w:r>
            <w:r w:rsidR="7B1CEF05" w:rsidRPr="00BB421E">
              <w:t xml:space="preserve">Pasirašius projekto sutartį, </w:t>
            </w:r>
            <w:r w:rsidRPr="00BB421E">
              <w:t>projekto vykdytojas</w:t>
            </w:r>
            <w:r w:rsidR="7B1CEF05" w:rsidRPr="00BB421E">
              <w:t xml:space="preserve"> turi </w:t>
            </w:r>
            <w:r w:rsidR="00923659" w:rsidRPr="00BB421E">
              <w:t xml:space="preserve">inicijuoti </w:t>
            </w:r>
            <w:r w:rsidR="7B1CEF05" w:rsidRPr="00BB421E">
              <w:t>tarpinstitucin</w:t>
            </w:r>
            <w:r w:rsidR="00923659" w:rsidRPr="00BB421E">
              <w:t>ės</w:t>
            </w:r>
            <w:r w:rsidR="7B1CEF05" w:rsidRPr="00BB421E">
              <w:t xml:space="preserve"> darbo grup</w:t>
            </w:r>
            <w:r w:rsidR="00923659" w:rsidRPr="00BB421E">
              <w:t>ės sudarymą</w:t>
            </w:r>
            <w:r w:rsidR="7B1CEF05" w:rsidRPr="00BB421E">
              <w:t xml:space="preserve"> iš Lietuvos Respublikos ekonomikos ir inovacijų ministerijos, Lietuvos Respublikos aplinkos ministerijos, Lietuvos Respublikos energetikos ministerijos</w:t>
            </w:r>
            <w:r w:rsidRPr="00BB421E">
              <w:t>, socialinių ekonominių partnerių</w:t>
            </w:r>
            <w:r w:rsidR="00BC6336" w:rsidRPr="00BB421E">
              <w:t xml:space="preserve"> ir paties projekto vykdytoj</w:t>
            </w:r>
            <w:r w:rsidR="00340002" w:rsidRPr="00BB421E">
              <w:t>o</w:t>
            </w:r>
            <w:r w:rsidR="7B1CEF05" w:rsidRPr="00BB421E">
              <w:t xml:space="preserve"> atstovų (toliau – Darbo grupė),</w:t>
            </w:r>
            <w:r w:rsidR="00927547" w:rsidRPr="00BB421E">
              <w:t xml:space="preserve"> kurios sudėtis turi būti patvirtinta Lietuvos Respublikos ekonomikos ir inovacijų ministro įsakymu.</w:t>
            </w:r>
            <w:r w:rsidR="7B1CEF05" w:rsidRPr="00BB421E">
              <w:t xml:space="preserve"> </w:t>
            </w:r>
            <w:r w:rsidR="00C653EE" w:rsidRPr="00BB421E">
              <w:t>Projekto vykdytojas</w:t>
            </w:r>
            <w:r w:rsidR="003B1A47" w:rsidRPr="00BB421E">
              <w:t xml:space="preserve">, </w:t>
            </w:r>
            <w:r w:rsidR="006F579A" w:rsidRPr="00BB421E">
              <w:t xml:space="preserve">siekdamas pradėti </w:t>
            </w:r>
            <w:r w:rsidR="003B1A47" w:rsidRPr="00BB421E">
              <w:t>viešųjų pirkimų procedūras,</w:t>
            </w:r>
            <w:r w:rsidR="7B1CEF05" w:rsidRPr="00BB421E">
              <w:t xml:space="preserve"> </w:t>
            </w:r>
            <w:r w:rsidR="00626F18" w:rsidRPr="00BB421E">
              <w:t xml:space="preserve">remdamasis PFSA 2 priedu parengia ir </w:t>
            </w:r>
            <w:r w:rsidR="006F579A" w:rsidRPr="00BB421E">
              <w:t xml:space="preserve">su Darbo grupe </w:t>
            </w:r>
            <w:r w:rsidR="00626F18" w:rsidRPr="00BB421E">
              <w:t xml:space="preserve">suderina </w:t>
            </w:r>
            <w:r w:rsidR="7B1CEF05" w:rsidRPr="00BB421E">
              <w:t xml:space="preserve">galimybių studijos </w:t>
            </w:r>
            <w:r w:rsidR="006F579A" w:rsidRPr="00BB421E">
              <w:t xml:space="preserve">įsigijimo </w:t>
            </w:r>
            <w:r w:rsidR="7B1CEF05" w:rsidRPr="00BB421E">
              <w:t>techninę specifikaciją</w:t>
            </w:r>
            <w:r w:rsidR="002F2335" w:rsidRPr="00BB421E">
              <w:t xml:space="preserve"> bei pirkimo sąlygas</w:t>
            </w:r>
            <w:r w:rsidR="00C653EE" w:rsidRPr="00BB421E">
              <w:t xml:space="preserve">. </w:t>
            </w:r>
            <w:r w:rsidR="7B1CEF05" w:rsidRPr="00BB421E">
              <w:t xml:space="preserve">Darbo </w:t>
            </w:r>
            <w:r w:rsidR="00311F6D" w:rsidRPr="00BB421E">
              <w:t>grupė dalyvauja</w:t>
            </w:r>
            <w:r w:rsidR="00E4601F" w:rsidRPr="00BB421E">
              <w:t xml:space="preserve"> projekto įgyvendinimo stebėsenoje, taip pat atlieka veiksmus, numatytus PFSA 2 priede</w:t>
            </w:r>
            <w:r w:rsidR="7B1CEF05" w:rsidRPr="00BB421E">
              <w:t xml:space="preserve">. Darbo grupės posėdžius ir techninį aptarnavimą organizuoja </w:t>
            </w:r>
            <w:r w:rsidR="006D040C" w:rsidRPr="00BB421E">
              <w:t>projekto vykdytojas</w:t>
            </w:r>
            <w:r w:rsidR="7B1CEF05" w:rsidRPr="00BB421E">
              <w:t xml:space="preserve">. </w:t>
            </w:r>
            <w:r w:rsidR="00E4601F" w:rsidRPr="00BB421E">
              <w:t>PFSA 2 priede</w:t>
            </w:r>
            <w:r w:rsidR="00E4601F" w:rsidRPr="00BB421E" w:rsidDel="00E4601F">
              <w:t xml:space="preserve"> </w:t>
            </w:r>
            <w:r w:rsidR="00E4601F" w:rsidRPr="00BB421E">
              <w:t>detalizuojami</w:t>
            </w:r>
            <w:r w:rsidR="00E4601F" w:rsidRPr="00BB421E" w:rsidDel="00E4601F">
              <w:t xml:space="preserve"> </w:t>
            </w:r>
            <w:r w:rsidR="00E4601F" w:rsidRPr="00BB421E">
              <w:t>reikalavimai galimybių studijos turiniui ir užduotys paslaugų teikėjui</w:t>
            </w:r>
            <w:r w:rsidR="00911BE9" w:rsidRPr="00BB421E">
              <w:t>.</w:t>
            </w:r>
          </w:p>
          <w:p w14:paraId="41C6CB86" w14:textId="4A330AA9" w:rsidR="007A6CCC" w:rsidRPr="00BB421E" w:rsidRDefault="00BC6336" w:rsidP="003061B2">
            <w:pPr>
              <w:tabs>
                <w:tab w:val="left" w:pos="458"/>
                <w:tab w:val="left" w:pos="731"/>
              </w:tabs>
              <w:contextualSpacing/>
              <w:jc w:val="both"/>
              <w:rPr>
                <w:sz w:val="22"/>
                <w:szCs w:val="22"/>
              </w:rPr>
            </w:pPr>
            <w:r w:rsidRPr="00BB421E">
              <w:t xml:space="preserve">2.3.5. </w:t>
            </w:r>
            <w:r w:rsidR="7B1CEF05" w:rsidRPr="00BB421E">
              <w:t xml:space="preserve">Projektui taikomi visi pirmiau išvardyti įgyvendinimo stebėsenos rodikliai (pagal įgyvendinamą pažangos priemonės </w:t>
            </w:r>
            <w:proofErr w:type="spellStart"/>
            <w:r w:rsidR="7B1CEF05" w:rsidRPr="00BB421E">
              <w:t>poveiklę</w:t>
            </w:r>
            <w:proofErr w:type="spellEnd"/>
            <w:r w:rsidR="7B1CEF05" w:rsidRPr="00BB421E">
              <w:t>). Projekto vykdytojui nepasiekus stebėsenos rodiklių reikšmių, nurodytų projekto sutartyje, taikomos Projektų administravimo ir finansavimo taisyklių IV skyriaus penktojo skirsnio 171–178 punktų nuostatos.</w:t>
            </w:r>
          </w:p>
          <w:p w14:paraId="745D7E65" w14:textId="070BDA03" w:rsidR="007A6CCC" w:rsidRPr="00BB421E" w:rsidRDefault="00356257" w:rsidP="003061B2">
            <w:pPr>
              <w:pStyle w:val="ListParagraph"/>
              <w:tabs>
                <w:tab w:val="left" w:pos="711"/>
              </w:tabs>
              <w:ind w:left="36"/>
              <w:jc w:val="both"/>
              <w:rPr>
                <w:szCs w:val="24"/>
              </w:rPr>
            </w:pPr>
            <w:r w:rsidRPr="00BB421E">
              <w:rPr>
                <w:szCs w:val="24"/>
              </w:rPr>
              <w:t xml:space="preserve">2.3.6. </w:t>
            </w:r>
            <w:r w:rsidR="00C1008E" w:rsidRPr="00BB421E">
              <w:rPr>
                <w:szCs w:val="24"/>
              </w:rPr>
              <w:t>Pagal PFSA projektams įgyvendinti skiriama iki 500 000 (penkių šimtų tūkstančių</w:t>
            </w:r>
            <w:r w:rsidR="006724B7" w:rsidRPr="00BB421E">
              <w:rPr>
                <w:szCs w:val="24"/>
              </w:rPr>
              <w:t>)</w:t>
            </w:r>
            <w:r w:rsidR="00C1008E" w:rsidRPr="00BB421E">
              <w:rPr>
                <w:szCs w:val="24"/>
              </w:rPr>
              <w:t xml:space="preserve"> eurų</w:t>
            </w:r>
            <w:r w:rsidR="003333D4" w:rsidRPr="00BB421E">
              <w:t xml:space="preserve"> </w:t>
            </w:r>
            <w:r w:rsidR="00F13CD2" w:rsidRPr="00BB421E">
              <w:t>ES fondų investicijų lėšų</w:t>
            </w:r>
            <w:r w:rsidRPr="00BB421E">
              <w:t xml:space="preserve"> ir iki 88 235 (</w:t>
            </w:r>
            <w:r w:rsidR="00C41B57" w:rsidRPr="00BB421E">
              <w:t>aštuoniasdešimt aštuonių tūkstančių dviejų šimtų trisdešimt penkių) eurų bendrojo finansavimo lėšų.</w:t>
            </w:r>
            <w:r w:rsidR="00F13CD2" w:rsidRPr="00BB421E">
              <w:t xml:space="preserve"> Lėšos skiriamos projektams įgyvendinti iš </w:t>
            </w:r>
            <w:r w:rsidR="003333D4" w:rsidRPr="00BB421E">
              <w:t>Teisingos pertvarkos fondo lėšų</w:t>
            </w:r>
            <w:r w:rsidR="00F13CD2" w:rsidRPr="00BB421E">
              <w:rPr>
                <w:szCs w:val="24"/>
              </w:rPr>
              <w:t>, teritorijose, nustatytose Teritoriniame</w:t>
            </w:r>
            <w:r w:rsidR="00D357C8" w:rsidRPr="00BB421E">
              <w:rPr>
                <w:szCs w:val="24"/>
              </w:rPr>
              <w:t xml:space="preserve"> teisingos pertvarkos plane. Numatoma paskelbti vieną kvietimą teikti PĮP finansavimui gauti.</w:t>
            </w:r>
          </w:p>
          <w:p w14:paraId="079D5B90" w14:textId="0D3EF5D2" w:rsidR="000D2655" w:rsidRPr="00BB421E" w:rsidRDefault="00DF62C9" w:rsidP="00A02696">
            <w:pPr>
              <w:tabs>
                <w:tab w:val="left" w:pos="711"/>
              </w:tabs>
              <w:jc w:val="both"/>
              <w:rPr>
                <w:szCs w:val="24"/>
              </w:rPr>
            </w:pPr>
            <w:r w:rsidRPr="00BB421E">
              <w:rPr>
                <w:szCs w:val="24"/>
              </w:rPr>
              <w:t xml:space="preserve">2.3.7. </w:t>
            </w:r>
            <w:r w:rsidR="000D2655" w:rsidRPr="00BB421E">
              <w:rPr>
                <w:szCs w:val="24"/>
              </w:rPr>
              <w:t xml:space="preserve">Didžiausia galima projektui skirti finansavimo lėšų suma yra </w:t>
            </w:r>
            <w:r w:rsidR="00C674C7" w:rsidRPr="00BB421E">
              <w:rPr>
                <w:szCs w:val="24"/>
              </w:rPr>
              <w:t xml:space="preserve">iki </w:t>
            </w:r>
            <w:r w:rsidR="000D2655" w:rsidRPr="00BB421E">
              <w:rPr>
                <w:szCs w:val="24"/>
              </w:rPr>
              <w:t>500 000 (penkių šimtų tūkstančių</w:t>
            </w:r>
            <w:r w:rsidR="00A06520" w:rsidRPr="00BB421E">
              <w:rPr>
                <w:szCs w:val="24"/>
              </w:rPr>
              <w:t>)</w:t>
            </w:r>
            <w:r w:rsidR="000D2655" w:rsidRPr="00BB421E">
              <w:rPr>
                <w:szCs w:val="24"/>
              </w:rPr>
              <w:t xml:space="preserve"> eurų</w:t>
            </w:r>
            <w:r w:rsidRPr="00BB421E">
              <w:rPr>
                <w:szCs w:val="24"/>
              </w:rPr>
              <w:t xml:space="preserve"> </w:t>
            </w:r>
            <w:r w:rsidRPr="00BB421E">
              <w:t>ES fondų investicijų lėšų ir iki 88 235 (aštuoniasdešimt aštuonių tūkstančių dviejų šimtų trisdešimt penkių) eurų bendrojo finansavimo lėšų</w:t>
            </w:r>
            <w:r w:rsidR="000D2655" w:rsidRPr="00BB421E">
              <w:rPr>
                <w:szCs w:val="24"/>
              </w:rPr>
              <w:t>.</w:t>
            </w:r>
          </w:p>
          <w:p w14:paraId="47BE058D" w14:textId="09D4C4A1" w:rsidR="000D2655" w:rsidRPr="00BB421E" w:rsidRDefault="00DF62C9" w:rsidP="00A02696">
            <w:pPr>
              <w:tabs>
                <w:tab w:val="left" w:pos="711"/>
              </w:tabs>
              <w:jc w:val="both"/>
              <w:rPr>
                <w:szCs w:val="24"/>
              </w:rPr>
            </w:pPr>
            <w:r w:rsidRPr="00BB421E">
              <w:rPr>
                <w:szCs w:val="24"/>
              </w:rPr>
              <w:t>2.3.8.</w:t>
            </w:r>
            <w:r w:rsidR="00A02696" w:rsidRPr="00BB421E">
              <w:rPr>
                <w:szCs w:val="24"/>
              </w:rPr>
              <w:t xml:space="preserve"> </w:t>
            </w:r>
            <w:r w:rsidR="000D2655" w:rsidRPr="00BB421E">
              <w:rPr>
                <w:szCs w:val="24"/>
              </w:rPr>
              <w:t>Projektų atranka atliekama projektų planavimo būdu</w:t>
            </w:r>
            <w:r w:rsidR="002B75F8" w:rsidRPr="00BB421E">
              <w:rPr>
                <w:szCs w:val="24"/>
              </w:rPr>
              <w:t xml:space="preserve">, </w:t>
            </w:r>
            <w:r w:rsidR="00935E8C" w:rsidRPr="00BB421E">
              <w:rPr>
                <w:szCs w:val="24"/>
              </w:rPr>
              <w:t xml:space="preserve">laikantis </w:t>
            </w:r>
            <w:r w:rsidR="0027070C" w:rsidRPr="00BB421E">
              <w:rPr>
                <w:szCs w:val="24"/>
              </w:rPr>
              <w:t>Strateginio valdymo metodikos 84 punkte nustatytų reikalavimų.</w:t>
            </w:r>
          </w:p>
          <w:p w14:paraId="00B7910E" w14:textId="4E7185AD" w:rsidR="008A2144" w:rsidRPr="00BB421E" w:rsidRDefault="00DF62C9" w:rsidP="003061B2">
            <w:pPr>
              <w:pStyle w:val="ListParagraph"/>
              <w:tabs>
                <w:tab w:val="left" w:pos="26"/>
                <w:tab w:val="left" w:pos="731"/>
              </w:tabs>
              <w:ind w:left="0"/>
              <w:jc w:val="both"/>
            </w:pPr>
            <w:r w:rsidRPr="00BB421E">
              <w:t xml:space="preserve">2.3.9. </w:t>
            </w:r>
            <w:r w:rsidR="7B1CEF05" w:rsidRPr="00BB421E">
              <w:t>Pareiškėjas ir projektai turi atitikti bendruosius projektų atrankos kriterijus, kurių sąrašas ir vertinimo metodika nustatyti Projektų administravimo ir finansavimo taisyklių 2 priede.</w:t>
            </w:r>
          </w:p>
          <w:p w14:paraId="537EF3F2" w14:textId="097159AD" w:rsidR="004D11E9" w:rsidRPr="00BB421E" w:rsidRDefault="00DF62C9" w:rsidP="003061B2">
            <w:pPr>
              <w:tabs>
                <w:tab w:val="left" w:pos="26"/>
                <w:tab w:val="left" w:pos="731"/>
              </w:tabs>
              <w:jc w:val="both"/>
              <w:rPr>
                <w:szCs w:val="24"/>
              </w:rPr>
            </w:pPr>
            <w:r w:rsidRPr="00BB421E">
              <w:rPr>
                <w:color w:val="000000"/>
              </w:rPr>
              <w:t xml:space="preserve">2.3.10. </w:t>
            </w:r>
            <w:r w:rsidR="004D11E9" w:rsidRPr="00BB421E">
              <w:rPr>
                <w:color w:val="000000"/>
              </w:rPr>
              <w:t>Papildomi matomumo viešinimo reikalavimai, kurie nenumatyti Projektų administravimo ir finansavimo taisyklėse, nėra taikomi.</w:t>
            </w:r>
          </w:p>
          <w:p w14:paraId="231D7C69" w14:textId="43E5DFB7" w:rsidR="00B6276D" w:rsidRPr="00BB421E" w:rsidRDefault="00DF62C9" w:rsidP="003061B2">
            <w:pPr>
              <w:tabs>
                <w:tab w:val="left" w:pos="26"/>
                <w:tab w:val="left" w:pos="731"/>
              </w:tabs>
              <w:jc w:val="both"/>
              <w:rPr>
                <w:szCs w:val="24"/>
              </w:rPr>
            </w:pPr>
            <w:r w:rsidRPr="00BB421E">
              <w:rPr>
                <w:color w:val="000000" w:themeColor="text1"/>
              </w:rPr>
              <w:t xml:space="preserve">2.3.11. </w:t>
            </w:r>
            <w:r w:rsidR="00B6276D" w:rsidRPr="00BB421E">
              <w:rPr>
                <w:color w:val="000000" w:themeColor="text1"/>
              </w:rPr>
              <w:t>Informavimas apie projektą atliekamas Projektų administravimo ir finansavimo taisyklių VIII skyriaus pirmajame skirsnyje nustatyta tvarka.</w:t>
            </w:r>
          </w:p>
          <w:p w14:paraId="25806E3C" w14:textId="74220E51" w:rsidR="00A2424A" w:rsidRPr="00BB421E" w:rsidRDefault="00DF62C9" w:rsidP="003061B2">
            <w:pPr>
              <w:pStyle w:val="ListParagraph"/>
              <w:tabs>
                <w:tab w:val="left" w:pos="22"/>
                <w:tab w:val="left" w:pos="731"/>
              </w:tabs>
              <w:ind w:left="22"/>
              <w:jc w:val="both"/>
              <w:rPr>
                <w:szCs w:val="24"/>
              </w:rPr>
            </w:pPr>
            <w:r w:rsidRPr="00BB421E">
              <w:rPr>
                <w:rFonts w:eastAsia="Calibri"/>
                <w:szCs w:val="24"/>
              </w:rPr>
              <w:t xml:space="preserve">2.3.12. </w:t>
            </w:r>
            <w:r w:rsidR="00B6276D" w:rsidRPr="00BB421E">
              <w:rPr>
                <w:rFonts w:eastAsia="Calibri"/>
                <w:szCs w:val="24"/>
              </w:rPr>
              <w:t xml:space="preserve">Visi su projekto įgyvendinimu susiję dokumentai turi būti saugomi Projektų administravimo ir finansavimo taisyklių </w:t>
            </w:r>
            <w:r w:rsidR="00B6276D" w:rsidRPr="00BB421E">
              <w:rPr>
                <w:szCs w:val="24"/>
                <w:lang w:eastAsia="lt-LT"/>
              </w:rPr>
              <w:t xml:space="preserve">VIII skyriaus </w:t>
            </w:r>
            <w:r w:rsidR="00B6276D" w:rsidRPr="00BB421E">
              <w:rPr>
                <w:rFonts w:eastAsia="Calibri"/>
                <w:szCs w:val="24"/>
              </w:rPr>
              <w:t>šeštajame skirsnyje nustatyta tvarka ir terminais</w:t>
            </w:r>
            <w:r w:rsidR="00B6276D" w:rsidRPr="00BB421E">
              <w:rPr>
                <w:rFonts w:eastAsia="Calibri"/>
                <w:szCs w:val="24"/>
                <w:shd w:val="clear" w:color="auto" w:fill="FFFFFF"/>
              </w:rPr>
              <w:t>.</w:t>
            </w:r>
          </w:p>
          <w:p w14:paraId="5BB4AA8C" w14:textId="42880E09" w:rsidR="007059B0" w:rsidRPr="00BB421E" w:rsidRDefault="00A02696" w:rsidP="00575A17">
            <w:pPr>
              <w:pStyle w:val="ListParagraph"/>
              <w:numPr>
                <w:ilvl w:val="1"/>
                <w:numId w:val="2"/>
              </w:numPr>
              <w:tabs>
                <w:tab w:val="left" w:pos="457"/>
              </w:tabs>
              <w:jc w:val="both"/>
              <w:rPr>
                <w:szCs w:val="24"/>
              </w:rPr>
            </w:pPr>
            <w:r w:rsidRPr="00BB421E">
              <w:rPr>
                <w:color w:val="000000" w:themeColor="text1"/>
              </w:rPr>
              <w:t xml:space="preserve"> </w:t>
            </w:r>
            <w:r w:rsidR="00C13740" w:rsidRPr="00BB421E">
              <w:rPr>
                <w:color w:val="000000" w:themeColor="text1"/>
              </w:rPr>
              <w:t>Reikalavimai projekto įgyvendinimo metu planuojamos įsigyti galimybių studijos turiniui:</w:t>
            </w:r>
          </w:p>
          <w:p w14:paraId="66131AB4" w14:textId="0ED25961" w:rsidR="006E0BD9" w:rsidRPr="00BB421E" w:rsidRDefault="007059B0" w:rsidP="00696A4E">
            <w:pPr>
              <w:pStyle w:val="ListParagraph"/>
              <w:numPr>
                <w:ilvl w:val="2"/>
                <w:numId w:val="2"/>
              </w:numPr>
              <w:tabs>
                <w:tab w:val="left" w:pos="457"/>
                <w:tab w:val="left" w:pos="599"/>
              </w:tabs>
              <w:ind w:left="0" w:firstLine="0"/>
              <w:jc w:val="both"/>
            </w:pPr>
            <w:r w:rsidRPr="00BB421E">
              <w:rPr>
                <w:szCs w:val="24"/>
              </w:rPr>
              <w:t xml:space="preserve">galimybių studija turi </w:t>
            </w:r>
            <w:r w:rsidRPr="00BB421E">
              <w:rPr>
                <w:bCs/>
              </w:rPr>
              <w:t>nustatyti būtinus parengiamuosius veiksmus, kurių reikėtų imtis nacionaliniu lygiu, norint sudaryti sąlygas ateityje užtikrinti CO</w:t>
            </w:r>
            <w:r w:rsidRPr="00BB421E">
              <w:rPr>
                <w:bCs/>
                <w:vertAlign w:val="subscript"/>
              </w:rPr>
              <w:t>2</w:t>
            </w:r>
            <w:r w:rsidRPr="00BB421E">
              <w:rPr>
                <w:bCs/>
              </w:rPr>
              <w:t xml:space="preserve"> </w:t>
            </w:r>
            <w:r w:rsidR="00696A4E" w:rsidRPr="00BB421E">
              <w:rPr>
                <w:bCs/>
              </w:rPr>
              <w:t xml:space="preserve">surinkimo </w:t>
            </w:r>
            <w:r w:rsidRPr="00BB421E">
              <w:rPr>
                <w:bCs/>
              </w:rPr>
              <w:t>ir saugojimo</w:t>
            </w:r>
            <w:r w:rsidR="00696A4E" w:rsidRPr="00BB421E">
              <w:rPr>
                <w:bCs/>
              </w:rPr>
              <w:t xml:space="preserve"> </w:t>
            </w:r>
            <w:r w:rsidR="00511994" w:rsidRPr="00BB421E">
              <w:rPr>
                <w:bCs/>
              </w:rPr>
              <w:t xml:space="preserve">(angl. </w:t>
            </w:r>
            <w:r w:rsidR="00511994" w:rsidRPr="00BB421E">
              <w:rPr>
                <w:bCs/>
                <w:i/>
                <w:iCs/>
              </w:rPr>
              <w:t>CCS</w:t>
            </w:r>
            <w:r w:rsidR="00511994" w:rsidRPr="00BB421E">
              <w:rPr>
                <w:bCs/>
              </w:rPr>
              <w:t xml:space="preserve">) ir </w:t>
            </w:r>
            <w:r w:rsidR="00696A4E" w:rsidRPr="00BB421E">
              <w:rPr>
                <w:bCs/>
              </w:rPr>
              <w:t>CO</w:t>
            </w:r>
            <w:r w:rsidR="00696A4E" w:rsidRPr="00BB421E">
              <w:rPr>
                <w:bCs/>
                <w:vertAlign w:val="subscript"/>
              </w:rPr>
              <w:t>2</w:t>
            </w:r>
            <w:r w:rsidR="00511994" w:rsidRPr="00BB421E">
              <w:rPr>
                <w:bCs/>
              </w:rPr>
              <w:t xml:space="preserve"> sugavimo ir panaudojimo technologijų (angl. </w:t>
            </w:r>
            <w:r w:rsidR="00511994" w:rsidRPr="00BB421E">
              <w:rPr>
                <w:bCs/>
                <w:i/>
                <w:iCs/>
              </w:rPr>
              <w:t>CCU</w:t>
            </w:r>
            <w:r w:rsidR="00511994" w:rsidRPr="00BB421E">
              <w:rPr>
                <w:bCs/>
              </w:rPr>
              <w:t>)</w:t>
            </w:r>
            <w:r w:rsidRPr="00BB421E">
              <w:rPr>
                <w:bCs/>
              </w:rPr>
              <w:t>, vandenilio ir kitų inovatyvių technologijų panaudojimo plėtrą Lietuvos pramonės įmonėse</w:t>
            </w:r>
            <w:r w:rsidR="0062534E" w:rsidRPr="00BB421E">
              <w:rPr>
                <w:bCs/>
              </w:rPr>
              <w:t>:</w:t>
            </w:r>
          </w:p>
          <w:p w14:paraId="06D34F8B" w14:textId="50BB1182" w:rsidR="007059B0" w:rsidRPr="00BB421E" w:rsidRDefault="006E0BD9" w:rsidP="00575A17">
            <w:pPr>
              <w:pStyle w:val="ListParagraph"/>
              <w:numPr>
                <w:ilvl w:val="3"/>
                <w:numId w:val="2"/>
              </w:numPr>
              <w:tabs>
                <w:tab w:val="left" w:pos="32"/>
                <w:tab w:val="left" w:pos="457"/>
                <w:tab w:val="left" w:pos="883"/>
              </w:tabs>
              <w:ind w:left="0" w:firstLine="0"/>
              <w:jc w:val="both"/>
              <w:rPr>
                <w:szCs w:val="24"/>
              </w:rPr>
            </w:pPr>
            <w:r w:rsidRPr="00BB421E">
              <w:rPr>
                <w:szCs w:val="24"/>
              </w:rPr>
              <w:lastRenderedPageBreak/>
              <w:t>turi būti atlikta galiojančių</w:t>
            </w:r>
            <w:r w:rsidR="00C46597" w:rsidRPr="00BB421E">
              <w:rPr>
                <w:szCs w:val="24"/>
              </w:rPr>
              <w:t xml:space="preserve"> Europos Sąjungos ir Lietuvos</w:t>
            </w:r>
            <w:r w:rsidRPr="00BB421E">
              <w:rPr>
                <w:szCs w:val="24"/>
              </w:rPr>
              <w:t xml:space="preserve"> teisės aktų analizė</w:t>
            </w:r>
            <w:r w:rsidR="009014F3" w:rsidRPr="00BB421E">
              <w:rPr>
                <w:szCs w:val="24"/>
              </w:rPr>
              <w:t xml:space="preserve"> ir </w:t>
            </w:r>
            <w:r w:rsidR="009014F3" w:rsidRPr="00BB421E">
              <w:rPr>
                <w:bCs/>
              </w:rPr>
              <w:t>įvertinta užsienio šalių patirtis</w:t>
            </w:r>
            <w:r w:rsidR="009014F3" w:rsidRPr="00BB421E">
              <w:rPr>
                <w:szCs w:val="24"/>
              </w:rPr>
              <w:t xml:space="preserve"> </w:t>
            </w:r>
            <w:r w:rsidRPr="00BB421E">
              <w:rPr>
                <w:szCs w:val="24"/>
              </w:rPr>
              <w:t xml:space="preserve">dėl galimybių taikyti </w:t>
            </w:r>
            <w:r w:rsidRPr="00BB421E">
              <w:rPr>
                <w:bCs/>
              </w:rPr>
              <w:t>CO</w:t>
            </w:r>
            <w:r w:rsidRPr="00BB421E">
              <w:rPr>
                <w:bCs/>
                <w:vertAlign w:val="subscript"/>
              </w:rPr>
              <w:t>2</w:t>
            </w:r>
            <w:r w:rsidRPr="00BB421E">
              <w:rPr>
                <w:bCs/>
              </w:rPr>
              <w:t xml:space="preserve"> sugavimo ir saugojimo, vandenilio ir kitas inovatyvias technologijas Lietuvos pramonės įmonėse;</w:t>
            </w:r>
          </w:p>
          <w:p w14:paraId="5E3FD9CF" w14:textId="36BBA772" w:rsidR="006E0BD9" w:rsidRPr="00BB421E" w:rsidRDefault="006E0BD9" w:rsidP="00575A17">
            <w:pPr>
              <w:pStyle w:val="ListParagraph"/>
              <w:numPr>
                <w:ilvl w:val="3"/>
                <w:numId w:val="2"/>
              </w:numPr>
              <w:tabs>
                <w:tab w:val="left" w:pos="32"/>
                <w:tab w:val="left" w:pos="457"/>
                <w:tab w:val="left" w:pos="883"/>
              </w:tabs>
              <w:ind w:left="0" w:firstLine="0"/>
              <w:jc w:val="both"/>
              <w:rPr>
                <w:szCs w:val="24"/>
              </w:rPr>
            </w:pPr>
            <w:r w:rsidRPr="00BB421E">
              <w:rPr>
                <w:bCs/>
              </w:rPr>
              <w:t xml:space="preserve">turi būti įvertintas poveikis aplinkai dėl </w:t>
            </w:r>
            <w:r w:rsidRPr="00BB421E">
              <w:rPr>
                <w:szCs w:val="24"/>
              </w:rPr>
              <w:t xml:space="preserve">galimybių taikyti </w:t>
            </w:r>
            <w:r w:rsidRPr="00BB421E">
              <w:rPr>
                <w:bCs/>
              </w:rPr>
              <w:t>CO</w:t>
            </w:r>
            <w:r w:rsidRPr="00BB421E">
              <w:rPr>
                <w:bCs/>
                <w:vertAlign w:val="subscript"/>
              </w:rPr>
              <w:t>2</w:t>
            </w:r>
            <w:r w:rsidRPr="00BB421E">
              <w:rPr>
                <w:bCs/>
              </w:rPr>
              <w:t xml:space="preserve"> </w:t>
            </w:r>
            <w:r w:rsidR="00696A4E" w:rsidRPr="00BB421E">
              <w:rPr>
                <w:bCs/>
              </w:rPr>
              <w:t xml:space="preserve">surinkimo </w:t>
            </w:r>
            <w:r w:rsidRPr="00BB421E">
              <w:rPr>
                <w:bCs/>
              </w:rPr>
              <w:t>ir saugojimo</w:t>
            </w:r>
            <w:r w:rsidR="00696A4E" w:rsidRPr="00BB421E">
              <w:rPr>
                <w:bCs/>
              </w:rPr>
              <w:t xml:space="preserve"> (angl. </w:t>
            </w:r>
            <w:r w:rsidR="00696A4E" w:rsidRPr="00BB421E">
              <w:rPr>
                <w:bCs/>
                <w:i/>
                <w:iCs/>
              </w:rPr>
              <w:t>CCS</w:t>
            </w:r>
            <w:r w:rsidR="00696A4E" w:rsidRPr="00BB421E">
              <w:rPr>
                <w:bCs/>
              </w:rPr>
              <w:t>) ir CO</w:t>
            </w:r>
            <w:r w:rsidR="00696A4E" w:rsidRPr="00BB421E">
              <w:rPr>
                <w:bCs/>
                <w:vertAlign w:val="subscript"/>
              </w:rPr>
              <w:t>2</w:t>
            </w:r>
            <w:r w:rsidR="00696A4E" w:rsidRPr="00BB421E">
              <w:rPr>
                <w:bCs/>
              </w:rPr>
              <w:t xml:space="preserve"> sugavimo ir panaudojimo technologijų (angl. </w:t>
            </w:r>
            <w:r w:rsidR="00696A4E" w:rsidRPr="00BB421E">
              <w:rPr>
                <w:bCs/>
                <w:i/>
                <w:iCs/>
              </w:rPr>
              <w:t>CCU</w:t>
            </w:r>
            <w:r w:rsidR="00696A4E" w:rsidRPr="00BB421E">
              <w:rPr>
                <w:bCs/>
              </w:rPr>
              <w:t>)</w:t>
            </w:r>
            <w:r w:rsidRPr="00BB421E">
              <w:rPr>
                <w:bCs/>
              </w:rPr>
              <w:t>, vandenilio ir kitas inovatyvias technologijas Lietuvos pramonės įmonėse;</w:t>
            </w:r>
          </w:p>
          <w:p w14:paraId="60BBB6A0" w14:textId="57B43C4B" w:rsidR="007059B0" w:rsidRPr="00BB421E" w:rsidRDefault="007059B0" w:rsidP="00575A17">
            <w:pPr>
              <w:pStyle w:val="ListParagraph"/>
              <w:numPr>
                <w:ilvl w:val="2"/>
                <w:numId w:val="2"/>
              </w:numPr>
              <w:tabs>
                <w:tab w:val="left" w:pos="457"/>
                <w:tab w:val="left" w:pos="599"/>
              </w:tabs>
              <w:ind w:left="0" w:firstLine="0"/>
              <w:jc w:val="both"/>
              <w:rPr>
                <w:szCs w:val="24"/>
              </w:rPr>
            </w:pPr>
            <w:r w:rsidRPr="00BB421E">
              <w:rPr>
                <w:bCs/>
              </w:rPr>
              <w:t>turi būti įvertint</w:t>
            </w:r>
            <w:r w:rsidR="00871642" w:rsidRPr="00BB421E">
              <w:rPr>
                <w:bCs/>
              </w:rPr>
              <w:t xml:space="preserve">os </w:t>
            </w:r>
            <w:r w:rsidRPr="00BB421E">
              <w:rPr>
                <w:bCs/>
              </w:rPr>
              <w:t>ne mažiau kaip 35% ES ATLPS dalyvaujančių įmonių galimybės galinčios diegti įperkamos švarios energijos technologijas, sistemas ir infrastruktūrą (pvz., CO</w:t>
            </w:r>
            <w:r w:rsidRPr="00BB421E">
              <w:rPr>
                <w:bCs/>
                <w:vertAlign w:val="subscript"/>
              </w:rPr>
              <w:t>2</w:t>
            </w:r>
            <w:r w:rsidRPr="00BB421E">
              <w:rPr>
                <w:bCs/>
              </w:rPr>
              <w:t xml:space="preserve"> surinkimas ir panaudojimas</w:t>
            </w:r>
            <w:r w:rsidR="00696A4E" w:rsidRPr="00BB421E">
              <w:rPr>
                <w:bCs/>
              </w:rPr>
              <w:t xml:space="preserve"> (angl. </w:t>
            </w:r>
            <w:r w:rsidR="00696A4E" w:rsidRPr="00BB421E">
              <w:rPr>
                <w:bCs/>
                <w:i/>
                <w:iCs/>
              </w:rPr>
              <w:t>CCS</w:t>
            </w:r>
            <w:r w:rsidR="00696A4E" w:rsidRPr="00BB421E">
              <w:rPr>
                <w:bCs/>
              </w:rPr>
              <w:t>) ir CO</w:t>
            </w:r>
            <w:r w:rsidR="00696A4E" w:rsidRPr="00BB421E">
              <w:rPr>
                <w:bCs/>
                <w:vertAlign w:val="subscript"/>
              </w:rPr>
              <w:t>2</w:t>
            </w:r>
            <w:r w:rsidR="00696A4E" w:rsidRPr="00BB421E">
              <w:rPr>
                <w:bCs/>
              </w:rPr>
              <w:t xml:space="preserve"> sugavimas ir panaudojimas (angl. </w:t>
            </w:r>
            <w:r w:rsidR="00696A4E" w:rsidRPr="00BB421E">
              <w:rPr>
                <w:bCs/>
                <w:i/>
                <w:iCs/>
              </w:rPr>
              <w:t>CCU</w:t>
            </w:r>
            <w:r w:rsidR="00696A4E" w:rsidRPr="00BB421E">
              <w:rPr>
                <w:bCs/>
              </w:rPr>
              <w:t>)</w:t>
            </w:r>
            <w:r w:rsidRPr="00BB421E">
              <w:rPr>
                <w:bCs/>
              </w:rPr>
              <w:t>, žaliasis vandenilis ir kt.);</w:t>
            </w:r>
          </w:p>
          <w:p w14:paraId="4EAF2EA5" w14:textId="581385A6" w:rsidR="007059B0" w:rsidRPr="00BB421E" w:rsidRDefault="7B1CEF05" w:rsidP="00575A17">
            <w:pPr>
              <w:pStyle w:val="ListParagraph"/>
              <w:numPr>
                <w:ilvl w:val="2"/>
                <w:numId w:val="2"/>
              </w:numPr>
              <w:tabs>
                <w:tab w:val="left" w:pos="457"/>
                <w:tab w:val="left" w:pos="599"/>
              </w:tabs>
              <w:ind w:left="0" w:firstLine="0"/>
              <w:jc w:val="both"/>
            </w:pPr>
            <w:r w:rsidRPr="00BB421E">
              <w:t xml:space="preserve">galimybių studijoje turi būti pateikti konkretūs </w:t>
            </w:r>
            <w:r w:rsidR="00A06BE8" w:rsidRPr="00BB421E">
              <w:t xml:space="preserve">pasiūlymai, kurie padėtų pasiekti </w:t>
            </w:r>
            <w:r w:rsidR="00166B98" w:rsidRPr="00BB421E">
              <w:t>nustatytas</w:t>
            </w:r>
            <w:r w:rsidR="00A06BE8" w:rsidRPr="00BB421E">
              <w:t xml:space="preserve"> rodikli</w:t>
            </w:r>
            <w:r w:rsidR="00166B98" w:rsidRPr="00BB421E">
              <w:t>ų reikšmes</w:t>
            </w:r>
            <w:r w:rsidR="001A2812" w:rsidRPr="00BB421E">
              <w:t xml:space="preserve"> ir veiklos tikslus</w:t>
            </w:r>
            <w:r w:rsidR="000A6C4F" w:rsidRPr="00BB421E">
              <w:t>, įvertintos įvairios taikytinos technologijos</w:t>
            </w:r>
            <w:r w:rsidR="00E86978" w:rsidRPr="00BB421E">
              <w:t xml:space="preserve"> (</w:t>
            </w:r>
            <w:r w:rsidR="00E86978" w:rsidRPr="00BB421E">
              <w:rPr>
                <w:bCs/>
              </w:rPr>
              <w:t>CO</w:t>
            </w:r>
            <w:r w:rsidR="00E86978" w:rsidRPr="00BB421E">
              <w:rPr>
                <w:bCs/>
                <w:vertAlign w:val="subscript"/>
              </w:rPr>
              <w:t>2</w:t>
            </w:r>
            <w:r w:rsidR="00E86978" w:rsidRPr="00BB421E">
              <w:rPr>
                <w:bCs/>
              </w:rPr>
              <w:t xml:space="preserve"> </w:t>
            </w:r>
            <w:r w:rsidR="00696A4E" w:rsidRPr="00BB421E">
              <w:rPr>
                <w:bCs/>
              </w:rPr>
              <w:t xml:space="preserve">surinkimo </w:t>
            </w:r>
            <w:r w:rsidR="00E86978" w:rsidRPr="00BB421E">
              <w:rPr>
                <w:bCs/>
              </w:rPr>
              <w:t>ir saugojimo</w:t>
            </w:r>
            <w:r w:rsidR="00696A4E" w:rsidRPr="00BB421E">
              <w:rPr>
                <w:bCs/>
              </w:rPr>
              <w:t xml:space="preserve"> (angl. </w:t>
            </w:r>
            <w:r w:rsidR="00696A4E" w:rsidRPr="00BB421E">
              <w:rPr>
                <w:bCs/>
                <w:i/>
                <w:iCs/>
              </w:rPr>
              <w:t>CCS</w:t>
            </w:r>
            <w:r w:rsidR="00696A4E" w:rsidRPr="00BB421E">
              <w:rPr>
                <w:bCs/>
              </w:rPr>
              <w:t>) ir CO</w:t>
            </w:r>
            <w:r w:rsidR="00696A4E" w:rsidRPr="00BB421E">
              <w:rPr>
                <w:bCs/>
                <w:vertAlign w:val="subscript"/>
              </w:rPr>
              <w:t>2</w:t>
            </w:r>
            <w:r w:rsidR="00696A4E" w:rsidRPr="00BB421E">
              <w:rPr>
                <w:bCs/>
              </w:rPr>
              <w:t xml:space="preserve"> sugavimo ir panaudojimo technologij</w:t>
            </w:r>
            <w:r w:rsidR="00A06B12" w:rsidRPr="00BB421E">
              <w:rPr>
                <w:bCs/>
              </w:rPr>
              <w:t>os</w:t>
            </w:r>
            <w:r w:rsidR="00696A4E" w:rsidRPr="00BB421E">
              <w:rPr>
                <w:bCs/>
              </w:rPr>
              <w:t xml:space="preserve"> (angl. </w:t>
            </w:r>
            <w:r w:rsidR="00696A4E" w:rsidRPr="00BB421E">
              <w:rPr>
                <w:bCs/>
                <w:i/>
                <w:iCs/>
              </w:rPr>
              <w:t>CCU</w:t>
            </w:r>
            <w:r w:rsidR="00696A4E" w:rsidRPr="00BB421E">
              <w:rPr>
                <w:bCs/>
              </w:rPr>
              <w:t>)</w:t>
            </w:r>
            <w:r w:rsidR="00E86978" w:rsidRPr="00BB421E">
              <w:rPr>
                <w:bCs/>
              </w:rPr>
              <w:t>, vandenilio ir kit</w:t>
            </w:r>
            <w:r w:rsidR="00166B98" w:rsidRPr="00BB421E">
              <w:rPr>
                <w:bCs/>
              </w:rPr>
              <w:t>os</w:t>
            </w:r>
            <w:r w:rsidR="00E86978" w:rsidRPr="00BB421E">
              <w:rPr>
                <w:bCs/>
              </w:rPr>
              <w:t xml:space="preserve"> inovatyvi</w:t>
            </w:r>
            <w:r w:rsidR="00166B98" w:rsidRPr="00BB421E">
              <w:rPr>
                <w:bCs/>
              </w:rPr>
              <w:t>os</w:t>
            </w:r>
            <w:r w:rsidR="00E86978" w:rsidRPr="00BB421E">
              <w:rPr>
                <w:bCs/>
              </w:rPr>
              <w:t xml:space="preserve"> technologij</w:t>
            </w:r>
            <w:r w:rsidR="00166B98" w:rsidRPr="00BB421E">
              <w:rPr>
                <w:bCs/>
              </w:rPr>
              <w:t>os</w:t>
            </w:r>
            <w:r w:rsidR="00E86978" w:rsidRPr="00BB421E">
              <w:rPr>
                <w:bCs/>
              </w:rPr>
              <w:t>)</w:t>
            </w:r>
            <w:r w:rsidR="000A6C4F" w:rsidRPr="00BB421E">
              <w:t xml:space="preserve">, atsižvelgiant į pramonės įmonių veikimo sritį </w:t>
            </w:r>
            <w:r w:rsidRPr="00BB421E">
              <w:t>(t. y. kokios technologijos geriausia atlieptų</w:t>
            </w:r>
            <w:r w:rsidR="00E86978" w:rsidRPr="00BB421E">
              <w:t xml:space="preserve"> skirti</w:t>
            </w:r>
            <w:r w:rsidR="00166B98" w:rsidRPr="00BB421E">
              <w:t>n</w:t>
            </w:r>
            <w:r w:rsidR="00E86978" w:rsidRPr="00BB421E">
              <w:t>gų</w:t>
            </w:r>
            <w:r w:rsidRPr="00BB421E">
              <w:t xml:space="preserve"> įmonių galimybes</w:t>
            </w:r>
            <w:r w:rsidR="4455954C" w:rsidRPr="00BB421E">
              <w:t>)</w:t>
            </w:r>
            <w:r w:rsidR="00E86978" w:rsidRPr="00BB421E">
              <w:t>, atsižvelgiant į jų veiklos specifiką ir veikimo sritį</w:t>
            </w:r>
            <w:r w:rsidRPr="00BB421E">
              <w:t>)</w:t>
            </w:r>
            <w:r w:rsidR="001A2812" w:rsidRPr="00BB421E">
              <w:t>.</w:t>
            </w:r>
            <w:r w:rsidRPr="00BB421E">
              <w:t xml:space="preserve"> </w:t>
            </w:r>
          </w:p>
          <w:p w14:paraId="79909762" w14:textId="73B1B3B5" w:rsidR="00522119" w:rsidRPr="00BB421E" w:rsidRDefault="00522119" w:rsidP="00575A17">
            <w:pPr>
              <w:pStyle w:val="ListParagraph"/>
              <w:numPr>
                <w:ilvl w:val="2"/>
                <w:numId w:val="2"/>
              </w:numPr>
              <w:tabs>
                <w:tab w:val="left" w:pos="457"/>
                <w:tab w:val="left" w:pos="599"/>
              </w:tabs>
              <w:ind w:left="0" w:firstLine="0"/>
              <w:jc w:val="both"/>
            </w:pPr>
            <w:r w:rsidRPr="00BB421E">
              <w:t>Detalūs reikalavimai galimybių studijos turiniui nustatyti PFSA 2 priede.</w:t>
            </w:r>
          </w:p>
        </w:tc>
      </w:tr>
      <w:tr w:rsidR="00A2424A" w:rsidRPr="00BB421E" w14:paraId="2450C1F6" w14:textId="77777777" w:rsidTr="7B1CEF05">
        <w:tc>
          <w:tcPr>
            <w:tcW w:w="14709" w:type="dxa"/>
          </w:tcPr>
          <w:p w14:paraId="6C16087E" w14:textId="77777777" w:rsidR="00A2424A" w:rsidRPr="00BB421E" w:rsidRDefault="009048B8" w:rsidP="004D11E9">
            <w:pPr>
              <w:jc w:val="both"/>
              <w:rPr>
                <w:iCs/>
                <w:szCs w:val="24"/>
              </w:rPr>
            </w:pPr>
            <w:r w:rsidRPr="00BB421E">
              <w:rPr>
                <w:b/>
                <w:szCs w:val="24"/>
              </w:rPr>
              <w:lastRenderedPageBreak/>
              <w:t>2.1. Reikalavimai jungtinio projekto projektams</w:t>
            </w:r>
          </w:p>
        </w:tc>
      </w:tr>
      <w:tr w:rsidR="00A2424A" w:rsidRPr="00BB421E" w14:paraId="5BEA583C" w14:textId="77777777" w:rsidTr="7B1CEF05">
        <w:trPr>
          <w:trHeight w:val="293"/>
        </w:trPr>
        <w:tc>
          <w:tcPr>
            <w:tcW w:w="14709" w:type="dxa"/>
          </w:tcPr>
          <w:p w14:paraId="7F50DAE4" w14:textId="771DA19E" w:rsidR="00A2424A" w:rsidRPr="00BB421E" w:rsidRDefault="00EF122A">
            <w:pPr>
              <w:ind w:left="720" w:hanging="360"/>
              <w:jc w:val="both"/>
              <w:rPr>
                <w:szCs w:val="24"/>
              </w:rPr>
            </w:pPr>
            <w:r w:rsidRPr="00BB421E">
              <w:rPr>
                <w:szCs w:val="24"/>
              </w:rPr>
              <w:t>Netaikoma</w:t>
            </w:r>
          </w:p>
        </w:tc>
      </w:tr>
      <w:tr w:rsidR="00A2424A" w:rsidRPr="00BB421E" w14:paraId="06E6E707" w14:textId="77777777" w:rsidTr="7B1CEF05">
        <w:trPr>
          <w:trHeight w:val="285"/>
        </w:trPr>
        <w:tc>
          <w:tcPr>
            <w:tcW w:w="14709" w:type="dxa"/>
          </w:tcPr>
          <w:p w14:paraId="4847D5EE" w14:textId="77777777" w:rsidR="00A2424A" w:rsidRPr="00BB421E" w:rsidRDefault="009048B8">
            <w:pPr>
              <w:rPr>
                <w:sz w:val="22"/>
                <w:szCs w:val="22"/>
              </w:rPr>
            </w:pPr>
            <w:r w:rsidRPr="00BB421E">
              <w:rPr>
                <w:b/>
                <w:szCs w:val="24"/>
              </w:rPr>
              <w:t>3. Horizontaliųjų principų (toliau – HP) reikalavimai</w:t>
            </w:r>
          </w:p>
        </w:tc>
      </w:tr>
      <w:tr w:rsidR="00A2424A" w:rsidRPr="00BB421E" w14:paraId="422612C5" w14:textId="77777777" w:rsidTr="7B1CEF05">
        <w:tc>
          <w:tcPr>
            <w:tcW w:w="14709" w:type="dxa"/>
          </w:tcPr>
          <w:p w14:paraId="2EF5954A" w14:textId="77777777" w:rsidR="00142215" w:rsidRPr="00BB421E" w:rsidRDefault="00142215" w:rsidP="00142215">
            <w:pPr>
              <w:jc w:val="both"/>
              <w:rPr>
                <w:szCs w:val="24"/>
              </w:rPr>
            </w:pPr>
            <w:r w:rsidRPr="00BB421E">
              <w:rPr>
                <w:szCs w:val="24"/>
              </w:rPr>
              <w:t>3.1. Neutralumas – projektas negali daryti neigiamo poveikio HP.</w:t>
            </w:r>
          </w:p>
          <w:p w14:paraId="1E6CF267" w14:textId="77777777" w:rsidR="00142215" w:rsidRPr="00BB421E" w:rsidRDefault="00142215" w:rsidP="00142215">
            <w:pPr>
              <w:jc w:val="both"/>
              <w:rPr>
                <w:szCs w:val="24"/>
              </w:rPr>
            </w:pPr>
            <w:r w:rsidRPr="00BB421E">
              <w:rPr>
                <w:szCs w:val="24"/>
              </w:rPr>
              <w:t>3.2. 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Projekte neturi būti numatyta veiksmų, kurie turėtų neigiamą poveikį įgyvendinant HP.</w:t>
            </w:r>
          </w:p>
          <w:p w14:paraId="01371A6A" w14:textId="77777777" w:rsidR="00A2424A" w:rsidRPr="00BB421E" w:rsidRDefault="00142215" w:rsidP="00142215">
            <w:pPr>
              <w:jc w:val="both"/>
              <w:rPr>
                <w:szCs w:val="24"/>
              </w:rPr>
            </w:pPr>
            <w:r w:rsidRPr="00BB421E">
              <w:rPr>
                <w:szCs w:val="24"/>
              </w:rPr>
              <w:t xml:space="preserve">3.3. Projektų atitikties </w:t>
            </w:r>
            <w:r w:rsidR="00DF7273" w:rsidRPr="00BB421E">
              <w:rPr>
                <w:szCs w:val="24"/>
              </w:rPr>
              <w:t>R</w:t>
            </w:r>
            <w:r w:rsidRPr="00BB421E">
              <w:rPr>
                <w:szCs w:val="24"/>
              </w:rPr>
              <w:t>eikšmingos žalos nedarymo horizontaliajam principui vertinimo reikalavimai pateikiami PFSA 1 priede.</w:t>
            </w:r>
          </w:p>
          <w:p w14:paraId="362EF2D1" w14:textId="744A9896" w:rsidR="00836B55" w:rsidRPr="00BB421E" w:rsidRDefault="00836B55" w:rsidP="00142215">
            <w:pPr>
              <w:jc w:val="both"/>
              <w:rPr>
                <w:i/>
                <w:iCs/>
                <w:szCs w:val="24"/>
                <w:highlight w:val="yellow"/>
              </w:rPr>
            </w:pPr>
            <w:r w:rsidRPr="00BB421E">
              <w:rPr>
                <w:rFonts w:eastAsia="Calibri"/>
                <w:bCs/>
                <w:lang w:bidi="lt-LT"/>
              </w:rPr>
              <w:t xml:space="preserve">3.4. Veikla, vadovaujantis </w:t>
            </w:r>
            <w:hyperlink r:id="rId15" w:history="1">
              <w:r w:rsidRPr="00BB421E">
                <w:rPr>
                  <w:rFonts w:eastAsia="Calibri"/>
                  <w:bCs/>
                  <w:lang w:bidi="lt-LT"/>
                </w:rPr>
                <w:t>Europos Komisijos 2021 m. vasario 12 d. patvirtintomis Reikšmingos žalos nedarymo principo taikymo pagal Ekonomikos atsparumo ir didinimo priemonės reglamentą techninėmis gairėmis</w:t>
              </w:r>
            </w:hyperlink>
            <w:r w:rsidRPr="00BB421E">
              <w:rPr>
                <w:rFonts w:eastAsia="Calibri"/>
                <w:bCs/>
                <w:lang w:bidi="lt-LT"/>
              </w:rPr>
              <w:t xml:space="preserve">, atitinka reikšmingos žalos nedarymo principą, nes neturi neigiamo numatomo poveikio 6 aplinkos tikslams, nurodytiems </w:t>
            </w:r>
            <w:hyperlink r:id="rId16" w:history="1">
              <w:r w:rsidRPr="00BB421E">
                <w:rPr>
                  <w:rFonts w:eastAsia="Calibri"/>
                  <w:bCs/>
                  <w:lang w:bidi="lt-LT"/>
                </w:rPr>
                <w:t>2020 m. birželio 18 d. Europos Parlamento ir Tarybos reglamento (ES) Nr. 2020/852 dėl sistemos tvariam investavimui palengvinti sukūrimo, kuriuo iš dalies keičiamas Reglamentas (ES) 2019/2088</w:t>
              </w:r>
            </w:hyperlink>
            <w:r w:rsidRPr="00BB421E">
              <w:rPr>
                <w:rFonts w:eastAsia="Calibri"/>
                <w:bCs/>
                <w:lang w:bidi="lt-LT"/>
              </w:rPr>
              <w:t>, 17 straipsnyje, arba numatomas jų poveikis yra nereikšmingas, t. y. nedaro tiesioginio ir pirminio netiesioginio poveikio per visą gyvavimo ciklą.</w:t>
            </w:r>
          </w:p>
        </w:tc>
      </w:tr>
      <w:tr w:rsidR="00A2424A" w:rsidRPr="00BB421E" w14:paraId="3A08CC23" w14:textId="77777777" w:rsidTr="7B1CEF05">
        <w:tc>
          <w:tcPr>
            <w:tcW w:w="14709" w:type="dxa"/>
          </w:tcPr>
          <w:p w14:paraId="49AAD70C" w14:textId="77777777" w:rsidR="00A2424A" w:rsidRPr="00BB421E" w:rsidRDefault="009048B8">
            <w:pPr>
              <w:spacing w:line="259" w:lineRule="auto"/>
              <w:jc w:val="both"/>
              <w:rPr>
                <w:b/>
                <w:iCs/>
                <w:szCs w:val="24"/>
              </w:rPr>
            </w:pPr>
            <w:r w:rsidRPr="00BB421E">
              <w:rPr>
                <w:b/>
                <w:iCs/>
                <w:szCs w:val="24"/>
              </w:rPr>
              <w:t>3.1. Europos Sąjungos pagrindinių teisių chartijos (toliau – Chartija) reikalavimai</w:t>
            </w:r>
          </w:p>
        </w:tc>
      </w:tr>
      <w:tr w:rsidR="00A2424A" w:rsidRPr="00BB421E" w14:paraId="658C48F4" w14:textId="77777777" w:rsidTr="7B1CEF05">
        <w:tc>
          <w:tcPr>
            <w:tcW w:w="14709" w:type="dxa"/>
          </w:tcPr>
          <w:p w14:paraId="7E8C4050" w14:textId="7923A70B" w:rsidR="00A2424A" w:rsidRPr="00BB421E" w:rsidRDefault="7B1CEF05" w:rsidP="7B1CEF05">
            <w:pPr>
              <w:jc w:val="both"/>
              <w:rPr>
                <w:i/>
                <w:iCs/>
              </w:rPr>
            </w:pPr>
            <w:r w:rsidRPr="00BB421E">
              <w:t>Projektas neturi pažeisti</w:t>
            </w:r>
            <w:r w:rsidRPr="00BB421E">
              <w:rPr>
                <w:sz w:val="20"/>
              </w:rPr>
              <w:t xml:space="preserve"> </w:t>
            </w:r>
            <w:r w:rsidRPr="00BB421E">
              <w:t xml:space="preserve">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   </w:t>
            </w:r>
          </w:p>
        </w:tc>
      </w:tr>
      <w:tr w:rsidR="00A2424A" w:rsidRPr="00BB421E" w14:paraId="56D34214" w14:textId="77777777" w:rsidTr="7B1CEF05">
        <w:tc>
          <w:tcPr>
            <w:tcW w:w="14709" w:type="dxa"/>
          </w:tcPr>
          <w:p w14:paraId="51D79746" w14:textId="77777777" w:rsidR="00A2424A" w:rsidRPr="00BB421E" w:rsidRDefault="009048B8">
            <w:pPr>
              <w:rPr>
                <w:b/>
                <w:szCs w:val="24"/>
              </w:rPr>
            </w:pPr>
            <w:r w:rsidRPr="00BB421E">
              <w:rPr>
                <w:b/>
                <w:szCs w:val="24"/>
              </w:rPr>
              <w:lastRenderedPageBreak/>
              <w:t>4. Apskritis, kurioje gali būti įgyvendinami projektai</w:t>
            </w:r>
          </w:p>
        </w:tc>
      </w:tr>
      <w:tr w:rsidR="00A2424A" w:rsidRPr="00BB421E" w14:paraId="2C483CFB" w14:textId="77777777" w:rsidTr="7B1CEF05">
        <w:tc>
          <w:tcPr>
            <w:tcW w:w="14709" w:type="dxa"/>
          </w:tcPr>
          <w:p w14:paraId="019AD774" w14:textId="3ABEA5AC" w:rsidR="00A2424A" w:rsidRPr="00BB421E" w:rsidRDefault="00DC183A" w:rsidP="008E3B36">
            <w:pPr>
              <w:jc w:val="both"/>
              <w:rPr>
                <w:szCs w:val="24"/>
              </w:rPr>
            </w:pPr>
            <w:r w:rsidRPr="00BB421E">
              <w:rPr>
                <w:szCs w:val="24"/>
              </w:rPr>
              <w:t>Labiausiai dėl perėjimo prie klimatui neutralios ekonomikos paveiktos teritorijos: Kauno apskritis, Šiaulių apskritis, Telšių apskritis.</w:t>
            </w:r>
          </w:p>
        </w:tc>
      </w:tr>
      <w:tr w:rsidR="00A2424A" w:rsidRPr="00BB421E" w14:paraId="55ABAA63" w14:textId="77777777" w:rsidTr="7B1CEF05">
        <w:tc>
          <w:tcPr>
            <w:tcW w:w="14709" w:type="dxa"/>
          </w:tcPr>
          <w:p w14:paraId="6A5839BB" w14:textId="77777777" w:rsidR="00A2424A" w:rsidRPr="00BB421E" w:rsidRDefault="009048B8">
            <w:pPr>
              <w:jc w:val="both"/>
              <w:rPr>
                <w:b/>
                <w:szCs w:val="24"/>
              </w:rPr>
            </w:pPr>
            <w:r w:rsidRPr="00BB421E">
              <w:rPr>
                <w:b/>
                <w:szCs w:val="24"/>
              </w:rPr>
              <w:t xml:space="preserve">5. Reikalavimai valstybės pagalbai </w:t>
            </w:r>
          </w:p>
        </w:tc>
      </w:tr>
      <w:tr w:rsidR="00A2424A" w:rsidRPr="00BB421E" w14:paraId="56798729" w14:textId="77777777" w:rsidTr="7B1CEF05">
        <w:tc>
          <w:tcPr>
            <w:tcW w:w="14709" w:type="dxa"/>
          </w:tcPr>
          <w:p w14:paraId="068C7BE4" w14:textId="3CF37B60" w:rsidR="00A2424A" w:rsidRPr="00BB421E" w:rsidRDefault="00B335C5" w:rsidP="00B335C5">
            <w:pPr>
              <w:rPr>
                <w:szCs w:val="24"/>
              </w:rPr>
            </w:pPr>
            <w:r w:rsidRPr="00BB421E">
              <w:rPr>
                <w:szCs w:val="24"/>
              </w:rPr>
              <w:t>Netaikoma</w:t>
            </w:r>
          </w:p>
        </w:tc>
      </w:tr>
      <w:tr w:rsidR="00A2424A" w:rsidRPr="00BB421E" w14:paraId="193B2A16" w14:textId="77777777" w:rsidTr="7B1CEF05">
        <w:tc>
          <w:tcPr>
            <w:tcW w:w="14709" w:type="dxa"/>
          </w:tcPr>
          <w:p w14:paraId="0F43059E" w14:textId="77777777" w:rsidR="00A2424A" w:rsidRPr="00BB421E" w:rsidRDefault="009048B8">
            <w:pPr>
              <w:ind w:left="426" w:hanging="426"/>
              <w:jc w:val="both"/>
              <w:rPr>
                <w:i/>
                <w:szCs w:val="24"/>
              </w:rPr>
            </w:pPr>
            <w:r w:rsidRPr="00BB421E">
              <w:rPr>
                <w:b/>
                <w:szCs w:val="24"/>
              </w:rPr>
              <w:t>6. Projektų atrankos kriterijai</w:t>
            </w:r>
          </w:p>
        </w:tc>
      </w:tr>
      <w:tr w:rsidR="00A2424A" w:rsidRPr="00BB421E" w14:paraId="37816056" w14:textId="77777777" w:rsidTr="7B1CEF05">
        <w:trPr>
          <w:trHeight w:val="561"/>
        </w:trPr>
        <w:tc>
          <w:tcPr>
            <w:tcW w:w="14709" w:type="dxa"/>
          </w:tcPr>
          <w:p w14:paraId="2C7C4C21" w14:textId="77F20DC0" w:rsidR="00A2424A" w:rsidRPr="00BB421E" w:rsidRDefault="00F579D2" w:rsidP="008E3B36">
            <w:pPr>
              <w:tabs>
                <w:tab w:val="left" w:pos="26"/>
                <w:tab w:val="left" w:pos="731"/>
              </w:tabs>
              <w:jc w:val="both"/>
              <w:rPr>
                <w:i/>
                <w:sz w:val="22"/>
                <w:szCs w:val="22"/>
              </w:rPr>
            </w:pPr>
            <w:r w:rsidRPr="00BB421E">
              <w:rPr>
                <w:szCs w:val="24"/>
              </w:rPr>
              <w:t>Pareiškėjai ir projektai turi atitikti bendruosius projektų atrankos kriterijus, kurių sąrašas ir vertinimo metodika nustatyti Projektų administravimo ir finansavimo taisyklių 2 priede.</w:t>
            </w:r>
          </w:p>
        </w:tc>
      </w:tr>
      <w:tr w:rsidR="00A2424A" w:rsidRPr="00BB421E" w14:paraId="7BC13942" w14:textId="77777777" w:rsidTr="7B1CEF05">
        <w:trPr>
          <w:trHeight w:val="309"/>
        </w:trPr>
        <w:tc>
          <w:tcPr>
            <w:tcW w:w="14709" w:type="dxa"/>
          </w:tcPr>
          <w:p w14:paraId="79598E9E" w14:textId="77777777" w:rsidR="00A2424A" w:rsidRPr="00BB421E" w:rsidRDefault="009048B8">
            <w:pPr>
              <w:jc w:val="both"/>
              <w:rPr>
                <w:i/>
                <w:sz w:val="22"/>
                <w:szCs w:val="22"/>
              </w:rPr>
            </w:pPr>
            <w:r w:rsidRPr="00BB421E">
              <w:rPr>
                <w:b/>
                <w:szCs w:val="22"/>
              </w:rPr>
              <w:t xml:space="preserve">6.1. Jungtinio projekto projektų atrankos kriterijai </w:t>
            </w:r>
            <w:r w:rsidRPr="00BB421E">
              <w:rPr>
                <w:szCs w:val="22"/>
              </w:rPr>
              <w:t>(</w:t>
            </w:r>
            <w:r w:rsidRPr="00BB421E">
              <w:rPr>
                <w:i/>
                <w:szCs w:val="22"/>
              </w:rPr>
              <w:t>pildoma tik jungtiniam projektui)</w:t>
            </w:r>
          </w:p>
        </w:tc>
      </w:tr>
      <w:tr w:rsidR="00A2424A" w:rsidRPr="00BB421E" w14:paraId="6E551801" w14:textId="77777777" w:rsidTr="7B1CEF05">
        <w:trPr>
          <w:trHeight w:val="274"/>
        </w:trPr>
        <w:tc>
          <w:tcPr>
            <w:tcW w:w="14709" w:type="dxa"/>
          </w:tcPr>
          <w:p w14:paraId="332A06D6" w14:textId="53299845" w:rsidR="00A2424A" w:rsidRPr="00BB421E" w:rsidRDefault="00DF7273">
            <w:pPr>
              <w:jc w:val="both"/>
              <w:rPr>
                <w:iCs/>
                <w:sz w:val="22"/>
                <w:szCs w:val="22"/>
              </w:rPr>
            </w:pPr>
            <w:r w:rsidRPr="00BB421E">
              <w:rPr>
                <w:iCs/>
                <w:szCs w:val="22"/>
              </w:rPr>
              <w:t>Netaikoma.</w:t>
            </w:r>
          </w:p>
        </w:tc>
      </w:tr>
      <w:tr w:rsidR="00A2424A" w:rsidRPr="00BB421E" w14:paraId="3DECF43C" w14:textId="77777777" w:rsidTr="7B1CEF05">
        <w:tc>
          <w:tcPr>
            <w:tcW w:w="14709" w:type="dxa"/>
          </w:tcPr>
          <w:p w14:paraId="5186DD84" w14:textId="77777777" w:rsidR="00A2424A" w:rsidRPr="00BB421E" w:rsidRDefault="009048B8">
            <w:pPr>
              <w:rPr>
                <w:b/>
                <w:szCs w:val="24"/>
              </w:rPr>
            </w:pPr>
            <w:r w:rsidRPr="00BB421E">
              <w:rPr>
                <w:b/>
                <w:szCs w:val="24"/>
              </w:rPr>
              <w:t xml:space="preserve">7. Reikalavimai įgyvendinus projektų veiklas </w:t>
            </w:r>
          </w:p>
        </w:tc>
      </w:tr>
      <w:tr w:rsidR="00A2424A" w:rsidRPr="00BB421E" w14:paraId="494DE37C" w14:textId="77777777" w:rsidTr="7B1CEF05">
        <w:tc>
          <w:tcPr>
            <w:tcW w:w="14709" w:type="dxa"/>
          </w:tcPr>
          <w:p w14:paraId="46626F1F" w14:textId="72C8A548" w:rsidR="00A2424A" w:rsidRPr="00BB421E" w:rsidRDefault="008E3B36">
            <w:pPr>
              <w:rPr>
                <w:iCs/>
                <w:szCs w:val="24"/>
              </w:rPr>
            </w:pPr>
            <w:r w:rsidRPr="00BB421E">
              <w:rPr>
                <w:iCs/>
                <w:szCs w:val="24"/>
              </w:rPr>
              <w:t>Netaikoma.</w:t>
            </w:r>
          </w:p>
        </w:tc>
      </w:tr>
      <w:tr w:rsidR="00A2424A" w:rsidRPr="00BB421E" w14:paraId="0B41ABED" w14:textId="77777777" w:rsidTr="7B1CEF05">
        <w:tc>
          <w:tcPr>
            <w:tcW w:w="14709" w:type="dxa"/>
          </w:tcPr>
          <w:p w14:paraId="4C1CE31D" w14:textId="77777777" w:rsidR="00A2424A" w:rsidRPr="00BB421E" w:rsidRDefault="009048B8">
            <w:pPr>
              <w:rPr>
                <w:szCs w:val="24"/>
              </w:rPr>
            </w:pPr>
            <w:r w:rsidRPr="00BB421E">
              <w:rPr>
                <w:b/>
                <w:szCs w:val="24"/>
              </w:rPr>
              <w:t>8. Kiti reikalavimai</w:t>
            </w:r>
          </w:p>
        </w:tc>
      </w:tr>
      <w:tr w:rsidR="00A2424A" w:rsidRPr="00BB421E" w14:paraId="0CA38F98" w14:textId="77777777" w:rsidTr="7B1CEF05">
        <w:tc>
          <w:tcPr>
            <w:tcW w:w="14709" w:type="dxa"/>
          </w:tcPr>
          <w:p w14:paraId="7974B07C" w14:textId="49A4156D" w:rsidR="00A2424A" w:rsidRPr="00BB421E" w:rsidRDefault="00101935">
            <w:pPr>
              <w:tabs>
                <w:tab w:val="left" w:pos="1134"/>
              </w:tabs>
              <w:jc w:val="both"/>
              <w:rPr>
                <w:iCs/>
                <w:szCs w:val="24"/>
              </w:rPr>
            </w:pPr>
            <w:r w:rsidRPr="00BB421E">
              <w:rPr>
                <w:iCs/>
                <w:szCs w:val="24"/>
              </w:rPr>
              <w:t xml:space="preserve"> 8.1. Projektų įgyvendinimo priežiūrai sudaromas Projekto (-ų) priežiūros komitetas, kuris stebi projekto įgyvendinimo pažangą ir teikia rekomendacijas dėl projekto įgyvendinimo. Projekto (-ų) priežiūros komitetas sudaromas iš administruojančiosios institucijos ir Ministerijos atstovų, į Projekto (-ų) priežiūros komitetą gali būti kviečiami kitų institucijų, įstaigų ar organizacijų atstovai ir socialiniai ir ekonominiai partneriai. Projekto (-ų) priežiūros komiteto sudėtis tvirtinama Lietuvos Respublikos ekonomikos ir inovacijų ministro įsakymu, o jo veiklos principai nustatomi šio komiteto darbo reglamente.</w:t>
            </w:r>
          </w:p>
        </w:tc>
      </w:tr>
      <w:tr w:rsidR="00A2424A" w:rsidRPr="00BB421E" w14:paraId="185060E9" w14:textId="77777777" w:rsidTr="7B1CEF05">
        <w:tc>
          <w:tcPr>
            <w:tcW w:w="14709" w:type="dxa"/>
          </w:tcPr>
          <w:p w14:paraId="79C86826" w14:textId="77777777" w:rsidR="00A2424A" w:rsidRPr="00BB421E" w:rsidRDefault="009048B8">
            <w:pPr>
              <w:rPr>
                <w:b/>
                <w:szCs w:val="24"/>
              </w:rPr>
            </w:pPr>
            <w:r w:rsidRPr="00BB421E">
              <w:rPr>
                <w:b/>
                <w:szCs w:val="24"/>
              </w:rPr>
              <w:t>IŠLAIDŲ TINKAMUMO FINANSUOTI REIKALAVIMAI</w:t>
            </w:r>
          </w:p>
        </w:tc>
      </w:tr>
      <w:tr w:rsidR="00A2424A" w:rsidRPr="00BB421E" w14:paraId="1A714113" w14:textId="77777777" w:rsidTr="7B1CEF05">
        <w:tc>
          <w:tcPr>
            <w:tcW w:w="14709" w:type="dxa"/>
          </w:tcPr>
          <w:p w14:paraId="5EA27BB9" w14:textId="77777777" w:rsidR="00A2424A" w:rsidRPr="00BB421E" w:rsidRDefault="009048B8">
            <w:pPr>
              <w:jc w:val="both"/>
              <w:rPr>
                <w:b/>
                <w:szCs w:val="24"/>
              </w:rPr>
            </w:pPr>
            <w:r w:rsidRPr="00BB421E">
              <w:rPr>
                <w:b/>
                <w:szCs w:val="24"/>
              </w:rPr>
              <w:t>9. Išlaidų tinkamumo finansuoti reikalavimai</w:t>
            </w:r>
          </w:p>
        </w:tc>
      </w:tr>
      <w:tr w:rsidR="00A2424A" w:rsidRPr="00BB421E" w14:paraId="3623CEB3" w14:textId="77777777" w:rsidTr="7B1CEF05">
        <w:tc>
          <w:tcPr>
            <w:tcW w:w="14709" w:type="dxa"/>
          </w:tcPr>
          <w:p w14:paraId="7927401C" w14:textId="1A35C3DD" w:rsidR="00B335C5" w:rsidRPr="00BB421E" w:rsidRDefault="00B335C5" w:rsidP="00B335C5">
            <w:pPr>
              <w:jc w:val="both"/>
              <w:rPr>
                <w:szCs w:val="24"/>
              </w:rPr>
            </w:pPr>
            <w:r w:rsidRPr="00BB421E">
              <w:rPr>
                <w:szCs w:val="24"/>
              </w:rPr>
              <w:t>9.1. Projekto išlaidos turi atitikti Projektų administravimo ir finansavimo taisyk</w:t>
            </w:r>
            <w:r w:rsidR="002C6848" w:rsidRPr="00BB421E">
              <w:rPr>
                <w:szCs w:val="24"/>
              </w:rPr>
              <w:t xml:space="preserve">lėse </w:t>
            </w:r>
            <w:r w:rsidRPr="00BB421E">
              <w:rPr>
                <w:szCs w:val="24"/>
              </w:rPr>
              <w:t>išdėstytus projekto išlaidoms taikomus reikalavimus.</w:t>
            </w:r>
          </w:p>
          <w:p w14:paraId="1AD08464" w14:textId="0E4794D7" w:rsidR="00A2424A" w:rsidRPr="00BB421E" w:rsidRDefault="00B335C5">
            <w:pPr>
              <w:jc w:val="both"/>
              <w:rPr>
                <w:szCs w:val="24"/>
              </w:rPr>
            </w:pPr>
            <w:r w:rsidRPr="00BB421E">
              <w:rPr>
                <w:szCs w:val="24"/>
              </w:rPr>
              <w:t>9.2. Tinkamos finansuoti išlaidos:</w:t>
            </w:r>
          </w:p>
          <w:p w14:paraId="63A6522E" w14:textId="36D6DC93" w:rsidR="000A0EF7" w:rsidRPr="00BB421E" w:rsidRDefault="000A0EF7" w:rsidP="000A0EF7">
            <w:pPr>
              <w:pStyle w:val="ListParagraph"/>
              <w:numPr>
                <w:ilvl w:val="2"/>
                <w:numId w:val="4"/>
              </w:numPr>
              <w:jc w:val="both"/>
            </w:pPr>
            <w:r w:rsidRPr="00BB421E">
              <w:t>Galimybių studijos parengimo paslaugų pirkimo išlaidos</w:t>
            </w:r>
            <w:r w:rsidR="005F7F04" w:rsidRPr="00BB421E">
              <w:t>;</w:t>
            </w:r>
          </w:p>
          <w:p w14:paraId="50DA9434" w14:textId="7F318EE5" w:rsidR="00230EC0" w:rsidRPr="00BB421E" w:rsidRDefault="005F7F04" w:rsidP="008E3B36">
            <w:pPr>
              <w:pStyle w:val="ListParagraph"/>
              <w:numPr>
                <w:ilvl w:val="2"/>
                <w:numId w:val="4"/>
              </w:numPr>
              <w:tabs>
                <w:tab w:val="left" w:pos="745"/>
              </w:tabs>
              <w:ind w:left="0" w:firstLine="36"/>
              <w:jc w:val="both"/>
            </w:pPr>
            <w:r w:rsidRPr="00BB421E">
              <w:rPr>
                <w:color w:val="000000"/>
                <w:shd w:val="clear" w:color="auto" w:fill="FFFFFF"/>
              </w:rPr>
              <w:t>projektą vykdančio personalo darbo užmokestis ir išlaidos su darbo santykiais susijusiems darbdavio įsipareigojimams, apskaičiuotos teisės aktų, reguliuojančių darbo užmokestį ir darbo santykius, nustatyta tvarka;</w:t>
            </w:r>
          </w:p>
          <w:p w14:paraId="7EABA937" w14:textId="787FE718" w:rsidR="000A0EF7" w:rsidRPr="00BB421E" w:rsidRDefault="005D057E" w:rsidP="000A0EF7">
            <w:pPr>
              <w:pStyle w:val="ListParagraph"/>
              <w:numPr>
                <w:ilvl w:val="2"/>
                <w:numId w:val="4"/>
              </w:numPr>
              <w:jc w:val="both"/>
            </w:pPr>
            <w:r w:rsidRPr="00BB421E">
              <w:t>v</w:t>
            </w:r>
            <w:r w:rsidR="000A0EF7" w:rsidRPr="00BB421E">
              <w:t>iešinimas</w:t>
            </w:r>
            <w:r w:rsidRPr="00BB421E">
              <w:t>;</w:t>
            </w:r>
          </w:p>
          <w:p w14:paraId="1A87A283" w14:textId="4B5CB3DC" w:rsidR="000A0EF7" w:rsidRPr="00BB421E" w:rsidRDefault="005D057E" w:rsidP="000A0EF7">
            <w:pPr>
              <w:pStyle w:val="ListParagraph"/>
              <w:numPr>
                <w:ilvl w:val="2"/>
                <w:numId w:val="4"/>
              </w:numPr>
              <w:jc w:val="both"/>
            </w:pPr>
            <w:r w:rsidRPr="00BB421E">
              <w:t>n</w:t>
            </w:r>
            <w:r w:rsidR="000A0EF7" w:rsidRPr="00BB421E">
              <w:t xml:space="preserve">etiesioginės išlaidos – </w:t>
            </w:r>
            <w:r w:rsidRPr="00BB421E">
              <w:t xml:space="preserve">projekto </w:t>
            </w:r>
            <w:r w:rsidR="000A0EF7" w:rsidRPr="00BB421E">
              <w:t>administravim</w:t>
            </w:r>
            <w:r w:rsidRPr="00BB421E">
              <w:t>o išlaidos.</w:t>
            </w:r>
          </w:p>
          <w:p w14:paraId="3A868E12" w14:textId="44D40C08" w:rsidR="000A0EF7" w:rsidRPr="00BB421E" w:rsidRDefault="000A0EF7" w:rsidP="000A0EF7">
            <w:pPr>
              <w:tabs>
                <w:tab w:val="left" w:pos="451"/>
              </w:tabs>
              <w:jc w:val="both"/>
              <w:textAlignment w:val="baseline"/>
              <w:rPr>
                <w:szCs w:val="24"/>
                <w:lang w:eastAsia="lt-LT"/>
              </w:rPr>
            </w:pPr>
            <w:r w:rsidRPr="00BB421E">
              <w:t>9.3. Kryžminis finansavimas netaikomas.</w:t>
            </w:r>
          </w:p>
          <w:p w14:paraId="748BE6D7" w14:textId="7C21A90D" w:rsidR="00A2424A" w:rsidRPr="00BB421E" w:rsidRDefault="000A0EF7">
            <w:pPr>
              <w:jc w:val="both"/>
              <w:rPr>
                <w:i/>
                <w:iCs/>
                <w:szCs w:val="24"/>
              </w:rPr>
            </w:pPr>
            <w:r w:rsidRPr="00BB421E">
              <w:rPr>
                <w:color w:val="000000"/>
              </w:rPr>
              <w:t>9.4.</w:t>
            </w:r>
            <w:r w:rsidRPr="00BB421E">
              <w:rPr>
                <w:rFonts w:eastAsia="Calibri"/>
                <w:szCs w:val="24"/>
              </w:rPr>
              <w:t xml:space="preserve"> Projekto tinkamų finansuoti išlaidų dalis, kurios nepadengia projektui skiriamo finansavimo lėšos, turi būti finansuojama iš projekto vykdytojo lėšų</w:t>
            </w:r>
            <w:r w:rsidR="001328D3" w:rsidRPr="00BB421E">
              <w:rPr>
                <w:rFonts w:eastAsia="Calibri"/>
                <w:szCs w:val="24"/>
              </w:rPr>
              <w:t>.</w:t>
            </w:r>
          </w:p>
        </w:tc>
      </w:tr>
      <w:tr w:rsidR="00A2424A" w:rsidRPr="00BB421E" w14:paraId="0015C788" w14:textId="77777777" w:rsidTr="7B1CEF05">
        <w:trPr>
          <w:trHeight w:val="349"/>
        </w:trPr>
        <w:tc>
          <w:tcPr>
            <w:tcW w:w="14709" w:type="dxa"/>
          </w:tcPr>
          <w:p w14:paraId="16BD87F7" w14:textId="77777777" w:rsidR="00A2424A" w:rsidRPr="00BB421E" w:rsidRDefault="009048B8">
            <w:pPr>
              <w:jc w:val="both"/>
              <w:rPr>
                <w:szCs w:val="24"/>
              </w:rPr>
            </w:pPr>
            <w:r w:rsidRPr="00BB421E">
              <w:rPr>
                <w:b/>
                <w:szCs w:val="24"/>
              </w:rPr>
              <w:t>10. Projektų veiklų ir jungtinio projekto projektų įgyvendinimui taikomi supaprastintai apmokamų išlaidų dydžiai</w:t>
            </w:r>
          </w:p>
        </w:tc>
      </w:tr>
      <w:tr w:rsidR="00A2424A" w:rsidRPr="00BB421E" w14:paraId="054BF58E" w14:textId="77777777" w:rsidTr="7B1CEF05">
        <w:tc>
          <w:tcPr>
            <w:tcW w:w="14709" w:type="dxa"/>
          </w:tcPr>
          <w:p w14:paraId="6121415A" w14:textId="3E6CCD4C" w:rsidR="00A2424A" w:rsidRPr="00BB421E" w:rsidRDefault="00544298">
            <w:pPr>
              <w:jc w:val="both"/>
              <w:rPr>
                <w:sz w:val="22"/>
                <w:szCs w:val="22"/>
              </w:rPr>
            </w:pPr>
            <w:r w:rsidRPr="00BB421E">
              <w:rPr>
                <w:sz w:val="22"/>
                <w:szCs w:val="22"/>
              </w:rPr>
              <w:t xml:space="preserve"> Taikoma netiesioginių išlaidų </w:t>
            </w:r>
            <w:r w:rsidR="00C82DB8" w:rsidRPr="00BB421E">
              <w:rPr>
                <w:sz w:val="22"/>
                <w:szCs w:val="22"/>
              </w:rPr>
              <w:t>fiksuotoji norma.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544298" w:rsidRPr="00BB421E" w14:paraId="019462EE" w14:textId="77777777" w:rsidTr="00544298">
              <w:tc>
                <w:tcPr>
                  <w:tcW w:w="14449" w:type="dxa"/>
                  <w:gridSpan w:val="5"/>
                  <w:tcBorders>
                    <w:top w:val="single" w:sz="8" w:space="0" w:color="auto"/>
                    <w:left w:val="single" w:sz="8" w:space="0" w:color="auto"/>
                    <w:bottom w:val="single" w:sz="8" w:space="0" w:color="auto"/>
                    <w:right w:val="single" w:sz="8" w:space="0" w:color="auto"/>
                  </w:tcBorders>
                  <w:hideMark/>
                </w:tcPr>
                <w:p w14:paraId="27FD006F" w14:textId="77777777" w:rsidR="00544298" w:rsidRPr="00BB421E" w:rsidRDefault="00544298" w:rsidP="00544298">
                  <w:pPr>
                    <w:jc w:val="both"/>
                    <w:rPr>
                      <w:b/>
                      <w:bCs/>
                      <w:sz w:val="22"/>
                      <w:szCs w:val="22"/>
                    </w:rPr>
                  </w:pPr>
                  <w:r w:rsidRPr="00BB421E">
                    <w:rPr>
                      <w:rFonts w:ascii="MS Gothic" w:eastAsia="MS Gothic" w:hAnsi="MS Gothic" w:cs="MS Gothic"/>
                      <w:b/>
                      <w:bCs/>
                      <w:sz w:val="22"/>
                      <w:szCs w:val="22"/>
                    </w:rPr>
                    <w:t>☐</w:t>
                  </w:r>
                  <w:r w:rsidRPr="00BB421E">
                    <w:rPr>
                      <w:b/>
                      <w:bCs/>
                      <w:sz w:val="22"/>
                      <w:szCs w:val="22"/>
                    </w:rPr>
                    <w:t xml:space="preserve"> Indeksuojama</w:t>
                  </w:r>
                </w:p>
                <w:p w14:paraId="30066D1B" w14:textId="77777777" w:rsidR="00544298" w:rsidRPr="00BB421E" w:rsidRDefault="00544298" w:rsidP="00544298">
                  <w:pPr>
                    <w:jc w:val="both"/>
                    <w:rPr>
                      <w:b/>
                      <w:bCs/>
                      <w:sz w:val="22"/>
                      <w:szCs w:val="22"/>
                    </w:rPr>
                  </w:pPr>
                  <w:r w:rsidRPr="00BB421E">
                    <w:rPr>
                      <w:rFonts w:ascii="MS Gothic" w:eastAsia="MS Gothic" w:hAnsi="MS Gothic" w:cs="MS Gothic"/>
                      <w:b/>
                      <w:bCs/>
                      <w:sz w:val="22"/>
                      <w:szCs w:val="22"/>
                    </w:rPr>
                    <w:lastRenderedPageBreak/>
                    <w:t xml:space="preserve">X </w:t>
                  </w:r>
                  <w:r w:rsidRPr="00BB421E">
                    <w:rPr>
                      <w:b/>
                      <w:bCs/>
                      <w:sz w:val="22"/>
                      <w:szCs w:val="22"/>
                    </w:rPr>
                    <w:t>Neindeksuojama</w:t>
                  </w:r>
                </w:p>
              </w:tc>
            </w:tr>
            <w:tr w:rsidR="00544298" w:rsidRPr="00BB421E" w14:paraId="64BE145E" w14:textId="77777777" w:rsidTr="00544298">
              <w:tc>
                <w:tcPr>
                  <w:tcW w:w="2889" w:type="dxa"/>
                  <w:tcBorders>
                    <w:top w:val="single" w:sz="8" w:space="0" w:color="auto"/>
                    <w:left w:val="single" w:sz="8" w:space="0" w:color="auto"/>
                    <w:bottom w:val="single" w:sz="8" w:space="0" w:color="auto"/>
                    <w:right w:val="single" w:sz="8" w:space="0" w:color="auto"/>
                  </w:tcBorders>
                  <w:vAlign w:val="center"/>
                  <w:hideMark/>
                </w:tcPr>
                <w:p w14:paraId="34A3E7D4" w14:textId="77777777" w:rsidR="00544298" w:rsidRPr="00BB421E" w:rsidRDefault="00544298" w:rsidP="00544298">
                  <w:pPr>
                    <w:jc w:val="center"/>
                    <w:rPr>
                      <w:b/>
                      <w:bCs/>
                      <w:sz w:val="22"/>
                      <w:szCs w:val="22"/>
                    </w:rPr>
                  </w:pPr>
                  <w:r w:rsidRPr="00BB421E">
                    <w:rPr>
                      <w:b/>
                      <w:bCs/>
                      <w:sz w:val="22"/>
                      <w:szCs w:val="22"/>
                    </w:rPr>
                    <w:lastRenderedPageBreak/>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hideMark/>
                </w:tcPr>
                <w:p w14:paraId="0F017FAB" w14:textId="77777777" w:rsidR="00544298" w:rsidRPr="00BB421E" w:rsidRDefault="00544298" w:rsidP="00544298">
                  <w:pPr>
                    <w:jc w:val="center"/>
                    <w:rPr>
                      <w:b/>
                      <w:bCs/>
                      <w:sz w:val="22"/>
                      <w:szCs w:val="22"/>
                    </w:rPr>
                  </w:pPr>
                  <w:r w:rsidRPr="00BB421E">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hideMark/>
                </w:tcPr>
                <w:p w14:paraId="478B8552" w14:textId="77777777" w:rsidR="00544298" w:rsidRPr="00BB421E" w:rsidRDefault="00544298" w:rsidP="00544298">
                  <w:pPr>
                    <w:jc w:val="center"/>
                    <w:rPr>
                      <w:b/>
                      <w:bCs/>
                      <w:i/>
                      <w:iCs/>
                      <w:color w:val="808080"/>
                      <w:sz w:val="22"/>
                      <w:szCs w:val="22"/>
                    </w:rPr>
                  </w:pPr>
                  <w:r w:rsidRPr="00BB421E">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hideMark/>
                </w:tcPr>
                <w:p w14:paraId="4E8673D7" w14:textId="77777777" w:rsidR="00544298" w:rsidRPr="00BB421E" w:rsidRDefault="00544298" w:rsidP="00544298">
                  <w:pPr>
                    <w:jc w:val="center"/>
                    <w:rPr>
                      <w:b/>
                      <w:bCs/>
                      <w:sz w:val="22"/>
                      <w:szCs w:val="22"/>
                    </w:rPr>
                  </w:pPr>
                  <w:r w:rsidRPr="00BB421E">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hideMark/>
                </w:tcPr>
                <w:p w14:paraId="1716E78F" w14:textId="77777777" w:rsidR="00544298" w:rsidRPr="00BB421E" w:rsidRDefault="00544298" w:rsidP="00544298">
                  <w:pPr>
                    <w:jc w:val="center"/>
                    <w:rPr>
                      <w:b/>
                      <w:bCs/>
                      <w:sz w:val="22"/>
                      <w:szCs w:val="22"/>
                    </w:rPr>
                  </w:pPr>
                  <w:r w:rsidRPr="00BB421E">
                    <w:rPr>
                      <w:b/>
                      <w:bCs/>
                      <w:sz w:val="22"/>
                      <w:szCs w:val="22"/>
                    </w:rPr>
                    <w:t>Papildoma informacija</w:t>
                  </w:r>
                </w:p>
              </w:tc>
            </w:tr>
            <w:tr w:rsidR="00544298" w:rsidRPr="00BB421E" w14:paraId="3713372F" w14:textId="77777777" w:rsidTr="00544298">
              <w:tc>
                <w:tcPr>
                  <w:tcW w:w="2889" w:type="dxa"/>
                  <w:tcBorders>
                    <w:top w:val="single" w:sz="8" w:space="0" w:color="auto"/>
                    <w:left w:val="single" w:sz="8" w:space="0" w:color="auto"/>
                    <w:bottom w:val="single" w:sz="8" w:space="0" w:color="auto"/>
                    <w:right w:val="single" w:sz="8" w:space="0" w:color="auto"/>
                  </w:tcBorders>
                  <w:vAlign w:val="center"/>
                </w:tcPr>
                <w:p w14:paraId="6B20358F" w14:textId="77777777" w:rsidR="00544298" w:rsidRPr="00BB421E" w:rsidRDefault="00544298" w:rsidP="00544298">
                  <w:pPr>
                    <w:jc w:val="center"/>
                    <w:rPr>
                      <w:sz w:val="22"/>
                      <w:szCs w:val="22"/>
                    </w:rPr>
                  </w:pPr>
                </w:p>
                <w:p w14:paraId="4DB39FDE" w14:textId="77777777" w:rsidR="00544298" w:rsidRPr="00BB421E" w:rsidRDefault="00544298" w:rsidP="00544298">
                  <w:pPr>
                    <w:jc w:val="center"/>
                    <w:rPr>
                      <w:sz w:val="22"/>
                      <w:szCs w:val="22"/>
                    </w:rPr>
                  </w:pPr>
                  <w:r w:rsidRPr="00BB421E">
                    <w:rPr>
                      <w:sz w:val="22"/>
                      <w:szCs w:val="22"/>
                    </w:rPr>
                    <w:t>Netiesioginės projekto išlaidos</w:t>
                  </w:r>
                </w:p>
                <w:p w14:paraId="7F08D74B" w14:textId="77777777" w:rsidR="00544298" w:rsidRPr="00BB421E" w:rsidRDefault="00544298" w:rsidP="00544298">
                  <w:pPr>
                    <w:jc w:val="center"/>
                    <w:rPr>
                      <w:sz w:val="22"/>
                      <w:szCs w:val="22"/>
                    </w:rPr>
                  </w:pPr>
                </w:p>
              </w:tc>
              <w:tc>
                <w:tcPr>
                  <w:tcW w:w="2890" w:type="dxa"/>
                  <w:tcBorders>
                    <w:top w:val="single" w:sz="8" w:space="0" w:color="auto"/>
                    <w:left w:val="single" w:sz="8" w:space="0" w:color="auto"/>
                    <w:bottom w:val="single" w:sz="8" w:space="0" w:color="auto"/>
                    <w:right w:val="single" w:sz="8" w:space="0" w:color="auto"/>
                  </w:tcBorders>
                  <w:vAlign w:val="center"/>
                  <w:hideMark/>
                </w:tcPr>
                <w:p w14:paraId="11385BAC" w14:textId="77777777" w:rsidR="00544298" w:rsidRPr="00BB421E" w:rsidRDefault="00544298" w:rsidP="00544298">
                  <w:pPr>
                    <w:jc w:val="center"/>
                    <w:rPr>
                      <w:sz w:val="22"/>
                      <w:szCs w:val="22"/>
                    </w:rPr>
                  </w:pPr>
                  <w:r w:rsidRPr="00BB421E">
                    <w:rPr>
                      <w:sz w:val="22"/>
                      <w:szCs w:val="22"/>
                    </w:rPr>
                    <w:t>FN-01</w:t>
                  </w:r>
                </w:p>
              </w:tc>
              <w:tc>
                <w:tcPr>
                  <w:tcW w:w="2890" w:type="dxa"/>
                  <w:tcBorders>
                    <w:top w:val="single" w:sz="8" w:space="0" w:color="auto"/>
                    <w:left w:val="single" w:sz="8" w:space="0" w:color="auto"/>
                    <w:bottom w:val="single" w:sz="8" w:space="0" w:color="auto"/>
                    <w:right w:val="single" w:sz="8" w:space="0" w:color="auto"/>
                  </w:tcBorders>
                  <w:vAlign w:val="center"/>
                  <w:hideMark/>
                </w:tcPr>
                <w:p w14:paraId="3A21A00A" w14:textId="77777777" w:rsidR="00544298" w:rsidRPr="00BB421E" w:rsidRDefault="00544298" w:rsidP="00544298">
                  <w:pPr>
                    <w:jc w:val="center"/>
                    <w:rPr>
                      <w:sz w:val="22"/>
                      <w:szCs w:val="22"/>
                    </w:rPr>
                  </w:pPr>
                  <w:r w:rsidRPr="00BB421E">
                    <w:rPr>
                      <w:sz w:val="22"/>
                      <w:szCs w:val="22"/>
                    </w:rPr>
                    <w:t>01</w:t>
                  </w:r>
                </w:p>
              </w:tc>
              <w:tc>
                <w:tcPr>
                  <w:tcW w:w="2890" w:type="dxa"/>
                  <w:tcBorders>
                    <w:top w:val="single" w:sz="8" w:space="0" w:color="auto"/>
                    <w:left w:val="single" w:sz="8" w:space="0" w:color="auto"/>
                    <w:bottom w:val="single" w:sz="8" w:space="0" w:color="auto"/>
                    <w:right w:val="single" w:sz="8" w:space="0" w:color="auto"/>
                  </w:tcBorders>
                  <w:vAlign w:val="center"/>
                  <w:hideMark/>
                </w:tcPr>
                <w:p w14:paraId="37056F35" w14:textId="77777777" w:rsidR="00544298" w:rsidRPr="00BB421E" w:rsidRDefault="00544298" w:rsidP="00544298">
                  <w:pPr>
                    <w:jc w:val="center"/>
                    <w:rPr>
                      <w:sz w:val="22"/>
                      <w:szCs w:val="22"/>
                    </w:rPr>
                  </w:pPr>
                  <w:r w:rsidRPr="00BB421E">
                    <w:rPr>
                      <w:sz w:val="22"/>
                      <w:szCs w:val="22"/>
                    </w:rPr>
                    <w:t>7 proc. netiesioginių išlaidų fiksuotoji norma</w:t>
                  </w:r>
                </w:p>
              </w:tc>
              <w:tc>
                <w:tcPr>
                  <w:tcW w:w="2890" w:type="dxa"/>
                  <w:tcBorders>
                    <w:top w:val="single" w:sz="8" w:space="0" w:color="auto"/>
                    <w:left w:val="single" w:sz="8" w:space="0" w:color="auto"/>
                    <w:bottom w:val="single" w:sz="8" w:space="0" w:color="auto"/>
                    <w:right w:val="single" w:sz="8" w:space="0" w:color="auto"/>
                  </w:tcBorders>
                  <w:vAlign w:val="center"/>
                  <w:hideMark/>
                </w:tcPr>
                <w:p w14:paraId="66881A58" w14:textId="77777777" w:rsidR="00544298" w:rsidRPr="00BB421E" w:rsidRDefault="00544298" w:rsidP="00544298">
                  <w:pPr>
                    <w:jc w:val="center"/>
                    <w:rPr>
                      <w:sz w:val="22"/>
                      <w:szCs w:val="22"/>
                    </w:rPr>
                  </w:pPr>
                  <w:r w:rsidRPr="00BB421E">
                    <w:rPr>
                      <w:sz w:val="22"/>
                      <w:szCs w:val="22"/>
                    </w:rPr>
                    <w:t>Netiesioginės projekto išlaidos skaičiuojamos nuo tinkamų finansuoti tiesioginių projekto išlaidų.</w:t>
                  </w:r>
                </w:p>
                <w:p w14:paraId="0E6796DC" w14:textId="77777777" w:rsidR="00544298" w:rsidRPr="00BB421E" w:rsidRDefault="00544298" w:rsidP="00544298">
                  <w:pPr>
                    <w:jc w:val="center"/>
                    <w:rPr>
                      <w:sz w:val="22"/>
                      <w:szCs w:val="22"/>
                    </w:rPr>
                  </w:pPr>
                  <w:r w:rsidRPr="00BB421E">
                    <w:rPr>
                      <w:sz w:val="22"/>
                      <w:szCs w:val="22"/>
                    </w:rPr>
                    <w:t>Fiksuotoji norma apmokama Administravimo  taisyklių 172.1 papunktyje nustatyta tvarka.</w:t>
                  </w:r>
                </w:p>
              </w:tc>
            </w:tr>
          </w:tbl>
          <w:p w14:paraId="57E8492C" w14:textId="437C5D37" w:rsidR="00544298" w:rsidRPr="00BB421E" w:rsidRDefault="00544298">
            <w:pPr>
              <w:jc w:val="both"/>
              <w:rPr>
                <w:sz w:val="22"/>
                <w:szCs w:val="22"/>
              </w:rPr>
            </w:pPr>
          </w:p>
        </w:tc>
      </w:tr>
    </w:tbl>
    <w:p w14:paraId="4E17F086" w14:textId="77777777" w:rsidR="00A2424A" w:rsidRPr="00BB421E" w:rsidRDefault="00A2424A">
      <w:pPr>
        <w:spacing w:line="276" w:lineRule="auto"/>
        <w:jc w:val="center"/>
        <w:rPr>
          <w:rFonts w:eastAsia="Calibri"/>
          <w:sz w:val="22"/>
          <w:szCs w:val="22"/>
        </w:rPr>
      </w:pPr>
    </w:p>
    <w:p w14:paraId="07731768" w14:textId="77777777" w:rsidR="00A2424A" w:rsidRPr="00BB421E" w:rsidRDefault="00A2424A">
      <w:pPr>
        <w:rPr>
          <w:sz w:val="18"/>
          <w:szCs w:val="18"/>
        </w:rPr>
      </w:pPr>
    </w:p>
    <w:p w14:paraId="65559246" w14:textId="78E7F766" w:rsidR="00A2424A" w:rsidRPr="00BB421E" w:rsidRDefault="009048B8">
      <w:pPr>
        <w:spacing w:line="276" w:lineRule="auto"/>
        <w:jc w:val="center"/>
        <w:rPr>
          <w:rFonts w:eastAsia="Calibri"/>
          <w:szCs w:val="24"/>
        </w:rPr>
      </w:pPr>
      <w:r w:rsidRPr="00BB421E">
        <w:rPr>
          <w:rFonts w:eastAsia="Calibri"/>
          <w:szCs w:val="24"/>
        </w:rPr>
        <w:t>________________</w:t>
      </w:r>
    </w:p>
    <w:p w14:paraId="23373A66" w14:textId="57FABEE8" w:rsidR="00C82DB8" w:rsidRPr="00BB421E" w:rsidRDefault="00C82DB8" w:rsidP="00DC389D">
      <w:pPr>
        <w:tabs>
          <w:tab w:val="left" w:pos="8310"/>
        </w:tabs>
        <w:rPr>
          <w:szCs w:val="24"/>
        </w:rPr>
      </w:pPr>
    </w:p>
    <w:p w14:paraId="497AA159" w14:textId="1C442A74" w:rsidR="00C82DB8" w:rsidRPr="00BB421E" w:rsidRDefault="00C82DB8" w:rsidP="00DC389D">
      <w:pPr>
        <w:tabs>
          <w:tab w:val="left" w:pos="8310"/>
        </w:tabs>
        <w:rPr>
          <w:szCs w:val="24"/>
        </w:rPr>
      </w:pPr>
    </w:p>
    <w:p w14:paraId="7E1D5E35" w14:textId="47B40EB1" w:rsidR="007266E8" w:rsidRPr="00BB421E" w:rsidRDefault="007266E8" w:rsidP="00DC389D">
      <w:pPr>
        <w:tabs>
          <w:tab w:val="left" w:pos="8310"/>
        </w:tabs>
        <w:rPr>
          <w:szCs w:val="24"/>
        </w:rPr>
      </w:pPr>
    </w:p>
    <w:p w14:paraId="61A46474" w14:textId="7AAEB345" w:rsidR="007266E8" w:rsidRPr="00BB421E" w:rsidRDefault="007266E8" w:rsidP="00DC389D">
      <w:pPr>
        <w:tabs>
          <w:tab w:val="left" w:pos="8310"/>
        </w:tabs>
        <w:rPr>
          <w:szCs w:val="24"/>
        </w:rPr>
      </w:pPr>
    </w:p>
    <w:p w14:paraId="1B2044F2" w14:textId="4001BA87" w:rsidR="007266E8" w:rsidRPr="00BB421E" w:rsidRDefault="007266E8" w:rsidP="00DC389D">
      <w:pPr>
        <w:tabs>
          <w:tab w:val="left" w:pos="8310"/>
        </w:tabs>
        <w:rPr>
          <w:szCs w:val="24"/>
        </w:rPr>
      </w:pPr>
    </w:p>
    <w:p w14:paraId="1D5D92E1" w14:textId="29D8804E" w:rsidR="007266E8" w:rsidRPr="00BB421E" w:rsidRDefault="007266E8" w:rsidP="00DC389D">
      <w:pPr>
        <w:tabs>
          <w:tab w:val="left" w:pos="8310"/>
        </w:tabs>
        <w:rPr>
          <w:szCs w:val="24"/>
        </w:rPr>
      </w:pPr>
    </w:p>
    <w:p w14:paraId="71BEFD82" w14:textId="471067E0" w:rsidR="007266E8" w:rsidRPr="00BB421E" w:rsidRDefault="007266E8" w:rsidP="00DC389D">
      <w:pPr>
        <w:tabs>
          <w:tab w:val="left" w:pos="8310"/>
        </w:tabs>
        <w:rPr>
          <w:szCs w:val="24"/>
        </w:rPr>
      </w:pPr>
    </w:p>
    <w:p w14:paraId="5B6DDBC2" w14:textId="20948416" w:rsidR="007266E8" w:rsidRPr="00BB421E" w:rsidRDefault="007266E8" w:rsidP="00DC389D">
      <w:pPr>
        <w:tabs>
          <w:tab w:val="left" w:pos="8310"/>
        </w:tabs>
        <w:rPr>
          <w:szCs w:val="24"/>
        </w:rPr>
      </w:pPr>
    </w:p>
    <w:p w14:paraId="7C9BF4F7" w14:textId="061191AF" w:rsidR="007266E8" w:rsidRPr="00BB421E" w:rsidRDefault="007266E8" w:rsidP="00DC389D">
      <w:pPr>
        <w:tabs>
          <w:tab w:val="left" w:pos="8310"/>
        </w:tabs>
        <w:rPr>
          <w:szCs w:val="24"/>
        </w:rPr>
      </w:pPr>
    </w:p>
    <w:p w14:paraId="6B0E940E" w14:textId="2952C0BE" w:rsidR="007266E8" w:rsidRPr="00BB421E" w:rsidRDefault="007266E8" w:rsidP="00DC389D">
      <w:pPr>
        <w:tabs>
          <w:tab w:val="left" w:pos="8310"/>
        </w:tabs>
        <w:rPr>
          <w:szCs w:val="24"/>
        </w:rPr>
      </w:pPr>
    </w:p>
    <w:p w14:paraId="66B902FA" w14:textId="62B4155F" w:rsidR="007266E8" w:rsidRPr="00BB421E" w:rsidRDefault="007266E8" w:rsidP="00DC389D">
      <w:pPr>
        <w:tabs>
          <w:tab w:val="left" w:pos="8310"/>
        </w:tabs>
        <w:rPr>
          <w:szCs w:val="24"/>
        </w:rPr>
      </w:pPr>
    </w:p>
    <w:p w14:paraId="31A4D493" w14:textId="1B7BD6EF" w:rsidR="007266E8" w:rsidRPr="00BB421E" w:rsidRDefault="007266E8" w:rsidP="00DC389D">
      <w:pPr>
        <w:tabs>
          <w:tab w:val="left" w:pos="8310"/>
        </w:tabs>
        <w:rPr>
          <w:szCs w:val="24"/>
        </w:rPr>
      </w:pPr>
    </w:p>
    <w:p w14:paraId="78F145E5" w14:textId="3099602E" w:rsidR="007266E8" w:rsidRPr="00BB421E" w:rsidRDefault="007266E8" w:rsidP="00DC389D">
      <w:pPr>
        <w:tabs>
          <w:tab w:val="left" w:pos="8310"/>
        </w:tabs>
        <w:rPr>
          <w:szCs w:val="24"/>
        </w:rPr>
      </w:pPr>
    </w:p>
    <w:p w14:paraId="6A1B92BE" w14:textId="77777777" w:rsidR="00B0071A" w:rsidRPr="00BB421E" w:rsidRDefault="00B0071A" w:rsidP="00DC389D">
      <w:pPr>
        <w:tabs>
          <w:tab w:val="left" w:pos="8310"/>
        </w:tabs>
        <w:rPr>
          <w:szCs w:val="24"/>
        </w:rPr>
        <w:sectPr w:rsidR="00B0071A" w:rsidRPr="00BB421E">
          <w:headerReference w:type="even" r:id="rId17"/>
          <w:headerReference w:type="default" r:id="rId18"/>
          <w:footerReference w:type="even" r:id="rId19"/>
          <w:footerReference w:type="default" r:id="rId20"/>
          <w:headerReference w:type="first" r:id="rId21"/>
          <w:footerReference w:type="first" r:id="rId22"/>
          <w:pgSz w:w="16838" w:h="11906" w:orient="landscape"/>
          <w:pgMar w:top="1701" w:right="567" w:bottom="1134" w:left="1134" w:header="567" w:footer="567" w:gutter="0"/>
          <w:cols w:space="1296"/>
          <w:titlePg/>
          <w:docGrid w:linePitch="360"/>
        </w:sectPr>
      </w:pPr>
    </w:p>
    <w:p w14:paraId="7067C7EA" w14:textId="586D52D8" w:rsidR="007266E8" w:rsidRPr="00BB421E" w:rsidRDefault="007266E8" w:rsidP="00DC389D">
      <w:pPr>
        <w:tabs>
          <w:tab w:val="left" w:pos="8310"/>
        </w:tabs>
        <w:rPr>
          <w:szCs w:val="24"/>
        </w:rPr>
      </w:pPr>
    </w:p>
    <w:p w14:paraId="7510059A" w14:textId="77777777" w:rsidR="007266E8" w:rsidRPr="00BB421E" w:rsidRDefault="007266E8" w:rsidP="00DC389D">
      <w:pPr>
        <w:tabs>
          <w:tab w:val="left" w:pos="8310"/>
        </w:tabs>
        <w:rPr>
          <w:szCs w:val="24"/>
        </w:rPr>
      </w:pPr>
    </w:p>
    <w:p w14:paraId="6FFE4BFB" w14:textId="221A8B84" w:rsidR="003875DA" w:rsidRPr="00BB421E" w:rsidRDefault="003875DA" w:rsidP="003875DA">
      <w:pPr>
        <w:ind w:left="9639"/>
        <w:jc w:val="both"/>
        <w:rPr>
          <w:color w:val="000000"/>
          <w:szCs w:val="24"/>
        </w:rPr>
      </w:pPr>
      <w:r w:rsidRPr="00BB421E">
        <w:rPr>
          <w:color w:val="000000"/>
          <w:szCs w:val="24"/>
        </w:rPr>
        <w:t>2022–2030 metų plėtros programos valdytojos Lietuvos Respublikos ekonomikos ir inovacijų ministerijos ekonomikos transformacijos ir konkurencingumo plėtros programos pažangos priemonės Nr. 05-001-01-04-02 „Skatinti įmones pereiti link neutralios klimatui ekonomikos“ veiklos „CO2 sugavimo ir saugojimo, vandenilio ir kitų inovatyvių technologijų panaudojimo galimyb</w:t>
      </w:r>
      <w:r w:rsidR="00270EAA" w:rsidRPr="00BB421E">
        <w:rPr>
          <w:color w:val="000000"/>
          <w:szCs w:val="24"/>
        </w:rPr>
        <w:t>ių vertinimas</w:t>
      </w:r>
      <w:r w:rsidRPr="00BB421E">
        <w:rPr>
          <w:color w:val="000000"/>
          <w:szCs w:val="24"/>
        </w:rPr>
        <w:t xml:space="preserve"> Lietuvos pramonės įmonėse, veikiančiose labiausiai neigiamai paveiktose teritorijose“ projektų finansavimo sąlygų aprašo </w:t>
      </w:r>
    </w:p>
    <w:p w14:paraId="09B5D13A" w14:textId="77777777" w:rsidR="003875DA" w:rsidRPr="00BB421E" w:rsidRDefault="003875DA" w:rsidP="003875DA">
      <w:pPr>
        <w:ind w:left="9639"/>
        <w:jc w:val="both"/>
        <w:rPr>
          <w:color w:val="000000"/>
          <w:szCs w:val="24"/>
        </w:rPr>
      </w:pPr>
      <w:r w:rsidRPr="00BB421E">
        <w:rPr>
          <w:color w:val="000000"/>
          <w:szCs w:val="24"/>
        </w:rPr>
        <w:t>1 priedas</w:t>
      </w:r>
    </w:p>
    <w:p w14:paraId="1F28470F" w14:textId="77777777" w:rsidR="003875DA" w:rsidRPr="00BB421E" w:rsidRDefault="003875DA" w:rsidP="003875DA">
      <w:pPr>
        <w:jc w:val="center"/>
        <w:rPr>
          <w:i/>
          <w:iCs/>
          <w:szCs w:val="24"/>
        </w:rPr>
      </w:pPr>
    </w:p>
    <w:p w14:paraId="673ACBA3" w14:textId="77777777" w:rsidR="003875DA" w:rsidRPr="00BB421E" w:rsidRDefault="003875DA" w:rsidP="003875DA">
      <w:pPr>
        <w:jc w:val="center"/>
        <w:rPr>
          <w:rFonts w:eastAsia="Calibri"/>
          <w:b/>
          <w:bCs/>
          <w:szCs w:val="24"/>
        </w:rPr>
      </w:pPr>
    </w:p>
    <w:p w14:paraId="55A3071A" w14:textId="77777777" w:rsidR="003875DA" w:rsidRPr="00BB421E" w:rsidRDefault="003875DA" w:rsidP="003875DA">
      <w:pPr>
        <w:jc w:val="center"/>
        <w:rPr>
          <w:rFonts w:eastAsia="Calibri"/>
          <w:b/>
          <w:bCs/>
          <w:szCs w:val="24"/>
        </w:rPr>
      </w:pPr>
      <w:r w:rsidRPr="00BB421E">
        <w:rPr>
          <w:rFonts w:eastAsia="Calibri"/>
          <w:b/>
          <w:bCs/>
          <w:szCs w:val="24"/>
        </w:rPr>
        <w:t>PROJEKTO (ĮSKAITANT JUNGTINĮ PROJEKTĄ) ATITIKTIES REIKŠMINGOS ŽALOS NEDARYMO HORIZONTALIAJAM PRINCIPUI VERTINIMO REIKALAVIMŲ APRAŠAS</w:t>
      </w:r>
    </w:p>
    <w:p w14:paraId="6A5456F2" w14:textId="77777777" w:rsidR="003875DA" w:rsidRPr="00BB421E" w:rsidRDefault="003875DA" w:rsidP="003875DA">
      <w:pPr>
        <w:jc w:val="center"/>
        <w:rPr>
          <w:rFonts w:eastAsia="Calibri"/>
          <w:b/>
          <w:bCs/>
          <w:szCs w:val="24"/>
        </w:rPr>
      </w:pPr>
    </w:p>
    <w:p w14:paraId="40986E56" w14:textId="77777777" w:rsidR="003875DA" w:rsidRPr="00BB421E" w:rsidRDefault="003875DA" w:rsidP="003875DA">
      <w:pPr>
        <w:spacing w:line="276" w:lineRule="auto"/>
        <w:jc w:val="both"/>
        <w:rPr>
          <w:rFonts w:eastAsia="Calibri"/>
          <w:bCs/>
          <w:szCs w:val="24"/>
        </w:rPr>
      </w:pPr>
      <w:r w:rsidRPr="00BB421E">
        <w:rPr>
          <w:rFonts w:eastAsia="Calibri"/>
          <w:bCs/>
          <w:szCs w:val="24"/>
        </w:rPr>
        <w:t>Finansavimo šaltinis, pagal kurį finansuojamas projektas (</w:t>
      </w:r>
      <w:r w:rsidRPr="00BB421E">
        <w:rPr>
          <w:rFonts w:eastAsia="Calibri"/>
          <w:bCs/>
          <w:i/>
          <w:szCs w:val="24"/>
        </w:rPr>
        <w:t>pažymėkite tinkamą</w:t>
      </w:r>
      <w:r w:rsidRPr="00BB421E">
        <w:rPr>
          <w:rFonts w:eastAsia="Calibri"/>
          <w:bCs/>
          <w:szCs w:val="24"/>
        </w:rPr>
        <w:t>):</w:t>
      </w:r>
    </w:p>
    <w:p w14:paraId="32CDACB7" w14:textId="77777777" w:rsidR="003875DA" w:rsidRPr="00BB421E" w:rsidRDefault="003875DA" w:rsidP="003875DA">
      <w:pPr>
        <w:spacing w:line="276" w:lineRule="auto"/>
        <w:jc w:val="both"/>
        <w:rPr>
          <w:rFonts w:eastAsia="Calibri"/>
          <w:bCs/>
          <w:szCs w:val="24"/>
        </w:rPr>
      </w:pPr>
      <w:r w:rsidRPr="00BB421E">
        <w:rPr>
          <w:rFonts w:ascii="Wingdings 2" w:eastAsia="Wingdings 2" w:hAnsi="Wingdings 2" w:cs="Wingdings 2"/>
        </w:rPr>
        <w:t>£</w:t>
      </w:r>
      <w:r w:rsidRPr="00BB421E">
        <w:t xml:space="preserve"> </w:t>
      </w:r>
      <w:r w:rsidRPr="00BB421E">
        <w:rPr>
          <w:rFonts w:eastAsia="Calibri"/>
          <w:bCs/>
          <w:szCs w:val="24"/>
        </w:rPr>
        <w:t>Ekonomikos gaivinimo ir atsparumo didinimo priemonė (toliau – EGADP)</w:t>
      </w:r>
    </w:p>
    <w:p w14:paraId="1767A94C" w14:textId="77777777" w:rsidR="003875DA" w:rsidRPr="00BB421E" w:rsidRDefault="003875DA" w:rsidP="003875DA">
      <w:pPr>
        <w:spacing w:line="276" w:lineRule="auto"/>
        <w:jc w:val="both"/>
        <w:rPr>
          <w:rFonts w:eastAsia="Calibri"/>
          <w:bCs/>
          <w:szCs w:val="24"/>
        </w:rPr>
      </w:pPr>
      <w:r w:rsidRPr="00BB421E">
        <w:rPr>
          <w:rFonts w:ascii="Wingdings" w:eastAsia="Wingdings" w:hAnsi="Wingdings" w:cs="Wingdings"/>
        </w:rPr>
        <w:t></w:t>
      </w:r>
      <w:r w:rsidRPr="00BB421E">
        <w:t xml:space="preserve"> Europos Sąjungos fondų i</w:t>
      </w:r>
      <w:r w:rsidRPr="00BB421E">
        <w:rPr>
          <w:rFonts w:eastAsia="Calibri"/>
          <w:bCs/>
          <w:szCs w:val="24"/>
        </w:rPr>
        <w:t>nvesticijų programa (toliau – ESIP)</w:t>
      </w:r>
    </w:p>
    <w:p w14:paraId="7ED680A7" w14:textId="77777777" w:rsidR="003875DA" w:rsidRPr="00BB421E" w:rsidRDefault="003875DA" w:rsidP="003875DA">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3875DA" w:rsidRPr="00BB421E" w14:paraId="1C3C0652" w14:textId="77777777">
        <w:tc>
          <w:tcPr>
            <w:tcW w:w="3545" w:type="dxa"/>
          </w:tcPr>
          <w:p w14:paraId="061281C7" w14:textId="77777777" w:rsidR="003875DA" w:rsidRPr="00BB421E" w:rsidRDefault="003875DA">
            <w:pPr>
              <w:jc w:val="center"/>
              <w:rPr>
                <w:rFonts w:eastAsia="Calibri"/>
                <w:b/>
                <w:bCs/>
              </w:rPr>
            </w:pPr>
            <w:r w:rsidRPr="00BB421E">
              <w:rPr>
                <w:rFonts w:eastAsia="Calibri"/>
                <w:b/>
                <w:bCs/>
              </w:rPr>
              <w:t>Aplinkos tikslai</w:t>
            </w:r>
          </w:p>
          <w:p w14:paraId="0F09738E" w14:textId="77777777" w:rsidR="003875DA" w:rsidRPr="00BB421E" w:rsidRDefault="003875DA">
            <w:pPr>
              <w:jc w:val="both"/>
              <w:rPr>
                <w:rFonts w:eastAsia="Calibri"/>
                <w:b/>
                <w:bCs/>
              </w:rPr>
            </w:pPr>
            <w:r w:rsidRPr="00BB421E">
              <w:rPr>
                <w:rFonts w:eastAsia="Calibri"/>
                <w:szCs w:val="24"/>
              </w:rPr>
              <w:t>(</w:t>
            </w:r>
            <w:r w:rsidRPr="00BB421E">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7229" w:type="dxa"/>
          </w:tcPr>
          <w:p w14:paraId="78A2D444" w14:textId="77777777" w:rsidR="003875DA" w:rsidRPr="00BB421E" w:rsidRDefault="003875DA">
            <w:pPr>
              <w:jc w:val="center"/>
              <w:rPr>
                <w:rFonts w:eastAsia="Calibri"/>
                <w:b/>
                <w:szCs w:val="24"/>
              </w:rPr>
            </w:pPr>
            <w:r w:rsidRPr="00BB421E">
              <w:rPr>
                <w:rFonts w:eastAsia="Calibri"/>
                <w:b/>
                <w:szCs w:val="24"/>
              </w:rPr>
              <w:t>Pagrindimas</w:t>
            </w:r>
          </w:p>
          <w:p w14:paraId="19B63210" w14:textId="77777777" w:rsidR="003875DA" w:rsidRPr="00BB421E" w:rsidRDefault="003875DA">
            <w:pPr>
              <w:jc w:val="both"/>
              <w:rPr>
                <w:rFonts w:eastAsia="Calibri"/>
                <w:b/>
                <w:szCs w:val="24"/>
              </w:rPr>
            </w:pPr>
            <w:r w:rsidRPr="00BB421E">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4224" w:type="dxa"/>
          </w:tcPr>
          <w:p w14:paraId="7DAB3EF0" w14:textId="77777777" w:rsidR="003875DA" w:rsidRPr="00BB421E" w:rsidRDefault="003875DA">
            <w:pPr>
              <w:jc w:val="center"/>
              <w:rPr>
                <w:rFonts w:eastAsia="Calibri"/>
                <w:i/>
                <w:sz w:val="20"/>
              </w:rPr>
            </w:pPr>
            <w:r w:rsidRPr="00BB421E">
              <w:rPr>
                <w:rFonts w:eastAsia="Calibri"/>
                <w:b/>
                <w:szCs w:val="24"/>
              </w:rPr>
              <w:t>Pagrindimo dokumentai</w:t>
            </w:r>
          </w:p>
          <w:p w14:paraId="2D9A870F" w14:textId="77777777" w:rsidR="003875DA" w:rsidRPr="00BB421E" w:rsidRDefault="003875DA">
            <w:pPr>
              <w:jc w:val="both"/>
              <w:rPr>
                <w:rFonts w:eastAsia="Calibri"/>
                <w:i/>
                <w:iCs/>
              </w:rPr>
            </w:pPr>
            <w:r w:rsidRPr="00BB421E">
              <w:rPr>
                <w:rFonts w:eastAsia="Calibri"/>
                <w:i/>
                <w:szCs w:val="24"/>
              </w:rPr>
              <w:t>(nurodomas dokumentas, kuris bus vertinamas siekiant įvertinti projekto atitiktį aplinkos tikslams, arba pateikiama šią atitiktį pagrindžianti informacija)</w:t>
            </w:r>
          </w:p>
        </w:tc>
      </w:tr>
      <w:tr w:rsidR="003875DA" w:rsidRPr="00BB421E" w14:paraId="4D3475B0" w14:textId="77777777">
        <w:tc>
          <w:tcPr>
            <w:tcW w:w="3545" w:type="dxa"/>
          </w:tcPr>
          <w:p w14:paraId="45CB3049" w14:textId="77777777" w:rsidR="003875DA" w:rsidRPr="00BB421E" w:rsidRDefault="003875DA">
            <w:pPr>
              <w:tabs>
                <w:tab w:val="left" w:pos="289"/>
              </w:tabs>
              <w:ind w:firstLine="5"/>
              <w:jc w:val="both"/>
              <w:rPr>
                <w:rFonts w:eastAsia="Calibri"/>
                <w:szCs w:val="24"/>
              </w:rPr>
            </w:pPr>
            <w:r w:rsidRPr="00BB421E">
              <w:rPr>
                <w:rFonts w:eastAsia="Calibri"/>
                <w:szCs w:val="24"/>
              </w:rPr>
              <w:t>1.</w:t>
            </w:r>
            <w:r w:rsidRPr="00BB421E">
              <w:rPr>
                <w:rFonts w:eastAsia="Calibri"/>
                <w:szCs w:val="24"/>
              </w:rPr>
              <w:tab/>
              <w:t>Klimato kaitos švelninimas</w:t>
            </w:r>
          </w:p>
        </w:tc>
        <w:tc>
          <w:tcPr>
            <w:tcW w:w="7229" w:type="dxa"/>
          </w:tcPr>
          <w:p w14:paraId="30B20FE3" w14:textId="77777777" w:rsidR="006A2500" w:rsidRPr="00BB421E" w:rsidRDefault="006A2500" w:rsidP="006A2500">
            <w:pPr>
              <w:ind w:left="51"/>
              <w:jc w:val="both"/>
              <w:rPr>
                <w:bCs/>
                <w:szCs w:val="24"/>
              </w:rPr>
            </w:pPr>
            <w:r w:rsidRPr="00BB421E">
              <w:rPr>
                <w:bCs/>
                <w:szCs w:val="24"/>
              </w:rPr>
              <w:t xml:space="preserve">Siekiant sudaryti ilgalaikes sąlygas visų ES ATLPS pramonės įmonių pertvarkai, bus nustatyti būtini parengiamieji veiksmai (inicijuota </w:t>
            </w:r>
            <w:r w:rsidRPr="00BB421E">
              <w:rPr>
                <w:bCs/>
                <w:szCs w:val="24"/>
              </w:rPr>
              <w:lastRenderedPageBreak/>
              <w:t>galimybių studija), kurių reikėtų imtis nacionaliniu lygiu, norint sudaryti sąlygas ateityje užtikrinti CCS ir CCU, vandenilio ir kitų inovatyvių technologijų panaudojimo plėtrą Lietuvoje (nustatytose labiausiai dėl perėjimo prie klimatui neutralios ekonomikos nukentėsiančiose  teritorijose).</w:t>
            </w:r>
          </w:p>
          <w:p w14:paraId="22F73184" w14:textId="618E71D6" w:rsidR="003875DA" w:rsidRPr="00BB421E" w:rsidRDefault="003875DA" w:rsidP="006A2500">
            <w:pPr>
              <w:ind w:left="51"/>
              <w:jc w:val="both"/>
              <w:rPr>
                <w:rFonts w:eastAsia="Calibri"/>
                <w:bCs/>
                <w:szCs w:val="24"/>
              </w:rPr>
            </w:pPr>
          </w:p>
        </w:tc>
        <w:tc>
          <w:tcPr>
            <w:tcW w:w="4224" w:type="dxa"/>
          </w:tcPr>
          <w:p w14:paraId="1BB8FE57" w14:textId="77777777" w:rsidR="006A2500" w:rsidRPr="00BB421E" w:rsidRDefault="006A2500" w:rsidP="006A2500">
            <w:pPr>
              <w:ind w:left="51"/>
              <w:jc w:val="both"/>
              <w:rPr>
                <w:bCs/>
                <w:szCs w:val="24"/>
              </w:rPr>
            </w:pPr>
            <w:r w:rsidRPr="00BB421E">
              <w:rPr>
                <w:bCs/>
                <w:szCs w:val="24"/>
              </w:rPr>
              <w:lastRenderedPageBreak/>
              <w:t xml:space="preserve">Nustatyta, kad įgyvendinat veiksmą (veiklą) bus siekiama su klimato kaita </w:t>
            </w:r>
            <w:r w:rsidRPr="00BB421E">
              <w:rPr>
                <w:bCs/>
                <w:szCs w:val="24"/>
              </w:rPr>
              <w:lastRenderedPageBreak/>
              <w:t>susijusio (100%) ir aplinkos tikslo koeficiento (40%), todėl laikoma, kad veiksmai (veiklos) atitinka klimato kaitos švelninimo tikslą.</w:t>
            </w:r>
          </w:p>
          <w:p w14:paraId="00335AF1" w14:textId="31E7C838" w:rsidR="003875DA" w:rsidRPr="00BB421E" w:rsidRDefault="006A2500" w:rsidP="006B1B30">
            <w:pPr>
              <w:ind w:left="51"/>
              <w:jc w:val="both"/>
              <w:rPr>
                <w:bCs/>
                <w:szCs w:val="24"/>
              </w:rPr>
            </w:pPr>
            <w:r w:rsidRPr="00BB421E">
              <w:rPr>
                <w:bCs/>
                <w:szCs w:val="24"/>
              </w:rPr>
              <w:t>Šis veiksmas (veikla) dėl savo pobūdžio neturės jokio neigiamo tiesioginio ar netiesioginio poveikio klimato kaitos švelninimo tikslui, nes nenumatoma, kad įgyvendinant veiklą būtų kuriama infrastruktūra, kuri galėtų turėti ženklų poveikį klimato kaitai ir būtų ŠESD išsiskyrimas. Atvirkščiai, bus išanalizuotos galimybės technologijų, užtikrinančių 0 emisijas, taikymas.</w:t>
            </w:r>
          </w:p>
        </w:tc>
      </w:tr>
      <w:tr w:rsidR="003875DA" w:rsidRPr="00BB421E" w14:paraId="5CD32986" w14:textId="77777777">
        <w:tc>
          <w:tcPr>
            <w:tcW w:w="3545" w:type="dxa"/>
          </w:tcPr>
          <w:p w14:paraId="7093CC3C" w14:textId="77777777" w:rsidR="003875DA" w:rsidRPr="00BB421E" w:rsidRDefault="003875DA">
            <w:pPr>
              <w:tabs>
                <w:tab w:val="left" w:pos="289"/>
              </w:tabs>
              <w:ind w:firstLine="5"/>
              <w:jc w:val="both"/>
              <w:rPr>
                <w:rFonts w:eastAsia="Calibri"/>
                <w:szCs w:val="24"/>
              </w:rPr>
            </w:pPr>
            <w:r w:rsidRPr="00BB421E">
              <w:rPr>
                <w:rFonts w:eastAsia="Calibri"/>
                <w:szCs w:val="24"/>
              </w:rPr>
              <w:lastRenderedPageBreak/>
              <w:t>2.</w:t>
            </w:r>
            <w:r w:rsidRPr="00BB421E">
              <w:rPr>
                <w:rFonts w:eastAsia="Calibri"/>
                <w:szCs w:val="24"/>
              </w:rPr>
              <w:tab/>
              <w:t>Prisitaikymas prie klimato kaitos</w:t>
            </w:r>
          </w:p>
        </w:tc>
        <w:tc>
          <w:tcPr>
            <w:tcW w:w="7229" w:type="dxa"/>
          </w:tcPr>
          <w:p w14:paraId="6E47A3AF" w14:textId="4E86E567" w:rsidR="003875DA" w:rsidRPr="00BB421E" w:rsidRDefault="006A2500" w:rsidP="006A2500">
            <w:pPr>
              <w:ind w:left="51"/>
              <w:jc w:val="both"/>
              <w:rPr>
                <w:bCs/>
                <w:szCs w:val="24"/>
              </w:rPr>
            </w:pPr>
            <w:r w:rsidRPr="00BB421E">
              <w:rPr>
                <w:bCs/>
                <w:szCs w:val="24"/>
              </w:rPr>
              <w:t>Siekiant sudaryti ilgalaikes sąlygas visų ES ATLPS pramonės įmonių pertvarkai, bus nustatyti būtini parengiamieji veiksmai (inicijuota galimybių studija), kurių reikėtų imtis nacionaliniu lygiu, norint sudaryti sąlygas ateityje užtikrinti CCS ir CCU, vandenilio ir kitų inovatyvių technologijų panaudojimo plėtrą Lietuvoje (nustatytose labiausiai dėl perėjimo prie klimatui neutralios ekonomikos nukentėsiančiose  teritorijose).</w:t>
            </w:r>
          </w:p>
        </w:tc>
        <w:tc>
          <w:tcPr>
            <w:tcW w:w="4224" w:type="dxa"/>
          </w:tcPr>
          <w:p w14:paraId="4D5F51D5" w14:textId="2F064945" w:rsidR="003875DA" w:rsidRPr="00BB421E" w:rsidRDefault="006A2500">
            <w:pPr>
              <w:jc w:val="both"/>
              <w:rPr>
                <w:rFonts w:eastAsia="Calibri"/>
                <w:bCs/>
                <w:szCs w:val="24"/>
              </w:rPr>
            </w:pPr>
            <w:r w:rsidRPr="00BB421E">
              <w:rPr>
                <w:szCs w:val="24"/>
              </w:rPr>
              <w:t xml:space="preserve">Šis veiksmas (veikla) (dėl savo pobūdžio) neturės jokio neigiamo tiesioginio ar netiesioginio poveikio prisitaikymo prie klimato kaitos tikslui, nes neplanuojamos kurti jokios infrastruktūros (nauja statyba ar infrastruktūros modernizavimas) </w:t>
            </w:r>
            <w:r w:rsidRPr="00BB421E">
              <w:rPr>
                <w:rFonts w:eastAsia="Calibri"/>
                <w:szCs w:val="24"/>
              </w:rPr>
              <w:t>potvynių zonoje, taip pat pagal šią veiklą nebus įsigyta jokia įranga.</w:t>
            </w:r>
          </w:p>
        </w:tc>
      </w:tr>
      <w:tr w:rsidR="003875DA" w:rsidRPr="00BB421E" w14:paraId="46F15DCC" w14:textId="77777777">
        <w:tc>
          <w:tcPr>
            <w:tcW w:w="3545" w:type="dxa"/>
          </w:tcPr>
          <w:p w14:paraId="2BECEF05" w14:textId="77777777" w:rsidR="003875DA" w:rsidRPr="00BB421E" w:rsidRDefault="003875DA">
            <w:pPr>
              <w:tabs>
                <w:tab w:val="left" w:pos="289"/>
              </w:tabs>
              <w:ind w:firstLine="5"/>
              <w:jc w:val="both"/>
              <w:rPr>
                <w:rFonts w:eastAsia="Calibri"/>
                <w:szCs w:val="24"/>
              </w:rPr>
            </w:pPr>
            <w:r w:rsidRPr="00BB421E">
              <w:rPr>
                <w:rFonts w:eastAsia="Calibri"/>
                <w:szCs w:val="24"/>
              </w:rPr>
              <w:t>3.</w:t>
            </w:r>
            <w:r w:rsidRPr="00BB421E">
              <w:rPr>
                <w:rFonts w:eastAsia="Calibri"/>
                <w:szCs w:val="24"/>
              </w:rPr>
              <w:tab/>
              <w:t>Tausus vandens ir jūrų išteklių naudojimas ir apsauga</w:t>
            </w:r>
          </w:p>
        </w:tc>
        <w:tc>
          <w:tcPr>
            <w:tcW w:w="7229" w:type="dxa"/>
          </w:tcPr>
          <w:p w14:paraId="0E749C30" w14:textId="77777777" w:rsidR="00F937D1" w:rsidRPr="00BB421E" w:rsidRDefault="00F937D1" w:rsidP="00F937D1">
            <w:pPr>
              <w:jc w:val="both"/>
              <w:rPr>
                <w:bCs/>
                <w:szCs w:val="24"/>
              </w:rPr>
            </w:pPr>
            <w:r w:rsidRPr="00BB421E">
              <w:rPr>
                <w:bCs/>
                <w:szCs w:val="24"/>
              </w:rPr>
              <w:t>Siekiant sudaryti ilgalaikes sąlygas visų ES ATLPS pramonės įmonių pertvarkai, bus nustatyti būtini parengiamieji veiksmai (inicijuota galimybių studija), kurių reikėtų imtis nacionaliniu lygiu, norint sudaryti sąlygas ateityje užtikrinti CCS ir CCU, vandenilio ir kitų inovatyvių technologijų panaudojimo plėtrą Lietuvoje (nustatytose labiausiai dėl perėjimo prie klimatui neutralios ekonomikos nukentėsiančiose  teritorijose).</w:t>
            </w:r>
          </w:p>
          <w:p w14:paraId="04133F9E" w14:textId="77777777" w:rsidR="003875DA" w:rsidRPr="00BB421E" w:rsidRDefault="003875DA">
            <w:pPr>
              <w:jc w:val="both"/>
              <w:rPr>
                <w:rFonts w:eastAsia="Calibri"/>
                <w:bCs/>
                <w:szCs w:val="24"/>
              </w:rPr>
            </w:pPr>
            <w:r w:rsidRPr="00BB421E">
              <w:rPr>
                <w:rFonts w:eastAsia="Calibri"/>
                <w:bCs/>
                <w:szCs w:val="24"/>
              </w:rPr>
              <w:t>Įgyvendinat veiklas bus laikomasi energijos efektyvumo elgesio kodekse ir kituose dokumentuose, nurodytuose 2021 m. birželio 4 d. Komisijos deleguotajame reglamente (ES) 2021/2139, nustatytų reikalavimų.</w:t>
            </w:r>
          </w:p>
        </w:tc>
        <w:tc>
          <w:tcPr>
            <w:tcW w:w="4224" w:type="dxa"/>
          </w:tcPr>
          <w:p w14:paraId="717C41B3" w14:textId="4602EB56" w:rsidR="003875DA" w:rsidRPr="00BB421E" w:rsidRDefault="00F937D1">
            <w:pPr>
              <w:jc w:val="both"/>
              <w:rPr>
                <w:rFonts w:eastAsia="Calibri"/>
                <w:bCs/>
                <w:szCs w:val="24"/>
              </w:rPr>
            </w:pPr>
            <w:r w:rsidRPr="00BB421E">
              <w:rPr>
                <w:bCs/>
                <w:szCs w:val="24"/>
              </w:rPr>
              <w:t xml:space="preserve">Šis veiksmas (veikla) (dėl savo pobūdžio) neturės jokio neigiamo tiesioginio ir netiesioginio poveikio šiam aplinkos tikslui, nes nenumatoma kurti jokia infrastruktūra šalia vandens telkinių, kuri galėtų turėti įtakos tausiam vandens ir jūrų išteklių naudojimui, </w:t>
            </w:r>
            <w:r w:rsidRPr="00BB421E">
              <w:rPr>
                <w:szCs w:val="24"/>
              </w:rPr>
              <w:t>o planuojama įsigyti įranga turės atitikti visuotinai ES taikomus standartus ir utilizuojama taikant visus būtinus reikalavimus.</w:t>
            </w:r>
          </w:p>
        </w:tc>
      </w:tr>
      <w:tr w:rsidR="003875DA" w:rsidRPr="00BB421E" w14:paraId="10CD108D" w14:textId="77777777" w:rsidTr="006B1B30">
        <w:trPr>
          <w:trHeight w:val="1979"/>
        </w:trPr>
        <w:tc>
          <w:tcPr>
            <w:tcW w:w="3545" w:type="dxa"/>
          </w:tcPr>
          <w:p w14:paraId="34A838FF" w14:textId="77777777" w:rsidR="003875DA" w:rsidRPr="00BB421E" w:rsidRDefault="003875DA">
            <w:pPr>
              <w:tabs>
                <w:tab w:val="left" w:pos="289"/>
              </w:tabs>
              <w:ind w:firstLine="5"/>
              <w:jc w:val="both"/>
              <w:rPr>
                <w:rFonts w:eastAsia="Calibri"/>
                <w:szCs w:val="24"/>
              </w:rPr>
            </w:pPr>
            <w:r w:rsidRPr="00BB421E">
              <w:rPr>
                <w:rFonts w:eastAsia="Calibri"/>
                <w:szCs w:val="24"/>
              </w:rPr>
              <w:lastRenderedPageBreak/>
              <w:t>4.</w:t>
            </w:r>
            <w:r w:rsidRPr="00BB421E">
              <w:rPr>
                <w:rFonts w:eastAsia="Calibri"/>
                <w:szCs w:val="24"/>
              </w:rPr>
              <w:tab/>
              <w:t>Perėjimas prie žiedinės ekonomikos, įskaitant atliekų prevenciją ir perdirbimą</w:t>
            </w:r>
          </w:p>
        </w:tc>
        <w:tc>
          <w:tcPr>
            <w:tcW w:w="7229" w:type="dxa"/>
          </w:tcPr>
          <w:p w14:paraId="10C2BC03" w14:textId="35C85B89" w:rsidR="003875DA" w:rsidRPr="00BB421E" w:rsidRDefault="00F937D1">
            <w:pPr>
              <w:jc w:val="both"/>
              <w:rPr>
                <w:bCs/>
                <w:szCs w:val="24"/>
              </w:rPr>
            </w:pPr>
            <w:r w:rsidRPr="00BB421E">
              <w:rPr>
                <w:bCs/>
                <w:szCs w:val="24"/>
              </w:rPr>
              <w:t>Siekiant sudaryti ilgalaikes sąlygas visų ES ATLPS pramonės įmonių pertvarkai, bus nustatyti būtini parengiamieji veiksmai (inicijuota galimybių studija), kurių reikėtų imtis nacionaliniu lygiu, norint sudaryti sąlygas ateityje užtikrinti CCS ir CCU, vandenilio ir kitų inovatyvių technologijų panaudojimo plėtrą Lietuvoje (nustatytose labiausiai dėl perėjimo prie klimatui neutralios ekonomikos nukentėsiančiose  teritorijose).</w:t>
            </w:r>
          </w:p>
        </w:tc>
        <w:tc>
          <w:tcPr>
            <w:tcW w:w="4224" w:type="dxa"/>
          </w:tcPr>
          <w:p w14:paraId="4F9B3856" w14:textId="35E30BC9" w:rsidR="003875DA" w:rsidRPr="00BB421E" w:rsidRDefault="00F937D1">
            <w:pPr>
              <w:jc w:val="both"/>
              <w:rPr>
                <w:rFonts w:eastAsia="Calibri"/>
                <w:szCs w:val="24"/>
              </w:rPr>
            </w:pPr>
            <w:r w:rsidRPr="00BB421E">
              <w:rPr>
                <w:rFonts w:eastAsia="Calibri"/>
                <w:szCs w:val="24"/>
              </w:rPr>
              <w:t>Numatoma veikla (dėl savo pobūdžio) neturės jokio neigiamo tiesioginio ar netiesioginio poveikio žiedinės ekonomikos, įskaitant atliekų prevenciją ir perdirbimą, tikslui.</w:t>
            </w:r>
          </w:p>
        </w:tc>
      </w:tr>
      <w:tr w:rsidR="003875DA" w:rsidRPr="00BB421E" w14:paraId="2EB2BF47" w14:textId="77777777" w:rsidTr="006B1B30">
        <w:trPr>
          <w:trHeight w:val="1823"/>
        </w:trPr>
        <w:tc>
          <w:tcPr>
            <w:tcW w:w="3545" w:type="dxa"/>
          </w:tcPr>
          <w:p w14:paraId="2600B02A" w14:textId="77777777" w:rsidR="003875DA" w:rsidRPr="00BB421E" w:rsidRDefault="003875DA">
            <w:pPr>
              <w:tabs>
                <w:tab w:val="left" w:pos="289"/>
              </w:tabs>
              <w:ind w:firstLine="5"/>
              <w:jc w:val="both"/>
              <w:rPr>
                <w:rFonts w:eastAsia="Calibri"/>
                <w:szCs w:val="24"/>
              </w:rPr>
            </w:pPr>
            <w:r w:rsidRPr="00BB421E">
              <w:rPr>
                <w:rFonts w:eastAsia="Calibri"/>
                <w:szCs w:val="24"/>
              </w:rPr>
              <w:t>5.</w:t>
            </w:r>
            <w:r w:rsidRPr="00BB421E">
              <w:rPr>
                <w:rFonts w:eastAsia="Calibri"/>
                <w:szCs w:val="24"/>
              </w:rPr>
              <w:tab/>
            </w:r>
            <w:r w:rsidRPr="00BB421E">
              <w:rPr>
                <w:rFonts w:eastAsia="Calibri"/>
                <w:bCs/>
                <w:szCs w:val="24"/>
              </w:rPr>
              <w:t>Oro, vandens ar žemės taršos prevencija ir kontrolė</w:t>
            </w:r>
          </w:p>
        </w:tc>
        <w:tc>
          <w:tcPr>
            <w:tcW w:w="7229" w:type="dxa"/>
          </w:tcPr>
          <w:p w14:paraId="31013A1F" w14:textId="6DA181EB" w:rsidR="003875DA" w:rsidRPr="00BB421E" w:rsidRDefault="00F937D1">
            <w:pPr>
              <w:jc w:val="both"/>
              <w:rPr>
                <w:bCs/>
                <w:szCs w:val="24"/>
              </w:rPr>
            </w:pPr>
            <w:r w:rsidRPr="00BB421E">
              <w:rPr>
                <w:bCs/>
                <w:szCs w:val="24"/>
              </w:rPr>
              <w:t>Siekiant sudaryti ilgalaikes sąlygas visų ES ATLPS pramonės įmonių pertvarkai, bus nustatyti būtini parengiamieji veiksmai (inicijuota galimybių studija), kurių reikėtų imtis nacionaliniu lygiu, norint sudaryti sąlygas ateityje užtikrinti CCS ir CCU, vandenilio ir kitų inovatyvių technologijų panaudojimo plėtrą Lietuvoje (nustatytose labiausiai dėl perėjimo prie klimatui neutralios ekonomikos nukentėsiančiose  teritorijose).</w:t>
            </w:r>
          </w:p>
        </w:tc>
        <w:tc>
          <w:tcPr>
            <w:tcW w:w="4224" w:type="dxa"/>
          </w:tcPr>
          <w:p w14:paraId="171F815E" w14:textId="788FE0EF" w:rsidR="003875DA" w:rsidRPr="00BB421E" w:rsidRDefault="00F937D1">
            <w:pPr>
              <w:jc w:val="both"/>
              <w:rPr>
                <w:rFonts w:eastAsia="Calibri"/>
                <w:szCs w:val="24"/>
              </w:rPr>
            </w:pPr>
            <w:r w:rsidRPr="00BB421E">
              <w:rPr>
                <w:szCs w:val="24"/>
              </w:rPr>
              <w:t>Šie veiksmai (veiklos) (dėl savo pobūdžio) neturės jokio neigiamo tiesioginio ir netiesioginio poveikio šiam aplinkos tikslui.</w:t>
            </w:r>
          </w:p>
        </w:tc>
      </w:tr>
      <w:tr w:rsidR="003875DA" w:rsidRPr="00BB421E" w14:paraId="25FFE289" w14:textId="77777777">
        <w:tc>
          <w:tcPr>
            <w:tcW w:w="3545" w:type="dxa"/>
          </w:tcPr>
          <w:p w14:paraId="1A60CF40" w14:textId="77777777" w:rsidR="003875DA" w:rsidRPr="00BB421E" w:rsidRDefault="003875DA">
            <w:pPr>
              <w:tabs>
                <w:tab w:val="left" w:pos="289"/>
              </w:tabs>
              <w:ind w:left="5" w:firstLine="5"/>
              <w:jc w:val="both"/>
              <w:rPr>
                <w:rFonts w:eastAsia="Calibri"/>
                <w:szCs w:val="24"/>
              </w:rPr>
            </w:pPr>
            <w:r w:rsidRPr="00BB421E">
              <w:rPr>
                <w:rFonts w:eastAsia="Calibri"/>
                <w:szCs w:val="24"/>
              </w:rPr>
              <w:t>6.</w:t>
            </w:r>
            <w:r w:rsidRPr="00BB421E">
              <w:rPr>
                <w:rFonts w:eastAsia="Calibri"/>
                <w:szCs w:val="24"/>
              </w:rPr>
              <w:tab/>
              <w:t>Biologinės įvairovės ir ekosistemų apsauga ir atkūrimas</w:t>
            </w:r>
          </w:p>
        </w:tc>
        <w:tc>
          <w:tcPr>
            <w:tcW w:w="7229" w:type="dxa"/>
          </w:tcPr>
          <w:p w14:paraId="3749B359" w14:textId="68020E34" w:rsidR="003875DA" w:rsidRPr="00BB421E" w:rsidRDefault="00F937D1">
            <w:pPr>
              <w:jc w:val="both"/>
              <w:rPr>
                <w:bCs/>
                <w:szCs w:val="24"/>
              </w:rPr>
            </w:pPr>
            <w:r w:rsidRPr="00BB421E">
              <w:rPr>
                <w:bCs/>
                <w:szCs w:val="24"/>
              </w:rPr>
              <w:t>Siekiant sudaryti ilgalaikes sąlygas visų ES ATLPS pramonės įmonių pertvarkai, bus nustatyti būtini parengiamieji veiksmai (inicijuota galimybių studija), kurių reikėtų imtis nacionaliniu lygiu, norint sudaryti sąlygas ateityje užtikrinti CCS ir CCU, vandenilio ir kitų inovatyvių technologijų panaudojimo plėtrą Lietuvoje (nustatytose labiausiai dėl perėjimo prie klimatui neutralios ekonomikos nukentėsiančiose  teritorijose).</w:t>
            </w:r>
          </w:p>
        </w:tc>
        <w:tc>
          <w:tcPr>
            <w:tcW w:w="4224" w:type="dxa"/>
          </w:tcPr>
          <w:p w14:paraId="3728743C" w14:textId="0934AB6F" w:rsidR="003875DA" w:rsidRPr="00BB421E" w:rsidRDefault="00F937D1">
            <w:pPr>
              <w:jc w:val="both"/>
              <w:rPr>
                <w:rFonts w:eastAsia="Calibri"/>
                <w:szCs w:val="24"/>
              </w:rPr>
            </w:pPr>
            <w:r w:rsidRPr="00BB421E">
              <w:rPr>
                <w:szCs w:val="24"/>
              </w:rPr>
              <w:t xml:space="preserve">Šie veiksmai (veiklos) (dėl savo pobūdžio) neturės jokio neigiamo tiesioginio ir netiesioginio poveikio šiam aplinkos tikslui, nes nenumatoma kurti ar modernizuoti infrastruktūrą </w:t>
            </w:r>
            <w:proofErr w:type="spellStart"/>
            <w:r w:rsidRPr="00BB421E">
              <w:rPr>
                <w:szCs w:val="24"/>
              </w:rPr>
              <w:t>Natura</w:t>
            </w:r>
            <w:proofErr w:type="spellEnd"/>
            <w:r w:rsidRPr="00BB421E">
              <w:rPr>
                <w:szCs w:val="24"/>
              </w:rPr>
              <w:t xml:space="preserve"> 2000, UNESCO pasaulinio paveldo ar kitose saugomose teritorijose.</w:t>
            </w:r>
          </w:p>
        </w:tc>
      </w:tr>
    </w:tbl>
    <w:p w14:paraId="64A27935" w14:textId="77777777" w:rsidR="003875DA" w:rsidRPr="00BB421E" w:rsidRDefault="003875DA" w:rsidP="003875DA"/>
    <w:p w14:paraId="4810E57B" w14:textId="77777777" w:rsidR="003875DA" w:rsidRPr="00BB421E" w:rsidRDefault="003875DA" w:rsidP="003875DA">
      <w:pPr>
        <w:spacing w:line="276" w:lineRule="auto"/>
        <w:jc w:val="center"/>
        <w:rPr>
          <w:sz w:val="22"/>
          <w:szCs w:val="22"/>
          <w:u w:val="single"/>
        </w:rPr>
      </w:pPr>
      <w:r w:rsidRPr="00BB421E">
        <w:rPr>
          <w:rFonts w:ascii="Calibri" w:eastAsia="Calibri" w:hAnsi="Calibri"/>
          <w:sz w:val="22"/>
          <w:szCs w:val="22"/>
          <w:u w:val="single"/>
        </w:rPr>
        <w:t>________________</w:t>
      </w:r>
    </w:p>
    <w:p w14:paraId="4B4089DB" w14:textId="77777777" w:rsidR="003875DA" w:rsidRPr="00BB421E" w:rsidRDefault="003875DA" w:rsidP="003875DA">
      <w:pPr>
        <w:spacing w:line="276" w:lineRule="auto"/>
        <w:jc w:val="center"/>
        <w:rPr>
          <w:szCs w:val="24"/>
        </w:rPr>
      </w:pPr>
    </w:p>
    <w:p w14:paraId="71AC0027" w14:textId="720BCE42" w:rsidR="00DC389D" w:rsidRPr="00BB421E" w:rsidRDefault="00DC389D" w:rsidP="00DC389D">
      <w:pPr>
        <w:tabs>
          <w:tab w:val="left" w:pos="8310"/>
        </w:tabs>
        <w:rPr>
          <w:szCs w:val="24"/>
        </w:rPr>
      </w:pPr>
    </w:p>
    <w:p w14:paraId="49F4A87F" w14:textId="49F0E6FA" w:rsidR="00B0071A" w:rsidRPr="00BB421E" w:rsidRDefault="00B0071A" w:rsidP="00DC389D">
      <w:pPr>
        <w:tabs>
          <w:tab w:val="left" w:pos="8310"/>
        </w:tabs>
        <w:rPr>
          <w:szCs w:val="24"/>
        </w:rPr>
      </w:pPr>
    </w:p>
    <w:p w14:paraId="39D9F2AA" w14:textId="793F4888" w:rsidR="00B0071A" w:rsidRPr="00BB421E" w:rsidRDefault="00B0071A" w:rsidP="00DC389D">
      <w:pPr>
        <w:tabs>
          <w:tab w:val="left" w:pos="8310"/>
        </w:tabs>
        <w:rPr>
          <w:szCs w:val="24"/>
        </w:rPr>
      </w:pPr>
    </w:p>
    <w:p w14:paraId="0BCE9560" w14:textId="0F45430B" w:rsidR="00B0071A" w:rsidRPr="00BB421E" w:rsidRDefault="00B0071A" w:rsidP="00DC389D">
      <w:pPr>
        <w:tabs>
          <w:tab w:val="left" w:pos="8310"/>
        </w:tabs>
        <w:rPr>
          <w:szCs w:val="24"/>
        </w:rPr>
      </w:pPr>
    </w:p>
    <w:p w14:paraId="6F29B531" w14:textId="2E18FB7C" w:rsidR="00B0071A" w:rsidRPr="00BB421E" w:rsidRDefault="00B0071A" w:rsidP="00DC389D">
      <w:pPr>
        <w:tabs>
          <w:tab w:val="left" w:pos="8310"/>
        </w:tabs>
        <w:rPr>
          <w:szCs w:val="24"/>
        </w:rPr>
      </w:pPr>
    </w:p>
    <w:p w14:paraId="0F748011" w14:textId="0361D29D" w:rsidR="00B0071A" w:rsidRPr="00BB421E" w:rsidRDefault="00B0071A" w:rsidP="00DC389D">
      <w:pPr>
        <w:tabs>
          <w:tab w:val="left" w:pos="8310"/>
        </w:tabs>
        <w:rPr>
          <w:szCs w:val="24"/>
        </w:rPr>
      </w:pPr>
    </w:p>
    <w:p w14:paraId="5AD97A9E" w14:textId="6441F855" w:rsidR="00B0071A" w:rsidRPr="00BB421E" w:rsidRDefault="00B0071A" w:rsidP="00DC389D">
      <w:pPr>
        <w:tabs>
          <w:tab w:val="left" w:pos="8310"/>
        </w:tabs>
        <w:rPr>
          <w:szCs w:val="24"/>
        </w:rPr>
      </w:pPr>
    </w:p>
    <w:p w14:paraId="355B56A2" w14:textId="77777777" w:rsidR="00B0071A" w:rsidRPr="00BB421E" w:rsidRDefault="00B0071A" w:rsidP="00DC389D">
      <w:pPr>
        <w:tabs>
          <w:tab w:val="left" w:pos="8310"/>
        </w:tabs>
        <w:rPr>
          <w:szCs w:val="24"/>
        </w:rPr>
        <w:sectPr w:rsidR="00B0071A" w:rsidRPr="00BB421E" w:rsidSect="00B0071A">
          <w:pgSz w:w="16838" w:h="11906" w:orient="landscape"/>
          <w:pgMar w:top="1701" w:right="567" w:bottom="1134" w:left="1134" w:header="567" w:footer="567" w:gutter="0"/>
          <w:pgNumType w:start="1"/>
          <w:cols w:space="1296"/>
          <w:titlePg/>
          <w:docGrid w:linePitch="360"/>
        </w:sectPr>
      </w:pPr>
    </w:p>
    <w:p w14:paraId="51E0B529" w14:textId="3492CF65" w:rsidR="00B0071A" w:rsidRPr="00BB421E" w:rsidRDefault="00B0071A" w:rsidP="00DC389D">
      <w:pPr>
        <w:tabs>
          <w:tab w:val="left" w:pos="8310"/>
        </w:tabs>
        <w:rPr>
          <w:szCs w:val="24"/>
        </w:rPr>
      </w:pPr>
    </w:p>
    <w:p w14:paraId="05C730FC" w14:textId="28177EEC" w:rsidR="00270EAA" w:rsidRPr="00BB421E" w:rsidRDefault="00270EAA" w:rsidP="00270EAA">
      <w:pPr>
        <w:ind w:left="9639"/>
        <w:jc w:val="both"/>
        <w:rPr>
          <w:color w:val="000000"/>
          <w:szCs w:val="24"/>
        </w:rPr>
      </w:pPr>
      <w:r w:rsidRPr="00BB421E">
        <w:rPr>
          <w:color w:val="000000"/>
          <w:szCs w:val="24"/>
        </w:rPr>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veiklos „CO2 sugavimo ir saugojimo, vandenilio ir kitų inovatyvių technologijų panaudojimo galimybių vertinimas Lietuvos pramonės įmonėse, veikiančiose labiausiai neigiamai paveiktose teritorijose“ projektų finansavimo sąlygų aprašo </w:t>
      </w:r>
    </w:p>
    <w:p w14:paraId="45AEE7C6" w14:textId="6591245B" w:rsidR="00270EAA" w:rsidRPr="00BB421E" w:rsidRDefault="00270EAA" w:rsidP="00270EAA">
      <w:pPr>
        <w:ind w:left="9639"/>
        <w:jc w:val="both"/>
        <w:rPr>
          <w:color w:val="000000"/>
          <w:szCs w:val="24"/>
        </w:rPr>
      </w:pPr>
      <w:r w:rsidRPr="00BB421E">
        <w:rPr>
          <w:color w:val="000000"/>
          <w:szCs w:val="24"/>
        </w:rPr>
        <w:t>2 priedas</w:t>
      </w:r>
    </w:p>
    <w:p w14:paraId="7C18519B" w14:textId="77777777" w:rsidR="00237799" w:rsidRPr="00BB421E" w:rsidRDefault="00237799" w:rsidP="00237799">
      <w:pPr>
        <w:jc w:val="center"/>
        <w:rPr>
          <w:b/>
          <w:bCs/>
          <w:szCs w:val="24"/>
        </w:rPr>
      </w:pPr>
    </w:p>
    <w:p w14:paraId="2D2D3800" w14:textId="333F0804" w:rsidR="00CE7DEE" w:rsidRPr="00BB421E" w:rsidRDefault="00CE7DEE" w:rsidP="00237799">
      <w:pPr>
        <w:jc w:val="center"/>
        <w:rPr>
          <w:b/>
          <w:bCs/>
          <w:szCs w:val="24"/>
        </w:rPr>
      </w:pPr>
      <w:r w:rsidRPr="00BB421E">
        <w:rPr>
          <w:b/>
          <w:bCs/>
          <w:szCs w:val="24"/>
        </w:rPr>
        <w:t>R</w:t>
      </w:r>
      <w:r w:rsidR="003C7EE4" w:rsidRPr="00BB421E">
        <w:rPr>
          <w:b/>
          <w:bCs/>
          <w:szCs w:val="24"/>
        </w:rPr>
        <w:t>EIKALAVIMAI GALIMYBIŲ STUDIJOS TURINIUI IR UŽDUOTYS PASLAUGŲ TEIKĖJUI</w:t>
      </w:r>
    </w:p>
    <w:p w14:paraId="142356A6" w14:textId="77777777" w:rsidR="00237799" w:rsidRPr="00BB421E" w:rsidRDefault="00237799" w:rsidP="00B61CC1">
      <w:pPr>
        <w:jc w:val="center"/>
        <w:rPr>
          <w:b/>
          <w:bCs/>
          <w:szCs w:val="24"/>
        </w:rPr>
      </w:pPr>
    </w:p>
    <w:p w14:paraId="4D39CE5D" w14:textId="221F18B9" w:rsidR="00CE7DEE" w:rsidRPr="00BB421E" w:rsidRDefault="00CE7DEE" w:rsidP="00B61CC1">
      <w:pPr>
        <w:jc w:val="both"/>
        <w:rPr>
          <w:bCs/>
          <w:szCs w:val="24"/>
        </w:rPr>
      </w:pPr>
      <w:r w:rsidRPr="00BB421E">
        <w:rPr>
          <w:bCs/>
          <w:szCs w:val="24"/>
        </w:rPr>
        <w:t xml:space="preserve">Siekiant sudaryti ilgalaikes sąlygas visų Europos Sąjungos apyvartinių taršos leidimų sistemoje dalyvaujančių (toliau – ES ATLPS) pramonės įmonių pertvarkai, turi būti </w:t>
      </w:r>
      <w:r w:rsidRPr="00BB421E">
        <w:rPr>
          <w:b/>
          <w:szCs w:val="24"/>
        </w:rPr>
        <w:t>nustatyti būtini parengiamieji veiksmai</w:t>
      </w:r>
      <w:r w:rsidRPr="00BB421E">
        <w:rPr>
          <w:bCs/>
          <w:szCs w:val="24"/>
        </w:rPr>
        <w:t xml:space="preserve"> (inicijuota </w:t>
      </w:r>
      <w:r w:rsidRPr="00BB421E">
        <w:rPr>
          <w:b/>
          <w:szCs w:val="24"/>
        </w:rPr>
        <w:t>galimybių studija</w:t>
      </w:r>
      <w:r w:rsidRPr="00BB421E">
        <w:rPr>
          <w:bCs/>
          <w:szCs w:val="24"/>
        </w:rPr>
        <w:t xml:space="preserve">), kurių reikėtų imtis nacionaliniu lygiu, norint sudaryti sąlygas ateityje užtikrinti </w:t>
      </w:r>
      <w:r w:rsidRPr="00BB421E">
        <w:rPr>
          <w:szCs w:val="24"/>
        </w:rPr>
        <w:t>anglies dioksido</w:t>
      </w:r>
      <w:r w:rsidR="00511994" w:rsidRPr="00BB421E">
        <w:rPr>
          <w:szCs w:val="24"/>
        </w:rPr>
        <w:t xml:space="preserve"> (toliau – CO</w:t>
      </w:r>
      <w:r w:rsidR="00511994" w:rsidRPr="00BB421E">
        <w:rPr>
          <w:szCs w:val="24"/>
          <w:vertAlign w:val="subscript"/>
        </w:rPr>
        <w:t>2</w:t>
      </w:r>
      <w:r w:rsidR="00511994" w:rsidRPr="00BB421E">
        <w:rPr>
          <w:bCs/>
          <w:szCs w:val="24"/>
        </w:rPr>
        <w:t>)</w:t>
      </w:r>
      <w:r w:rsidRPr="00BB421E">
        <w:rPr>
          <w:szCs w:val="24"/>
        </w:rPr>
        <w:t xml:space="preserve"> surinkimo ir saugojimo (angl. </w:t>
      </w:r>
      <w:r w:rsidRPr="00BB421E">
        <w:rPr>
          <w:i/>
          <w:iCs/>
          <w:szCs w:val="24"/>
        </w:rPr>
        <w:t>CCS</w:t>
      </w:r>
      <w:r w:rsidRPr="00BB421E">
        <w:rPr>
          <w:szCs w:val="24"/>
        </w:rPr>
        <w:t>)</w:t>
      </w:r>
      <w:r w:rsidRPr="00BB421E">
        <w:rPr>
          <w:bCs/>
          <w:szCs w:val="24"/>
        </w:rPr>
        <w:t xml:space="preserve"> ir </w:t>
      </w:r>
      <w:r w:rsidR="00511994" w:rsidRPr="00BB421E">
        <w:rPr>
          <w:szCs w:val="24"/>
        </w:rPr>
        <w:t>CO</w:t>
      </w:r>
      <w:r w:rsidR="00511994" w:rsidRPr="00BB421E">
        <w:rPr>
          <w:szCs w:val="24"/>
          <w:vertAlign w:val="subscript"/>
        </w:rPr>
        <w:t xml:space="preserve">2 </w:t>
      </w:r>
      <w:r w:rsidRPr="00BB421E">
        <w:rPr>
          <w:color w:val="000000"/>
          <w:szCs w:val="24"/>
        </w:rPr>
        <w:t>sugavimo ir panaudojimo technologijų (angl. </w:t>
      </w:r>
      <w:r w:rsidRPr="00BB421E">
        <w:rPr>
          <w:i/>
          <w:iCs/>
          <w:color w:val="000000"/>
          <w:szCs w:val="24"/>
        </w:rPr>
        <w:t>CCU</w:t>
      </w:r>
      <w:r w:rsidRPr="00BB421E">
        <w:rPr>
          <w:color w:val="000000"/>
          <w:szCs w:val="24"/>
        </w:rPr>
        <w:t>)</w:t>
      </w:r>
      <w:r w:rsidRPr="00BB421E">
        <w:rPr>
          <w:bCs/>
          <w:szCs w:val="24"/>
        </w:rPr>
        <w:t>, vandenilio ir kitų (ne mažiau kaip dviejų) inovatyvių technologijų panaudojimo plėtrą Lietuvos pramonės įmonėse, veikiančiose labiausiai neigiamai paveiktose teritorijose.</w:t>
      </w:r>
    </w:p>
    <w:p w14:paraId="3DAEA492" w14:textId="77777777" w:rsidR="00CE7DEE" w:rsidRPr="00BB421E" w:rsidRDefault="00CE7DEE" w:rsidP="00B61CC1">
      <w:pPr>
        <w:jc w:val="both"/>
        <w:rPr>
          <w:szCs w:val="24"/>
        </w:rPr>
      </w:pPr>
      <w:r w:rsidRPr="00BB421E">
        <w:rPr>
          <w:szCs w:val="24"/>
        </w:rPr>
        <w:t>Atlikdamas užduotį, paslaugų teikėjas turi naudoti interaktyvų metodą, į kurį turi būti aktyviai įtraukti viešojo sektoriaus atstovai ir suinteresuotieji socialiniai ekonominiai partneriai. Paslaugų teikėjas atlikdamas nustatytas užduotis turi:</w:t>
      </w:r>
    </w:p>
    <w:p w14:paraId="6FEC4642" w14:textId="77777777" w:rsidR="00CE7DEE" w:rsidRPr="00BB421E" w:rsidRDefault="00CE7DEE" w:rsidP="00B61CC1">
      <w:pPr>
        <w:pStyle w:val="ListParagraph"/>
        <w:numPr>
          <w:ilvl w:val="0"/>
          <w:numId w:val="9"/>
        </w:numPr>
        <w:jc w:val="both"/>
        <w:rPr>
          <w:szCs w:val="24"/>
        </w:rPr>
      </w:pPr>
      <w:r w:rsidRPr="00BB421E">
        <w:rPr>
          <w:szCs w:val="24"/>
        </w:rPr>
        <w:t>Atsižvelgti į šiuos teisės aktus:</w:t>
      </w:r>
    </w:p>
    <w:p w14:paraId="56504E48" w14:textId="77777777" w:rsidR="00CE7DEE" w:rsidRPr="00BB421E" w:rsidRDefault="00CE7DEE" w:rsidP="00B61CC1">
      <w:pPr>
        <w:pStyle w:val="ListParagraph"/>
        <w:numPr>
          <w:ilvl w:val="0"/>
          <w:numId w:val="7"/>
        </w:numPr>
        <w:tabs>
          <w:tab w:val="left" w:pos="709"/>
        </w:tabs>
        <w:ind w:left="0" w:firstLine="360"/>
        <w:jc w:val="both"/>
        <w:rPr>
          <w:szCs w:val="24"/>
        </w:rPr>
      </w:pPr>
      <w:r w:rsidRPr="00BB421E">
        <w:rPr>
          <w:szCs w:val="24"/>
        </w:rPr>
        <w:t>1992 m. Niujorke priimtą Jungtinių Tautų Bendrąja klimato kaitos konvenciją (toliau – JT BKKK)</w:t>
      </w:r>
      <w:r w:rsidRPr="00BB421E">
        <w:rPr>
          <w:rStyle w:val="FootnoteReference"/>
          <w:szCs w:val="24"/>
        </w:rPr>
        <w:footnoteReference w:id="2"/>
      </w:r>
      <w:r w:rsidRPr="00BB421E">
        <w:rPr>
          <w:szCs w:val="24"/>
        </w:rPr>
        <w:t>, kuri įgyvendinama konkrečiais valstybių įsipareigojimais ir išmetamų šiltnamio efektą sukeliančių dujų (toliau – ŠESD) kiekio mažinimo mechanizmais;</w:t>
      </w:r>
    </w:p>
    <w:p w14:paraId="61D8072E" w14:textId="77777777" w:rsidR="00CE7DEE" w:rsidRPr="00BB421E" w:rsidRDefault="00CE7DEE" w:rsidP="00B61CC1">
      <w:pPr>
        <w:pStyle w:val="ListParagraph"/>
        <w:numPr>
          <w:ilvl w:val="0"/>
          <w:numId w:val="7"/>
        </w:numPr>
        <w:tabs>
          <w:tab w:val="left" w:pos="709"/>
        </w:tabs>
        <w:ind w:left="0" w:firstLine="360"/>
        <w:jc w:val="both"/>
        <w:rPr>
          <w:szCs w:val="24"/>
        </w:rPr>
      </w:pPr>
      <w:r w:rsidRPr="00BB421E">
        <w:rPr>
          <w:szCs w:val="24"/>
        </w:rPr>
        <w:t xml:space="preserve">1997 m. </w:t>
      </w:r>
      <w:proofErr w:type="spellStart"/>
      <w:r w:rsidRPr="00BB421E">
        <w:rPr>
          <w:szCs w:val="24"/>
        </w:rPr>
        <w:t>Kioto</w:t>
      </w:r>
      <w:proofErr w:type="spellEnd"/>
      <w:r w:rsidRPr="00BB421E">
        <w:rPr>
          <w:szCs w:val="24"/>
        </w:rPr>
        <w:t xml:space="preserve"> protokolą su nustatytais dviem įsipareigojimų laikotarpiais: pirmuoju 2008–2012 m.</w:t>
      </w:r>
      <w:r w:rsidRPr="00BB421E">
        <w:rPr>
          <w:rStyle w:val="FootnoteReference"/>
          <w:szCs w:val="24"/>
        </w:rPr>
        <w:footnoteReference w:id="3"/>
      </w:r>
      <w:r w:rsidRPr="00BB421E">
        <w:rPr>
          <w:szCs w:val="24"/>
        </w:rPr>
        <w:t xml:space="preserve"> ir antruoju 2013–2020 m.</w:t>
      </w:r>
      <w:r w:rsidRPr="00BB421E">
        <w:rPr>
          <w:rStyle w:val="FootnoteReference"/>
          <w:szCs w:val="24"/>
        </w:rPr>
        <w:footnoteReference w:id="4"/>
      </w:r>
      <w:r w:rsidRPr="00BB421E">
        <w:rPr>
          <w:szCs w:val="24"/>
        </w:rPr>
        <w:t>;</w:t>
      </w:r>
    </w:p>
    <w:p w14:paraId="3798668C" w14:textId="77777777" w:rsidR="00CE7DEE" w:rsidRPr="00BB421E" w:rsidRDefault="00CE7DEE" w:rsidP="00B61CC1">
      <w:pPr>
        <w:pStyle w:val="ListParagraph"/>
        <w:numPr>
          <w:ilvl w:val="0"/>
          <w:numId w:val="7"/>
        </w:numPr>
        <w:tabs>
          <w:tab w:val="left" w:pos="709"/>
        </w:tabs>
        <w:ind w:left="0" w:firstLine="360"/>
        <w:jc w:val="both"/>
        <w:rPr>
          <w:szCs w:val="24"/>
        </w:rPr>
      </w:pPr>
      <w:r w:rsidRPr="00BB421E">
        <w:rPr>
          <w:szCs w:val="24"/>
        </w:rPr>
        <w:t xml:space="preserve">2015 m. Paryžiaus susitarimą su nustatytu įsipareigojimų laikotarpiu 2021–2030 m.; </w:t>
      </w:r>
    </w:p>
    <w:p w14:paraId="6CA2E5D8" w14:textId="77777777" w:rsidR="00CE7DEE" w:rsidRPr="00BB421E" w:rsidRDefault="00CE7DEE" w:rsidP="00B61CC1">
      <w:pPr>
        <w:pStyle w:val="ListParagraph"/>
        <w:numPr>
          <w:ilvl w:val="0"/>
          <w:numId w:val="7"/>
        </w:numPr>
        <w:tabs>
          <w:tab w:val="left" w:pos="709"/>
        </w:tabs>
        <w:ind w:left="0" w:firstLine="360"/>
        <w:jc w:val="both"/>
        <w:rPr>
          <w:szCs w:val="24"/>
        </w:rPr>
      </w:pPr>
      <w:r w:rsidRPr="00BB421E">
        <w:rPr>
          <w:szCs w:val="24"/>
        </w:rPr>
        <w:t xml:space="preserve">2015 m. Jungtinių Tautų Generalinės Asamblėjos metu patvirtintą Jungtinių Tautų darnaus vystymosi darbotvarkę iki 2030 m., kurioje kovai su klimato kaita nustatytas 13 tikslas „Imtis skubių veiksmų kovojant su klimato kaita ir jos poveikiu“ ir uždaviniai šiam tikslui įgyvendinti; </w:t>
      </w:r>
    </w:p>
    <w:p w14:paraId="40587945" w14:textId="77777777" w:rsidR="00CE7DEE" w:rsidRPr="00BB421E" w:rsidRDefault="00CE7DEE" w:rsidP="00B61CC1">
      <w:pPr>
        <w:pStyle w:val="ListParagraph"/>
        <w:numPr>
          <w:ilvl w:val="0"/>
          <w:numId w:val="7"/>
        </w:numPr>
        <w:tabs>
          <w:tab w:val="left" w:pos="709"/>
        </w:tabs>
        <w:ind w:left="0" w:firstLine="360"/>
        <w:jc w:val="both"/>
        <w:rPr>
          <w:szCs w:val="24"/>
        </w:rPr>
      </w:pPr>
      <w:r w:rsidRPr="00BB421E">
        <w:rPr>
          <w:szCs w:val="24"/>
        </w:rPr>
        <w:lastRenderedPageBreak/>
        <w:t>Europos klimato teisės aktą (Europos Parlamento ir Tarybos reglamentas (ES) 2021/1119 2021 m. birželio 30 d. kuriuo nustatoma poveikio klimatui neutralumo pasiekimo sistema ir iš dalies keičiami reglamentai (EB) Nr. 401/2009 ir (ES) 2018/1999);</w:t>
      </w:r>
    </w:p>
    <w:p w14:paraId="1D3111D4" w14:textId="77777777" w:rsidR="00CE7DEE" w:rsidRPr="00BB421E" w:rsidRDefault="00CE7DEE" w:rsidP="00B61CC1">
      <w:pPr>
        <w:pStyle w:val="ListParagraph"/>
        <w:numPr>
          <w:ilvl w:val="0"/>
          <w:numId w:val="7"/>
        </w:numPr>
        <w:tabs>
          <w:tab w:val="left" w:pos="709"/>
        </w:tabs>
        <w:ind w:left="0" w:firstLine="360"/>
        <w:jc w:val="both"/>
        <w:rPr>
          <w:szCs w:val="24"/>
        </w:rPr>
      </w:pPr>
      <w:r w:rsidRPr="00BB421E">
        <w:rPr>
          <w:szCs w:val="24"/>
        </w:rPr>
        <w:t xml:space="preserve">ES klimato kaitos ir energetikos 2030 m. tikslų įgyvendinimo teisės aktus; </w:t>
      </w:r>
    </w:p>
    <w:p w14:paraId="7E85A99C" w14:textId="77777777" w:rsidR="00CE7DEE" w:rsidRPr="00BB421E" w:rsidRDefault="00CE7DEE" w:rsidP="00B61CC1">
      <w:pPr>
        <w:pStyle w:val="ListParagraph"/>
        <w:numPr>
          <w:ilvl w:val="0"/>
          <w:numId w:val="7"/>
        </w:numPr>
        <w:tabs>
          <w:tab w:val="left" w:pos="709"/>
        </w:tabs>
        <w:ind w:left="0" w:firstLine="360"/>
        <w:jc w:val="both"/>
        <w:rPr>
          <w:szCs w:val="24"/>
        </w:rPr>
      </w:pPr>
      <w:r w:rsidRPr="00BB421E">
        <w:rPr>
          <w:szCs w:val="24"/>
        </w:rPr>
        <w:t>ES žaliojo kurso iniciatyvas;</w:t>
      </w:r>
    </w:p>
    <w:p w14:paraId="68C8BD55" w14:textId="77777777" w:rsidR="00CE7DEE" w:rsidRPr="00BB421E" w:rsidRDefault="00CE7DEE" w:rsidP="00B61CC1">
      <w:pPr>
        <w:pStyle w:val="ListParagraph"/>
        <w:numPr>
          <w:ilvl w:val="0"/>
          <w:numId w:val="7"/>
        </w:numPr>
        <w:tabs>
          <w:tab w:val="left" w:pos="709"/>
        </w:tabs>
        <w:ind w:left="0" w:firstLine="360"/>
        <w:jc w:val="both"/>
        <w:rPr>
          <w:szCs w:val="24"/>
        </w:rPr>
      </w:pPr>
      <w:r w:rsidRPr="00BB421E">
        <w:rPr>
          <w:szCs w:val="24"/>
        </w:rPr>
        <w:t>ES prisitaikymo prie klimato kaitos strategiją ir ilgalaikės klimato kaitos politikos planavimo dokumentus, apibrėžiančius ES klimatui neutralios ekonomikos iki 2050 m. viziją;</w:t>
      </w:r>
    </w:p>
    <w:p w14:paraId="781442DD" w14:textId="77777777" w:rsidR="00CE7DEE" w:rsidRPr="00BB421E" w:rsidRDefault="00CE7DEE" w:rsidP="00B61CC1">
      <w:pPr>
        <w:pStyle w:val="ListParagraph"/>
        <w:numPr>
          <w:ilvl w:val="0"/>
          <w:numId w:val="7"/>
        </w:numPr>
        <w:tabs>
          <w:tab w:val="left" w:pos="709"/>
        </w:tabs>
        <w:ind w:left="0" w:firstLine="360"/>
        <w:jc w:val="both"/>
        <w:rPr>
          <w:szCs w:val="24"/>
        </w:rPr>
      </w:pPr>
      <w:r w:rsidRPr="00BB421E">
        <w:rPr>
          <w:rFonts w:eastAsia="Calibri"/>
          <w:szCs w:val="24"/>
        </w:rPr>
        <w:t>2021 m. birželio 24 d. Europos Parlamento ir Tarybos reglamentą (ES) 2021/1056 kuriuo įsteigiamas Teisingos pertvarkos fondas;</w:t>
      </w:r>
    </w:p>
    <w:p w14:paraId="3C560216" w14:textId="77777777" w:rsidR="00CE7DEE" w:rsidRPr="00BB421E" w:rsidRDefault="00CE7DEE" w:rsidP="00B61CC1">
      <w:pPr>
        <w:pStyle w:val="ListParagraph"/>
        <w:numPr>
          <w:ilvl w:val="0"/>
          <w:numId w:val="7"/>
        </w:numPr>
        <w:tabs>
          <w:tab w:val="left" w:pos="709"/>
        </w:tabs>
        <w:ind w:left="0" w:firstLine="360"/>
        <w:jc w:val="both"/>
        <w:rPr>
          <w:szCs w:val="24"/>
        </w:rPr>
      </w:pPr>
      <w:r w:rsidRPr="00BB421E">
        <w:rPr>
          <w:szCs w:val="24"/>
        </w:rPr>
        <w:t>2021 m. birželio 30 d. Lietuvos Respublikos Seimo nutarimą Nr. XIV-490 „Dėl Nacionalinės klimato kaitos valdymo darbotvarkės patvirtinimo“</w:t>
      </w:r>
      <w:r w:rsidRPr="00BB421E">
        <w:rPr>
          <w:rStyle w:val="FootnoteReference"/>
          <w:szCs w:val="24"/>
        </w:rPr>
        <w:footnoteReference w:id="5"/>
      </w:r>
      <w:r w:rsidRPr="00BB421E">
        <w:rPr>
          <w:szCs w:val="24"/>
        </w:rPr>
        <w:t xml:space="preserve"> (toliau – Klimato kaito valdymo darbotvarkė), kuriuo nustatė Lietuvos klimato kaitos valdymo politikos tikslus ir uždavinius iki 2050 m.;</w:t>
      </w:r>
    </w:p>
    <w:p w14:paraId="4A9ACBC0" w14:textId="77777777" w:rsidR="00CE7DEE" w:rsidRPr="00BB421E" w:rsidRDefault="00CE7DEE" w:rsidP="00B61CC1">
      <w:pPr>
        <w:pStyle w:val="ListParagraph"/>
        <w:numPr>
          <w:ilvl w:val="0"/>
          <w:numId w:val="7"/>
        </w:numPr>
        <w:tabs>
          <w:tab w:val="left" w:pos="709"/>
        </w:tabs>
        <w:ind w:left="0" w:firstLine="360"/>
        <w:jc w:val="both"/>
        <w:rPr>
          <w:szCs w:val="24"/>
        </w:rPr>
      </w:pPr>
      <w:r w:rsidRPr="00BB421E">
        <w:rPr>
          <w:szCs w:val="24"/>
        </w:rPr>
        <w:t>Nacionalinį energetikos ir klimato srities veiksmų planą, kuris šiuo metu yra atnaujinamas;</w:t>
      </w:r>
    </w:p>
    <w:p w14:paraId="2F8762B6" w14:textId="77777777" w:rsidR="00CE7DEE" w:rsidRPr="00BB421E" w:rsidRDefault="00CE7DEE" w:rsidP="00B61CC1">
      <w:pPr>
        <w:pStyle w:val="ListParagraph"/>
        <w:numPr>
          <w:ilvl w:val="0"/>
          <w:numId w:val="7"/>
        </w:numPr>
        <w:tabs>
          <w:tab w:val="left" w:pos="709"/>
        </w:tabs>
        <w:ind w:left="0" w:firstLine="360"/>
        <w:jc w:val="both"/>
        <w:rPr>
          <w:szCs w:val="24"/>
        </w:rPr>
      </w:pPr>
      <w:r w:rsidRPr="00BB421E">
        <w:rPr>
          <w:szCs w:val="24"/>
        </w:rPr>
        <w:t>Lietuvos Respublikos anglies dioksido geologinio saugojimo įstatymą;</w:t>
      </w:r>
    </w:p>
    <w:p w14:paraId="77E2B169" w14:textId="77777777" w:rsidR="00CE7DEE" w:rsidRPr="00BB421E" w:rsidRDefault="00CE7DEE" w:rsidP="00B61CC1">
      <w:pPr>
        <w:pStyle w:val="ListParagraph"/>
        <w:numPr>
          <w:ilvl w:val="0"/>
          <w:numId w:val="7"/>
        </w:numPr>
        <w:tabs>
          <w:tab w:val="left" w:pos="709"/>
        </w:tabs>
        <w:ind w:left="0" w:firstLine="360"/>
        <w:jc w:val="both"/>
        <w:rPr>
          <w:szCs w:val="24"/>
        </w:rPr>
      </w:pPr>
      <w:r w:rsidRPr="00BB421E">
        <w:rPr>
          <w:szCs w:val="24"/>
        </w:rPr>
        <w:t>Lietuvos Respublikos žemės gelmių įstatymą;</w:t>
      </w:r>
    </w:p>
    <w:p w14:paraId="4EBD0C6B" w14:textId="60B264F3" w:rsidR="00CE7DEE" w:rsidRPr="00BB421E" w:rsidRDefault="00CE7DEE" w:rsidP="00B61CC1">
      <w:pPr>
        <w:pStyle w:val="ListParagraph"/>
        <w:numPr>
          <w:ilvl w:val="0"/>
          <w:numId w:val="7"/>
        </w:numPr>
        <w:tabs>
          <w:tab w:val="left" w:pos="709"/>
        </w:tabs>
        <w:ind w:left="0" w:firstLine="360"/>
        <w:jc w:val="both"/>
        <w:rPr>
          <w:szCs w:val="24"/>
        </w:rPr>
      </w:pPr>
      <w:r w:rsidRPr="00BB421E">
        <w:rPr>
          <w:szCs w:val="24"/>
        </w:rPr>
        <w:t>Kitus Europos Sąjungos ir Lietuvos Respublikos teisės aktus, kurių taikymas yra aktualus siekiant Klimato kaitos valdymo darbotvarkėje nustatyto nacionalinio klimato kaitos švelninimo tikslo iki 2050 m.:</w:t>
      </w:r>
      <w:bookmarkStart w:id="2" w:name="part_6d66d740c9d04007a26097121e287f53"/>
      <w:bookmarkEnd w:id="2"/>
      <w:r w:rsidRPr="00BB421E">
        <w:rPr>
          <w:szCs w:val="24"/>
        </w:rPr>
        <w:t xml:space="preserve"> „sumažinti 100 proc. išmetamų </w:t>
      </w:r>
      <w:r w:rsidR="003C7EE4" w:rsidRPr="00BB421E">
        <w:rPr>
          <w:szCs w:val="24"/>
        </w:rPr>
        <w:t xml:space="preserve">šiltnamio efektą sukeliančių dujų (toliau – </w:t>
      </w:r>
      <w:r w:rsidRPr="00BB421E">
        <w:rPr>
          <w:szCs w:val="24"/>
        </w:rPr>
        <w:t>ŠESD</w:t>
      </w:r>
      <w:r w:rsidR="003C7EE4" w:rsidRPr="00BB421E">
        <w:rPr>
          <w:szCs w:val="24"/>
        </w:rPr>
        <w:t>)</w:t>
      </w:r>
      <w:r w:rsidRPr="00BB421E">
        <w:rPr>
          <w:szCs w:val="24"/>
        </w:rPr>
        <w:t xml:space="preserve"> kiekį, palyginti su 1990 m., visuose ekonomikos sektoriuose pereinant prie inovatyvių, mažo išmetamų ŠESD kiekio, aplinkai palankių technologijų ir AEI panaudojimo, iki 20 proc. padengiant natūraliais ŽNŽNKM sektoriaus absorbentais, ir taikant aplinkosaugos požiūriu saugias anglies dioksido sugavimo ir panaudojimo technologijas (angl. CCU), siekiant kompensuoti išmetamų ŠESD kiekį sektoriuose, kuriuose nebus atrasta technologinių galimybių visiškai neišmesti ŠESD“.</w:t>
      </w:r>
    </w:p>
    <w:p w14:paraId="467F0CA7" w14:textId="77777777" w:rsidR="00B61CC1" w:rsidRPr="00BB421E" w:rsidRDefault="00B61CC1" w:rsidP="00237799">
      <w:pPr>
        <w:jc w:val="both"/>
        <w:rPr>
          <w:b/>
          <w:bCs/>
          <w:szCs w:val="24"/>
          <w:u w:val="single"/>
        </w:rPr>
      </w:pPr>
    </w:p>
    <w:p w14:paraId="459247B4" w14:textId="78390762" w:rsidR="00CE7DEE" w:rsidRPr="00BB421E" w:rsidRDefault="00CE7DEE" w:rsidP="00237799">
      <w:pPr>
        <w:jc w:val="both"/>
        <w:rPr>
          <w:szCs w:val="24"/>
        </w:rPr>
      </w:pPr>
      <w:r w:rsidRPr="00BB421E">
        <w:rPr>
          <w:b/>
          <w:bCs/>
          <w:szCs w:val="24"/>
          <w:u w:val="single"/>
        </w:rPr>
        <w:t>A. 1 dalis</w:t>
      </w:r>
      <w:r w:rsidRPr="00BB421E">
        <w:rPr>
          <w:szCs w:val="24"/>
        </w:rPr>
        <w:t>: Pradinė ataskaita</w:t>
      </w:r>
    </w:p>
    <w:p w14:paraId="3EDD2D2B" w14:textId="77777777" w:rsidR="00B61CC1" w:rsidRPr="00BB421E" w:rsidRDefault="00B61CC1" w:rsidP="00B61CC1">
      <w:pPr>
        <w:jc w:val="both"/>
        <w:rPr>
          <w:szCs w:val="24"/>
        </w:rPr>
      </w:pPr>
    </w:p>
    <w:p w14:paraId="17D58E46" w14:textId="77777777" w:rsidR="00CE7DEE" w:rsidRPr="00BB421E" w:rsidRDefault="00CE7DEE" w:rsidP="00B61CC1">
      <w:pPr>
        <w:jc w:val="both"/>
        <w:rPr>
          <w:szCs w:val="24"/>
        </w:rPr>
      </w:pPr>
      <w:r w:rsidRPr="00BB421E">
        <w:rPr>
          <w:szCs w:val="24"/>
        </w:rPr>
        <w:t>Paslaugų teikėjas parengs pradinę ataskaitą. Paslaugų teikėjas palaikys ryšius su atsakingomis Lietuvos viešojo sektoriaus institucijomis ir socialiniais ekonominiais partneriais tam, kad gautų visą reikiamą informaciją ir rekomendacijas siekdamas parengti pradinę ataskaitą.</w:t>
      </w:r>
    </w:p>
    <w:p w14:paraId="5CCC89DB" w14:textId="77777777" w:rsidR="00B61CC1" w:rsidRPr="00BB421E" w:rsidRDefault="00B61CC1" w:rsidP="00237799">
      <w:pPr>
        <w:jc w:val="both"/>
        <w:rPr>
          <w:szCs w:val="24"/>
        </w:rPr>
      </w:pPr>
    </w:p>
    <w:p w14:paraId="76BFCAA6" w14:textId="3DB17B1B" w:rsidR="00CE7DEE" w:rsidRPr="00BB421E" w:rsidRDefault="00CE7DEE" w:rsidP="00B61CC1">
      <w:pPr>
        <w:jc w:val="both"/>
        <w:rPr>
          <w:szCs w:val="24"/>
        </w:rPr>
      </w:pPr>
      <w:r w:rsidRPr="00BB421E">
        <w:rPr>
          <w:szCs w:val="24"/>
        </w:rPr>
        <w:t>1 dalis turi apimti:</w:t>
      </w:r>
    </w:p>
    <w:p w14:paraId="36CE3D7D" w14:textId="77777777" w:rsidR="00CE7DEE" w:rsidRPr="00BB421E" w:rsidRDefault="00CE7DEE" w:rsidP="00B61CC1">
      <w:pPr>
        <w:jc w:val="both"/>
        <w:rPr>
          <w:szCs w:val="24"/>
        </w:rPr>
      </w:pPr>
      <w:r w:rsidRPr="00BB421E">
        <w:rPr>
          <w:szCs w:val="24"/>
        </w:rPr>
        <w:t>- išsamų projekto metodikos pristatymą, įskaitant numatomo pasiekti kiekvieno rezultato aprašymą;</w:t>
      </w:r>
    </w:p>
    <w:p w14:paraId="2119AF91" w14:textId="77777777" w:rsidR="00CE7DEE" w:rsidRPr="00BB421E" w:rsidRDefault="00CE7DEE" w:rsidP="00B61CC1">
      <w:pPr>
        <w:jc w:val="both"/>
        <w:rPr>
          <w:szCs w:val="24"/>
        </w:rPr>
      </w:pPr>
      <w:r w:rsidRPr="00BB421E">
        <w:rPr>
          <w:szCs w:val="24"/>
        </w:rPr>
        <w:t>- jei reikia, aiškų projekto apimties ribų aprašymą;</w:t>
      </w:r>
    </w:p>
    <w:p w14:paraId="71710844" w14:textId="77777777" w:rsidR="00CE7DEE" w:rsidRPr="00BB421E" w:rsidRDefault="00CE7DEE" w:rsidP="00B61CC1">
      <w:pPr>
        <w:jc w:val="both"/>
        <w:rPr>
          <w:szCs w:val="24"/>
        </w:rPr>
      </w:pPr>
      <w:r w:rsidRPr="00BB421E">
        <w:rPr>
          <w:szCs w:val="24"/>
        </w:rPr>
        <w:t>- projekto įgyvendinimo metu numatomų rizikų ir jų mažinimo priemonių aprašymą;</w:t>
      </w:r>
    </w:p>
    <w:p w14:paraId="18571A8E" w14:textId="77777777" w:rsidR="00CE7DEE" w:rsidRPr="00BB421E" w:rsidRDefault="00CE7DEE" w:rsidP="00B61CC1">
      <w:pPr>
        <w:jc w:val="both"/>
        <w:rPr>
          <w:szCs w:val="24"/>
        </w:rPr>
      </w:pPr>
      <w:r w:rsidRPr="00BB421E">
        <w:rPr>
          <w:szCs w:val="24"/>
        </w:rPr>
        <w:t>- siūlomą darbo ir komunikavimo būdų aprašymą su Darbo grupe;</w:t>
      </w:r>
    </w:p>
    <w:p w14:paraId="60A28B2E" w14:textId="77777777" w:rsidR="00CE7DEE" w:rsidRPr="00BB421E" w:rsidRDefault="00CE7DEE" w:rsidP="00B61CC1">
      <w:pPr>
        <w:jc w:val="both"/>
        <w:rPr>
          <w:szCs w:val="24"/>
        </w:rPr>
      </w:pPr>
      <w:r w:rsidRPr="00BB421E">
        <w:rPr>
          <w:szCs w:val="24"/>
        </w:rPr>
        <w:t>- projekto tvarkaraštį, įskaitant orientacinį Darbo grupės susitikimų/posėdžių planą;</w:t>
      </w:r>
    </w:p>
    <w:p w14:paraId="56C25C7F" w14:textId="77777777" w:rsidR="00CE7DEE" w:rsidRPr="00BB421E" w:rsidRDefault="00CE7DEE" w:rsidP="00B61CC1">
      <w:pPr>
        <w:jc w:val="both"/>
        <w:rPr>
          <w:szCs w:val="24"/>
        </w:rPr>
      </w:pPr>
      <w:r w:rsidRPr="00BB421E">
        <w:rPr>
          <w:szCs w:val="24"/>
        </w:rPr>
        <w:t>- projekto įgyvendinimo stebėsenos rodiklių sąrašą ir rodiklių, kurių pasiekimą turi stebėti perkančioji organizacija ir Darbo grupė, siekdamos stebėti projekto rezultatus ir poveikį po sutarties sudarymo;</w:t>
      </w:r>
    </w:p>
    <w:p w14:paraId="7963467B" w14:textId="77777777" w:rsidR="00CE7DEE" w:rsidRPr="00BB421E" w:rsidRDefault="00CE7DEE" w:rsidP="00B61CC1">
      <w:pPr>
        <w:jc w:val="both"/>
        <w:rPr>
          <w:szCs w:val="24"/>
        </w:rPr>
      </w:pPr>
      <w:r w:rsidRPr="00BB421E">
        <w:rPr>
          <w:szCs w:val="24"/>
        </w:rPr>
        <w:lastRenderedPageBreak/>
        <w:t>- pradinio posėdžio protokolą ir kitų susijusių posėdžių sąrašą bei trumpą santrauką.</w:t>
      </w:r>
    </w:p>
    <w:p w14:paraId="2F9A8C6A" w14:textId="77777777" w:rsidR="00B61CC1" w:rsidRPr="00BB421E" w:rsidRDefault="00B61CC1" w:rsidP="00237799">
      <w:pPr>
        <w:jc w:val="both"/>
        <w:rPr>
          <w:szCs w:val="24"/>
          <w:u w:val="single"/>
        </w:rPr>
      </w:pPr>
    </w:p>
    <w:p w14:paraId="7093CE6C" w14:textId="4AF83874" w:rsidR="00CE7DEE" w:rsidRPr="00BB421E" w:rsidRDefault="00CE7DEE" w:rsidP="00B61CC1">
      <w:pPr>
        <w:jc w:val="both"/>
        <w:rPr>
          <w:szCs w:val="24"/>
        </w:rPr>
      </w:pPr>
      <w:r w:rsidRPr="00BB421E">
        <w:rPr>
          <w:szCs w:val="24"/>
          <w:u w:val="single"/>
        </w:rPr>
        <w:t>Užduotys</w:t>
      </w:r>
      <w:r w:rsidRPr="00BB421E">
        <w:rPr>
          <w:szCs w:val="24"/>
        </w:rPr>
        <w:t>:</w:t>
      </w:r>
    </w:p>
    <w:p w14:paraId="7162FB3E" w14:textId="77777777" w:rsidR="00CE7DEE" w:rsidRPr="00BB421E" w:rsidRDefault="00CE7DEE" w:rsidP="00B61CC1">
      <w:pPr>
        <w:jc w:val="both"/>
        <w:rPr>
          <w:szCs w:val="24"/>
        </w:rPr>
      </w:pPr>
      <w:r w:rsidRPr="00BB421E">
        <w:rPr>
          <w:szCs w:val="24"/>
        </w:rPr>
        <w:t>• Ne vėliau kaip per dvi savaites nuo sutarties pasirašymo surengti ir pravesti Darbo grupės susitikimą. Susitikimo tikslas – susitarti dėl rezultatų ir užduočių vykdymo, projekto etapų ir grafikų, siūlomos metodikos ir duomenų bei informacijos, kurios paslaugų teikėjui reikia sėkmingai planuojamai veiklai vykdyti. Likus ne mažiau kaip 3 darbo dienoms iki pradinio susitikimo paslaugų teikėjas turi pateikti išsamią pradinio susitikimo darbotvarkę, įskaitant aptartinų klausimų sąrašą.</w:t>
      </w:r>
    </w:p>
    <w:p w14:paraId="7D4D7D05" w14:textId="77777777" w:rsidR="00CE7DEE" w:rsidRPr="00BB421E" w:rsidRDefault="00CE7DEE" w:rsidP="00B61CC1">
      <w:pPr>
        <w:jc w:val="both"/>
        <w:rPr>
          <w:szCs w:val="24"/>
        </w:rPr>
      </w:pPr>
      <w:r w:rsidRPr="00BB421E">
        <w:rPr>
          <w:szCs w:val="24"/>
        </w:rPr>
        <w:t>• Užbaigti pradinę ataskaitą, įskaitant atitinkamų susitikimų protokolus ir pastabas, remiantis viešojo sektoriaus institucijų ir Darbo grupės susitikimų metu pateikta informacija.</w:t>
      </w:r>
    </w:p>
    <w:p w14:paraId="2307C46C" w14:textId="77777777" w:rsidR="00B61CC1" w:rsidRPr="00BB421E" w:rsidRDefault="00B61CC1" w:rsidP="00237799">
      <w:pPr>
        <w:jc w:val="both"/>
        <w:rPr>
          <w:b/>
          <w:bCs/>
          <w:szCs w:val="24"/>
        </w:rPr>
      </w:pPr>
    </w:p>
    <w:p w14:paraId="20C220A1" w14:textId="40E1D19C" w:rsidR="00CE7DEE" w:rsidRPr="00BB421E" w:rsidRDefault="00CE7DEE" w:rsidP="00237799">
      <w:pPr>
        <w:jc w:val="both"/>
        <w:rPr>
          <w:szCs w:val="24"/>
        </w:rPr>
      </w:pPr>
      <w:r w:rsidRPr="00BB421E">
        <w:rPr>
          <w:b/>
          <w:bCs/>
          <w:szCs w:val="24"/>
        </w:rPr>
        <w:t>B. 2 dalis</w:t>
      </w:r>
      <w:r w:rsidRPr="00BB421E">
        <w:rPr>
          <w:szCs w:val="24"/>
        </w:rPr>
        <w:t xml:space="preserve">: </w:t>
      </w:r>
      <w:r w:rsidR="004438A7" w:rsidRPr="00BB421E">
        <w:rPr>
          <w:szCs w:val="24"/>
        </w:rPr>
        <w:t>CO</w:t>
      </w:r>
      <w:r w:rsidR="004438A7" w:rsidRPr="00BB421E">
        <w:rPr>
          <w:szCs w:val="24"/>
          <w:vertAlign w:val="subscript"/>
        </w:rPr>
        <w:t>2</w:t>
      </w:r>
      <w:r w:rsidRPr="00BB421E">
        <w:rPr>
          <w:szCs w:val="24"/>
        </w:rPr>
        <w:t xml:space="preserve"> surinkimo ir saugojimo (angl. </w:t>
      </w:r>
      <w:r w:rsidRPr="00BB421E">
        <w:rPr>
          <w:i/>
          <w:iCs/>
          <w:szCs w:val="24"/>
        </w:rPr>
        <w:t>CCS</w:t>
      </w:r>
      <w:r w:rsidRPr="00BB421E">
        <w:rPr>
          <w:szCs w:val="24"/>
        </w:rPr>
        <w:t>)</w:t>
      </w:r>
      <w:r w:rsidRPr="00BB421E">
        <w:rPr>
          <w:bCs/>
          <w:szCs w:val="24"/>
        </w:rPr>
        <w:t xml:space="preserve"> ir </w:t>
      </w:r>
      <w:r w:rsidR="00511994" w:rsidRPr="00BB421E">
        <w:rPr>
          <w:szCs w:val="24"/>
        </w:rPr>
        <w:t>CO</w:t>
      </w:r>
      <w:r w:rsidR="00511994" w:rsidRPr="00BB421E">
        <w:rPr>
          <w:szCs w:val="24"/>
          <w:vertAlign w:val="subscript"/>
        </w:rPr>
        <w:t>2</w:t>
      </w:r>
      <w:r w:rsidR="00511994" w:rsidRPr="00BB421E">
        <w:rPr>
          <w:szCs w:val="24"/>
        </w:rPr>
        <w:t xml:space="preserve"> </w:t>
      </w:r>
      <w:r w:rsidRPr="00BB421E">
        <w:rPr>
          <w:color w:val="000000"/>
          <w:szCs w:val="24"/>
        </w:rPr>
        <w:t>sugavimo ir panaudojimo technologijų (angl. </w:t>
      </w:r>
      <w:r w:rsidRPr="00BB421E">
        <w:rPr>
          <w:i/>
          <w:iCs/>
          <w:color w:val="000000"/>
          <w:szCs w:val="24"/>
        </w:rPr>
        <w:t>CCU</w:t>
      </w:r>
      <w:r w:rsidRPr="00BB421E">
        <w:rPr>
          <w:color w:val="000000"/>
          <w:szCs w:val="24"/>
        </w:rPr>
        <w:t>)</w:t>
      </w:r>
      <w:r w:rsidRPr="00BB421E">
        <w:rPr>
          <w:szCs w:val="24"/>
        </w:rPr>
        <w:t>, vandenilio ir kitų inovatyvių technologijų panaudojimo pramonės įmonėse vertinimas</w:t>
      </w:r>
    </w:p>
    <w:p w14:paraId="3233293C" w14:textId="77777777" w:rsidR="00B61CC1" w:rsidRPr="00BB421E" w:rsidRDefault="00B61CC1" w:rsidP="00B61CC1">
      <w:pPr>
        <w:jc w:val="both"/>
        <w:rPr>
          <w:szCs w:val="24"/>
        </w:rPr>
      </w:pPr>
    </w:p>
    <w:p w14:paraId="526A850C" w14:textId="2B031312" w:rsidR="00CE7DEE" w:rsidRPr="00BB421E" w:rsidRDefault="00CE7DEE" w:rsidP="00B61CC1">
      <w:pPr>
        <w:jc w:val="both"/>
        <w:rPr>
          <w:szCs w:val="24"/>
        </w:rPr>
      </w:pPr>
      <w:r w:rsidRPr="00BB421E">
        <w:rPr>
          <w:szCs w:val="24"/>
        </w:rPr>
        <w:t xml:space="preserve">Paslaugų teikėjas parengs ataskaitą, kurioje išsamiai išanalizuos </w:t>
      </w:r>
      <w:r w:rsidR="00511994" w:rsidRPr="00BB421E">
        <w:rPr>
          <w:szCs w:val="24"/>
        </w:rPr>
        <w:t>CO</w:t>
      </w:r>
      <w:r w:rsidR="00511994" w:rsidRPr="00BB421E">
        <w:rPr>
          <w:szCs w:val="24"/>
          <w:vertAlign w:val="subscript"/>
        </w:rPr>
        <w:t>2</w:t>
      </w:r>
      <w:r w:rsidRPr="00BB421E">
        <w:rPr>
          <w:szCs w:val="24"/>
        </w:rPr>
        <w:t xml:space="preserve"> surinkimo ir saugojimo (angl. </w:t>
      </w:r>
      <w:r w:rsidRPr="00BB421E">
        <w:rPr>
          <w:i/>
          <w:iCs/>
          <w:szCs w:val="24"/>
        </w:rPr>
        <w:t>CCS</w:t>
      </w:r>
      <w:r w:rsidRPr="00BB421E">
        <w:rPr>
          <w:szCs w:val="24"/>
        </w:rPr>
        <w:t>)</w:t>
      </w:r>
      <w:r w:rsidRPr="00BB421E">
        <w:rPr>
          <w:bCs/>
          <w:szCs w:val="24"/>
        </w:rPr>
        <w:t xml:space="preserve"> ir </w:t>
      </w:r>
      <w:r w:rsidR="00511994" w:rsidRPr="00BB421E">
        <w:rPr>
          <w:szCs w:val="24"/>
        </w:rPr>
        <w:t>CO</w:t>
      </w:r>
      <w:r w:rsidR="00511994" w:rsidRPr="00BB421E">
        <w:rPr>
          <w:szCs w:val="24"/>
          <w:vertAlign w:val="subscript"/>
        </w:rPr>
        <w:t>2</w:t>
      </w:r>
      <w:r w:rsidRPr="00BB421E">
        <w:rPr>
          <w:color w:val="000000"/>
          <w:szCs w:val="24"/>
        </w:rPr>
        <w:t xml:space="preserve"> sugavimo ir panaudojimo technologijų (angl. </w:t>
      </w:r>
      <w:r w:rsidRPr="00BB421E">
        <w:rPr>
          <w:i/>
          <w:iCs/>
          <w:color w:val="000000"/>
          <w:szCs w:val="24"/>
        </w:rPr>
        <w:t>CCU</w:t>
      </w:r>
      <w:r w:rsidRPr="00BB421E">
        <w:rPr>
          <w:color w:val="000000"/>
          <w:szCs w:val="24"/>
        </w:rPr>
        <w:t>)</w:t>
      </w:r>
      <w:r w:rsidRPr="00BB421E">
        <w:rPr>
          <w:szCs w:val="24"/>
        </w:rPr>
        <w:t>, vandenilio ir kitų (ne mažiau kaip dviejų) inovatyvių technologijų panaudojimo galimybes pramonės įmonėse, pateikdamas analitinę informaciją ir ekonominį tokių technologijų taikymo pramonės įmonėse vertinimą, leidžiančius nustatyti geriausiai prie klimato neutralumo tikslus atitinkančias technologijas ir jų praktinį panaudojimą pramonės įmonėse.</w:t>
      </w:r>
    </w:p>
    <w:p w14:paraId="6089D839" w14:textId="77777777" w:rsidR="00B61CC1" w:rsidRPr="00BB421E" w:rsidRDefault="00B61CC1" w:rsidP="00237799">
      <w:pPr>
        <w:jc w:val="both"/>
        <w:rPr>
          <w:szCs w:val="24"/>
        </w:rPr>
      </w:pPr>
    </w:p>
    <w:p w14:paraId="5B7EFEEA" w14:textId="7D1D1A60" w:rsidR="00CE7DEE" w:rsidRPr="00BB421E" w:rsidRDefault="00CE7DEE" w:rsidP="00B61CC1">
      <w:pPr>
        <w:jc w:val="both"/>
        <w:rPr>
          <w:szCs w:val="24"/>
        </w:rPr>
      </w:pPr>
      <w:r w:rsidRPr="00BB421E">
        <w:rPr>
          <w:szCs w:val="24"/>
        </w:rPr>
        <w:t>2 dalis turi apimti:</w:t>
      </w:r>
    </w:p>
    <w:p w14:paraId="320643E1" w14:textId="782315D3" w:rsidR="00CE7DEE" w:rsidRPr="00BB421E" w:rsidRDefault="00CE7DEE" w:rsidP="00B61CC1">
      <w:pPr>
        <w:jc w:val="both"/>
        <w:rPr>
          <w:szCs w:val="24"/>
        </w:rPr>
      </w:pPr>
      <w:r w:rsidRPr="00BB421E">
        <w:rPr>
          <w:szCs w:val="24"/>
        </w:rPr>
        <w:t xml:space="preserve">- </w:t>
      </w:r>
      <w:r w:rsidR="00511994" w:rsidRPr="00BB421E">
        <w:rPr>
          <w:szCs w:val="24"/>
        </w:rPr>
        <w:t>CO</w:t>
      </w:r>
      <w:r w:rsidR="00511994" w:rsidRPr="00BB421E">
        <w:rPr>
          <w:szCs w:val="24"/>
          <w:vertAlign w:val="subscript"/>
        </w:rPr>
        <w:t>2</w:t>
      </w:r>
      <w:r w:rsidRPr="00BB421E">
        <w:rPr>
          <w:szCs w:val="24"/>
        </w:rPr>
        <w:t xml:space="preserve"> surinkimo ir saugojimo (angl. </w:t>
      </w:r>
      <w:r w:rsidRPr="00BB421E">
        <w:rPr>
          <w:i/>
          <w:iCs/>
          <w:szCs w:val="24"/>
        </w:rPr>
        <w:t>CCS</w:t>
      </w:r>
      <w:r w:rsidRPr="00BB421E">
        <w:rPr>
          <w:szCs w:val="24"/>
        </w:rPr>
        <w:t>)</w:t>
      </w:r>
      <w:r w:rsidRPr="00BB421E">
        <w:rPr>
          <w:bCs/>
          <w:szCs w:val="24"/>
        </w:rPr>
        <w:t xml:space="preserve"> ir </w:t>
      </w:r>
      <w:r w:rsidR="00511994" w:rsidRPr="00BB421E">
        <w:rPr>
          <w:szCs w:val="24"/>
        </w:rPr>
        <w:t>CO</w:t>
      </w:r>
      <w:r w:rsidR="00511994" w:rsidRPr="00BB421E">
        <w:rPr>
          <w:szCs w:val="24"/>
          <w:vertAlign w:val="subscript"/>
        </w:rPr>
        <w:t>2</w:t>
      </w:r>
      <w:r w:rsidRPr="00BB421E">
        <w:rPr>
          <w:color w:val="000000"/>
          <w:szCs w:val="24"/>
        </w:rPr>
        <w:t xml:space="preserve"> sugavimo ir panaudojimo technologijų (angl. </w:t>
      </w:r>
      <w:r w:rsidRPr="00BB421E">
        <w:rPr>
          <w:i/>
          <w:iCs/>
          <w:color w:val="000000"/>
          <w:szCs w:val="24"/>
        </w:rPr>
        <w:t>CCU</w:t>
      </w:r>
      <w:r w:rsidRPr="00BB421E">
        <w:rPr>
          <w:color w:val="000000"/>
          <w:szCs w:val="24"/>
        </w:rPr>
        <w:t>)</w:t>
      </w:r>
      <w:r w:rsidRPr="00BB421E">
        <w:rPr>
          <w:szCs w:val="24"/>
        </w:rPr>
        <w:t>, vandenilio ir kitų (ne mažiau kaip dviejų) inovatyvių technologijų aprašymą ir šių technologijų poveikį siekiant klimato neutralumo tikslų ir ŠESD mažėjimo;</w:t>
      </w:r>
    </w:p>
    <w:p w14:paraId="3566E5A8" w14:textId="77777777" w:rsidR="00CE7DEE" w:rsidRPr="00BB421E" w:rsidRDefault="00CE7DEE" w:rsidP="00B61CC1">
      <w:pPr>
        <w:jc w:val="both"/>
        <w:rPr>
          <w:szCs w:val="24"/>
        </w:rPr>
      </w:pPr>
      <w:r w:rsidRPr="00BB421E">
        <w:rPr>
          <w:szCs w:val="24"/>
        </w:rPr>
        <w:t>- pagrindimą, pagrįstą įrodymais ir kiekybine esamos padėties Lietuvos pramonės įmonių analize, siekiant nustatyti didžiausią teigiamą poveikį turinčių technologijų sąrašą siekiant klimato neutralumo tikslų, pateikiant perėjimo prie šių technologijų taikymo Lietuvos pramonės įmonėse planą ar strategiją (apimančių ir laiko grafiką), atitinkančią Klimato kaitos valdymo darbotvarkėje pramonės įmonėms nustatytus tikslus.</w:t>
      </w:r>
    </w:p>
    <w:p w14:paraId="35C1F3FD" w14:textId="77777777" w:rsidR="00B61CC1" w:rsidRPr="00BB421E" w:rsidRDefault="00B61CC1" w:rsidP="00237799">
      <w:pPr>
        <w:jc w:val="both"/>
        <w:rPr>
          <w:szCs w:val="24"/>
          <w:u w:val="single"/>
        </w:rPr>
      </w:pPr>
    </w:p>
    <w:p w14:paraId="47852C7B" w14:textId="43913C45" w:rsidR="00CE7DEE" w:rsidRPr="00BB421E" w:rsidRDefault="00CE7DEE" w:rsidP="00B61CC1">
      <w:pPr>
        <w:jc w:val="both"/>
        <w:rPr>
          <w:szCs w:val="24"/>
        </w:rPr>
      </w:pPr>
      <w:r w:rsidRPr="00BB421E">
        <w:rPr>
          <w:szCs w:val="24"/>
          <w:u w:val="single"/>
        </w:rPr>
        <w:t>Užduotys</w:t>
      </w:r>
      <w:r w:rsidRPr="00BB421E">
        <w:rPr>
          <w:szCs w:val="24"/>
        </w:rPr>
        <w:t>:</w:t>
      </w:r>
    </w:p>
    <w:p w14:paraId="5B084B57" w14:textId="77777777" w:rsidR="00CE7DEE" w:rsidRPr="00BB421E" w:rsidRDefault="00CE7DEE" w:rsidP="00B61CC1">
      <w:pPr>
        <w:jc w:val="both"/>
        <w:rPr>
          <w:szCs w:val="24"/>
        </w:rPr>
      </w:pPr>
      <w:r w:rsidRPr="00BB421E">
        <w:rPr>
          <w:szCs w:val="24"/>
        </w:rPr>
        <w:t>• Atlikti dokumentų tyrimus ir vizitus vietoje, siekiant rinkti ir analizuoti statistinius duomenis, vertinimus, ataskaitas, strategijas ir planus įmonių ir nacionaliniu lygiu;</w:t>
      </w:r>
    </w:p>
    <w:p w14:paraId="683F2E95" w14:textId="77777777" w:rsidR="00CE7DEE" w:rsidRPr="00BB421E" w:rsidRDefault="00CE7DEE" w:rsidP="00B61CC1">
      <w:pPr>
        <w:jc w:val="both"/>
        <w:rPr>
          <w:szCs w:val="24"/>
        </w:rPr>
      </w:pPr>
      <w:r w:rsidRPr="00BB421E">
        <w:rPr>
          <w:szCs w:val="24"/>
        </w:rPr>
        <w:t>• Atlikti suinteresuotųjų šalių interviu;</w:t>
      </w:r>
    </w:p>
    <w:p w14:paraId="5AEAEC22" w14:textId="77777777" w:rsidR="00CE7DEE" w:rsidRPr="00BB421E" w:rsidRDefault="00CE7DEE" w:rsidP="00B61CC1">
      <w:pPr>
        <w:jc w:val="both"/>
        <w:rPr>
          <w:szCs w:val="24"/>
        </w:rPr>
      </w:pPr>
      <w:r w:rsidRPr="00BB421E">
        <w:rPr>
          <w:szCs w:val="24"/>
        </w:rPr>
        <w:t>• Parengti ataskaitos projektą, pristatyti jį Darbo grupei ir patikslinti pagal Darbo grupės pastabas;</w:t>
      </w:r>
    </w:p>
    <w:p w14:paraId="0171C4AC" w14:textId="77777777" w:rsidR="00CE7DEE" w:rsidRPr="00BB421E" w:rsidRDefault="00CE7DEE" w:rsidP="00B61CC1">
      <w:pPr>
        <w:jc w:val="both"/>
        <w:rPr>
          <w:szCs w:val="24"/>
        </w:rPr>
      </w:pPr>
      <w:r w:rsidRPr="00BB421E">
        <w:rPr>
          <w:szCs w:val="24"/>
        </w:rPr>
        <w:t>• Inicijuoti ir surengti seminarus/pristatymus suinteresuotosioms šalims siekiant pristatyti pagal Darbo grupės pastabas ir pasiūlymus patikslintą ataskaitos projektą; tai apima darbotvarkės projekto ir „</w:t>
      </w:r>
      <w:proofErr w:type="spellStart"/>
      <w:r w:rsidRPr="00BB421E">
        <w:rPr>
          <w:szCs w:val="24"/>
        </w:rPr>
        <w:t>Powerpoint</w:t>
      </w:r>
      <w:proofErr w:type="spellEnd"/>
      <w:r w:rsidRPr="00BB421E">
        <w:rPr>
          <w:szCs w:val="24"/>
        </w:rPr>
        <w:t xml:space="preserve">“ pristatymo parengimą, dėl kurių turėtų būti susitarta su Darbo grupe; </w:t>
      </w:r>
    </w:p>
    <w:p w14:paraId="0492B8AE" w14:textId="77777777" w:rsidR="00CE7DEE" w:rsidRPr="00BB421E" w:rsidRDefault="00CE7DEE" w:rsidP="00B61CC1">
      <w:pPr>
        <w:jc w:val="both"/>
        <w:rPr>
          <w:szCs w:val="24"/>
        </w:rPr>
      </w:pPr>
      <w:r w:rsidRPr="00BB421E">
        <w:rPr>
          <w:szCs w:val="24"/>
        </w:rPr>
        <w:lastRenderedPageBreak/>
        <w:t>• Parengti ir pateikti Darbo grupei galutinę ataskaitą, įskaitant suinteresuotųjų šalių atsiliepimus, ir užbaigti ją pagal Darbo grupės narių pastabas, išsakytas susitikimo metu.</w:t>
      </w:r>
    </w:p>
    <w:p w14:paraId="2F1B77CD" w14:textId="77777777" w:rsidR="00B61CC1" w:rsidRPr="00BB421E" w:rsidRDefault="00B61CC1" w:rsidP="00237799">
      <w:pPr>
        <w:jc w:val="both"/>
        <w:rPr>
          <w:b/>
          <w:bCs/>
          <w:szCs w:val="24"/>
        </w:rPr>
      </w:pPr>
    </w:p>
    <w:p w14:paraId="0BC3958D" w14:textId="298D5C52" w:rsidR="00CE7DEE" w:rsidRPr="00BB421E" w:rsidRDefault="00CE7DEE" w:rsidP="00B61CC1">
      <w:pPr>
        <w:jc w:val="both"/>
        <w:rPr>
          <w:szCs w:val="24"/>
        </w:rPr>
      </w:pPr>
      <w:r w:rsidRPr="00BB421E">
        <w:rPr>
          <w:b/>
          <w:bCs/>
          <w:szCs w:val="24"/>
        </w:rPr>
        <w:t>C. 3 dalis</w:t>
      </w:r>
      <w:r w:rsidRPr="00BB421E">
        <w:rPr>
          <w:szCs w:val="24"/>
        </w:rPr>
        <w:t>: Teisinės aplinkos ir teisės aktų analizės ataskaita</w:t>
      </w:r>
    </w:p>
    <w:p w14:paraId="5247B694" w14:textId="77777777" w:rsidR="00B61CC1" w:rsidRPr="00BB421E" w:rsidRDefault="00B61CC1" w:rsidP="00237799">
      <w:pPr>
        <w:jc w:val="both"/>
        <w:rPr>
          <w:szCs w:val="24"/>
        </w:rPr>
      </w:pPr>
    </w:p>
    <w:p w14:paraId="694CF2E2" w14:textId="5E508694" w:rsidR="00CE7DEE" w:rsidRPr="00BB421E" w:rsidRDefault="00CE7DEE" w:rsidP="00B61CC1">
      <w:pPr>
        <w:jc w:val="both"/>
        <w:rPr>
          <w:szCs w:val="24"/>
        </w:rPr>
      </w:pPr>
      <w:r w:rsidRPr="00BB421E">
        <w:rPr>
          <w:szCs w:val="24"/>
        </w:rPr>
        <w:t>Paslaugos teikėjas parengs ataskaitą, kurioje bus pateikti pasiūlymai dėl teisinio reguliavimo tobulinimo ir reikalingo teisinio reguliavimo diegimo tam, kad iki 2050 metų būtų pasiekti pramonės sektoriui Klimato kaitos valdymo darbotvarkėje nustatyti tikslai.</w:t>
      </w:r>
    </w:p>
    <w:p w14:paraId="059E00A1" w14:textId="77777777" w:rsidR="00B61CC1" w:rsidRPr="00BB421E" w:rsidRDefault="00B61CC1" w:rsidP="00237799">
      <w:pPr>
        <w:jc w:val="both"/>
        <w:rPr>
          <w:szCs w:val="24"/>
        </w:rPr>
      </w:pPr>
    </w:p>
    <w:p w14:paraId="480EAC90" w14:textId="6AF9A0E2" w:rsidR="00CE7DEE" w:rsidRPr="00BB421E" w:rsidRDefault="00CE7DEE" w:rsidP="00B61CC1">
      <w:pPr>
        <w:jc w:val="both"/>
        <w:rPr>
          <w:szCs w:val="24"/>
        </w:rPr>
      </w:pPr>
      <w:r w:rsidRPr="00BB421E">
        <w:rPr>
          <w:szCs w:val="24"/>
        </w:rPr>
        <w:t>3 dalis turi apimti:</w:t>
      </w:r>
    </w:p>
    <w:p w14:paraId="75FEE1E8" w14:textId="77777777" w:rsidR="00CE7DEE" w:rsidRPr="00BB421E" w:rsidRDefault="00CE7DEE" w:rsidP="00B61CC1">
      <w:pPr>
        <w:jc w:val="both"/>
        <w:rPr>
          <w:szCs w:val="24"/>
        </w:rPr>
      </w:pPr>
      <w:r w:rsidRPr="00BB421E">
        <w:rPr>
          <w:szCs w:val="24"/>
        </w:rPr>
        <w:t>- tarptautinių, Europos Sąjungos ir Lietuvos Respublikos teisės aktų analizę. Teisės aktų analizėje turi būti išanalizuotas esamas tarptautinio, Europos Sąjungos teisinio reguliavimo klimato kaitos srityje poveikis Lietuvos nacionalinei teisei ir Lietuvos pramonės įmonėms;</w:t>
      </w:r>
    </w:p>
    <w:p w14:paraId="4E2D7A11" w14:textId="77777777" w:rsidR="00CE7DEE" w:rsidRPr="00BB421E" w:rsidRDefault="00CE7DEE" w:rsidP="00B61CC1">
      <w:pPr>
        <w:jc w:val="both"/>
        <w:rPr>
          <w:szCs w:val="24"/>
        </w:rPr>
      </w:pPr>
      <w:r w:rsidRPr="00BB421E">
        <w:rPr>
          <w:szCs w:val="24"/>
        </w:rPr>
        <w:t>- pasiūlymus dėl nacionalinių teisės aktų tobulinimo ir jo poveikio. Pristatyme turėtų būti pateikti pasiūlymai dėl Lietuvos teisės aktų tobulinimo ir jų poveikio (socialinio ir ekonominio) pramonės įmonėms ir klimato kaitos politikai;</w:t>
      </w:r>
    </w:p>
    <w:p w14:paraId="41B0B086" w14:textId="77777777" w:rsidR="00CE7DEE" w:rsidRPr="00BB421E" w:rsidRDefault="00CE7DEE" w:rsidP="00B61CC1">
      <w:pPr>
        <w:jc w:val="both"/>
        <w:rPr>
          <w:szCs w:val="24"/>
        </w:rPr>
      </w:pPr>
      <w:r w:rsidRPr="00BB421E">
        <w:rPr>
          <w:szCs w:val="24"/>
        </w:rPr>
        <w:t>- pasiūlymus dėl reikalingų nacionalinių teisės aktų pakeitimų poreikio tam, kad galėtų būti taikomos vandenilio ir kitos (ne mažiau kaip dvi) inovatyvios technologijos siekiant klimato neutralumo tikslų Lietuvos pramonės įmonėse.</w:t>
      </w:r>
    </w:p>
    <w:p w14:paraId="4136A36D" w14:textId="77777777" w:rsidR="00B61CC1" w:rsidRPr="00BB421E" w:rsidRDefault="00B61CC1" w:rsidP="00237799">
      <w:pPr>
        <w:jc w:val="both"/>
        <w:rPr>
          <w:szCs w:val="24"/>
          <w:u w:val="single"/>
        </w:rPr>
      </w:pPr>
    </w:p>
    <w:p w14:paraId="3270D00F" w14:textId="48F02E8D" w:rsidR="00CE7DEE" w:rsidRPr="00BB421E" w:rsidRDefault="00CE7DEE" w:rsidP="00B61CC1">
      <w:pPr>
        <w:jc w:val="both"/>
        <w:rPr>
          <w:szCs w:val="24"/>
        </w:rPr>
      </w:pPr>
      <w:r w:rsidRPr="00BB421E">
        <w:rPr>
          <w:szCs w:val="24"/>
          <w:u w:val="single"/>
        </w:rPr>
        <w:t>Užduotys</w:t>
      </w:r>
      <w:r w:rsidRPr="00BB421E">
        <w:rPr>
          <w:szCs w:val="24"/>
        </w:rPr>
        <w:t>:</w:t>
      </w:r>
    </w:p>
    <w:p w14:paraId="2CEA9EF3" w14:textId="77777777" w:rsidR="00CE7DEE" w:rsidRPr="00BB421E" w:rsidRDefault="00CE7DEE" w:rsidP="00B61CC1">
      <w:pPr>
        <w:jc w:val="both"/>
        <w:rPr>
          <w:szCs w:val="24"/>
        </w:rPr>
      </w:pPr>
      <w:r w:rsidRPr="00BB421E">
        <w:rPr>
          <w:szCs w:val="24"/>
        </w:rPr>
        <w:t>• Parengti teisės aktų analizę;</w:t>
      </w:r>
    </w:p>
    <w:p w14:paraId="3FE09F67" w14:textId="77777777" w:rsidR="00CE7DEE" w:rsidRPr="00BB421E" w:rsidRDefault="00CE7DEE" w:rsidP="00B61CC1">
      <w:pPr>
        <w:jc w:val="both"/>
        <w:rPr>
          <w:szCs w:val="24"/>
        </w:rPr>
      </w:pPr>
      <w:r w:rsidRPr="00BB421E">
        <w:rPr>
          <w:szCs w:val="24"/>
        </w:rPr>
        <w:t>• Parengti pasiūlymus dėl nacionalinių teisės aktų tobulinimo ir jų poveikio (socialinio ir ekonominio) Lietuvos pramonės įmonėms ir klimato kaitos politikai;</w:t>
      </w:r>
    </w:p>
    <w:p w14:paraId="27500511" w14:textId="77777777" w:rsidR="00CE7DEE" w:rsidRPr="00BB421E" w:rsidRDefault="00CE7DEE" w:rsidP="00B61CC1">
      <w:pPr>
        <w:jc w:val="both"/>
        <w:rPr>
          <w:szCs w:val="24"/>
        </w:rPr>
      </w:pPr>
      <w:r w:rsidRPr="00BB421E">
        <w:rPr>
          <w:szCs w:val="24"/>
        </w:rPr>
        <w:t>• Parengti pasiūlymus dėl reikalingų inicijuoti nacionalinių teisės aktų pakeitimų poreikio tam, kad Lietuvos pramonės įmonėse galėtų būti taikomos vandenilio ir kitos (ne mažiau kaip dvi) inovatyvios technologijos;</w:t>
      </w:r>
    </w:p>
    <w:p w14:paraId="43DF1E10" w14:textId="77777777" w:rsidR="00CE7DEE" w:rsidRPr="00BB421E" w:rsidRDefault="00CE7DEE" w:rsidP="00B61CC1">
      <w:pPr>
        <w:jc w:val="both"/>
        <w:rPr>
          <w:szCs w:val="24"/>
        </w:rPr>
      </w:pPr>
      <w:r w:rsidRPr="00BB421E">
        <w:rPr>
          <w:szCs w:val="24"/>
        </w:rPr>
        <w:t>• Parengti ataskaitos projektą ir pateikti jį Darbo grupei;</w:t>
      </w:r>
    </w:p>
    <w:p w14:paraId="61913130" w14:textId="77777777" w:rsidR="00CE7DEE" w:rsidRPr="00BB421E" w:rsidRDefault="00CE7DEE" w:rsidP="00B61CC1">
      <w:pPr>
        <w:jc w:val="both"/>
        <w:rPr>
          <w:szCs w:val="24"/>
        </w:rPr>
      </w:pPr>
      <w:r w:rsidRPr="00BB421E">
        <w:rPr>
          <w:szCs w:val="24"/>
        </w:rPr>
        <w:t>• Patikslinti ataskaitos projektą remiantis Darbo grupės pastabomis.</w:t>
      </w:r>
    </w:p>
    <w:p w14:paraId="4BC0B5CD" w14:textId="77777777" w:rsidR="00B61CC1" w:rsidRPr="00BB421E" w:rsidRDefault="00B61CC1" w:rsidP="00237799">
      <w:pPr>
        <w:jc w:val="both"/>
        <w:rPr>
          <w:b/>
          <w:bCs/>
          <w:szCs w:val="24"/>
        </w:rPr>
      </w:pPr>
    </w:p>
    <w:p w14:paraId="1A18F56D" w14:textId="58D19A53" w:rsidR="00CE7DEE" w:rsidRPr="00BB421E" w:rsidRDefault="00CE7DEE" w:rsidP="00237799">
      <w:pPr>
        <w:jc w:val="both"/>
        <w:rPr>
          <w:szCs w:val="24"/>
        </w:rPr>
      </w:pPr>
      <w:r w:rsidRPr="00BB421E">
        <w:rPr>
          <w:b/>
          <w:bCs/>
          <w:szCs w:val="24"/>
        </w:rPr>
        <w:t>D. 4 dalis</w:t>
      </w:r>
      <w:r w:rsidRPr="00BB421E">
        <w:rPr>
          <w:szCs w:val="24"/>
        </w:rPr>
        <w:t xml:space="preserve">: ataskaita apie </w:t>
      </w:r>
      <w:r w:rsidR="00511994" w:rsidRPr="00BB421E">
        <w:rPr>
          <w:szCs w:val="24"/>
        </w:rPr>
        <w:t>CO</w:t>
      </w:r>
      <w:r w:rsidR="00511994" w:rsidRPr="00BB421E">
        <w:rPr>
          <w:szCs w:val="24"/>
          <w:vertAlign w:val="subscript"/>
        </w:rPr>
        <w:t>2</w:t>
      </w:r>
      <w:r w:rsidRPr="00BB421E">
        <w:rPr>
          <w:szCs w:val="24"/>
        </w:rPr>
        <w:t xml:space="preserve"> surinkimo ir saugojimo (angl. </w:t>
      </w:r>
      <w:r w:rsidRPr="00BB421E">
        <w:rPr>
          <w:i/>
          <w:iCs/>
          <w:szCs w:val="24"/>
        </w:rPr>
        <w:t>CCS</w:t>
      </w:r>
      <w:r w:rsidRPr="00BB421E">
        <w:rPr>
          <w:szCs w:val="24"/>
        </w:rPr>
        <w:t>)</w:t>
      </w:r>
      <w:r w:rsidRPr="00BB421E">
        <w:rPr>
          <w:bCs/>
          <w:szCs w:val="24"/>
        </w:rPr>
        <w:t xml:space="preserve"> ir </w:t>
      </w:r>
      <w:r w:rsidR="00511994" w:rsidRPr="00BB421E">
        <w:rPr>
          <w:szCs w:val="24"/>
        </w:rPr>
        <w:t>CO</w:t>
      </w:r>
      <w:r w:rsidR="00511994" w:rsidRPr="00BB421E">
        <w:rPr>
          <w:szCs w:val="24"/>
          <w:vertAlign w:val="subscript"/>
        </w:rPr>
        <w:t>2</w:t>
      </w:r>
      <w:r w:rsidRPr="00BB421E">
        <w:rPr>
          <w:color w:val="000000"/>
          <w:szCs w:val="24"/>
        </w:rPr>
        <w:t xml:space="preserve"> sugavimo ir panaudojimo technologijų (angl. </w:t>
      </w:r>
      <w:r w:rsidRPr="00BB421E">
        <w:rPr>
          <w:i/>
          <w:iCs/>
          <w:color w:val="000000"/>
          <w:szCs w:val="24"/>
        </w:rPr>
        <w:t>CCU</w:t>
      </w:r>
      <w:r w:rsidRPr="00BB421E">
        <w:rPr>
          <w:color w:val="000000"/>
          <w:szCs w:val="24"/>
        </w:rPr>
        <w:t xml:space="preserve">) </w:t>
      </w:r>
      <w:r w:rsidRPr="00BB421E">
        <w:rPr>
          <w:szCs w:val="24"/>
        </w:rPr>
        <w:t>taikymą ir sugaudyto CO</w:t>
      </w:r>
      <w:r w:rsidRPr="00BB421E">
        <w:rPr>
          <w:szCs w:val="24"/>
          <w:vertAlign w:val="subscript"/>
        </w:rPr>
        <w:t>2</w:t>
      </w:r>
      <w:r w:rsidRPr="00BB421E">
        <w:rPr>
          <w:szCs w:val="24"/>
        </w:rPr>
        <w:t xml:space="preserve"> surinkimo, saugojimo ir panaudojimo galimybes Lietuvos pramonės įmonėse.</w:t>
      </w:r>
    </w:p>
    <w:p w14:paraId="7C1A4953" w14:textId="77777777" w:rsidR="00B61CC1" w:rsidRPr="00BB421E" w:rsidRDefault="00B61CC1" w:rsidP="00B61CC1">
      <w:pPr>
        <w:jc w:val="both"/>
        <w:rPr>
          <w:szCs w:val="24"/>
        </w:rPr>
      </w:pPr>
    </w:p>
    <w:p w14:paraId="4A8C1B28" w14:textId="2DED2A93" w:rsidR="00CE7DEE" w:rsidRPr="00BB421E" w:rsidRDefault="00CE7DEE" w:rsidP="00B61CC1">
      <w:pPr>
        <w:jc w:val="both"/>
        <w:rPr>
          <w:szCs w:val="24"/>
        </w:rPr>
      </w:pPr>
      <w:r w:rsidRPr="00BB421E">
        <w:rPr>
          <w:szCs w:val="24"/>
        </w:rPr>
        <w:t xml:space="preserve">Paslaugų teikėjas parengs ataskaitą, kurioje bus įvertinti iššūkiai, kylantys dėl </w:t>
      </w:r>
      <w:r w:rsidR="00511994" w:rsidRPr="00BB421E">
        <w:rPr>
          <w:szCs w:val="24"/>
        </w:rPr>
        <w:t>CO</w:t>
      </w:r>
      <w:r w:rsidR="00511994" w:rsidRPr="00BB421E">
        <w:rPr>
          <w:szCs w:val="24"/>
          <w:vertAlign w:val="subscript"/>
        </w:rPr>
        <w:t>2</w:t>
      </w:r>
      <w:r w:rsidRPr="00BB421E">
        <w:rPr>
          <w:szCs w:val="24"/>
        </w:rPr>
        <w:t xml:space="preserve"> surinkimo ir saugojimo (angl. </w:t>
      </w:r>
      <w:r w:rsidRPr="00BB421E">
        <w:rPr>
          <w:i/>
          <w:iCs/>
          <w:szCs w:val="24"/>
        </w:rPr>
        <w:t>CCS</w:t>
      </w:r>
      <w:r w:rsidRPr="00BB421E">
        <w:rPr>
          <w:szCs w:val="24"/>
        </w:rPr>
        <w:t>)</w:t>
      </w:r>
      <w:r w:rsidRPr="00BB421E">
        <w:rPr>
          <w:bCs/>
          <w:szCs w:val="24"/>
        </w:rPr>
        <w:t xml:space="preserve"> ir </w:t>
      </w:r>
      <w:r w:rsidR="00511994" w:rsidRPr="00BB421E">
        <w:rPr>
          <w:szCs w:val="24"/>
        </w:rPr>
        <w:t>CO</w:t>
      </w:r>
      <w:r w:rsidR="00511994" w:rsidRPr="00BB421E">
        <w:rPr>
          <w:szCs w:val="24"/>
          <w:vertAlign w:val="subscript"/>
        </w:rPr>
        <w:t>2</w:t>
      </w:r>
      <w:r w:rsidRPr="00BB421E">
        <w:rPr>
          <w:color w:val="000000"/>
          <w:szCs w:val="24"/>
        </w:rPr>
        <w:t xml:space="preserve"> sugavimo ir panaudojimo technologijų (angl. </w:t>
      </w:r>
      <w:r w:rsidRPr="00BB421E">
        <w:rPr>
          <w:i/>
          <w:iCs/>
          <w:color w:val="000000"/>
          <w:szCs w:val="24"/>
        </w:rPr>
        <w:t>CCU</w:t>
      </w:r>
      <w:r w:rsidRPr="00BB421E">
        <w:rPr>
          <w:color w:val="000000"/>
          <w:szCs w:val="24"/>
        </w:rPr>
        <w:t xml:space="preserve">) </w:t>
      </w:r>
      <w:r w:rsidRPr="00BB421E">
        <w:rPr>
          <w:szCs w:val="24"/>
        </w:rPr>
        <w:t>panaudojimo Lietuvos pramonės įmonėse; taip pat bus atliktas vertinimas dėl šių technologijų taikymo, CO</w:t>
      </w:r>
      <w:r w:rsidRPr="00BB421E">
        <w:rPr>
          <w:szCs w:val="24"/>
          <w:vertAlign w:val="subscript"/>
        </w:rPr>
        <w:t>2</w:t>
      </w:r>
      <w:r w:rsidRPr="00BB421E">
        <w:rPr>
          <w:szCs w:val="24"/>
        </w:rPr>
        <w:t xml:space="preserve"> surinkimo, saugojimo ir panaudojimo Lietuvos pramonės įmonėse.</w:t>
      </w:r>
    </w:p>
    <w:p w14:paraId="5AA6E51F" w14:textId="77777777" w:rsidR="00B61CC1" w:rsidRPr="00BB421E" w:rsidRDefault="00B61CC1" w:rsidP="00237799">
      <w:pPr>
        <w:jc w:val="both"/>
        <w:rPr>
          <w:szCs w:val="24"/>
        </w:rPr>
      </w:pPr>
    </w:p>
    <w:p w14:paraId="7BFAAF16" w14:textId="467A3DEF" w:rsidR="00CE7DEE" w:rsidRPr="00BB421E" w:rsidRDefault="00CE7DEE" w:rsidP="00B61CC1">
      <w:pPr>
        <w:jc w:val="both"/>
        <w:rPr>
          <w:szCs w:val="24"/>
        </w:rPr>
      </w:pPr>
      <w:r w:rsidRPr="00BB421E">
        <w:rPr>
          <w:szCs w:val="24"/>
        </w:rPr>
        <w:t>4 dalis turi apimti:</w:t>
      </w:r>
    </w:p>
    <w:p w14:paraId="5B1BCBDD" w14:textId="59169959" w:rsidR="00CE7DEE" w:rsidRPr="00BB421E" w:rsidRDefault="00CE7DEE" w:rsidP="00B61CC1">
      <w:pPr>
        <w:jc w:val="both"/>
        <w:rPr>
          <w:szCs w:val="24"/>
        </w:rPr>
      </w:pPr>
      <w:r w:rsidRPr="00BB421E">
        <w:rPr>
          <w:szCs w:val="24"/>
        </w:rPr>
        <w:lastRenderedPageBreak/>
        <w:t xml:space="preserve">- išanalizuoti iššūkių, kylančių dėl </w:t>
      </w:r>
      <w:r w:rsidR="00511994" w:rsidRPr="00BB421E">
        <w:rPr>
          <w:szCs w:val="24"/>
        </w:rPr>
        <w:t>CO</w:t>
      </w:r>
      <w:r w:rsidR="00511994" w:rsidRPr="00BB421E">
        <w:rPr>
          <w:szCs w:val="24"/>
          <w:vertAlign w:val="subscript"/>
        </w:rPr>
        <w:t>2</w:t>
      </w:r>
      <w:r w:rsidRPr="00BB421E">
        <w:rPr>
          <w:szCs w:val="24"/>
        </w:rPr>
        <w:t xml:space="preserve"> surinkimo ir saugojimo (angl. </w:t>
      </w:r>
      <w:r w:rsidRPr="00BB421E">
        <w:rPr>
          <w:i/>
          <w:iCs/>
          <w:szCs w:val="24"/>
        </w:rPr>
        <w:t>CCS</w:t>
      </w:r>
      <w:r w:rsidRPr="00BB421E">
        <w:rPr>
          <w:szCs w:val="24"/>
        </w:rPr>
        <w:t>)</w:t>
      </w:r>
      <w:r w:rsidRPr="00BB421E">
        <w:rPr>
          <w:bCs/>
          <w:szCs w:val="24"/>
        </w:rPr>
        <w:t xml:space="preserve"> ir </w:t>
      </w:r>
      <w:r w:rsidR="00511994" w:rsidRPr="00BB421E">
        <w:rPr>
          <w:szCs w:val="24"/>
        </w:rPr>
        <w:t>CO</w:t>
      </w:r>
      <w:r w:rsidR="00511994" w:rsidRPr="00BB421E">
        <w:rPr>
          <w:szCs w:val="24"/>
          <w:vertAlign w:val="subscript"/>
        </w:rPr>
        <w:t>2</w:t>
      </w:r>
      <w:r w:rsidRPr="00BB421E">
        <w:rPr>
          <w:color w:val="000000"/>
          <w:szCs w:val="24"/>
        </w:rPr>
        <w:t xml:space="preserve"> sugavimo ir panaudojimo technologijų (angl. </w:t>
      </w:r>
      <w:r w:rsidRPr="00BB421E">
        <w:rPr>
          <w:i/>
          <w:iCs/>
          <w:color w:val="000000"/>
          <w:szCs w:val="24"/>
        </w:rPr>
        <w:t>CCU</w:t>
      </w:r>
      <w:r w:rsidRPr="00BB421E">
        <w:rPr>
          <w:color w:val="000000"/>
          <w:szCs w:val="24"/>
        </w:rPr>
        <w:t xml:space="preserve">) </w:t>
      </w:r>
      <w:r w:rsidRPr="00BB421E">
        <w:rPr>
          <w:szCs w:val="24"/>
        </w:rPr>
        <w:t>taikymo Lietuvos pramonės įmonėse, analizę remiantis kitų ES šalių praktika;</w:t>
      </w:r>
    </w:p>
    <w:p w14:paraId="5468B447" w14:textId="77777777" w:rsidR="00CE7DEE" w:rsidRPr="00BB421E" w:rsidRDefault="00CE7DEE" w:rsidP="00B61CC1">
      <w:pPr>
        <w:jc w:val="both"/>
        <w:rPr>
          <w:szCs w:val="24"/>
        </w:rPr>
      </w:pPr>
      <w:r w:rsidRPr="00BB421E">
        <w:rPr>
          <w:szCs w:val="24"/>
        </w:rPr>
        <w:t>- pasiūlymus dėl teisės aktų pakeitimų, pagal kuriuos būtų leidžiami su CO</w:t>
      </w:r>
      <w:r w:rsidRPr="00BB421E">
        <w:rPr>
          <w:szCs w:val="24"/>
          <w:vertAlign w:val="subscript"/>
        </w:rPr>
        <w:t>2</w:t>
      </w:r>
      <w:r w:rsidRPr="00BB421E">
        <w:rPr>
          <w:szCs w:val="24"/>
        </w:rPr>
        <w:t xml:space="preserve"> saugojimu žemės gelmėse (iki 100 000 t.) susiję žvalgymai, moksliniai tyrimai arba eksperimentinė plėtra, naujų metodų bandymai. Pasiūlymai turi remtis kitų ES šalių praktika.</w:t>
      </w:r>
    </w:p>
    <w:p w14:paraId="4FD8DD36" w14:textId="77777777" w:rsidR="00CE7DEE" w:rsidRPr="00BB421E" w:rsidRDefault="00CE7DEE" w:rsidP="00B61CC1">
      <w:pPr>
        <w:jc w:val="both"/>
        <w:rPr>
          <w:szCs w:val="24"/>
        </w:rPr>
      </w:pPr>
      <w:r w:rsidRPr="00BB421E">
        <w:rPr>
          <w:szCs w:val="24"/>
        </w:rPr>
        <w:t>- aprašymą dėl CO</w:t>
      </w:r>
      <w:r w:rsidRPr="00BB421E">
        <w:rPr>
          <w:szCs w:val="24"/>
          <w:vertAlign w:val="subscript"/>
        </w:rPr>
        <w:t>2</w:t>
      </w:r>
      <w:r w:rsidRPr="00BB421E">
        <w:rPr>
          <w:szCs w:val="24"/>
        </w:rPr>
        <w:t xml:space="preserve"> surinkimo ir saugojimo Lietuvoje, remiantis iki šiol atliktais moksliniais tyrimais ir esamais teisės aktų reikalavimais:</w:t>
      </w:r>
    </w:p>
    <w:p w14:paraId="4DAB3D27" w14:textId="77777777" w:rsidR="00CE7DEE" w:rsidRPr="00BB421E" w:rsidRDefault="00CE7DEE" w:rsidP="00B61CC1">
      <w:pPr>
        <w:pStyle w:val="ListParagraph"/>
        <w:numPr>
          <w:ilvl w:val="1"/>
          <w:numId w:val="7"/>
        </w:numPr>
        <w:jc w:val="both"/>
        <w:rPr>
          <w:szCs w:val="24"/>
        </w:rPr>
      </w:pPr>
      <w:r w:rsidRPr="00BB421E">
        <w:rPr>
          <w:szCs w:val="24"/>
        </w:rPr>
        <w:t>pasirinkta tinkamiausia CO</w:t>
      </w:r>
      <w:r w:rsidRPr="00BB421E">
        <w:rPr>
          <w:szCs w:val="24"/>
          <w:vertAlign w:val="subscript"/>
        </w:rPr>
        <w:t>2</w:t>
      </w:r>
      <w:r w:rsidRPr="00BB421E">
        <w:rPr>
          <w:szCs w:val="24"/>
        </w:rPr>
        <w:t> saugojimo vieta (telkinys). Vietos pasirinkimas turi būti pagrįstas analize;</w:t>
      </w:r>
    </w:p>
    <w:p w14:paraId="3D55E785" w14:textId="77777777" w:rsidR="00CE7DEE" w:rsidRPr="00BB421E" w:rsidRDefault="00CE7DEE" w:rsidP="00B61CC1">
      <w:pPr>
        <w:pStyle w:val="ListParagraph"/>
        <w:numPr>
          <w:ilvl w:val="1"/>
          <w:numId w:val="7"/>
        </w:numPr>
        <w:jc w:val="both"/>
        <w:rPr>
          <w:szCs w:val="24"/>
        </w:rPr>
      </w:pPr>
      <w:r w:rsidRPr="00BB421E">
        <w:rPr>
          <w:szCs w:val="24"/>
        </w:rPr>
        <w:t>atlikti dinaminiai CO</w:t>
      </w:r>
      <w:r w:rsidRPr="00BB421E">
        <w:rPr>
          <w:szCs w:val="24"/>
          <w:vertAlign w:val="subscript"/>
        </w:rPr>
        <w:t>2</w:t>
      </w:r>
      <w:r w:rsidRPr="00BB421E">
        <w:rPr>
          <w:szCs w:val="24"/>
        </w:rPr>
        <w:t> įleidimo procesų (įskaitant galimų nuotėkių pasirinktame telkinyje) modeliavimai;</w:t>
      </w:r>
    </w:p>
    <w:p w14:paraId="239FB7CE" w14:textId="77777777" w:rsidR="00CE7DEE" w:rsidRPr="00BB421E" w:rsidRDefault="00CE7DEE" w:rsidP="00B61CC1">
      <w:pPr>
        <w:pStyle w:val="ListParagraph"/>
        <w:numPr>
          <w:ilvl w:val="1"/>
          <w:numId w:val="7"/>
        </w:numPr>
        <w:jc w:val="both"/>
        <w:rPr>
          <w:szCs w:val="24"/>
        </w:rPr>
      </w:pPr>
      <w:r w:rsidRPr="00BB421E">
        <w:rPr>
          <w:szCs w:val="24"/>
        </w:rPr>
        <w:t>atliktas CO</w:t>
      </w:r>
      <w:r w:rsidRPr="00BB421E">
        <w:rPr>
          <w:szCs w:val="24"/>
          <w:vertAlign w:val="subscript"/>
        </w:rPr>
        <w:t>2</w:t>
      </w:r>
      <w:r w:rsidRPr="00BB421E">
        <w:rPr>
          <w:szCs w:val="24"/>
        </w:rPr>
        <w:t> geologinio saugojimo rizikos įvertinimas; </w:t>
      </w:r>
    </w:p>
    <w:p w14:paraId="415B0F2F" w14:textId="77777777" w:rsidR="00CE7DEE" w:rsidRPr="00BB421E" w:rsidRDefault="00CE7DEE" w:rsidP="00B61CC1">
      <w:pPr>
        <w:pStyle w:val="ListParagraph"/>
        <w:numPr>
          <w:ilvl w:val="1"/>
          <w:numId w:val="7"/>
        </w:numPr>
        <w:jc w:val="both"/>
        <w:rPr>
          <w:szCs w:val="24"/>
        </w:rPr>
      </w:pPr>
      <w:r w:rsidRPr="00BB421E">
        <w:rPr>
          <w:szCs w:val="24"/>
        </w:rPr>
        <w:t>sukurtos techninės specifikacijos ir sąlygos, kuriomis į žemės gelmes turėtų būti įleidžiamas CO</w:t>
      </w:r>
      <w:r w:rsidRPr="00BB421E">
        <w:rPr>
          <w:szCs w:val="24"/>
          <w:vertAlign w:val="subscript"/>
        </w:rPr>
        <w:t>2</w:t>
      </w:r>
      <w:r w:rsidRPr="00BB421E">
        <w:rPr>
          <w:szCs w:val="24"/>
        </w:rPr>
        <w:t>;</w:t>
      </w:r>
    </w:p>
    <w:p w14:paraId="5D626480" w14:textId="77777777" w:rsidR="00CE7DEE" w:rsidRPr="00BB421E" w:rsidRDefault="00CE7DEE" w:rsidP="00B61CC1">
      <w:pPr>
        <w:pStyle w:val="ListParagraph"/>
        <w:numPr>
          <w:ilvl w:val="1"/>
          <w:numId w:val="7"/>
        </w:numPr>
        <w:jc w:val="both"/>
        <w:rPr>
          <w:szCs w:val="24"/>
        </w:rPr>
      </w:pPr>
      <w:r w:rsidRPr="00BB421E">
        <w:rPr>
          <w:szCs w:val="24"/>
        </w:rPr>
        <w:t>sukurtas bazinis saugyklos stebėjimo planas bei CO</w:t>
      </w:r>
      <w:r w:rsidRPr="00BB421E">
        <w:rPr>
          <w:szCs w:val="24"/>
          <w:vertAlign w:val="subscript"/>
        </w:rPr>
        <w:t>2</w:t>
      </w:r>
      <w:r w:rsidRPr="00BB421E">
        <w:rPr>
          <w:szCs w:val="24"/>
        </w:rPr>
        <w:t> įleidimo infrastruktūros eksploatacijos saugumo standartas.</w:t>
      </w:r>
    </w:p>
    <w:p w14:paraId="22B667F4" w14:textId="77777777" w:rsidR="00CE7DEE" w:rsidRPr="00BB421E" w:rsidRDefault="00CE7DEE" w:rsidP="00B61CC1">
      <w:pPr>
        <w:jc w:val="both"/>
        <w:rPr>
          <w:szCs w:val="24"/>
        </w:rPr>
      </w:pPr>
      <w:r w:rsidRPr="00BB421E">
        <w:rPr>
          <w:szCs w:val="24"/>
        </w:rPr>
        <w:t>- analizę ir pasiūlymus dėl gaudomo CO</w:t>
      </w:r>
      <w:r w:rsidRPr="00BB421E">
        <w:rPr>
          <w:szCs w:val="24"/>
          <w:vertAlign w:val="subscript"/>
        </w:rPr>
        <w:t>2</w:t>
      </w:r>
      <w:r w:rsidRPr="00BB421E">
        <w:rPr>
          <w:szCs w:val="24"/>
        </w:rPr>
        <w:t xml:space="preserve"> tiesioginio ir netiesioginio panaudojimo Lietuvos pramonės įmonėse;</w:t>
      </w:r>
    </w:p>
    <w:p w14:paraId="4ABED33B" w14:textId="77777777" w:rsidR="00CE7DEE" w:rsidRPr="00BB421E" w:rsidRDefault="00CE7DEE" w:rsidP="00B61CC1">
      <w:pPr>
        <w:jc w:val="both"/>
        <w:rPr>
          <w:szCs w:val="24"/>
        </w:rPr>
      </w:pPr>
      <w:r w:rsidRPr="00BB421E">
        <w:rPr>
          <w:szCs w:val="24"/>
        </w:rPr>
        <w:t>- veiksmų planą nurodant konkrečias priemones, kurių reikia imtis siekiant Nacionalinėje klimato valdymo darbotvarkėje nustatytų tikslo „</w:t>
      </w:r>
      <w:r w:rsidRPr="00BB421E">
        <w:rPr>
          <w:color w:val="000000"/>
          <w:szCs w:val="24"/>
        </w:rPr>
        <w:t xml:space="preserve">naudojant aplinkai saugias anglies dioksido sugavimo ir panaudojimo technologijas, užtikrinti pramonės sektoriaus išmetamų ŠESD kiekio sumažinimą 100 proc., palyginti su 2005 m.“, </w:t>
      </w:r>
      <w:r w:rsidRPr="00BB421E">
        <w:rPr>
          <w:szCs w:val="24"/>
        </w:rPr>
        <w:t>ir už šias priemones atsakingas institucijas</w:t>
      </w:r>
      <w:r w:rsidRPr="00BB421E">
        <w:rPr>
          <w:color w:val="000000"/>
          <w:szCs w:val="24"/>
        </w:rPr>
        <w:t>.</w:t>
      </w:r>
    </w:p>
    <w:p w14:paraId="74A59E61" w14:textId="77777777" w:rsidR="00B61CC1" w:rsidRPr="00BB421E" w:rsidRDefault="00B61CC1" w:rsidP="00237799">
      <w:pPr>
        <w:jc w:val="both"/>
        <w:rPr>
          <w:szCs w:val="24"/>
          <w:u w:val="single"/>
        </w:rPr>
      </w:pPr>
    </w:p>
    <w:p w14:paraId="15BA653D" w14:textId="4BE67C3D" w:rsidR="00CE7DEE" w:rsidRPr="00BB421E" w:rsidRDefault="00CE7DEE" w:rsidP="00237799">
      <w:pPr>
        <w:jc w:val="both"/>
        <w:rPr>
          <w:szCs w:val="24"/>
        </w:rPr>
      </w:pPr>
      <w:r w:rsidRPr="00BB421E">
        <w:rPr>
          <w:szCs w:val="24"/>
          <w:u w:val="single"/>
        </w:rPr>
        <w:t>Situacijos aprašymas</w:t>
      </w:r>
      <w:r w:rsidRPr="00BB421E">
        <w:rPr>
          <w:szCs w:val="24"/>
        </w:rPr>
        <w:t>:</w:t>
      </w:r>
    </w:p>
    <w:p w14:paraId="643908E0" w14:textId="77777777" w:rsidR="00B61CC1" w:rsidRPr="00BB421E" w:rsidRDefault="00B61CC1" w:rsidP="00B61CC1">
      <w:pPr>
        <w:jc w:val="both"/>
        <w:rPr>
          <w:szCs w:val="24"/>
        </w:rPr>
      </w:pPr>
    </w:p>
    <w:p w14:paraId="2ACA90BB" w14:textId="5C2BE290" w:rsidR="00CE7DEE" w:rsidRPr="00BB421E" w:rsidRDefault="00CE7DEE" w:rsidP="00B61CC1">
      <w:pPr>
        <w:jc w:val="both"/>
        <w:rPr>
          <w:szCs w:val="24"/>
        </w:rPr>
      </w:pPr>
      <w:r w:rsidRPr="00BB421E">
        <w:rPr>
          <w:szCs w:val="24"/>
        </w:rPr>
        <w:t>Europos</w:t>
      </w:r>
      <w:r w:rsidRPr="00BB421E">
        <w:rPr>
          <w:szCs w:val="24"/>
          <w:shd w:val="clear" w:color="auto" w:fill="FFFFFF"/>
        </w:rPr>
        <w:t> S</w:t>
      </w:r>
      <w:r w:rsidRPr="00BB421E">
        <w:rPr>
          <w:szCs w:val="24"/>
        </w:rPr>
        <w:t>ąjungos žaliojo kurso politika CO</w:t>
      </w:r>
      <w:r w:rsidRPr="00BB421E">
        <w:rPr>
          <w:szCs w:val="24"/>
          <w:vertAlign w:val="subscript"/>
        </w:rPr>
        <w:t>2</w:t>
      </w:r>
      <w:r w:rsidRPr="00BB421E">
        <w:rPr>
          <w:szCs w:val="24"/>
        </w:rPr>
        <w:t xml:space="preserve"> laidojimą geologinėse struktūrose priima kaip tinkamą pramonės </w:t>
      </w:r>
      <w:proofErr w:type="spellStart"/>
      <w:r w:rsidRPr="00BB421E">
        <w:rPr>
          <w:szCs w:val="24"/>
        </w:rPr>
        <w:t>dekarbonizacijos</w:t>
      </w:r>
      <w:proofErr w:type="spellEnd"/>
      <w:r w:rsidRPr="00BB421E">
        <w:rPr>
          <w:szCs w:val="24"/>
        </w:rPr>
        <w:t xml:space="preserve"> instrumentą. Europos komisija ne tik skatina, bet ir įgalina šalis nares remti </w:t>
      </w:r>
      <w:r w:rsidR="00511994" w:rsidRPr="00BB421E">
        <w:rPr>
          <w:szCs w:val="24"/>
        </w:rPr>
        <w:t>CO</w:t>
      </w:r>
      <w:r w:rsidR="00511994" w:rsidRPr="00BB421E">
        <w:rPr>
          <w:szCs w:val="24"/>
          <w:vertAlign w:val="subscript"/>
        </w:rPr>
        <w:t>2</w:t>
      </w:r>
      <w:r w:rsidRPr="00BB421E">
        <w:rPr>
          <w:szCs w:val="24"/>
        </w:rPr>
        <w:t xml:space="preserve"> surinkimo ir saugojimo (angl. </w:t>
      </w:r>
      <w:r w:rsidRPr="00BB421E">
        <w:rPr>
          <w:i/>
          <w:iCs/>
          <w:szCs w:val="24"/>
        </w:rPr>
        <w:t>CCS</w:t>
      </w:r>
      <w:r w:rsidRPr="00BB421E">
        <w:rPr>
          <w:szCs w:val="24"/>
        </w:rPr>
        <w:t>)</w:t>
      </w:r>
      <w:r w:rsidRPr="00BB421E">
        <w:rPr>
          <w:bCs/>
          <w:szCs w:val="24"/>
        </w:rPr>
        <w:t xml:space="preserve"> ir </w:t>
      </w:r>
      <w:r w:rsidR="00511994" w:rsidRPr="00BB421E">
        <w:rPr>
          <w:szCs w:val="24"/>
        </w:rPr>
        <w:t>CO</w:t>
      </w:r>
      <w:r w:rsidR="00511994" w:rsidRPr="00BB421E">
        <w:rPr>
          <w:szCs w:val="24"/>
          <w:vertAlign w:val="subscript"/>
        </w:rPr>
        <w:t>2</w:t>
      </w:r>
      <w:r w:rsidRPr="00BB421E">
        <w:rPr>
          <w:color w:val="000000"/>
          <w:szCs w:val="24"/>
        </w:rPr>
        <w:t xml:space="preserve"> sugavimo ir panaudojimo technologijų (angl. </w:t>
      </w:r>
      <w:r w:rsidRPr="00BB421E">
        <w:rPr>
          <w:i/>
          <w:iCs/>
          <w:color w:val="000000"/>
          <w:szCs w:val="24"/>
        </w:rPr>
        <w:t>CCU</w:t>
      </w:r>
      <w:r w:rsidRPr="00BB421E">
        <w:rPr>
          <w:color w:val="000000"/>
          <w:szCs w:val="24"/>
        </w:rPr>
        <w:t xml:space="preserve">) </w:t>
      </w:r>
      <w:r w:rsidRPr="00BB421E">
        <w:rPr>
          <w:szCs w:val="24"/>
        </w:rPr>
        <w:t>technologijas teikiant valstybės pagalbą. Kaip tai daryti nurodoma Komisijos pagalbos klimato, aplinkos apsaugos ir energetikos gairėse 2022 m.</w:t>
      </w:r>
      <w:r w:rsidRPr="00BB421E">
        <w:rPr>
          <w:szCs w:val="24"/>
          <w:vertAlign w:val="superscript"/>
        </w:rPr>
        <w:t>1</w:t>
      </w:r>
      <w:r w:rsidRPr="00BB421E">
        <w:rPr>
          <w:szCs w:val="24"/>
        </w:rPr>
        <w:t xml:space="preserve">Nepaisant to, 2019 metais Lietuvos Seimo priimtomis nuostatomis bet kokia su CCS susijusi veikla Lietuvoje buvo uždrausta. Šis draudimas tiesiogiai kertasi su IV </w:t>
      </w:r>
      <w:proofErr w:type="spellStart"/>
      <w:r w:rsidRPr="00BB421E">
        <w:rPr>
          <w:szCs w:val="24"/>
        </w:rPr>
        <w:t>Kioto</w:t>
      </w:r>
      <w:proofErr w:type="spellEnd"/>
      <w:r w:rsidRPr="00BB421E">
        <w:rPr>
          <w:szCs w:val="24"/>
        </w:rPr>
        <w:t xml:space="preserve"> periodo eigoje iškeltais labai ambicingais aplinkosauginiai įsipareigojimais. Siekiant efektyvaus ir ekonomiškai naudingo CO</w:t>
      </w:r>
      <w:r w:rsidRPr="00BB421E">
        <w:rPr>
          <w:szCs w:val="24"/>
          <w:vertAlign w:val="subscript"/>
        </w:rPr>
        <w:t>2</w:t>
      </w:r>
      <w:r w:rsidRPr="00BB421E">
        <w:rPr>
          <w:szCs w:val="24"/>
        </w:rPr>
        <w:t> emisijų mažinimo, CCS yra vienas iš kertinių instrumentų trumpuoju periodu pasaulio, o taip pat ir Lietuvos aplinkosauginiams įsipareigojimams pasiekti. </w:t>
      </w:r>
    </w:p>
    <w:p w14:paraId="381F18EC" w14:textId="47B4BC94" w:rsidR="00CE7DEE" w:rsidRPr="00BB421E" w:rsidRDefault="00CE7DEE" w:rsidP="00B61CC1">
      <w:pPr>
        <w:jc w:val="both"/>
        <w:rPr>
          <w:szCs w:val="24"/>
        </w:rPr>
      </w:pPr>
      <w:r w:rsidRPr="00BB421E">
        <w:rPr>
          <w:szCs w:val="24"/>
        </w:rPr>
        <w:t>Šiuo metu pasaulyje sėkmingai veikia 35 industrinės skalės CCS objektai, kurių apimtyje kasmet į žemės gelmes įleidžiama 45 Mt CO</w:t>
      </w:r>
      <w:r w:rsidRPr="00BB421E">
        <w:rPr>
          <w:szCs w:val="24"/>
          <w:vertAlign w:val="subscript"/>
        </w:rPr>
        <w:t>2</w:t>
      </w:r>
      <w:r w:rsidRPr="00BB421E">
        <w:rPr>
          <w:szCs w:val="24"/>
          <w:vertAlign w:val="superscript"/>
        </w:rPr>
        <w:t>2</w:t>
      </w:r>
      <w:r w:rsidRPr="00BB421E">
        <w:rPr>
          <w:szCs w:val="24"/>
        </w:rPr>
        <w:t xml:space="preserve">. Geologų atlikti tyrimai rodo ir patvirtina nemažą Lietuvos potencialą </w:t>
      </w:r>
      <w:r w:rsidR="00511994" w:rsidRPr="00BB421E">
        <w:rPr>
          <w:szCs w:val="24"/>
        </w:rPr>
        <w:t>CO</w:t>
      </w:r>
      <w:r w:rsidR="00511994" w:rsidRPr="00BB421E">
        <w:rPr>
          <w:szCs w:val="24"/>
          <w:vertAlign w:val="subscript"/>
        </w:rPr>
        <w:t>2</w:t>
      </w:r>
      <w:r w:rsidRPr="00BB421E">
        <w:rPr>
          <w:szCs w:val="24"/>
        </w:rPr>
        <w:t xml:space="preserve"> saugojimui žemės gelmėse, kuris bendrai sudaro virš 200 Mt</w:t>
      </w:r>
      <w:r w:rsidRPr="00BB421E">
        <w:rPr>
          <w:szCs w:val="24"/>
          <w:vertAlign w:val="superscript"/>
        </w:rPr>
        <w:t>3</w:t>
      </w:r>
      <w:bookmarkStart w:id="3" w:name="_msoanchor_1"/>
      <w:r w:rsidRPr="00BB421E">
        <w:rPr>
          <w:szCs w:val="24"/>
        </w:rPr>
        <w:fldChar w:fldCharType="begin"/>
      </w:r>
      <w:r w:rsidRPr="00BB421E">
        <w:rPr>
          <w:szCs w:val="24"/>
        </w:rPr>
        <w:instrText xml:space="preserve"> HYPERLINK "applewebdata://A0E24D3C-5457-412D-9A7A-C69F2C1873BB" \l "_msocom_1" </w:instrText>
      </w:r>
      <w:r w:rsidRPr="00BB421E">
        <w:rPr>
          <w:szCs w:val="24"/>
        </w:rPr>
      </w:r>
      <w:r w:rsidRPr="00BB421E">
        <w:rPr>
          <w:szCs w:val="24"/>
        </w:rPr>
        <w:fldChar w:fldCharType="separate"/>
      </w:r>
      <w:r w:rsidRPr="00BB421E">
        <w:rPr>
          <w:rStyle w:val="Hyperlink"/>
          <w:szCs w:val="24"/>
        </w:rPr>
        <w:t>[PA1]</w:t>
      </w:r>
      <w:r w:rsidRPr="00BB421E">
        <w:rPr>
          <w:szCs w:val="24"/>
        </w:rPr>
        <w:fldChar w:fldCharType="end"/>
      </w:r>
      <w:bookmarkEnd w:id="3"/>
      <w:r w:rsidRPr="00BB421E">
        <w:rPr>
          <w:rStyle w:val="CommentReference"/>
          <w:szCs w:val="24"/>
        </w:rPr>
        <w:t> </w:t>
      </w:r>
      <w:r w:rsidRPr="00BB421E">
        <w:rPr>
          <w:szCs w:val="24"/>
        </w:rPr>
        <w:t>. Kad suprastume mąstą, tai leistų užrakinti 50 m. Lietuvos CO</w:t>
      </w:r>
      <w:r w:rsidRPr="00BB421E">
        <w:rPr>
          <w:szCs w:val="24"/>
          <w:vertAlign w:val="subscript"/>
        </w:rPr>
        <w:t>2</w:t>
      </w:r>
      <w:r w:rsidRPr="00BB421E">
        <w:rPr>
          <w:szCs w:val="24"/>
        </w:rPr>
        <w:t> emisijų (2019 m.). Pagrindiniu argumentu, stabdančiu požeminį CO</w:t>
      </w:r>
      <w:r w:rsidRPr="00BB421E">
        <w:rPr>
          <w:szCs w:val="24"/>
          <w:vertAlign w:val="subscript"/>
        </w:rPr>
        <w:t>2</w:t>
      </w:r>
      <w:r w:rsidRPr="00BB421E">
        <w:rPr>
          <w:szCs w:val="24"/>
        </w:rPr>
        <w:t> saugojimą mūsų teritorijoje ankstesniame nagrinėjime buvo minimas neištyrinėtas geologinių ertmių sandarumas, patikimumas ir saugumo klausimai. Šie nuogąstavimai Gamtos tyrimų centro mokslininkų vertinami, kaip nepagrįsti. </w:t>
      </w:r>
    </w:p>
    <w:p w14:paraId="1C0BD80C" w14:textId="77777777" w:rsidR="00CE7DEE" w:rsidRPr="00BB421E" w:rsidRDefault="00CE7DEE" w:rsidP="00B61CC1">
      <w:pPr>
        <w:jc w:val="both"/>
        <w:rPr>
          <w:szCs w:val="24"/>
        </w:rPr>
      </w:pPr>
      <w:r w:rsidRPr="00BB421E">
        <w:rPr>
          <w:szCs w:val="24"/>
        </w:rPr>
        <w:t>Lietuva – vienintelė CO</w:t>
      </w:r>
      <w:r w:rsidRPr="00BB421E">
        <w:rPr>
          <w:szCs w:val="24"/>
          <w:vertAlign w:val="subscript"/>
        </w:rPr>
        <w:t>2</w:t>
      </w:r>
      <w:r w:rsidRPr="00BB421E">
        <w:rPr>
          <w:szCs w:val="24"/>
        </w:rPr>
        <w:t> saugojimo srities tiriamuosius darbus draudžianti šalis Baltijos regione. Tai stabdo šios technologijos pritaikymo galimybes, ypač vertinant rizikos ir saugumo rodiklius. Lietuvos Seime priimtas CO</w:t>
      </w:r>
      <w:r w:rsidRPr="00BB421E">
        <w:rPr>
          <w:szCs w:val="24"/>
          <w:vertAlign w:val="subscript"/>
        </w:rPr>
        <w:t>2</w:t>
      </w:r>
      <w:r w:rsidRPr="00BB421E">
        <w:rPr>
          <w:szCs w:val="24"/>
        </w:rPr>
        <w:t>, geologinio saugojimo draudimas daugiausia remiasi teoriniais argumentais, neatsižvelgiant į realius regiono geologinius parametrus. Turimi duomenys su CO</w:t>
      </w:r>
      <w:r w:rsidRPr="00BB421E">
        <w:rPr>
          <w:szCs w:val="24"/>
          <w:vertAlign w:val="subscript"/>
        </w:rPr>
        <w:t>2</w:t>
      </w:r>
      <w:r w:rsidRPr="00BB421E">
        <w:rPr>
          <w:szCs w:val="24"/>
        </w:rPr>
        <w:t xml:space="preserve"> įpumpavimu susijusias grėsmes apibūdina tik kaip teorines, o akivaizdžių </w:t>
      </w:r>
      <w:r w:rsidRPr="00BB421E">
        <w:rPr>
          <w:szCs w:val="24"/>
        </w:rPr>
        <w:lastRenderedPageBreak/>
        <w:t>praktinių grėsmių požymių nėra. Tai nereiškia, kad esant didesniam CO</w:t>
      </w:r>
      <w:r w:rsidRPr="00BB421E">
        <w:rPr>
          <w:szCs w:val="24"/>
          <w:vertAlign w:val="subscript"/>
        </w:rPr>
        <w:t>2</w:t>
      </w:r>
      <w:r w:rsidRPr="00BB421E">
        <w:rPr>
          <w:szCs w:val="24"/>
        </w:rPr>
        <w:t>, įpumpavimo mastui ar veikiant kitiems veiksniams jie negali pasireikšti. Todėl reikia  atlikti tiriamuosius pramoninius CO</w:t>
      </w:r>
      <w:r w:rsidRPr="00BB421E">
        <w:rPr>
          <w:szCs w:val="24"/>
          <w:vertAlign w:val="subscript"/>
        </w:rPr>
        <w:t>2 </w:t>
      </w:r>
      <w:r w:rsidRPr="00BB421E">
        <w:rPr>
          <w:szCs w:val="24"/>
        </w:rPr>
        <w:t>injekcijos ir saugojimo darbus sukuriant standartus, užtikrinančius tokių grėsmių kontrolę</w:t>
      </w:r>
      <w:r w:rsidRPr="00BB421E">
        <w:rPr>
          <w:szCs w:val="24"/>
          <w:vertAlign w:val="superscript"/>
        </w:rPr>
        <w:t>4</w:t>
      </w:r>
      <w:r w:rsidRPr="00BB421E">
        <w:rPr>
          <w:szCs w:val="24"/>
        </w:rPr>
        <w:t>.  </w:t>
      </w:r>
    </w:p>
    <w:p w14:paraId="74BEABD4" w14:textId="77777777" w:rsidR="00B61CC1" w:rsidRPr="00BB421E" w:rsidRDefault="00B61CC1" w:rsidP="00237799">
      <w:pPr>
        <w:jc w:val="both"/>
        <w:rPr>
          <w:szCs w:val="24"/>
          <w:u w:val="single"/>
        </w:rPr>
      </w:pPr>
    </w:p>
    <w:p w14:paraId="0D6C14B0" w14:textId="2FD0B50E" w:rsidR="00CE7DEE" w:rsidRPr="00BB421E" w:rsidRDefault="00CE7DEE" w:rsidP="00B61CC1">
      <w:pPr>
        <w:jc w:val="both"/>
        <w:rPr>
          <w:szCs w:val="24"/>
        </w:rPr>
      </w:pPr>
      <w:r w:rsidRPr="00BB421E">
        <w:rPr>
          <w:szCs w:val="24"/>
          <w:u w:val="single"/>
        </w:rPr>
        <w:t>Užduotys</w:t>
      </w:r>
      <w:r w:rsidRPr="00BB421E">
        <w:rPr>
          <w:szCs w:val="24"/>
        </w:rPr>
        <w:t>:</w:t>
      </w:r>
    </w:p>
    <w:p w14:paraId="06624CA1" w14:textId="77777777" w:rsidR="00CE7DEE" w:rsidRPr="00BB421E" w:rsidRDefault="00CE7DEE" w:rsidP="00B61CC1">
      <w:pPr>
        <w:jc w:val="both"/>
        <w:rPr>
          <w:szCs w:val="24"/>
        </w:rPr>
      </w:pPr>
      <w:r w:rsidRPr="00BB421E">
        <w:rPr>
          <w:szCs w:val="24"/>
        </w:rPr>
        <w:t>• Atlikti dokumentų tyrimus ir reikalingus vizitus, siekiant rinkti ir analizuoti statistinius duomenis, vertinimus, ataskaitas, strategijas ir planus įmonių ir nacionaliniu lygiu;</w:t>
      </w:r>
    </w:p>
    <w:p w14:paraId="042261CE" w14:textId="77777777" w:rsidR="00CE7DEE" w:rsidRPr="00BB421E" w:rsidRDefault="00CE7DEE" w:rsidP="00B61CC1">
      <w:pPr>
        <w:jc w:val="both"/>
        <w:rPr>
          <w:szCs w:val="24"/>
        </w:rPr>
      </w:pPr>
      <w:r w:rsidRPr="00BB421E">
        <w:rPr>
          <w:szCs w:val="24"/>
        </w:rPr>
        <w:t>• Atlikti suinteresuotųjų šalių interviu;</w:t>
      </w:r>
    </w:p>
    <w:p w14:paraId="360EE0D9" w14:textId="77777777" w:rsidR="00CE7DEE" w:rsidRPr="00BB421E" w:rsidRDefault="00CE7DEE" w:rsidP="00B61CC1">
      <w:pPr>
        <w:jc w:val="both"/>
        <w:rPr>
          <w:szCs w:val="24"/>
        </w:rPr>
      </w:pPr>
      <w:r w:rsidRPr="00BB421E">
        <w:rPr>
          <w:szCs w:val="24"/>
        </w:rPr>
        <w:t>• Parengti ataskaitos projekto metmenis, pateikti jį Darbo grupei ir patikslinti pagal Darbo grupės pastabas;</w:t>
      </w:r>
    </w:p>
    <w:p w14:paraId="73D4A378" w14:textId="77777777" w:rsidR="00CE7DEE" w:rsidRPr="00BB421E" w:rsidRDefault="00CE7DEE" w:rsidP="00B61CC1">
      <w:pPr>
        <w:jc w:val="both"/>
        <w:rPr>
          <w:szCs w:val="24"/>
        </w:rPr>
      </w:pPr>
      <w:r w:rsidRPr="00BB421E">
        <w:rPr>
          <w:szCs w:val="24"/>
        </w:rPr>
        <w:t>• Parengti ataskaitos projektą, pristatyti jį Darbo grupei ir patikslinti pagal Darbo grupės pastabas;</w:t>
      </w:r>
    </w:p>
    <w:p w14:paraId="3F902D1A" w14:textId="77777777" w:rsidR="00CE7DEE" w:rsidRPr="00BB421E" w:rsidRDefault="00CE7DEE" w:rsidP="00B61CC1">
      <w:pPr>
        <w:jc w:val="both"/>
        <w:rPr>
          <w:szCs w:val="24"/>
        </w:rPr>
      </w:pPr>
      <w:r w:rsidRPr="00BB421E">
        <w:rPr>
          <w:szCs w:val="24"/>
        </w:rPr>
        <w:t>• Inicijuoti ir surengti seminarus/pristatymus/diskusijas suinteresuotosioms šalims siekiant:</w:t>
      </w:r>
    </w:p>
    <w:p w14:paraId="191F17B0" w14:textId="77777777" w:rsidR="00CE7DEE" w:rsidRPr="00BB421E" w:rsidRDefault="00CE7DEE" w:rsidP="00B61CC1">
      <w:pPr>
        <w:pStyle w:val="ListParagraph"/>
        <w:numPr>
          <w:ilvl w:val="0"/>
          <w:numId w:val="8"/>
        </w:numPr>
        <w:jc w:val="both"/>
        <w:rPr>
          <w:szCs w:val="24"/>
        </w:rPr>
      </w:pPr>
      <w:r w:rsidRPr="00BB421E">
        <w:rPr>
          <w:szCs w:val="24"/>
        </w:rPr>
        <w:t xml:space="preserve">pristatyti pagal Darbo grupės pastabas ir pasiūlymus patikslintus siūlymus Lietuvos Respublikos Vyriausybei, kitoms suinteresuotoms ministerijoms dėl </w:t>
      </w:r>
      <w:r w:rsidRPr="00BB421E">
        <w:rPr>
          <w:color w:val="000000"/>
          <w:szCs w:val="24"/>
        </w:rPr>
        <w:t>CO</w:t>
      </w:r>
      <w:r w:rsidRPr="00BB421E">
        <w:rPr>
          <w:color w:val="000000"/>
          <w:szCs w:val="24"/>
          <w:vertAlign w:val="subscript"/>
        </w:rPr>
        <w:t>2 </w:t>
      </w:r>
      <w:r w:rsidRPr="00BB421E">
        <w:rPr>
          <w:color w:val="000000"/>
          <w:szCs w:val="24"/>
        </w:rPr>
        <w:t>geologinio saugojimo politikos plėtros Lietuvos Respublikos teritorijoje;</w:t>
      </w:r>
    </w:p>
    <w:p w14:paraId="58DC7B3A" w14:textId="77777777" w:rsidR="00CE7DEE" w:rsidRPr="00BB421E" w:rsidRDefault="00CE7DEE" w:rsidP="00B61CC1">
      <w:pPr>
        <w:pStyle w:val="ListParagraph"/>
        <w:numPr>
          <w:ilvl w:val="0"/>
          <w:numId w:val="8"/>
        </w:numPr>
        <w:jc w:val="both"/>
        <w:rPr>
          <w:szCs w:val="24"/>
        </w:rPr>
      </w:pPr>
      <w:r w:rsidRPr="00BB421E">
        <w:rPr>
          <w:szCs w:val="24"/>
        </w:rPr>
        <w:t>pagal Darbo grupės pastabas ir pasiūlymus patikslintą ataskaitos projektą; tai apima darbotvarkės projekto ir „</w:t>
      </w:r>
      <w:proofErr w:type="spellStart"/>
      <w:r w:rsidRPr="00BB421E">
        <w:rPr>
          <w:szCs w:val="24"/>
        </w:rPr>
        <w:t>Powerpoint</w:t>
      </w:r>
      <w:proofErr w:type="spellEnd"/>
      <w:r w:rsidRPr="00BB421E">
        <w:rPr>
          <w:szCs w:val="24"/>
        </w:rPr>
        <w:t>“ pristatymo parengimą, dėl kurių turėtų būti susitarta su Darbo grupe;</w:t>
      </w:r>
    </w:p>
    <w:p w14:paraId="1D703411" w14:textId="77777777" w:rsidR="00CE7DEE" w:rsidRPr="00BB421E" w:rsidRDefault="00CE7DEE" w:rsidP="00B61CC1">
      <w:pPr>
        <w:jc w:val="both"/>
        <w:rPr>
          <w:szCs w:val="24"/>
        </w:rPr>
      </w:pPr>
      <w:r w:rsidRPr="00BB421E">
        <w:rPr>
          <w:szCs w:val="24"/>
        </w:rPr>
        <w:t>• Parengti ir pateikti Darbo grupei galutinę ataskaitą, įskaitant suinteresuotųjų šalių atsiliepimus, ir užbaigti ją pagal Darbo grupės narių pastabas, išsakytas susitikimo metu.</w:t>
      </w:r>
    </w:p>
    <w:p w14:paraId="6FFA2FF2" w14:textId="77777777" w:rsidR="00B61CC1" w:rsidRPr="00BB421E" w:rsidRDefault="00B61CC1" w:rsidP="00237799">
      <w:pPr>
        <w:jc w:val="both"/>
        <w:rPr>
          <w:b/>
          <w:bCs/>
          <w:szCs w:val="24"/>
        </w:rPr>
      </w:pPr>
    </w:p>
    <w:p w14:paraId="748A3B67" w14:textId="4FAF6AAD" w:rsidR="00CE7DEE" w:rsidRPr="00BB421E" w:rsidRDefault="00CE7DEE" w:rsidP="00237799">
      <w:pPr>
        <w:jc w:val="both"/>
        <w:rPr>
          <w:szCs w:val="24"/>
        </w:rPr>
      </w:pPr>
      <w:r w:rsidRPr="00BB421E">
        <w:rPr>
          <w:b/>
          <w:bCs/>
          <w:szCs w:val="24"/>
        </w:rPr>
        <w:t>E. 5 dalis</w:t>
      </w:r>
      <w:r w:rsidRPr="00BB421E">
        <w:rPr>
          <w:szCs w:val="24"/>
        </w:rPr>
        <w:t>: Galutinė ataskaita</w:t>
      </w:r>
    </w:p>
    <w:p w14:paraId="179C57D3" w14:textId="77777777" w:rsidR="00B61CC1" w:rsidRPr="00BB421E" w:rsidRDefault="00B61CC1" w:rsidP="00B61CC1">
      <w:pPr>
        <w:jc w:val="both"/>
        <w:rPr>
          <w:szCs w:val="24"/>
        </w:rPr>
      </w:pPr>
    </w:p>
    <w:p w14:paraId="7615C657" w14:textId="728CACD8" w:rsidR="00CE7DEE" w:rsidRPr="00BB421E" w:rsidRDefault="00CE7DEE" w:rsidP="00237799">
      <w:pPr>
        <w:jc w:val="both"/>
        <w:rPr>
          <w:szCs w:val="24"/>
        </w:rPr>
      </w:pPr>
      <w:r w:rsidRPr="00BB421E">
        <w:rPr>
          <w:szCs w:val="24"/>
        </w:rPr>
        <w:t xml:space="preserve">Paslaugų teikėjas parengs galutinę ataskaitą. </w:t>
      </w:r>
    </w:p>
    <w:p w14:paraId="19CFDD5F" w14:textId="77777777" w:rsidR="00B61CC1" w:rsidRPr="00BB421E" w:rsidRDefault="00B61CC1" w:rsidP="00B61CC1">
      <w:pPr>
        <w:jc w:val="both"/>
        <w:rPr>
          <w:szCs w:val="24"/>
        </w:rPr>
      </w:pPr>
    </w:p>
    <w:p w14:paraId="3C66F569" w14:textId="77777777" w:rsidR="00CE7DEE" w:rsidRPr="00BB421E" w:rsidRDefault="00CE7DEE" w:rsidP="00B61CC1">
      <w:pPr>
        <w:jc w:val="both"/>
        <w:rPr>
          <w:szCs w:val="24"/>
        </w:rPr>
      </w:pPr>
      <w:r w:rsidRPr="00BB421E">
        <w:rPr>
          <w:szCs w:val="24"/>
        </w:rPr>
        <w:t>5 dalis turi apimti:</w:t>
      </w:r>
    </w:p>
    <w:p w14:paraId="54E19615" w14:textId="77777777" w:rsidR="00CE7DEE" w:rsidRPr="00BB421E" w:rsidRDefault="00CE7DEE" w:rsidP="00B61CC1">
      <w:pPr>
        <w:jc w:val="both"/>
        <w:rPr>
          <w:szCs w:val="24"/>
        </w:rPr>
      </w:pPr>
      <w:r w:rsidRPr="00BB421E">
        <w:rPr>
          <w:szCs w:val="24"/>
        </w:rPr>
        <w:t>- trumpą projekto veiklų santrauką, įskaitant visų įvykusių susitikimų sąrašą;</w:t>
      </w:r>
    </w:p>
    <w:p w14:paraId="6D4794C5" w14:textId="77777777" w:rsidR="00CE7DEE" w:rsidRPr="00BB421E" w:rsidRDefault="00CE7DEE" w:rsidP="00B61CC1">
      <w:pPr>
        <w:jc w:val="both"/>
        <w:rPr>
          <w:szCs w:val="24"/>
        </w:rPr>
      </w:pPr>
      <w:r w:rsidRPr="00BB421E">
        <w:rPr>
          <w:szCs w:val="24"/>
        </w:rPr>
        <w:t>- trumpą projekto stebėsenos rodiklių, pateiktų pradinėje ataskaitoje, analizę;</w:t>
      </w:r>
    </w:p>
    <w:p w14:paraId="6E232E0B" w14:textId="77777777" w:rsidR="00CE7DEE" w:rsidRPr="00BB421E" w:rsidRDefault="00CE7DEE" w:rsidP="00B61CC1">
      <w:pPr>
        <w:jc w:val="both"/>
        <w:rPr>
          <w:szCs w:val="24"/>
        </w:rPr>
      </w:pPr>
      <w:r w:rsidRPr="00BB421E">
        <w:rPr>
          <w:szCs w:val="24"/>
        </w:rPr>
        <w:t>- trumpą projekto įgyvendinimo metu įgytų pamokų santrauką, kurią užsakovas ir suinteresuotos viešojo sektoriaus institucijos galėtų panaudoti panašiems projektams ateityje;</w:t>
      </w:r>
    </w:p>
    <w:p w14:paraId="56AA4C2A" w14:textId="77777777" w:rsidR="00CE7DEE" w:rsidRPr="00BB421E" w:rsidRDefault="00CE7DEE" w:rsidP="00B61CC1">
      <w:pPr>
        <w:jc w:val="both"/>
        <w:rPr>
          <w:szCs w:val="24"/>
        </w:rPr>
      </w:pPr>
      <w:r w:rsidRPr="00BB421E">
        <w:rPr>
          <w:szCs w:val="24"/>
        </w:rPr>
        <w:t>- rekomendacijos Lietuvos institucijoms, kurios galėtų palengvinti ir papildyti projekto rezultatų įgyvendinimą, padidinti projekto poveikį ir prisidėti prie Lietuvos pramonės įmonių perėjimo prie klimatui neutralios ekonomikos.</w:t>
      </w:r>
    </w:p>
    <w:p w14:paraId="50D86D0B" w14:textId="77777777" w:rsidR="00B61CC1" w:rsidRPr="00BB421E" w:rsidRDefault="00B61CC1" w:rsidP="00237799">
      <w:pPr>
        <w:jc w:val="both"/>
        <w:rPr>
          <w:szCs w:val="24"/>
          <w:u w:val="single"/>
        </w:rPr>
      </w:pPr>
    </w:p>
    <w:p w14:paraId="5E38BDF3" w14:textId="7BD90D19" w:rsidR="00CE7DEE" w:rsidRPr="00BB421E" w:rsidRDefault="00CE7DEE" w:rsidP="00B61CC1">
      <w:pPr>
        <w:jc w:val="both"/>
        <w:rPr>
          <w:szCs w:val="24"/>
        </w:rPr>
      </w:pPr>
      <w:r w:rsidRPr="00BB421E">
        <w:rPr>
          <w:szCs w:val="24"/>
          <w:u w:val="single"/>
        </w:rPr>
        <w:t>Užduotys</w:t>
      </w:r>
      <w:r w:rsidRPr="00BB421E">
        <w:rPr>
          <w:szCs w:val="24"/>
        </w:rPr>
        <w:t>:</w:t>
      </w:r>
    </w:p>
    <w:p w14:paraId="41DBF330" w14:textId="77777777" w:rsidR="00CE7DEE" w:rsidRPr="00BB421E" w:rsidRDefault="00CE7DEE" w:rsidP="00B61CC1">
      <w:pPr>
        <w:jc w:val="both"/>
        <w:rPr>
          <w:szCs w:val="24"/>
        </w:rPr>
      </w:pPr>
      <w:r w:rsidRPr="00BB421E">
        <w:rPr>
          <w:szCs w:val="24"/>
        </w:rPr>
        <w:t>• Apžvelgti atliktus darbus ir iškilusias kliūtis bei apibendrinti projekto veiklas ir išmoktas pamokas;</w:t>
      </w:r>
    </w:p>
    <w:p w14:paraId="2E0D3F19" w14:textId="77777777" w:rsidR="00CE7DEE" w:rsidRPr="00BB421E" w:rsidRDefault="00CE7DEE" w:rsidP="00B61CC1">
      <w:pPr>
        <w:jc w:val="both"/>
        <w:rPr>
          <w:szCs w:val="24"/>
        </w:rPr>
      </w:pPr>
      <w:r w:rsidRPr="00BB421E">
        <w:rPr>
          <w:szCs w:val="24"/>
        </w:rPr>
        <w:lastRenderedPageBreak/>
        <w:t>• Parengti rekomendacijas dėl veiksmų ar priemonių, kurios galėtų palengvinti ir papildyti projekto rezultatų įgyvendinimą ir padidinti projekto poveikį. Jei įmanoma, pirmenybę teikite rekomendacijoms, kurias lengva įgyvendinti ("greitai laimi");</w:t>
      </w:r>
    </w:p>
    <w:p w14:paraId="4D3A6092" w14:textId="77777777" w:rsidR="00CE7DEE" w:rsidRPr="00BB421E" w:rsidRDefault="00CE7DEE" w:rsidP="00B61CC1">
      <w:pPr>
        <w:jc w:val="both"/>
        <w:rPr>
          <w:szCs w:val="24"/>
        </w:rPr>
      </w:pPr>
      <w:r w:rsidRPr="00BB421E">
        <w:rPr>
          <w:szCs w:val="24"/>
        </w:rPr>
        <w:t>• Apibendrinti ir įvertinti projekto stebėsenos rodiklius;</w:t>
      </w:r>
    </w:p>
    <w:p w14:paraId="5397AD9C" w14:textId="77777777" w:rsidR="00CE7DEE" w:rsidRPr="00BB421E" w:rsidRDefault="00CE7DEE" w:rsidP="00B61CC1">
      <w:pPr>
        <w:jc w:val="both"/>
        <w:rPr>
          <w:szCs w:val="24"/>
        </w:rPr>
      </w:pPr>
      <w:r w:rsidRPr="00BB421E">
        <w:rPr>
          <w:szCs w:val="24"/>
        </w:rPr>
        <w:t>• Apibendrinti projekto rezultatus ir ataskaitas;</w:t>
      </w:r>
    </w:p>
    <w:p w14:paraId="7CEC1B13" w14:textId="66FECC80" w:rsidR="00CE7DEE" w:rsidRPr="00BB421E" w:rsidRDefault="00CE7DEE" w:rsidP="00B61CC1">
      <w:pPr>
        <w:jc w:val="both"/>
        <w:rPr>
          <w:szCs w:val="24"/>
        </w:rPr>
      </w:pPr>
      <w:r w:rsidRPr="00BB421E">
        <w:rPr>
          <w:szCs w:val="24"/>
        </w:rPr>
        <w:t>• Parengti ataskaitos projektą, pristatyti jį Darbo grupei ir patikslinti pagal Darbo grupės pastabas</w:t>
      </w:r>
      <w:r w:rsidR="00B61CC1" w:rsidRPr="00BB421E">
        <w:rPr>
          <w:szCs w:val="24"/>
        </w:rPr>
        <w:t>.</w:t>
      </w:r>
    </w:p>
    <w:p w14:paraId="18623293" w14:textId="77777777" w:rsidR="00B61CC1" w:rsidRPr="00BB421E" w:rsidRDefault="00B61CC1" w:rsidP="00237799">
      <w:pPr>
        <w:jc w:val="both"/>
        <w:rPr>
          <w:szCs w:val="24"/>
        </w:rPr>
      </w:pPr>
    </w:p>
    <w:p w14:paraId="08D7AD34" w14:textId="7E157624" w:rsidR="00CE7DEE" w:rsidRPr="00BB421E" w:rsidRDefault="00CE7DEE" w:rsidP="00B61CC1">
      <w:pPr>
        <w:jc w:val="both"/>
        <w:rPr>
          <w:szCs w:val="24"/>
        </w:rPr>
      </w:pPr>
      <w:r w:rsidRPr="00BB421E">
        <w:rPr>
          <w:szCs w:val="24"/>
        </w:rPr>
        <w:t>Visus aukščiau aprašytus rezultatus paslaugos teikėjas perkančiajai organizacijai pateikia per sutartą terminą. Perkančioji organizacija gali pasidalyti rezultatais su suinteresuotomis viešojo sektoriaus institucijomis, socialiniais ekonominiais partneriais tam, kad jos pateiktų pastabas.</w:t>
      </w:r>
    </w:p>
    <w:p w14:paraId="551C5CC3" w14:textId="77777777" w:rsidR="00CE7DEE" w:rsidRPr="00BB421E" w:rsidRDefault="00CE7DEE" w:rsidP="00B61CC1">
      <w:pPr>
        <w:jc w:val="both"/>
        <w:rPr>
          <w:szCs w:val="24"/>
        </w:rPr>
      </w:pPr>
      <w:r w:rsidRPr="00BB421E">
        <w:rPr>
          <w:szCs w:val="24"/>
        </w:rPr>
        <w:t>Perkančioji organizacija pastabas dėl pateiktų rezultatų pateiks per 30 dienų nuo jų gavimo. Jei perkančioji organizacija per šį laikotarpį nereaguoja, laikoma, kad rezultatai patvirtinti.</w:t>
      </w:r>
    </w:p>
    <w:p w14:paraId="3C1F7982" w14:textId="5494ADF0" w:rsidR="00CE7DEE" w:rsidRPr="00BB421E" w:rsidRDefault="00CE7DEE" w:rsidP="00237799">
      <w:pPr>
        <w:jc w:val="both"/>
        <w:rPr>
          <w:szCs w:val="24"/>
        </w:rPr>
      </w:pPr>
      <w:r w:rsidRPr="00BB421E">
        <w:rPr>
          <w:szCs w:val="24"/>
        </w:rPr>
        <w:t>Jei reikia paaiškinimų ar pataisymų, paslaugos teikėjas turi atsakyti per 10 darbo dienų, nurodydamas perkančiosios organizacijos pastabas.</w:t>
      </w:r>
    </w:p>
    <w:p w14:paraId="66E1C273" w14:textId="5410378D" w:rsidR="00B61CC1" w:rsidRPr="00BB421E" w:rsidRDefault="00B61CC1" w:rsidP="00237799">
      <w:pPr>
        <w:jc w:val="both"/>
        <w:rPr>
          <w:szCs w:val="24"/>
        </w:rPr>
      </w:pPr>
    </w:p>
    <w:p w14:paraId="0D300D25" w14:textId="6A54FFA2" w:rsidR="00B61CC1" w:rsidRPr="00BB421E" w:rsidRDefault="00B61CC1" w:rsidP="00B61CC1">
      <w:pPr>
        <w:spacing w:line="276" w:lineRule="auto"/>
        <w:jc w:val="center"/>
        <w:rPr>
          <w:sz w:val="22"/>
          <w:szCs w:val="22"/>
          <w:u w:val="single"/>
        </w:rPr>
      </w:pPr>
      <w:r w:rsidRPr="00BB421E">
        <w:rPr>
          <w:rFonts w:ascii="Calibri" w:eastAsia="Calibri" w:hAnsi="Calibri"/>
          <w:sz w:val="22"/>
          <w:szCs w:val="22"/>
          <w:u w:val="single"/>
        </w:rPr>
        <w:t>________________</w:t>
      </w:r>
    </w:p>
    <w:p w14:paraId="7F2B25F0" w14:textId="77777777" w:rsidR="00B0071A" w:rsidRPr="00BB421E" w:rsidRDefault="00B0071A" w:rsidP="00237799">
      <w:pPr>
        <w:tabs>
          <w:tab w:val="left" w:pos="8310"/>
        </w:tabs>
        <w:rPr>
          <w:szCs w:val="24"/>
        </w:rPr>
      </w:pPr>
    </w:p>
    <w:sectPr w:rsidR="00B0071A" w:rsidRPr="00BB421E" w:rsidSect="00B0071A">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5C1E9" w14:textId="77777777" w:rsidR="004B585D" w:rsidRDefault="004B585D">
      <w:pPr>
        <w:rPr>
          <w:sz w:val="22"/>
          <w:szCs w:val="22"/>
        </w:rPr>
      </w:pPr>
      <w:r>
        <w:rPr>
          <w:sz w:val="22"/>
          <w:szCs w:val="22"/>
        </w:rPr>
        <w:separator/>
      </w:r>
    </w:p>
  </w:endnote>
  <w:endnote w:type="continuationSeparator" w:id="0">
    <w:p w14:paraId="5CCC39A2" w14:textId="77777777" w:rsidR="004B585D" w:rsidRDefault="004B585D">
      <w:pPr>
        <w:rPr>
          <w:sz w:val="22"/>
          <w:szCs w:val="22"/>
        </w:rPr>
      </w:pPr>
      <w:r>
        <w:rPr>
          <w:sz w:val="22"/>
          <w:szCs w:val="22"/>
        </w:rPr>
        <w:continuationSeparator/>
      </w:r>
    </w:p>
  </w:endnote>
  <w:endnote w:type="continuationNotice" w:id="1">
    <w:p w14:paraId="24AF0F04" w14:textId="77777777" w:rsidR="004B585D" w:rsidRDefault="004B585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8FB9" w14:textId="77777777" w:rsidR="00A2424A" w:rsidRDefault="00A2424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29E4" w14:textId="77777777" w:rsidR="00A2424A" w:rsidRDefault="00A2424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DD69" w14:textId="77777777" w:rsidR="00A2424A" w:rsidRDefault="00A2424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6BB67" w14:textId="77777777" w:rsidR="004B585D" w:rsidRDefault="004B585D">
      <w:pPr>
        <w:rPr>
          <w:sz w:val="22"/>
          <w:szCs w:val="22"/>
        </w:rPr>
      </w:pPr>
      <w:r>
        <w:rPr>
          <w:sz w:val="22"/>
          <w:szCs w:val="22"/>
        </w:rPr>
        <w:separator/>
      </w:r>
    </w:p>
  </w:footnote>
  <w:footnote w:type="continuationSeparator" w:id="0">
    <w:p w14:paraId="41540448" w14:textId="77777777" w:rsidR="004B585D" w:rsidRDefault="004B585D">
      <w:pPr>
        <w:rPr>
          <w:sz w:val="22"/>
          <w:szCs w:val="22"/>
        </w:rPr>
      </w:pPr>
      <w:r>
        <w:rPr>
          <w:sz w:val="22"/>
          <w:szCs w:val="22"/>
        </w:rPr>
        <w:continuationSeparator/>
      </w:r>
    </w:p>
  </w:footnote>
  <w:footnote w:type="continuationNotice" w:id="1">
    <w:p w14:paraId="41AD2869" w14:textId="77777777" w:rsidR="004B585D" w:rsidRDefault="004B585D">
      <w:pPr>
        <w:rPr>
          <w:sz w:val="22"/>
          <w:szCs w:val="22"/>
        </w:rPr>
      </w:pPr>
    </w:p>
  </w:footnote>
  <w:footnote w:id="2">
    <w:p w14:paraId="1E8553CF" w14:textId="77777777" w:rsidR="00CE7DEE" w:rsidRPr="00554F5A" w:rsidRDefault="00CE7DEE" w:rsidP="00CE7DEE">
      <w:pPr>
        <w:pStyle w:val="FootnoteText"/>
        <w:jc w:val="both"/>
        <w:rPr>
          <w:rFonts w:ascii="Times New Roman" w:hAnsi="Times New Roman" w:cs="Times New Roman"/>
          <w:sz w:val="16"/>
          <w:szCs w:val="16"/>
          <w:lang w:val="en-US"/>
        </w:rPr>
      </w:pPr>
      <w:r w:rsidRPr="00554F5A">
        <w:rPr>
          <w:rStyle w:val="FootnoteReference"/>
          <w:rFonts w:ascii="Times New Roman" w:hAnsi="Times New Roman" w:cs="Times New Roman"/>
        </w:rPr>
        <w:footnoteRef/>
      </w:r>
      <w:r w:rsidRPr="00554F5A">
        <w:rPr>
          <w:rFonts w:ascii="Times New Roman" w:hAnsi="Times New Roman" w:cs="Times New Roman"/>
          <w:sz w:val="16"/>
          <w:szCs w:val="16"/>
        </w:rPr>
        <w:t xml:space="preserve"> Lietuvos Respublikos įstatymas „Dėl Jungtinių Tautų Bendrosios klimato kaitos konvencijos ratifikavimo“.</w:t>
      </w:r>
    </w:p>
  </w:footnote>
  <w:footnote w:id="3">
    <w:p w14:paraId="7BECEF08" w14:textId="77777777" w:rsidR="00CE7DEE" w:rsidRPr="00554F5A" w:rsidRDefault="00CE7DEE" w:rsidP="00CE7DEE">
      <w:pPr>
        <w:pStyle w:val="FootnoteText"/>
        <w:jc w:val="both"/>
        <w:rPr>
          <w:rFonts w:ascii="Times New Roman" w:hAnsi="Times New Roman" w:cs="Times New Roman"/>
          <w:sz w:val="16"/>
          <w:szCs w:val="16"/>
          <w:lang w:val="en-US"/>
        </w:rPr>
      </w:pPr>
      <w:r w:rsidRPr="00554F5A">
        <w:rPr>
          <w:rStyle w:val="FootnoteReference"/>
          <w:rFonts w:ascii="Times New Roman" w:hAnsi="Times New Roman" w:cs="Times New Roman"/>
        </w:rPr>
        <w:footnoteRef/>
      </w:r>
      <w:r w:rsidRPr="00554F5A">
        <w:rPr>
          <w:rFonts w:ascii="Times New Roman" w:hAnsi="Times New Roman" w:cs="Times New Roman"/>
          <w:sz w:val="16"/>
          <w:szCs w:val="16"/>
        </w:rPr>
        <w:t xml:space="preserve"> Lietuvos Respublikos įstatymas „Dėl Jungtinių Tautų Bendrosios klimato kaitos konvencijos Kioto protokolo ratifikavimo“.</w:t>
      </w:r>
    </w:p>
  </w:footnote>
  <w:footnote w:id="4">
    <w:p w14:paraId="4B9B0702" w14:textId="77777777" w:rsidR="00CE7DEE" w:rsidRPr="00554F5A" w:rsidRDefault="00CE7DEE" w:rsidP="00CE7DEE">
      <w:pPr>
        <w:pStyle w:val="FootnoteText"/>
        <w:jc w:val="both"/>
        <w:rPr>
          <w:rFonts w:ascii="Times New Roman" w:hAnsi="Times New Roman" w:cs="Times New Roman"/>
          <w:sz w:val="16"/>
          <w:szCs w:val="16"/>
          <w:lang w:val="en-US"/>
        </w:rPr>
      </w:pPr>
      <w:r w:rsidRPr="00554F5A">
        <w:rPr>
          <w:rStyle w:val="FootnoteReference"/>
          <w:rFonts w:ascii="Times New Roman" w:hAnsi="Times New Roman" w:cs="Times New Roman"/>
          <w:b/>
          <w:bCs/>
        </w:rPr>
        <w:footnoteRef/>
      </w:r>
      <w:r w:rsidRPr="00554F5A">
        <w:rPr>
          <w:rFonts w:ascii="Times New Roman" w:hAnsi="Times New Roman" w:cs="Times New Roman"/>
          <w:sz w:val="16"/>
          <w:szCs w:val="16"/>
        </w:rPr>
        <w:t xml:space="preserve"> Lietuvos Respublikos įstatymas „Dėl Jungtinių Tautų Bendrosios klimato kaitos konvencijos Kioto protokolo Dohos pakeitimo ratifikavimo“; Lietuvos Respublikos įstatymas „Dėl Europos Sąjungos bei jos valstybių narių ir Islandijos susitarimo dėl Islandijos dalyvavimo bendrai vykdant Europos Sąjungos, jos valstybių narių ir Islandijos įsipareigojimus Jungtinių Tautų Bendrosios klimato kaitos konvencijos Kioto protokolo antruoju įsipareigojimų laikotarpiu ratifikavimo“.</w:t>
      </w:r>
    </w:p>
  </w:footnote>
  <w:footnote w:id="5">
    <w:p w14:paraId="1568B05F" w14:textId="77777777" w:rsidR="00CE7DEE" w:rsidRPr="00554F5A" w:rsidRDefault="00CE7DEE" w:rsidP="00CE7DEE">
      <w:pPr>
        <w:pStyle w:val="FootnoteText"/>
        <w:jc w:val="both"/>
        <w:rPr>
          <w:rFonts w:ascii="Times New Roman" w:hAnsi="Times New Roman" w:cs="Times New Roman"/>
          <w:sz w:val="16"/>
          <w:szCs w:val="16"/>
          <w:lang w:val="en-US"/>
        </w:rPr>
      </w:pPr>
      <w:r w:rsidRPr="00554F5A">
        <w:rPr>
          <w:rStyle w:val="FootnoteReference"/>
          <w:rFonts w:ascii="Times New Roman" w:hAnsi="Times New Roman" w:cs="Times New Roman"/>
        </w:rPr>
        <w:footnoteRef/>
      </w:r>
      <w:r w:rsidRPr="00554F5A">
        <w:rPr>
          <w:rFonts w:ascii="Times New Roman" w:hAnsi="Times New Roman" w:cs="Times New Roman"/>
          <w:sz w:val="16"/>
          <w:szCs w:val="16"/>
        </w:rPr>
        <w:t xml:space="preserve"> </w:t>
      </w:r>
      <w:r>
        <w:rPr>
          <w:rFonts w:ascii="Times New Roman" w:hAnsi="Times New Roman" w:cs="Times New Roman"/>
          <w:sz w:val="16"/>
          <w:szCs w:val="16"/>
        </w:rPr>
        <w:t xml:space="preserve">2021 m. birželio 30 d. LRS nutarimas dėl Nacionalinės klimato kaitos darbotvarkės patvirtinimo </w:t>
      </w:r>
      <w:hyperlink r:id="rId1" w:history="1">
        <w:r w:rsidRPr="000B332B">
          <w:rPr>
            <w:rStyle w:val="Hyperlink"/>
            <w:rFonts w:ascii="Times New Roman" w:hAnsi="Times New Roman" w:cs="Times New Roman"/>
            <w:sz w:val="16"/>
            <w:szCs w:val="16"/>
          </w:rPr>
          <w:t>https://e-seimas.lrs.lt/portal/legalAct/lt/TAD/7eb37fc0db3311eb866fe2e083228059?positionInSearchResul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9FE4" w14:textId="77777777" w:rsidR="00A2424A" w:rsidRDefault="00A2424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288F" w14:textId="77777777" w:rsidR="00A2424A" w:rsidRDefault="009048B8">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8</w:t>
    </w:r>
    <w:r>
      <w:rPr>
        <w:szCs w:val="22"/>
      </w:rPr>
      <w:fldChar w:fldCharType="end"/>
    </w:r>
  </w:p>
  <w:p w14:paraId="4FECED16" w14:textId="77777777" w:rsidR="00A2424A" w:rsidRDefault="00A2424A">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AEF5D" w14:textId="77777777" w:rsidR="00A2424A" w:rsidRDefault="00A2424A">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7424"/>
    <w:multiLevelType w:val="hybridMultilevel"/>
    <w:tmpl w:val="1C3C7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3D5060"/>
    <w:multiLevelType w:val="multilevel"/>
    <w:tmpl w:val="FE1AB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3"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9D39D1"/>
    <w:multiLevelType w:val="multilevel"/>
    <w:tmpl w:val="96F47E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163D7B"/>
    <w:multiLevelType w:val="hybridMultilevel"/>
    <w:tmpl w:val="1E26E968"/>
    <w:lvl w:ilvl="0" w:tplc="BEAC64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5E2ED7"/>
    <w:multiLevelType w:val="multilevel"/>
    <w:tmpl w:val="3A18035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793BE6"/>
    <w:multiLevelType w:val="hybridMultilevel"/>
    <w:tmpl w:val="4BB8384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4C823A3"/>
    <w:multiLevelType w:val="hybridMultilevel"/>
    <w:tmpl w:val="B6569CBC"/>
    <w:lvl w:ilvl="0" w:tplc="8EE2EC24">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4CD2108"/>
    <w:multiLevelType w:val="hybridMultilevel"/>
    <w:tmpl w:val="E45E7B96"/>
    <w:lvl w:ilvl="0" w:tplc="04270001">
      <w:start w:val="27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63673426">
    <w:abstractNumId w:val="1"/>
  </w:num>
  <w:num w:numId="2" w16cid:durableId="1369330854">
    <w:abstractNumId w:val="2"/>
  </w:num>
  <w:num w:numId="3" w16cid:durableId="1572424703">
    <w:abstractNumId w:val="4"/>
  </w:num>
  <w:num w:numId="4" w16cid:durableId="1796367823">
    <w:abstractNumId w:val="5"/>
  </w:num>
  <w:num w:numId="5" w16cid:durableId="2112820111">
    <w:abstractNumId w:val="8"/>
  </w:num>
  <w:num w:numId="6" w16cid:durableId="1372459937">
    <w:abstractNumId w:val="3"/>
  </w:num>
  <w:num w:numId="7" w16cid:durableId="1168401791">
    <w:abstractNumId w:val="7"/>
  </w:num>
  <w:num w:numId="8" w16cid:durableId="205684270">
    <w:abstractNumId w:val="6"/>
  </w:num>
  <w:num w:numId="9" w16cid:durableId="209923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5666B"/>
    <w:rsid w:val="0008380D"/>
    <w:rsid w:val="00084778"/>
    <w:rsid w:val="00087E93"/>
    <w:rsid w:val="0009030D"/>
    <w:rsid w:val="00094A35"/>
    <w:rsid w:val="000A0EF7"/>
    <w:rsid w:val="000A0F96"/>
    <w:rsid w:val="000A6C4F"/>
    <w:rsid w:val="000B0814"/>
    <w:rsid w:val="000C1672"/>
    <w:rsid w:val="000C23CB"/>
    <w:rsid w:val="000D2655"/>
    <w:rsid w:val="000E03D3"/>
    <w:rsid w:val="000E3476"/>
    <w:rsid w:val="000E7633"/>
    <w:rsid w:val="00101935"/>
    <w:rsid w:val="00104F99"/>
    <w:rsid w:val="001328D3"/>
    <w:rsid w:val="00142215"/>
    <w:rsid w:val="001457D6"/>
    <w:rsid w:val="001468C7"/>
    <w:rsid w:val="00152E7E"/>
    <w:rsid w:val="001565A4"/>
    <w:rsid w:val="00161FE7"/>
    <w:rsid w:val="001629F9"/>
    <w:rsid w:val="00166B98"/>
    <w:rsid w:val="0018231B"/>
    <w:rsid w:val="00192A77"/>
    <w:rsid w:val="00195ACD"/>
    <w:rsid w:val="001A2812"/>
    <w:rsid w:val="001B3FD5"/>
    <w:rsid w:val="001D03C9"/>
    <w:rsid w:val="001D705F"/>
    <w:rsid w:val="001F440B"/>
    <w:rsid w:val="001F5EA9"/>
    <w:rsid w:val="001F7B5E"/>
    <w:rsid w:val="0020194E"/>
    <w:rsid w:val="0020698B"/>
    <w:rsid w:val="002145C1"/>
    <w:rsid w:val="00214E8D"/>
    <w:rsid w:val="00220F09"/>
    <w:rsid w:val="00230EC0"/>
    <w:rsid w:val="00237799"/>
    <w:rsid w:val="00253C8A"/>
    <w:rsid w:val="002548B1"/>
    <w:rsid w:val="0027070C"/>
    <w:rsid w:val="00270EAA"/>
    <w:rsid w:val="00272C4E"/>
    <w:rsid w:val="00277DDA"/>
    <w:rsid w:val="00284DAE"/>
    <w:rsid w:val="002B2817"/>
    <w:rsid w:val="002B3D6D"/>
    <w:rsid w:val="002B5A1D"/>
    <w:rsid w:val="002B75F8"/>
    <w:rsid w:val="002C6848"/>
    <w:rsid w:val="002D25BF"/>
    <w:rsid w:val="002E3F38"/>
    <w:rsid w:val="002F2335"/>
    <w:rsid w:val="003061B2"/>
    <w:rsid w:val="00306E2C"/>
    <w:rsid w:val="00311F6D"/>
    <w:rsid w:val="003333D4"/>
    <w:rsid w:val="003334CA"/>
    <w:rsid w:val="00340002"/>
    <w:rsid w:val="00356257"/>
    <w:rsid w:val="003641A0"/>
    <w:rsid w:val="003875DA"/>
    <w:rsid w:val="00392E68"/>
    <w:rsid w:val="003B1A47"/>
    <w:rsid w:val="003B1D1C"/>
    <w:rsid w:val="003C36CA"/>
    <w:rsid w:val="003C7EE4"/>
    <w:rsid w:val="003D0832"/>
    <w:rsid w:val="003D39BB"/>
    <w:rsid w:val="00404B63"/>
    <w:rsid w:val="00410241"/>
    <w:rsid w:val="00420523"/>
    <w:rsid w:val="004241AC"/>
    <w:rsid w:val="00425FBB"/>
    <w:rsid w:val="004438A7"/>
    <w:rsid w:val="00443AB7"/>
    <w:rsid w:val="004519B6"/>
    <w:rsid w:val="00453E7E"/>
    <w:rsid w:val="004629B9"/>
    <w:rsid w:val="0046304D"/>
    <w:rsid w:val="0046776E"/>
    <w:rsid w:val="00467C7B"/>
    <w:rsid w:val="00474AC4"/>
    <w:rsid w:val="0047748F"/>
    <w:rsid w:val="00480C3C"/>
    <w:rsid w:val="00481CA7"/>
    <w:rsid w:val="00486DD4"/>
    <w:rsid w:val="004A33B3"/>
    <w:rsid w:val="004B585D"/>
    <w:rsid w:val="004D0C73"/>
    <w:rsid w:val="004D11E9"/>
    <w:rsid w:val="004D727A"/>
    <w:rsid w:val="00507B7B"/>
    <w:rsid w:val="00511994"/>
    <w:rsid w:val="00522119"/>
    <w:rsid w:val="00530098"/>
    <w:rsid w:val="005371FF"/>
    <w:rsid w:val="00540E84"/>
    <w:rsid w:val="00544298"/>
    <w:rsid w:val="00551327"/>
    <w:rsid w:val="00563ED7"/>
    <w:rsid w:val="005677CF"/>
    <w:rsid w:val="00571A29"/>
    <w:rsid w:val="00571FC9"/>
    <w:rsid w:val="00575A17"/>
    <w:rsid w:val="005B3C18"/>
    <w:rsid w:val="005D057E"/>
    <w:rsid w:val="005E3A08"/>
    <w:rsid w:val="005F5530"/>
    <w:rsid w:val="005F7F04"/>
    <w:rsid w:val="0062534E"/>
    <w:rsid w:val="006255D4"/>
    <w:rsid w:val="00625AC0"/>
    <w:rsid w:val="00626F18"/>
    <w:rsid w:val="006522F8"/>
    <w:rsid w:val="00666917"/>
    <w:rsid w:val="00667E3E"/>
    <w:rsid w:val="00670757"/>
    <w:rsid w:val="006724B7"/>
    <w:rsid w:val="00687A43"/>
    <w:rsid w:val="0069356A"/>
    <w:rsid w:val="00696A4E"/>
    <w:rsid w:val="006A2500"/>
    <w:rsid w:val="006B1B30"/>
    <w:rsid w:val="006B1E98"/>
    <w:rsid w:val="006B3FC1"/>
    <w:rsid w:val="006D040C"/>
    <w:rsid w:val="006D0882"/>
    <w:rsid w:val="006D4CF6"/>
    <w:rsid w:val="006D6CB2"/>
    <w:rsid w:val="006E0BD9"/>
    <w:rsid w:val="006E3534"/>
    <w:rsid w:val="006E4AD1"/>
    <w:rsid w:val="006F16B7"/>
    <w:rsid w:val="006F1B11"/>
    <w:rsid w:val="006F579A"/>
    <w:rsid w:val="007034CD"/>
    <w:rsid w:val="007059B0"/>
    <w:rsid w:val="00713C24"/>
    <w:rsid w:val="0072460F"/>
    <w:rsid w:val="007266E8"/>
    <w:rsid w:val="00730028"/>
    <w:rsid w:val="00730508"/>
    <w:rsid w:val="00747714"/>
    <w:rsid w:val="00780FB0"/>
    <w:rsid w:val="007A1AD3"/>
    <w:rsid w:val="007A6CCC"/>
    <w:rsid w:val="007B42FA"/>
    <w:rsid w:val="007C0734"/>
    <w:rsid w:val="007C1EFA"/>
    <w:rsid w:val="007CCE0A"/>
    <w:rsid w:val="007D35C3"/>
    <w:rsid w:val="00806228"/>
    <w:rsid w:val="008144B9"/>
    <w:rsid w:val="00817095"/>
    <w:rsid w:val="00824277"/>
    <w:rsid w:val="00836B55"/>
    <w:rsid w:val="00852F25"/>
    <w:rsid w:val="0085536B"/>
    <w:rsid w:val="00863D0D"/>
    <w:rsid w:val="00865906"/>
    <w:rsid w:val="00871642"/>
    <w:rsid w:val="00873943"/>
    <w:rsid w:val="00874445"/>
    <w:rsid w:val="00894F76"/>
    <w:rsid w:val="008A2144"/>
    <w:rsid w:val="008A6070"/>
    <w:rsid w:val="008A60EA"/>
    <w:rsid w:val="008D3ADB"/>
    <w:rsid w:val="008D5A4B"/>
    <w:rsid w:val="008E3B36"/>
    <w:rsid w:val="009014F3"/>
    <w:rsid w:val="009048B8"/>
    <w:rsid w:val="00911BE9"/>
    <w:rsid w:val="00915B82"/>
    <w:rsid w:val="00923659"/>
    <w:rsid w:val="0092503E"/>
    <w:rsid w:val="00925334"/>
    <w:rsid w:val="00927547"/>
    <w:rsid w:val="009277B5"/>
    <w:rsid w:val="00927907"/>
    <w:rsid w:val="009324BC"/>
    <w:rsid w:val="00935E8C"/>
    <w:rsid w:val="00936CF1"/>
    <w:rsid w:val="0096773B"/>
    <w:rsid w:val="009B3ADD"/>
    <w:rsid w:val="009E7852"/>
    <w:rsid w:val="00A02696"/>
    <w:rsid w:val="00A06520"/>
    <w:rsid w:val="00A06B12"/>
    <w:rsid w:val="00A06BE8"/>
    <w:rsid w:val="00A06F62"/>
    <w:rsid w:val="00A2424A"/>
    <w:rsid w:val="00A361B0"/>
    <w:rsid w:val="00A37EC7"/>
    <w:rsid w:val="00A565A2"/>
    <w:rsid w:val="00A613E3"/>
    <w:rsid w:val="00A85360"/>
    <w:rsid w:val="00AC14F4"/>
    <w:rsid w:val="00AF2722"/>
    <w:rsid w:val="00AF77D1"/>
    <w:rsid w:val="00B0071A"/>
    <w:rsid w:val="00B01D85"/>
    <w:rsid w:val="00B1011E"/>
    <w:rsid w:val="00B22E0D"/>
    <w:rsid w:val="00B335C5"/>
    <w:rsid w:val="00B40229"/>
    <w:rsid w:val="00B53D00"/>
    <w:rsid w:val="00B61CC1"/>
    <w:rsid w:val="00B6276D"/>
    <w:rsid w:val="00B639BA"/>
    <w:rsid w:val="00B72371"/>
    <w:rsid w:val="00B827A6"/>
    <w:rsid w:val="00B9077D"/>
    <w:rsid w:val="00BB4197"/>
    <w:rsid w:val="00BB421E"/>
    <w:rsid w:val="00BC6336"/>
    <w:rsid w:val="00BD3FAF"/>
    <w:rsid w:val="00BD4AC1"/>
    <w:rsid w:val="00BE69C3"/>
    <w:rsid w:val="00BF5FE7"/>
    <w:rsid w:val="00C00FF0"/>
    <w:rsid w:val="00C0533E"/>
    <w:rsid w:val="00C1008E"/>
    <w:rsid w:val="00C13740"/>
    <w:rsid w:val="00C41B57"/>
    <w:rsid w:val="00C46597"/>
    <w:rsid w:val="00C51A44"/>
    <w:rsid w:val="00C604A9"/>
    <w:rsid w:val="00C653EE"/>
    <w:rsid w:val="00C674C7"/>
    <w:rsid w:val="00C74881"/>
    <w:rsid w:val="00C82DB8"/>
    <w:rsid w:val="00C82EE8"/>
    <w:rsid w:val="00C83054"/>
    <w:rsid w:val="00C84CD6"/>
    <w:rsid w:val="00C94B39"/>
    <w:rsid w:val="00CA207E"/>
    <w:rsid w:val="00CB26FF"/>
    <w:rsid w:val="00CD2E2D"/>
    <w:rsid w:val="00CE0143"/>
    <w:rsid w:val="00CE7DEE"/>
    <w:rsid w:val="00CF7521"/>
    <w:rsid w:val="00D01840"/>
    <w:rsid w:val="00D032A8"/>
    <w:rsid w:val="00D23723"/>
    <w:rsid w:val="00D357C8"/>
    <w:rsid w:val="00D407FD"/>
    <w:rsid w:val="00D62AC4"/>
    <w:rsid w:val="00D662E9"/>
    <w:rsid w:val="00D711D4"/>
    <w:rsid w:val="00D821D0"/>
    <w:rsid w:val="00D90B4E"/>
    <w:rsid w:val="00DA67F5"/>
    <w:rsid w:val="00DC183A"/>
    <w:rsid w:val="00DC389D"/>
    <w:rsid w:val="00DD0B8A"/>
    <w:rsid w:val="00DD4E16"/>
    <w:rsid w:val="00DE508E"/>
    <w:rsid w:val="00DF15F1"/>
    <w:rsid w:val="00DF62C9"/>
    <w:rsid w:val="00DF7273"/>
    <w:rsid w:val="00E10C90"/>
    <w:rsid w:val="00E148A2"/>
    <w:rsid w:val="00E160B7"/>
    <w:rsid w:val="00E20007"/>
    <w:rsid w:val="00E2087E"/>
    <w:rsid w:val="00E22A2F"/>
    <w:rsid w:val="00E277B4"/>
    <w:rsid w:val="00E4601F"/>
    <w:rsid w:val="00E548A2"/>
    <w:rsid w:val="00E83E74"/>
    <w:rsid w:val="00E86978"/>
    <w:rsid w:val="00E937F0"/>
    <w:rsid w:val="00E96F2C"/>
    <w:rsid w:val="00EB21D8"/>
    <w:rsid w:val="00EF122A"/>
    <w:rsid w:val="00F02D2C"/>
    <w:rsid w:val="00F12B12"/>
    <w:rsid w:val="00F13CD2"/>
    <w:rsid w:val="00F20906"/>
    <w:rsid w:val="00F20CF2"/>
    <w:rsid w:val="00F22F4D"/>
    <w:rsid w:val="00F31D0C"/>
    <w:rsid w:val="00F33268"/>
    <w:rsid w:val="00F4514C"/>
    <w:rsid w:val="00F56233"/>
    <w:rsid w:val="00F579D2"/>
    <w:rsid w:val="00F650AD"/>
    <w:rsid w:val="00F663A2"/>
    <w:rsid w:val="00F7423C"/>
    <w:rsid w:val="00F76254"/>
    <w:rsid w:val="00F767B5"/>
    <w:rsid w:val="00F87880"/>
    <w:rsid w:val="00F92E69"/>
    <w:rsid w:val="00F937D1"/>
    <w:rsid w:val="00FA1004"/>
    <w:rsid w:val="00FF577B"/>
    <w:rsid w:val="04814C66"/>
    <w:rsid w:val="04AA302D"/>
    <w:rsid w:val="06D9EB75"/>
    <w:rsid w:val="0B9B9D7B"/>
    <w:rsid w:val="0D8A21B2"/>
    <w:rsid w:val="0FA5AAE8"/>
    <w:rsid w:val="11B41E4A"/>
    <w:rsid w:val="140CB8BC"/>
    <w:rsid w:val="17F5E260"/>
    <w:rsid w:val="2196520C"/>
    <w:rsid w:val="21AB1CB9"/>
    <w:rsid w:val="284589DB"/>
    <w:rsid w:val="2A040820"/>
    <w:rsid w:val="2A3D4B8E"/>
    <w:rsid w:val="2B655AD2"/>
    <w:rsid w:val="2C7BB300"/>
    <w:rsid w:val="2E1F202A"/>
    <w:rsid w:val="2F53317D"/>
    <w:rsid w:val="305C77D2"/>
    <w:rsid w:val="318FC993"/>
    <w:rsid w:val="332FE855"/>
    <w:rsid w:val="336D5EB0"/>
    <w:rsid w:val="38A7DAD6"/>
    <w:rsid w:val="38BBFFAD"/>
    <w:rsid w:val="3CB6FCD6"/>
    <w:rsid w:val="3ECB3C1D"/>
    <w:rsid w:val="3EFCD5F6"/>
    <w:rsid w:val="3F7F7778"/>
    <w:rsid w:val="41285369"/>
    <w:rsid w:val="435B083E"/>
    <w:rsid w:val="43D4DC00"/>
    <w:rsid w:val="4412B6A3"/>
    <w:rsid w:val="4455954C"/>
    <w:rsid w:val="4642D8FC"/>
    <w:rsid w:val="4644E678"/>
    <w:rsid w:val="46679FD6"/>
    <w:rsid w:val="4933C777"/>
    <w:rsid w:val="4AF01E6C"/>
    <w:rsid w:val="4B61CDD4"/>
    <w:rsid w:val="4F789C9F"/>
    <w:rsid w:val="52417548"/>
    <w:rsid w:val="526FBD7D"/>
    <w:rsid w:val="52F04293"/>
    <w:rsid w:val="54E7421D"/>
    <w:rsid w:val="57033566"/>
    <w:rsid w:val="58B8899E"/>
    <w:rsid w:val="58BCA483"/>
    <w:rsid w:val="5969CE09"/>
    <w:rsid w:val="59F8A21A"/>
    <w:rsid w:val="5B7B7F0A"/>
    <w:rsid w:val="5BBBB7F2"/>
    <w:rsid w:val="5E2434E3"/>
    <w:rsid w:val="5E93B62B"/>
    <w:rsid w:val="5FBD134F"/>
    <w:rsid w:val="5FDB0BBF"/>
    <w:rsid w:val="608B6BCA"/>
    <w:rsid w:val="61375DD0"/>
    <w:rsid w:val="64388F4B"/>
    <w:rsid w:val="67C97CCD"/>
    <w:rsid w:val="6B3B7A21"/>
    <w:rsid w:val="6D50C675"/>
    <w:rsid w:val="6FD683C0"/>
    <w:rsid w:val="70F0D705"/>
    <w:rsid w:val="71B11437"/>
    <w:rsid w:val="72C23EEC"/>
    <w:rsid w:val="740D803B"/>
    <w:rsid w:val="777AB558"/>
    <w:rsid w:val="790E85C8"/>
    <w:rsid w:val="792CBE0C"/>
    <w:rsid w:val="7A65DA68"/>
    <w:rsid w:val="7B1CE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8C60B"/>
  <w15:docId w15:val="{97EC1B8C-2BA5-4DC6-B874-322993B7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F12B12"/>
    <w:pPr>
      <w:ind w:left="720"/>
      <w:contextualSpacing/>
    </w:pPr>
  </w:style>
  <w:style w:type="character" w:customStyle="1" w:styleId="normaltextrun">
    <w:name w:val="normaltextrun"/>
    <w:basedOn w:val="DefaultParagraphFont"/>
    <w:rsid w:val="00F12B12"/>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F12B12"/>
  </w:style>
  <w:style w:type="paragraph" w:customStyle="1" w:styleId="title-doc-first">
    <w:name w:val="title-doc-first"/>
    <w:basedOn w:val="Normal"/>
    <w:rsid w:val="00852F25"/>
    <w:pPr>
      <w:spacing w:before="100" w:beforeAutospacing="1" w:after="100" w:afterAutospacing="1"/>
    </w:pPr>
    <w:rPr>
      <w:szCs w:val="24"/>
      <w:lang w:eastAsia="lt-LT"/>
    </w:rPr>
  </w:style>
  <w:style w:type="character" w:customStyle="1" w:styleId="cf01">
    <w:name w:val="cf01"/>
    <w:basedOn w:val="DefaultParagraphFont"/>
    <w:rsid w:val="00852F25"/>
    <w:rPr>
      <w:rFonts w:ascii="Segoe UI" w:hAnsi="Segoe UI" w:cs="Segoe UI" w:hint="default"/>
      <w:sz w:val="18"/>
      <w:szCs w:val="18"/>
    </w:rPr>
  </w:style>
  <w:style w:type="character" w:customStyle="1" w:styleId="cf11">
    <w:name w:val="cf11"/>
    <w:basedOn w:val="DefaultParagraphFont"/>
    <w:rsid w:val="00852F25"/>
    <w:rPr>
      <w:rFonts w:ascii="Segoe UI" w:hAnsi="Segoe UI" w:cs="Segoe UI" w:hint="default"/>
      <w:sz w:val="18"/>
      <w:szCs w:val="18"/>
    </w:rPr>
  </w:style>
  <w:style w:type="paragraph" w:styleId="Header">
    <w:name w:val="header"/>
    <w:basedOn w:val="Normal"/>
    <w:link w:val="HeaderChar"/>
    <w:uiPriority w:val="99"/>
    <w:unhideWhenUsed/>
    <w:rsid w:val="00B6276D"/>
    <w:pPr>
      <w:tabs>
        <w:tab w:val="center" w:pos="4819"/>
        <w:tab w:val="right" w:pos="9638"/>
      </w:tabs>
    </w:pPr>
  </w:style>
  <w:style w:type="character" w:customStyle="1" w:styleId="HeaderChar">
    <w:name w:val="Header Char"/>
    <w:basedOn w:val="DefaultParagraphFont"/>
    <w:link w:val="Header"/>
    <w:uiPriority w:val="99"/>
    <w:rsid w:val="00B6276D"/>
  </w:style>
  <w:style w:type="character" w:styleId="CommentReference">
    <w:name w:val="annotation reference"/>
    <w:basedOn w:val="DefaultParagraphFont"/>
    <w:uiPriority w:val="99"/>
    <w:semiHidden/>
    <w:unhideWhenUsed/>
    <w:rsid w:val="008D3ADB"/>
    <w:rPr>
      <w:sz w:val="16"/>
      <w:szCs w:val="16"/>
    </w:rPr>
  </w:style>
  <w:style w:type="paragraph" w:styleId="CommentText">
    <w:name w:val="annotation text"/>
    <w:basedOn w:val="Normal"/>
    <w:link w:val="CommentTextChar"/>
    <w:uiPriority w:val="99"/>
    <w:unhideWhenUsed/>
    <w:rsid w:val="008D3ADB"/>
    <w:rPr>
      <w:sz w:val="20"/>
    </w:rPr>
  </w:style>
  <w:style w:type="character" w:customStyle="1" w:styleId="CommentTextChar">
    <w:name w:val="Comment Text Char"/>
    <w:basedOn w:val="DefaultParagraphFont"/>
    <w:link w:val="CommentText"/>
    <w:uiPriority w:val="99"/>
    <w:rsid w:val="008D3ADB"/>
    <w:rPr>
      <w:sz w:val="20"/>
    </w:rPr>
  </w:style>
  <w:style w:type="paragraph" w:styleId="CommentSubject">
    <w:name w:val="annotation subject"/>
    <w:basedOn w:val="CommentText"/>
    <w:next w:val="CommentText"/>
    <w:link w:val="CommentSubjectChar"/>
    <w:semiHidden/>
    <w:unhideWhenUsed/>
    <w:rsid w:val="008D3ADB"/>
    <w:rPr>
      <w:b/>
      <w:bCs/>
    </w:rPr>
  </w:style>
  <w:style w:type="character" w:customStyle="1" w:styleId="CommentSubjectChar">
    <w:name w:val="Comment Subject Char"/>
    <w:basedOn w:val="CommentTextChar"/>
    <w:link w:val="CommentSubject"/>
    <w:semiHidden/>
    <w:rsid w:val="008D3ADB"/>
    <w:rPr>
      <w:b/>
      <w:bCs/>
      <w:sz w:val="20"/>
    </w:rPr>
  </w:style>
  <w:style w:type="paragraph" w:styleId="Revision">
    <w:name w:val="Revision"/>
    <w:hidden/>
    <w:semiHidden/>
    <w:rsid w:val="00F22F4D"/>
  </w:style>
  <w:style w:type="character" w:styleId="Hyperlink">
    <w:name w:val="Hyperlink"/>
    <w:basedOn w:val="DefaultParagraphFont"/>
    <w:uiPriority w:val="99"/>
    <w:unhideWhenUsed/>
    <w:rsid w:val="00667E3E"/>
    <w:rPr>
      <w:color w:val="0563C1" w:themeColor="hyperlink"/>
      <w:u w:val="single"/>
    </w:rPr>
  </w:style>
  <w:style w:type="character" w:styleId="UnresolvedMention">
    <w:name w:val="Unresolved Mention"/>
    <w:basedOn w:val="DefaultParagraphFont"/>
    <w:uiPriority w:val="99"/>
    <w:semiHidden/>
    <w:unhideWhenUsed/>
    <w:rsid w:val="00667E3E"/>
    <w:rPr>
      <w:color w:val="605E5C"/>
      <w:shd w:val="clear" w:color="auto" w:fill="E1DFDD"/>
    </w:rPr>
  </w:style>
  <w:style w:type="paragraph" w:customStyle="1" w:styleId="pf0">
    <w:name w:val="pf0"/>
    <w:basedOn w:val="Normal"/>
    <w:rsid w:val="007059B0"/>
    <w:pPr>
      <w:spacing w:before="100" w:beforeAutospacing="1" w:after="100" w:afterAutospacing="1"/>
    </w:pPr>
    <w:rPr>
      <w:szCs w:val="24"/>
      <w:lang w:eastAsia="lt-LT"/>
    </w:rPr>
  </w:style>
  <w:style w:type="character" w:customStyle="1" w:styleId="xxfluidplugincopy">
    <w:name w:val="x_x_fluidplugincopy"/>
    <w:basedOn w:val="DefaultParagraphFont"/>
    <w:rsid w:val="00571A29"/>
  </w:style>
  <w:style w:type="paragraph" w:styleId="Footer">
    <w:name w:val="footer"/>
    <w:basedOn w:val="Normal"/>
    <w:link w:val="FooterChar"/>
    <w:semiHidden/>
    <w:unhideWhenUsed/>
    <w:rsid w:val="000C23CB"/>
    <w:pPr>
      <w:tabs>
        <w:tab w:val="center" w:pos="4819"/>
        <w:tab w:val="right" w:pos="9638"/>
      </w:tabs>
    </w:pPr>
  </w:style>
  <w:style w:type="character" w:customStyle="1" w:styleId="FooterChar">
    <w:name w:val="Footer Char"/>
    <w:basedOn w:val="DefaultParagraphFont"/>
    <w:link w:val="Footer"/>
    <w:semiHidden/>
    <w:rsid w:val="000C23CB"/>
  </w:style>
  <w:style w:type="paragraph" w:styleId="FootnoteText">
    <w:name w:val="footnote text"/>
    <w:aliases w:val="Fußnotentextf,Fußnotentextr,stile 1,Footnote,Footnote1,Footnote2,Footnote3,Footnote4,Footnote5,Footnote6,Footnote7,Footnote8,Footnote9,Footnote10,Footnote11,Footnote21,Footnote31,Footnote41,Footnote51,Footnote61,Footnote71,ft,f"/>
    <w:basedOn w:val="Normal"/>
    <w:link w:val="FootnoteTextChar"/>
    <w:uiPriority w:val="99"/>
    <w:unhideWhenUsed/>
    <w:qFormat/>
    <w:rsid w:val="00CE7DEE"/>
    <w:pPr>
      <w:widowControl w:val="0"/>
      <w:autoSpaceDE w:val="0"/>
      <w:autoSpaceDN w:val="0"/>
    </w:pPr>
    <w:rPr>
      <w:rFonts w:ascii="Cambria" w:eastAsia="Cambria" w:hAnsi="Cambria" w:cs="Cambria"/>
      <w:sz w:val="20"/>
    </w:rPr>
  </w:style>
  <w:style w:type="character" w:customStyle="1" w:styleId="FootnoteTextChar">
    <w:name w:val="Footnote Text Char"/>
    <w:aliases w:val="Fußnotentextf Char,Fußnotentextr Char,stile 1 Char,Footnote Char,Footnote1 Char,Footnote2 Char,Footnote3 Char,Footnote4 Char,Footnote5 Char,Footnote6 Char,Footnote7 Char,Footnote8 Char,Footnote9 Char,Footnote10 Char,Footnote11 Char"/>
    <w:basedOn w:val="DefaultParagraphFont"/>
    <w:link w:val="FootnoteText"/>
    <w:uiPriority w:val="99"/>
    <w:qFormat/>
    <w:rsid w:val="00CE7DEE"/>
    <w:rPr>
      <w:rFonts w:ascii="Cambria" w:eastAsia="Cambria" w:hAnsi="Cambria" w:cs="Cambria"/>
      <w:sz w:val="20"/>
    </w:rPr>
  </w:style>
  <w:style w:type="character" w:styleId="FootnoteReference">
    <w:name w:val="footnote reference"/>
    <w:aliases w:val="SUPERS,Odwołanie przypisu,Times 10 Point,Exposant 3 Point,Footnote symbol,Footnote reference number,number,Footnote Reference Superscript,stylish,Знак сноски-FN,Ciae niinee-FN,Знак сноски 1,(Footnote Reference), Exposant 3 Point"/>
    <w:basedOn w:val="DefaultParagraphFont"/>
    <w:link w:val="SUPERSChar"/>
    <w:uiPriority w:val="99"/>
    <w:unhideWhenUsed/>
    <w:qFormat/>
    <w:rsid w:val="00CE7DEE"/>
    <w:rPr>
      <w:vertAlign w:val="superscript"/>
    </w:rPr>
  </w:style>
  <w:style w:type="paragraph" w:customStyle="1" w:styleId="SUPERSChar">
    <w:name w:val="SUPERS Char"/>
    <w:aliases w:val="EN Footnote Reference Char"/>
    <w:basedOn w:val="Normal"/>
    <w:link w:val="FootnoteReference"/>
    <w:uiPriority w:val="99"/>
    <w:rsid w:val="00CE7DEE"/>
    <w:pPr>
      <w:spacing w:after="160" w:line="240" w:lineRule="exact"/>
    </w:pPr>
    <w:rPr>
      <w:vertAlign w:val="superscript"/>
    </w:rPr>
  </w:style>
  <w:style w:type="character" w:customStyle="1" w:styleId="cf21">
    <w:name w:val="cf21"/>
    <w:basedOn w:val="DefaultParagraphFont"/>
    <w:rsid w:val="00511994"/>
    <w:rPr>
      <w:rFonts w:ascii="Segoe UI" w:hAnsi="Segoe UI" w:cs="Segoe UI" w:hint="default"/>
      <w:i/>
      <w:iCs/>
      <w:sz w:val="18"/>
      <w:szCs w:val="18"/>
    </w:rPr>
  </w:style>
  <w:style w:type="character" w:customStyle="1" w:styleId="cf31">
    <w:name w:val="cf31"/>
    <w:basedOn w:val="DefaultParagraphFont"/>
    <w:rsid w:val="00511994"/>
    <w:rPr>
      <w:rFonts w:ascii="Segoe UI" w:hAnsi="Segoe UI" w:cs="Segoe UI" w:hint="default"/>
      <w:sz w:val="18"/>
      <w:szCs w:val="18"/>
    </w:rPr>
  </w:style>
  <w:style w:type="character" w:customStyle="1" w:styleId="cf41">
    <w:name w:val="cf41"/>
    <w:basedOn w:val="DefaultParagraphFont"/>
    <w:rsid w:val="0051199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61485595">
      <w:bodyDiv w:val="1"/>
      <w:marLeft w:val="0"/>
      <w:marRight w:val="0"/>
      <w:marTop w:val="0"/>
      <w:marBottom w:val="0"/>
      <w:divBdr>
        <w:top w:val="none" w:sz="0" w:space="0" w:color="auto"/>
        <w:left w:val="none" w:sz="0" w:space="0" w:color="auto"/>
        <w:bottom w:val="none" w:sz="0" w:space="0" w:color="auto"/>
        <w:right w:val="none" w:sz="0" w:space="0" w:color="auto"/>
      </w:divBdr>
    </w:div>
    <w:div w:id="379936127">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183204245">
      <w:bodyDiv w:val="1"/>
      <w:marLeft w:val="0"/>
      <w:marRight w:val="0"/>
      <w:marTop w:val="0"/>
      <w:marBottom w:val="0"/>
      <w:divBdr>
        <w:top w:val="none" w:sz="0" w:space="0" w:color="auto"/>
        <w:left w:val="none" w:sz="0" w:space="0" w:color="auto"/>
        <w:bottom w:val="none" w:sz="0" w:space="0" w:color="auto"/>
        <w:right w:val="none" w:sz="0" w:space="0" w:color="auto"/>
      </w:divBdr>
    </w:div>
    <w:div w:id="1295991318">
      <w:bodyDiv w:val="1"/>
      <w:marLeft w:val="0"/>
      <w:marRight w:val="0"/>
      <w:marTop w:val="0"/>
      <w:marBottom w:val="0"/>
      <w:divBdr>
        <w:top w:val="none" w:sz="0" w:space="0" w:color="auto"/>
        <w:left w:val="none" w:sz="0" w:space="0" w:color="auto"/>
        <w:bottom w:val="none" w:sz="0" w:space="0" w:color="auto"/>
        <w:right w:val="none" w:sz="0" w:space="0" w:color="auto"/>
      </w:divBdr>
    </w:div>
    <w:div w:id="1313409760">
      <w:bodyDiv w:val="1"/>
      <w:marLeft w:val="0"/>
      <w:marRight w:val="0"/>
      <w:marTop w:val="0"/>
      <w:marBottom w:val="0"/>
      <w:divBdr>
        <w:top w:val="none" w:sz="0" w:space="0" w:color="auto"/>
        <w:left w:val="none" w:sz="0" w:space="0" w:color="auto"/>
        <w:bottom w:val="none" w:sz="0" w:space="0" w:color="auto"/>
        <w:right w:val="none" w:sz="0" w:space="0" w:color="auto"/>
      </w:divBdr>
    </w:div>
    <w:div w:id="1542210716">
      <w:bodyDiv w:val="1"/>
      <w:marLeft w:val="0"/>
      <w:marRight w:val="0"/>
      <w:marTop w:val="0"/>
      <w:marBottom w:val="0"/>
      <w:divBdr>
        <w:top w:val="none" w:sz="0" w:space="0" w:color="auto"/>
        <w:left w:val="none" w:sz="0" w:space="0" w:color="auto"/>
        <w:bottom w:val="none" w:sz="0" w:space="0" w:color="auto"/>
        <w:right w:val="none" w:sz="0" w:space="0" w:color="auto"/>
      </w:divBdr>
    </w:div>
    <w:div w:id="1696224929">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69028249">
      <w:bodyDiv w:val="1"/>
      <w:marLeft w:val="0"/>
      <w:marRight w:val="0"/>
      <w:marTop w:val="0"/>
      <w:marBottom w:val="0"/>
      <w:divBdr>
        <w:top w:val="none" w:sz="0" w:space="0" w:color="auto"/>
        <w:left w:val="none" w:sz="0" w:space="0" w:color="auto"/>
        <w:bottom w:val="none" w:sz="0" w:space="0" w:color="auto"/>
        <w:right w:val="none" w:sz="0" w:space="0" w:color="auto"/>
      </w:divBdr>
    </w:div>
    <w:div w:id="204832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fntt.lt/lt/tarptautines-finansines-sankcijos/416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lex.europa.eu/legal-content/LT/TXT/?uri=CELEX%3A32020R085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ur-lex.europa.eu/legal-content/EN/TXT/PDF/?uri=CELEX:52021XC0218(01)&amp;from=EN"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filesrv.ukmin.lt\stfondai\2021-2027%20M.%20PROGRAMAVIMAS\PAZANGOS%20PRIEMONIU%20VEIKLOS\SO%209.1\9.2.2_tvariu_investiciju_pritraukimas\www.migracija.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7eb37fc0db3311eb866fe2e083228059?positionInSearchRes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1B888-EBC0-42AA-B60A-CD2B7E397968}">
  <ds:schemaRefs>
    <ds:schemaRef ds:uri="http://schemas.openxmlformats.org/officeDocument/2006/bibliography"/>
  </ds:schemaRefs>
</ds:datastoreItem>
</file>

<file path=customXml/itemProps4.xml><?xml version="1.0" encoding="utf-8"?>
<ds:datastoreItem xmlns:ds="http://schemas.openxmlformats.org/officeDocument/2006/customXml" ds:itemID="{D130A3B8-8C3E-4142-9BCF-761717DAEC46}">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6.xml><?xml version="1.0" encoding="utf-8"?>
<ds:datastoreItem xmlns:ds="http://schemas.openxmlformats.org/officeDocument/2006/customXml" ds:itemID="{B2080B9A-AB5A-4AA1-B00A-7621B9447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29676</Words>
  <Characters>16916</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46500</CharactersWithSpaces>
  <SharedDoc>false</SharedDoc>
  <HyperlinkBase/>
  <HLinks>
    <vt:vector size="30" baseType="variant">
      <vt:variant>
        <vt:i4>7864446</vt:i4>
      </vt:variant>
      <vt:variant>
        <vt:i4>9</vt:i4>
      </vt:variant>
      <vt:variant>
        <vt:i4>0</vt:i4>
      </vt:variant>
      <vt:variant>
        <vt:i4>5</vt:i4>
      </vt:variant>
      <vt:variant>
        <vt:lpwstr>https://eur-lex.europa.eu/legal-content/LT/TXT/?uri=CELEX%3A32020R0852</vt:lpwstr>
      </vt:variant>
      <vt:variant>
        <vt:lpwstr/>
      </vt:variant>
      <vt:variant>
        <vt:i4>5111881</vt:i4>
      </vt:variant>
      <vt:variant>
        <vt:i4>6</vt:i4>
      </vt:variant>
      <vt:variant>
        <vt:i4>0</vt:i4>
      </vt:variant>
      <vt:variant>
        <vt:i4>5</vt:i4>
      </vt:variant>
      <vt:variant>
        <vt:lpwstr>https://eur-lex.europa.eu/legal-content/EN/TXT/PDF/?uri=CELEX:52021XC0218(01)&amp;from=EN</vt:lpwstr>
      </vt:variant>
      <vt:variant>
        <vt:lpwstr/>
      </vt:variant>
      <vt:variant>
        <vt:i4>1769575</vt:i4>
      </vt:variant>
      <vt:variant>
        <vt:i4>3</vt:i4>
      </vt:variant>
      <vt:variant>
        <vt:i4>0</vt:i4>
      </vt:variant>
      <vt:variant>
        <vt:i4>5</vt:i4>
      </vt:variant>
      <vt:variant>
        <vt:lpwstr>\\filesrv.ukmin.lt\stfondai\2021-2027 M. PROGRAMAVIMAS\PAZANGOS PRIEMONIU VEIKLOS\SO 9.1\9.2.2_tvariu_investiciju_pritraukimas\www.migracija.lt</vt:lpwstr>
      </vt:variant>
      <vt:variant>
        <vt:lpwstr/>
      </vt:variant>
      <vt:variant>
        <vt:i4>1638407</vt:i4>
      </vt:variant>
      <vt:variant>
        <vt:i4>0</vt:i4>
      </vt:variant>
      <vt:variant>
        <vt:i4>0</vt:i4>
      </vt:variant>
      <vt:variant>
        <vt:i4>5</vt:i4>
      </vt:variant>
      <vt:variant>
        <vt:lpwstr>https://fntt.lt/lt/tarptautines-finansines-sankcijos/4166</vt:lpwstr>
      </vt:variant>
      <vt:variant>
        <vt:lpwstr/>
      </vt:variant>
      <vt:variant>
        <vt:i4>1245193</vt:i4>
      </vt:variant>
      <vt:variant>
        <vt:i4>0</vt:i4>
      </vt:variant>
      <vt:variant>
        <vt:i4>0</vt:i4>
      </vt:variant>
      <vt:variant>
        <vt:i4>5</vt:i4>
      </vt:variant>
      <vt:variant>
        <vt:lpwstr>https://am.lrv.lt/lt/veiklos-sritys-1/klimato-kaita/es-atl-prekybos-sistema-ir-jtbkkk-lankstieji-mechanizmai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Aurelija Kazlauskienė</cp:lastModifiedBy>
  <cp:revision>4</cp:revision>
  <dcterms:created xsi:type="dcterms:W3CDTF">2023-01-23T11:46:00Z</dcterms:created>
  <dcterms:modified xsi:type="dcterms:W3CDTF">2023-01-24T06:37:00Z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