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234530F6" w:rsidR="0036662A" w:rsidRDefault="0036662A" w:rsidP="00DD3616">
      <w:pPr>
        <w:jc w:val="center"/>
        <w:rPr>
          <w:b/>
          <w:bCs/>
          <w:caps/>
        </w:rPr>
      </w:pPr>
      <w:r w:rsidRPr="00017566">
        <w:rPr>
          <w:b/>
          <w:bCs/>
        </w:rPr>
        <w:t xml:space="preserve">SOCIALINIŲ IR EKONOMINIŲ PARTNERIŲ PATEIKTŲ PASTABŲ IR PASIŪLYMŲ DĖL </w:t>
      </w:r>
      <w:r w:rsidR="00A323E0" w:rsidRPr="00A323E0">
        <w:rPr>
          <w:b/>
          <w:bCs/>
        </w:rPr>
        <w:t xml:space="preserve">2022–2030 METŲ PLĖTROS PROGRAMOS VALDYTOJOS LIETUVOS RESPUBLIKOS </w:t>
      </w:r>
      <w:r w:rsidR="00A323E0" w:rsidRPr="00DD3616">
        <w:rPr>
          <w:b/>
          <w:bCs/>
          <w:caps/>
        </w:rPr>
        <w:t xml:space="preserve">EKONOMIKOS IR INOVACIJŲ MINISTERIJOS EKONOMIKOS TRANSFORMACIJOS IR KONKURENCINGUMO PLĖTROS PROGRAMOS PAŽANGOS PRIEMONĖS </w:t>
      </w:r>
      <w:r w:rsidR="00FD2F53" w:rsidRPr="00FD2F53">
        <w:rPr>
          <w:b/>
          <w:bCs/>
          <w:caps/>
        </w:rPr>
        <w:t>Nr. 05-001-01-11-04 „Įgyvendinti eksporto konkurencingumo augimą skatinančias priemones“ veikl</w:t>
      </w:r>
      <w:r w:rsidR="00FD2F53">
        <w:rPr>
          <w:b/>
          <w:bCs/>
          <w:caps/>
        </w:rPr>
        <w:t>os</w:t>
      </w:r>
      <w:r w:rsidR="00FD2F53" w:rsidRPr="00FD2F53">
        <w:rPr>
          <w:b/>
          <w:bCs/>
          <w:caps/>
        </w:rPr>
        <w:t xml:space="preserve"> „Į eksportą orientuotų, į bendrą vertės grandinę susijungusių MVĮ tinklo kūrimosi ir augimo skatinimas</w:t>
      </w:r>
      <w:r w:rsidR="00FD2F53">
        <w:rPr>
          <w:b/>
          <w:bCs/>
          <w:caps/>
        </w:rPr>
        <w:t>“</w:t>
      </w:r>
      <w:r w:rsidR="00A323E0" w:rsidRPr="00DD3616">
        <w:rPr>
          <w:b/>
          <w:bCs/>
          <w:caps/>
        </w:rPr>
        <w:t xml:space="preserve"> PROJEKTŲ ATRANKOS KRITERIJŲ </w:t>
      </w:r>
      <w:r w:rsidR="002763F8">
        <w:rPr>
          <w:b/>
          <w:bCs/>
          <w:caps/>
        </w:rPr>
        <w:t xml:space="preserve">pakartotinis </w:t>
      </w:r>
      <w:r w:rsidR="00A323E0" w:rsidRPr="00DD3616">
        <w:rPr>
          <w:b/>
          <w:bCs/>
          <w:caps/>
        </w:rPr>
        <w:t>DERINIMAS</w:t>
      </w:r>
    </w:p>
    <w:p w14:paraId="7A03DDFF" w14:textId="01687D5F" w:rsidR="00611B6D" w:rsidRDefault="00611B6D" w:rsidP="00DD3616">
      <w:pPr>
        <w:jc w:val="center"/>
        <w:rPr>
          <w:b/>
          <w:bCs/>
          <w:caps/>
        </w:rPr>
      </w:pPr>
    </w:p>
    <w:p w14:paraId="749DC108" w14:textId="13874AF2" w:rsidR="00611B6D" w:rsidRDefault="00611B6D" w:rsidP="002361E0">
      <w:pPr>
        <w:ind w:left="142"/>
        <w:jc w:val="both"/>
        <w:rPr>
          <w:b/>
          <w:i/>
          <w:iCs/>
          <w:szCs w:val="24"/>
        </w:rPr>
      </w:pPr>
      <w:r w:rsidRPr="00B1094E">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4852E288" w14:textId="2EC95339" w:rsidR="00E01E99" w:rsidRDefault="00E01E99" w:rsidP="002361E0">
      <w:pPr>
        <w:ind w:left="142"/>
        <w:jc w:val="both"/>
        <w:rPr>
          <w:b/>
          <w:i/>
          <w:iCs/>
          <w:szCs w:val="24"/>
        </w:rPr>
      </w:pPr>
    </w:p>
    <w:p w14:paraId="7C8A870C" w14:textId="49D4A11F" w:rsidR="00E01E99" w:rsidRPr="00B1094E" w:rsidRDefault="00E01E99" w:rsidP="002361E0">
      <w:pPr>
        <w:ind w:left="142"/>
        <w:jc w:val="both"/>
        <w:rPr>
          <w:b/>
          <w:i/>
          <w:iCs/>
          <w:szCs w:val="24"/>
        </w:rPr>
      </w:pPr>
      <w:r>
        <w:rPr>
          <w:b/>
          <w:i/>
          <w:iCs/>
          <w:szCs w:val="24"/>
        </w:rPr>
        <w:t>SVARBU. Patikslinti projektų atrankos kriterijai artimiausiu metu bus pakartotinai skelbiami viešam aptarimui.</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4679E9A1" w:rsidR="0036662A" w:rsidRPr="00017566" w:rsidRDefault="00F65129" w:rsidP="00335D39">
            <w:pPr>
              <w:rPr>
                <w:szCs w:val="24"/>
              </w:rPr>
            </w:pPr>
            <w:r w:rsidRPr="00017566">
              <w:rPr>
                <w:szCs w:val="24"/>
              </w:rPr>
              <w:t>202</w:t>
            </w:r>
            <w:r w:rsidR="00BF4652">
              <w:rPr>
                <w:szCs w:val="24"/>
              </w:rPr>
              <w:t>3-01-26</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332E83">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332E83">
                  <w:rPr>
                    <w:b/>
                    <w:szCs w:val="24"/>
                  </w:rPr>
                </w:r>
                <w:r w:rsidR="00332E83">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37769965" w:rsidR="0036662A" w:rsidRPr="00017566" w:rsidRDefault="0098163E" w:rsidP="0070221E">
            <w:pPr>
              <w:rPr>
                <w:szCs w:val="24"/>
              </w:rPr>
            </w:pPr>
            <w:r w:rsidRPr="00017566">
              <w:fldChar w:fldCharType="begin">
                <w:ffData>
                  <w:name w:val="Check1"/>
                  <w:enabled/>
                  <w:calcOnExit w:val="0"/>
                  <w:checkBox>
                    <w:sizeAuto/>
                    <w:default w:val="0"/>
                  </w:checkBox>
                </w:ffData>
              </w:fldChar>
            </w:r>
            <w:r w:rsidRPr="00017566">
              <w:instrText xml:space="preserve"> FORMCHECKBOX </w:instrText>
            </w:r>
            <w:r w:rsidR="00332E83">
              <w:fldChar w:fldCharType="separate"/>
            </w:r>
            <w:r w:rsidRPr="00017566">
              <w:fldChar w:fldCharType="end"/>
            </w:r>
            <w:r>
              <w:t xml:space="preserve"> </w:t>
            </w:r>
            <w:r w:rsidR="0036662A" w:rsidRPr="00017566">
              <w:rPr>
                <w:szCs w:val="24"/>
              </w:rPr>
              <w:t xml:space="preserve">Taip </w:t>
            </w:r>
            <w:sdt>
              <w:sdtPr>
                <w:id w:val="-1548671976"/>
              </w:sdtPr>
              <w:sdtEndPr/>
              <w:sdtContent>
                <w:r>
                  <w:t xml:space="preserve"> </w:t>
                </w:r>
                <w:sdt>
                  <w:sdtPr>
                    <w:id w:val="-338542889"/>
                  </w:sdtPr>
                  <w:sdtEndPr/>
                  <w:sdtContent>
                    <w:r>
                      <w:fldChar w:fldCharType="begin">
                        <w:ffData>
                          <w:name w:val=""/>
                          <w:enabled/>
                          <w:calcOnExit w:val="0"/>
                          <w:checkBox>
                            <w:sizeAuto/>
                            <w:default w:val="1"/>
                          </w:checkBox>
                        </w:ffData>
                      </w:fldChar>
                    </w:r>
                    <w:r>
                      <w:instrText xml:space="preserve"> FORMCHECKBOX </w:instrText>
                    </w:r>
                    <w:r w:rsidR="00332E83">
                      <w:fldChar w:fldCharType="separate"/>
                    </w:r>
                    <w:r>
                      <w:fldChar w:fldCharType="end"/>
                    </w:r>
                  </w:sdtContent>
                </w:sdt>
              </w:sdtContent>
            </w:sdt>
            <w:r w:rsidR="0036662A" w:rsidRPr="00017566">
              <w:rPr>
                <w:szCs w:val="24"/>
              </w:rPr>
              <w:t xml:space="preserve"> </w:t>
            </w:r>
            <w:r>
              <w:rPr>
                <w:szCs w:val="24"/>
              </w:rPr>
              <w:t xml:space="preserve"> </w:t>
            </w:r>
            <w:r w:rsidR="0036662A" w:rsidRPr="00017566">
              <w:rPr>
                <w:szCs w:val="24"/>
              </w:rPr>
              <w:t xml:space="preserve">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730"/>
        <w:gridCol w:w="6662"/>
        <w:gridCol w:w="5812"/>
      </w:tblGrid>
      <w:tr w:rsidR="0036662A" w:rsidRPr="00C85D29" w14:paraId="6A4E2F17" w14:textId="77777777" w:rsidTr="00952815">
        <w:tc>
          <w:tcPr>
            <w:tcW w:w="567" w:type="dxa"/>
          </w:tcPr>
          <w:p w14:paraId="025A5EA9" w14:textId="77777777" w:rsidR="0036662A" w:rsidRPr="00C85D29" w:rsidRDefault="0036662A" w:rsidP="00335D39">
            <w:pPr>
              <w:jc w:val="center"/>
              <w:rPr>
                <w:b/>
                <w:szCs w:val="24"/>
              </w:rPr>
            </w:pPr>
            <w:r w:rsidRPr="00C85D29">
              <w:rPr>
                <w:b/>
                <w:szCs w:val="24"/>
              </w:rPr>
              <w:t>Nr.</w:t>
            </w:r>
          </w:p>
        </w:tc>
        <w:tc>
          <w:tcPr>
            <w:tcW w:w="1730" w:type="dxa"/>
          </w:tcPr>
          <w:p w14:paraId="5FEE2DEB" w14:textId="77777777" w:rsidR="0036662A" w:rsidRPr="00C85D29" w:rsidRDefault="0036662A" w:rsidP="00335D39">
            <w:pPr>
              <w:jc w:val="center"/>
              <w:rPr>
                <w:b/>
                <w:szCs w:val="24"/>
              </w:rPr>
            </w:pPr>
            <w:r w:rsidRPr="00C85D29">
              <w:rPr>
                <w:b/>
                <w:szCs w:val="24"/>
              </w:rPr>
              <w:t>Institucija</w:t>
            </w:r>
          </w:p>
        </w:tc>
        <w:tc>
          <w:tcPr>
            <w:tcW w:w="6662" w:type="dxa"/>
          </w:tcPr>
          <w:p w14:paraId="4F6476E0" w14:textId="77777777" w:rsidR="0036662A" w:rsidRPr="00C85D29" w:rsidRDefault="0036662A" w:rsidP="00335D39">
            <w:pPr>
              <w:jc w:val="center"/>
              <w:rPr>
                <w:b/>
                <w:szCs w:val="24"/>
              </w:rPr>
            </w:pPr>
            <w:r w:rsidRPr="00C85D29">
              <w:rPr>
                <w:b/>
                <w:bCs/>
              </w:rPr>
              <w:t>Pastabos ir pasiūlymai</w:t>
            </w:r>
          </w:p>
        </w:tc>
        <w:tc>
          <w:tcPr>
            <w:tcW w:w="5812"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D36D9D" w:rsidRPr="00C85D29" w14:paraId="281D077B" w14:textId="77777777" w:rsidTr="00952815">
        <w:tc>
          <w:tcPr>
            <w:tcW w:w="567" w:type="dxa"/>
          </w:tcPr>
          <w:p w14:paraId="66C96C52" w14:textId="5A535EDC" w:rsidR="00D36D9D" w:rsidRPr="00C85D29" w:rsidRDefault="00D36D9D" w:rsidP="00335D39">
            <w:pPr>
              <w:jc w:val="center"/>
              <w:rPr>
                <w:bCs/>
                <w:szCs w:val="24"/>
              </w:rPr>
            </w:pPr>
            <w:r w:rsidRPr="00C85D29">
              <w:rPr>
                <w:bCs/>
                <w:szCs w:val="24"/>
              </w:rPr>
              <w:t>1.</w:t>
            </w:r>
          </w:p>
        </w:tc>
        <w:tc>
          <w:tcPr>
            <w:tcW w:w="1730" w:type="dxa"/>
          </w:tcPr>
          <w:p w14:paraId="584D81CC" w14:textId="3FD5E56D" w:rsidR="00D36D9D" w:rsidRPr="00EA7DB7" w:rsidRDefault="00EA7DB7" w:rsidP="00CA3ADD">
            <w:pPr>
              <w:rPr>
                <w:b/>
                <w:bCs/>
                <w:szCs w:val="24"/>
              </w:rPr>
            </w:pPr>
            <w:r w:rsidRPr="00EA7DB7">
              <w:rPr>
                <w:b/>
                <w:bCs/>
                <w:szCs w:val="24"/>
              </w:rPr>
              <w:t>MB Protolis</w:t>
            </w:r>
          </w:p>
        </w:tc>
        <w:tc>
          <w:tcPr>
            <w:tcW w:w="6662" w:type="dxa"/>
          </w:tcPr>
          <w:p w14:paraId="4EE35B5A" w14:textId="611C5FEA" w:rsidR="00331EF3" w:rsidRPr="003439AC" w:rsidRDefault="00331EF3" w:rsidP="00331EF3">
            <w:pPr>
              <w:jc w:val="both"/>
              <w:rPr>
                <w:b/>
                <w:bCs/>
                <w:color w:val="222222"/>
                <w:szCs w:val="24"/>
                <w:lang w:val="en-US"/>
              </w:rPr>
            </w:pPr>
            <w:r w:rsidRPr="00412D8A">
              <w:rPr>
                <w:color w:val="222222"/>
                <w:szCs w:val="24"/>
                <w:lang w:val="en-US"/>
              </w:rPr>
              <w:t xml:space="preserve">Prioritetinis projektų atrankos kriterijus. </w:t>
            </w:r>
            <w:r w:rsidRPr="003439AC">
              <w:rPr>
                <w:b/>
                <w:bCs/>
                <w:color w:val="222222"/>
                <w:szCs w:val="24"/>
                <w:lang w:val="en-US"/>
              </w:rPr>
              <w:t>Ne mažiau negu 3 projekte dalyvaujantys klasterio nariai (</w:t>
            </w:r>
            <w:r w:rsidR="00F54400" w:rsidRPr="003439AC">
              <w:rPr>
                <w:b/>
                <w:bCs/>
                <w:color w:val="222222"/>
                <w:szCs w:val="24"/>
                <w:lang w:val="en-US"/>
              </w:rPr>
              <w:t xml:space="preserve">labai mažos, mažos ir vidutinės įmonės (toliau – </w:t>
            </w:r>
            <w:r w:rsidRPr="003439AC">
              <w:rPr>
                <w:b/>
                <w:bCs/>
                <w:color w:val="222222"/>
                <w:szCs w:val="24"/>
                <w:lang w:val="en-US"/>
              </w:rPr>
              <w:t>MVĮ)</w:t>
            </w:r>
            <w:r w:rsidR="00F54400" w:rsidRPr="003439AC">
              <w:rPr>
                <w:b/>
                <w:bCs/>
                <w:color w:val="222222"/>
                <w:szCs w:val="24"/>
                <w:lang w:val="en-US"/>
              </w:rPr>
              <w:t>)</w:t>
            </w:r>
            <w:r w:rsidRPr="003439AC">
              <w:rPr>
                <w:b/>
                <w:bCs/>
                <w:color w:val="222222"/>
                <w:szCs w:val="24"/>
                <w:lang w:val="en-US"/>
              </w:rPr>
              <w:t xml:space="preserve"> vykdo pagrindinę ekonominę veiklą aukštųjų (high-tech), aukštesniųjų (medium tech) technologijų arba aukštųjų technologijų žinioms imlių paslaugų (high-tech knowledge-intensive services (KIS)) sektoriuose.</w:t>
            </w:r>
          </w:p>
          <w:p w14:paraId="6CAAEE11" w14:textId="77777777" w:rsidR="00D36D9D" w:rsidRPr="00412D8A" w:rsidRDefault="00D36D9D" w:rsidP="00331EF3">
            <w:pPr>
              <w:pStyle w:val="darbotekstas"/>
              <w:tabs>
                <w:tab w:val="left" w:pos="785"/>
              </w:tabs>
              <w:ind w:left="0" w:firstLine="0"/>
            </w:pPr>
          </w:p>
          <w:p w14:paraId="747C04EC" w14:textId="0F558C3A" w:rsidR="00331EF3" w:rsidRPr="00412D8A" w:rsidRDefault="00412D8A" w:rsidP="00412D8A">
            <w:pPr>
              <w:jc w:val="both"/>
              <w:rPr>
                <w:color w:val="222222"/>
                <w:szCs w:val="24"/>
                <w:lang w:val="en-US"/>
              </w:rPr>
            </w:pPr>
            <w:r>
              <w:rPr>
                <w:color w:val="222222"/>
                <w:szCs w:val="24"/>
                <w:lang w:val="en-US"/>
              </w:rPr>
              <w:t>Šis</w:t>
            </w:r>
            <w:r w:rsidR="00331EF3" w:rsidRPr="00412D8A">
              <w:rPr>
                <w:color w:val="222222"/>
                <w:szCs w:val="24"/>
                <w:lang w:val="en-US"/>
              </w:rPr>
              <w:t xml:space="preserve"> kriterijus labai susiaurina klasterių, kurie gali dalyvauti paraiškoje, ratą. Yra daug klasterių, kurie yra sėkmingai įgyvendinę </w:t>
            </w:r>
            <w:r w:rsidR="00331EF3" w:rsidRPr="00412D8A">
              <w:rPr>
                <w:color w:val="222222"/>
                <w:szCs w:val="24"/>
                <w:lang w:val="en-US"/>
              </w:rPr>
              <w:lastRenderedPageBreak/>
              <w:t>projektus ir turi patirties, tačiau jie neatitinka šio kriterijus ir negalės toliau vykdyti savo į eksportą orientuotų veiklų.</w:t>
            </w:r>
          </w:p>
          <w:p w14:paraId="307945A7" w14:textId="2108E0F5" w:rsidR="00331EF3" w:rsidRPr="004F7609" w:rsidRDefault="00331EF3" w:rsidP="00331EF3">
            <w:pPr>
              <w:pStyle w:val="darbotekstas"/>
              <w:tabs>
                <w:tab w:val="left" w:pos="785"/>
              </w:tabs>
              <w:ind w:left="0" w:firstLine="0"/>
            </w:pPr>
          </w:p>
        </w:tc>
        <w:tc>
          <w:tcPr>
            <w:tcW w:w="5812" w:type="dxa"/>
          </w:tcPr>
          <w:p w14:paraId="4FF15F80" w14:textId="696DA013" w:rsidR="00BE74D3" w:rsidRPr="00EB7949" w:rsidRDefault="00412D8A" w:rsidP="00BE74D3">
            <w:pPr>
              <w:tabs>
                <w:tab w:val="left" w:pos="709"/>
                <w:tab w:val="left" w:pos="851"/>
                <w:tab w:val="left" w:pos="1134"/>
              </w:tabs>
              <w:ind w:right="-1"/>
              <w:jc w:val="both"/>
              <w:rPr>
                <w:b/>
                <w:bCs/>
                <w:szCs w:val="24"/>
              </w:rPr>
            </w:pPr>
            <w:r>
              <w:rPr>
                <w:b/>
                <w:bCs/>
                <w:szCs w:val="24"/>
              </w:rPr>
              <w:lastRenderedPageBreak/>
              <w:t>Atsižvelgta dalinai, paaiškinta.</w:t>
            </w:r>
          </w:p>
          <w:p w14:paraId="78362A45" w14:textId="0629832A" w:rsidR="002C57F4" w:rsidRDefault="00F54400" w:rsidP="005E58DF">
            <w:pPr>
              <w:pStyle w:val="xmsonormal"/>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S</w:t>
            </w:r>
            <w:r w:rsidRPr="00F54400">
              <w:rPr>
                <w:rFonts w:ascii="Times New Roman" w:eastAsia="Times New Roman" w:hAnsi="Times New Roman" w:cs="Times New Roman"/>
                <w:color w:val="222222"/>
                <w:sz w:val="24"/>
                <w:szCs w:val="24"/>
                <w:lang w:val="en-US"/>
              </w:rPr>
              <w:t>umažintas klasterio narių (MVĮ)</w:t>
            </w:r>
            <w:r>
              <w:rPr>
                <w:rFonts w:ascii="Times New Roman" w:eastAsia="Times New Roman" w:hAnsi="Times New Roman" w:cs="Times New Roman"/>
                <w:color w:val="222222"/>
                <w:sz w:val="24"/>
                <w:szCs w:val="24"/>
                <w:lang w:val="en-US"/>
              </w:rPr>
              <w:t xml:space="preserve">, kuriems bus taikomas šis reikalavimas, skaičius iš 3 į 2 klasterio narius. </w:t>
            </w:r>
          </w:p>
          <w:p w14:paraId="0199A925" w14:textId="140881E0" w:rsidR="008D50E7" w:rsidRDefault="008D50E7" w:rsidP="005E58DF">
            <w:pPr>
              <w:pStyle w:val="xmsonormal"/>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Pažymėtina, kad tai yra ne specialusis, o prioritetinis projektų atrankos kriterijus, už kurį projektams suteikiami papildomi balai, tačiau jis neapriboja galimybės </w:t>
            </w:r>
            <w:r w:rsidR="00044DAE">
              <w:rPr>
                <w:rFonts w:ascii="Times New Roman" w:eastAsia="Times New Roman" w:hAnsi="Times New Roman" w:cs="Times New Roman"/>
                <w:color w:val="222222"/>
                <w:sz w:val="24"/>
                <w:szCs w:val="24"/>
                <w:lang w:val="en-US"/>
              </w:rPr>
              <w:t xml:space="preserve">dalyvauti konkurse Europos Sąjungos fondų investicijoms gauti pagal šią veiklą. </w:t>
            </w:r>
          </w:p>
          <w:p w14:paraId="1E9BD099" w14:textId="1F91E087" w:rsidR="008D50E7" w:rsidRPr="00044DAE" w:rsidRDefault="00F54400" w:rsidP="008D50E7">
            <w:pPr>
              <w:pStyle w:val="pf0"/>
              <w:spacing w:before="0" w:beforeAutospacing="0" w:after="0" w:afterAutospacing="0"/>
              <w:jc w:val="both"/>
              <w:rPr>
                <w:color w:val="222222"/>
                <w:lang w:val="en-US"/>
              </w:rPr>
            </w:pPr>
            <w:r>
              <w:rPr>
                <w:color w:val="222222"/>
                <w:lang w:val="en-US"/>
              </w:rPr>
              <w:t xml:space="preserve">Informuojame, kad </w:t>
            </w:r>
            <w:r w:rsidR="008D50E7">
              <w:rPr>
                <w:color w:val="222222"/>
                <w:lang w:val="en-US"/>
              </w:rPr>
              <w:t>šis prioritetinis nustatytas</w:t>
            </w:r>
            <w:r w:rsidR="00044DAE">
              <w:rPr>
                <w:color w:val="222222"/>
                <w:lang w:val="en-US"/>
              </w:rPr>
              <w:t>, nes p</w:t>
            </w:r>
            <w:r w:rsidR="008D50E7" w:rsidRPr="00044DAE">
              <w:rPr>
                <w:color w:val="222222"/>
                <w:lang w:val="en-US"/>
              </w:rPr>
              <w:t xml:space="preserve">ažangos priemonėje Nr. 05-001-01-11-04 „Įgyvendinti </w:t>
            </w:r>
            <w:r w:rsidR="008D50E7" w:rsidRPr="00044DAE">
              <w:rPr>
                <w:color w:val="222222"/>
                <w:lang w:val="en-US"/>
              </w:rPr>
              <w:lastRenderedPageBreak/>
              <w:t>eksporto konkurencingumo augimą skatinančias priemones“ yra numatytas prioritetas aukštųjų technologijų ir aukštesniųjų technologijų sektoriams.</w:t>
            </w:r>
          </w:p>
          <w:p w14:paraId="5A9E5339" w14:textId="77777777" w:rsidR="008D50E7" w:rsidRPr="00044DAE" w:rsidRDefault="008D50E7" w:rsidP="008D50E7">
            <w:pPr>
              <w:pStyle w:val="pf0"/>
              <w:spacing w:before="0" w:beforeAutospacing="0" w:after="0" w:afterAutospacing="0"/>
              <w:jc w:val="both"/>
              <w:rPr>
                <w:color w:val="222222"/>
                <w:lang w:val="en-US"/>
              </w:rPr>
            </w:pPr>
            <w:r w:rsidRPr="00044DAE">
              <w:rPr>
                <w:color w:val="222222"/>
                <w:lang w:val="en-US"/>
              </w:rPr>
              <w:t>Numatytas poveikio kriterijus: padidinti aukštųjų (high-tech) ir aukštesniųjų (medium tech) technologijų produktų ir daug žinių reikalaujančių paslaugų dalį lietuviškos kilmės eksporte (be naftos produktų), nuo 29,9% (2021 m.) iki 42% (2025 m.) ir 52% (2030 m.).</w:t>
            </w:r>
          </w:p>
          <w:p w14:paraId="3771E9A4" w14:textId="3A5F54F7" w:rsidR="00F54400" w:rsidRPr="002C57F4" w:rsidRDefault="008D50E7" w:rsidP="00044DAE">
            <w:pPr>
              <w:pStyle w:val="pf0"/>
              <w:spacing w:before="0" w:beforeAutospacing="0" w:after="0" w:afterAutospacing="0"/>
              <w:jc w:val="both"/>
              <w:rPr>
                <w:b/>
              </w:rPr>
            </w:pPr>
            <w:r w:rsidRPr="00044DAE">
              <w:rPr>
                <w:color w:val="222222"/>
                <w:lang w:val="en-US"/>
              </w:rPr>
              <w:t>Atsižvelgiant į tai, nustatytas prioritetas aukštųjų (high-tech) ir aukštesniųjų (medium tech) technologijų produktų ir daug žinių reikalaujančių paslaugų įmones vienijantiems klasteriams.</w:t>
            </w:r>
          </w:p>
        </w:tc>
      </w:tr>
      <w:tr w:rsidR="001F1306" w:rsidRPr="00C85D29" w14:paraId="4D9C6979" w14:textId="77777777" w:rsidTr="00952815">
        <w:tc>
          <w:tcPr>
            <w:tcW w:w="567" w:type="dxa"/>
          </w:tcPr>
          <w:p w14:paraId="310FF40C" w14:textId="4F32E195" w:rsidR="001F1306" w:rsidRPr="00C85D29" w:rsidRDefault="001F1306" w:rsidP="00335D39">
            <w:pPr>
              <w:jc w:val="center"/>
              <w:rPr>
                <w:bCs/>
                <w:szCs w:val="24"/>
              </w:rPr>
            </w:pPr>
            <w:r>
              <w:rPr>
                <w:bCs/>
                <w:szCs w:val="24"/>
              </w:rPr>
              <w:lastRenderedPageBreak/>
              <w:t>2.</w:t>
            </w:r>
          </w:p>
        </w:tc>
        <w:tc>
          <w:tcPr>
            <w:tcW w:w="1730" w:type="dxa"/>
          </w:tcPr>
          <w:p w14:paraId="4C123F69" w14:textId="17CC74E6" w:rsidR="001F1306" w:rsidRPr="00EA7DB7" w:rsidRDefault="001F1306" w:rsidP="00CA3ADD">
            <w:pPr>
              <w:rPr>
                <w:b/>
                <w:bCs/>
                <w:szCs w:val="24"/>
              </w:rPr>
            </w:pPr>
            <w:r>
              <w:rPr>
                <w:b/>
                <w:bCs/>
                <w:szCs w:val="24"/>
              </w:rPr>
              <w:t>Santaka klasteris</w:t>
            </w:r>
          </w:p>
        </w:tc>
        <w:tc>
          <w:tcPr>
            <w:tcW w:w="6662" w:type="dxa"/>
          </w:tcPr>
          <w:p w14:paraId="35CEE708" w14:textId="234C4BB8" w:rsidR="001F1306" w:rsidRDefault="001F1306" w:rsidP="00AD7DC3">
            <w:pPr>
              <w:jc w:val="both"/>
              <w:rPr>
                <w:lang w:val="en-GB"/>
              </w:rPr>
            </w:pPr>
            <w:r>
              <w:rPr>
                <w:lang w:val="en-GB"/>
              </w:rPr>
              <w:t>Siūlome vertinamo kriterijų Nr. 4 “</w:t>
            </w:r>
            <w:r w:rsidRPr="00B31323">
              <w:rPr>
                <w:b/>
                <w:bCs/>
                <w:lang w:val="en-GB"/>
              </w:rPr>
              <w:t>Projekto efektyvumas</w:t>
            </w:r>
            <w:r>
              <w:rPr>
                <w:lang w:val="en-GB"/>
              </w:rPr>
              <w:t xml:space="preserve">” papildyti raudonai </w:t>
            </w:r>
            <w:r>
              <w:t>pažymėta formuluote:</w:t>
            </w:r>
            <w:r>
              <w:rPr>
                <w:lang w:eastAsia="en-GB"/>
              </w:rPr>
              <w:br/>
            </w:r>
            <w:r>
              <w:rPr>
                <w:lang w:val="en-GB"/>
              </w:rPr>
              <w:t>Vertinant projektus, projekto efektyvumas skaičiuojamas kaip santykis tarp klasterio tarptautinių narysčių, į kurias bus įsitraukta projekto įgyvendinimo metu </w:t>
            </w:r>
            <w:r>
              <w:rPr>
                <w:b/>
                <w:bCs/>
                <w:color w:val="FF0000"/>
                <w:lang w:val="en-GB"/>
              </w:rPr>
              <w:t>arba naujų užsienio narių įstojusių į klasterį (pareiškėjo) skaičiaus</w:t>
            </w:r>
            <w:r>
              <w:rPr>
                <w:lang w:val="en-GB"/>
              </w:rPr>
              <w:t>, bei prašomos finansavimo sumos (tūkst. Eur). Projektai surikiuojami nuo efektyviausio (didžiausias santykis tarp klasterio tarptautinių narysčių skaičiaus ir prašomos finansavimo sumos) iki mažiausiai efektyvaus (mažiausias santykis tarp klasterio tarptautinių narysčių skaičiaus ir prašomos finansavimo sumos).</w:t>
            </w:r>
          </w:p>
          <w:p w14:paraId="5D81DD5E" w14:textId="77777777" w:rsidR="001F1306" w:rsidRDefault="001F1306" w:rsidP="00AD7DC3">
            <w:pPr>
              <w:jc w:val="both"/>
              <w:rPr>
                <w:lang w:val="en-GB"/>
              </w:rPr>
            </w:pPr>
            <w:r>
              <w:rPr>
                <w:lang w:val="en-GB"/>
              </w:rPr>
              <w:t>Vertinant atitiktį kriterijui skaičiuojamos tik tos tarptautinės narystės, į kurias klasteris įsitraukia naujai (įstoja) įgyvendinant projektą, o narystės tinkle atnaujinimas nelaikomas įsitraukimu į tinklą projekto įgyvendinimo metu.</w:t>
            </w:r>
          </w:p>
          <w:p w14:paraId="5A165994" w14:textId="77777777" w:rsidR="001F1306" w:rsidRDefault="001F1306" w:rsidP="00AD7DC3">
            <w:pPr>
              <w:rPr>
                <w:lang w:val="en-GB"/>
              </w:rPr>
            </w:pPr>
            <w:r>
              <w:rPr>
                <w:lang w:val="en-GB"/>
              </w:rPr>
              <w:t>Projekto efektyvumas skaičiuojamas pagal formulę: Y = X1/ X2, čia</w:t>
            </w:r>
          </w:p>
          <w:p w14:paraId="26777B54" w14:textId="77777777" w:rsidR="001F1306" w:rsidRDefault="001F1306" w:rsidP="00AD7DC3">
            <w:pPr>
              <w:rPr>
                <w:lang w:val="en-GB"/>
              </w:rPr>
            </w:pPr>
            <w:r>
              <w:rPr>
                <w:lang w:val="en-GB"/>
              </w:rPr>
              <w:t>X1 – klasterio tarptautinių narysčių skaičius</w:t>
            </w:r>
          </w:p>
          <w:p w14:paraId="50C302F5" w14:textId="77777777" w:rsidR="001F1306" w:rsidRDefault="001F1306" w:rsidP="00AD7DC3">
            <w:pPr>
              <w:rPr>
                <w:lang w:val="en-GB"/>
              </w:rPr>
            </w:pPr>
            <w:r>
              <w:rPr>
                <w:lang w:val="en-GB"/>
              </w:rPr>
              <w:t>X2 – pareiškėjo prašoma finansavimo suma, tūkst. Eur;</w:t>
            </w:r>
          </w:p>
          <w:p w14:paraId="645548BE" w14:textId="77777777" w:rsidR="001F1306" w:rsidRDefault="001F1306" w:rsidP="00AD7DC3">
            <w:pPr>
              <w:rPr>
                <w:lang w:val="en-GB"/>
              </w:rPr>
            </w:pPr>
            <w:r>
              <w:rPr>
                <w:lang w:val="en-GB"/>
              </w:rPr>
              <w:t>Y – santykis tarp klasterio tarptautinių narysčių skaičiaus ir prašomos finansavimo sumos tūkst. Eur.</w:t>
            </w:r>
          </w:p>
          <w:p w14:paraId="36D495C3" w14:textId="77777777" w:rsidR="001F1306" w:rsidRDefault="001F1306" w:rsidP="00AD7DC3">
            <w:pPr>
              <w:jc w:val="both"/>
              <w:rPr>
                <w:lang w:val="en-GB"/>
              </w:rPr>
            </w:pPr>
            <w:r>
              <w:rPr>
                <w:lang w:val="en-GB"/>
              </w:rPr>
              <w:lastRenderedPageBreak/>
              <w:t>Daugiau balų skiriama projektams, kurių nurodytas santykis Y yra didesnis.</w:t>
            </w:r>
          </w:p>
          <w:p w14:paraId="14823388" w14:textId="77777777" w:rsidR="001F1306" w:rsidRDefault="001F1306" w:rsidP="00AD7DC3">
            <w:pPr>
              <w:rPr>
                <w:lang w:val="en-GB"/>
              </w:rPr>
            </w:pPr>
            <w:r>
              <w:rPr>
                <w:lang w:val="en-GB"/>
              </w:rPr>
              <w:t>Tikrinama pagal PĮP pateiktą informaciją. </w:t>
            </w:r>
          </w:p>
          <w:p w14:paraId="73176AD2" w14:textId="473DA0AF" w:rsidR="001F1306" w:rsidRPr="00412D8A" w:rsidRDefault="001F1306" w:rsidP="00646217">
            <w:pPr>
              <w:jc w:val="both"/>
              <w:rPr>
                <w:color w:val="222222"/>
                <w:szCs w:val="24"/>
                <w:lang w:val="en-US"/>
              </w:rPr>
            </w:pPr>
            <w:r>
              <w:rPr>
                <w:lang w:val="en-GB"/>
              </w:rPr>
              <w:t> Šiam kriterijui bus nustatytas didžiausias kriterijaus vertinimo balas.</w:t>
            </w:r>
          </w:p>
        </w:tc>
        <w:tc>
          <w:tcPr>
            <w:tcW w:w="5812" w:type="dxa"/>
          </w:tcPr>
          <w:p w14:paraId="5DFBE304" w14:textId="77777777" w:rsidR="001F1306" w:rsidRDefault="007C0EC8" w:rsidP="00BE74D3">
            <w:pPr>
              <w:tabs>
                <w:tab w:val="left" w:pos="709"/>
                <w:tab w:val="left" w:pos="851"/>
                <w:tab w:val="left" w:pos="1134"/>
              </w:tabs>
              <w:ind w:right="-1"/>
              <w:jc w:val="both"/>
              <w:rPr>
                <w:b/>
                <w:bCs/>
                <w:szCs w:val="24"/>
              </w:rPr>
            </w:pPr>
            <w:r>
              <w:rPr>
                <w:b/>
                <w:bCs/>
                <w:szCs w:val="24"/>
              </w:rPr>
              <w:lastRenderedPageBreak/>
              <w:t>Neatsižvelgta.</w:t>
            </w:r>
          </w:p>
          <w:p w14:paraId="34C2FB66" w14:textId="1BAA97A5" w:rsidR="007C0EC8" w:rsidRPr="00B244F5" w:rsidRDefault="007C0EC8" w:rsidP="007C0EC8">
            <w:pPr>
              <w:pStyle w:val="prastasiniatinklio"/>
              <w:shd w:val="clear" w:color="auto" w:fill="FFFFFF"/>
              <w:spacing w:before="0" w:beforeAutospacing="0" w:after="0" w:afterAutospacing="0"/>
              <w:jc w:val="both"/>
              <w:rPr>
                <w:iCs/>
              </w:rPr>
            </w:pPr>
            <w:r>
              <w:rPr>
                <w:iCs/>
              </w:rPr>
              <w:t xml:space="preserve">Pažymėtina, kad nustatytas toks prioritetinis kriterijus, atsižvelgiant į </w:t>
            </w:r>
            <w:r w:rsidR="00F64A31">
              <w:rPr>
                <w:iCs/>
              </w:rPr>
              <w:t>remiama</w:t>
            </w:r>
            <w:r>
              <w:rPr>
                <w:iCs/>
              </w:rPr>
              <w:t xml:space="preserve"> veikla siekiamą tikslą – </w:t>
            </w:r>
            <w:r>
              <w:t xml:space="preserve">paskatinti eksportuojančių MVĮ įsitraukimą į tarptautines tinklų grandines ir pozicijų jose stiprinimą, </w:t>
            </w:r>
            <w:r w:rsidRPr="00AA1CE6">
              <w:t>padidinti tarptautinių narysčių skaičių</w:t>
            </w:r>
            <w:r w:rsidR="00F64A31">
              <w:t>, o ne naujų užsienio narių pritraukimą į klasterį</w:t>
            </w:r>
            <w:r w:rsidRPr="00AA1CE6">
              <w:t>.</w:t>
            </w:r>
            <w:r>
              <w:t xml:space="preserve"> Taip pat n</w:t>
            </w:r>
            <w:r w:rsidRPr="003E55E1">
              <w:t>ustatytas kriterijus padės išrinkti geriausiai ir efektyviausiai prisidėsiančius prie specifinio rezultato rodiklio „Klasterio narystė tarptautiniuose tinkluose“ pasiekimo projektus.</w:t>
            </w:r>
          </w:p>
          <w:p w14:paraId="1031C557" w14:textId="77777777" w:rsidR="007C0EC8" w:rsidRDefault="007C0EC8" w:rsidP="00BE74D3">
            <w:pPr>
              <w:tabs>
                <w:tab w:val="left" w:pos="709"/>
                <w:tab w:val="left" w:pos="851"/>
                <w:tab w:val="left" w:pos="1134"/>
              </w:tabs>
              <w:ind w:right="-1"/>
              <w:jc w:val="both"/>
              <w:rPr>
                <w:b/>
                <w:bCs/>
                <w:szCs w:val="24"/>
              </w:rPr>
            </w:pPr>
          </w:p>
          <w:p w14:paraId="6469E5A9" w14:textId="2341038C" w:rsidR="007C0EC8" w:rsidRDefault="007C0EC8" w:rsidP="00BE74D3">
            <w:pPr>
              <w:tabs>
                <w:tab w:val="left" w:pos="709"/>
                <w:tab w:val="left" w:pos="851"/>
                <w:tab w:val="left" w:pos="1134"/>
              </w:tabs>
              <w:ind w:right="-1"/>
              <w:jc w:val="both"/>
              <w:rPr>
                <w:b/>
                <w:bCs/>
                <w:szCs w:val="24"/>
              </w:rPr>
            </w:pPr>
          </w:p>
        </w:tc>
      </w:tr>
      <w:tr w:rsidR="005A2BFD" w:rsidRPr="00C85D29" w14:paraId="1A36A16D" w14:textId="77777777" w:rsidTr="00952815">
        <w:tc>
          <w:tcPr>
            <w:tcW w:w="567" w:type="dxa"/>
          </w:tcPr>
          <w:p w14:paraId="5D5EB02E" w14:textId="2A0E0873" w:rsidR="005A2BFD" w:rsidRPr="00C85D29" w:rsidRDefault="005A2BFD" w:rsidP="00335D39">
            <w:pPr>
              <w:jc w:val="center"/>
              <w:rPr>
                <w:bCs/>
                <w:szCs w:val="24"/>
              </w:rPr>
            </w:pPr>
            <w:r>
              <w:rPr>
                <w:bCs/>
                <w:szCs w:val="24"/>
              </w:rPr>
              <w:t>3.</w:t>
            </w:r>
          </w:p>
        </w:tc>
        <w:tc>
          <w:tcPr>
            <w:tcW w:w="1730" w:type="dxa"/>
            <w:vMerge w:val="restart"/>
          </w:tcPr>
          <w:p w14:paraId="1499B06D" w14:textId="4AB740D1" w:rsidR="005A2BFD" w:rsidRPr="00EA7DB7" w:rsidRDefault="005A2BFD" w:rsidP="00CA3ADD">
            <w:pPr>
              <w:rPr>
                <w:b/>
                <w:bCs/>
                <w:szCs w:val="24"/>
              </w:rPr>
            </w:pPr>
            <w:r>
              <w:rPr>
                <w:b/>
                <w:bCs/>
                <w:szCs w:val="24"/>
              </w:rPr>
              <w:t>LINPRA</w:t>
            </w:r>
          </w:p>
        </w:tc>
        <w:tc>
          <w:tcPr>
            <w:tcW w:w="6662" w:type="dxa"/>
          </w:tcPr>
          <w:p w14:paraId="758A68E5" w14:textId="5BD50B51" w:rsidR="005A2BFD" w:rsidRDefault="005A2BFD" w:rsidP="00331EF3">
            <w:pPr>
              <w:jc w:val="both"/>
              <w:rPr>
                <w:b/>
                <w:bCs/>
                <w:i/>
                <w:iCs/>
                <w:szCs w:val="24"/>
              </w:rPr>
            </w:pPr>
            <w:r w:rsidRPr="00412D8A">
              <w:rPr>
                <w:color w:val="222222"/>
                <w:szCs w:val="24"/>
                <w:lang w:val="en-US"/>
              </w:rPr>
              <w:t>Prioritetinis projektų atrankos kriterijus</w:t>
            </w:r>
            <w:r>
              <w:rPr>
                <w:b/>
                <w:bCs/>
                <w:i/>
                <w:iCs/>
                <w:szCs w:val="24"/>
              </w:rPr>
              <w:t xml:space="preserve"> 4. Projekto efektyvumas.</w:t>
            </w:r>
          </w:p>
          <w:p w14:paraId="171FFF0A" w14:textId="77777777" w:rsidR="005A2BFD" w:rsidRDefault="005A2BFD" w:rsidP="00331EF3">
            <w:pPr>
              <w:jc w:val="both"/>
              <w:rPr>
                <w:b/>
                <w:bCs/>
                <w:i/>
                <w:iCs/>
                <w:szCs w:val="24"/>
              </w:rPr>
            </w:pPr>
          </w:p>
          <w:p w14:paraId="60DFA40C" w14:textId="354563B0" w:rsidR="005A2BFD" w:rsidRPr="005465CF" w:rsidRDefault="005A2BFD" w:rsidP="007E0E6E">
            <w:pPr>
              <w:pStyle w:val="pf0"/>
              <w:spacing w:before="0" w:beforeAutospacing="0" w:after="0" w:afterAutospacing="0"/>
              <w:jc w:val="both"/>
              <w:rPr>
                <w:b/>
                <w:iCs/>
                <w:u w:val="single"/>
              </w:rPr>
            </w:pPr>
            <w:r w:rsidRPr="005465CF">
              <w:rPr>
                <w:b/>
                <w:iCs/>
                <w:u w:val="single"/>
              </w:rPr>
              <w:t>Pasiūlyma</w:t>
            </w:r>
            <w:r>
              <w:rPr>
                <w:b/>
                <w:iCs/>
                <w:u w:val="single"/>
              </w:rPr>
              <w:t>i:</w:t>
            </w:r>
          </w:p>
          <w:p w14:paraId="52E123B5" w14:textId="36C5491F" w:rsidR="005A2BFD" w:rsidRDefault="005A2BFD" w:rsidP="00FB1942">
            <w:pPr>
              <w:pStyle w:val="pf0"/>
              <w:numPr>
                <w:ilvl w:val="0"/>
                <w:numId w:val="20"/>
              </w:numPr>
              <w:tabs>
                <w:tab w:val="left" w:pos="360"/>
              </w:tabs>
              <w:spacing w:before="0" w:beforeAutospacing="0" w:after="0" w:afterAutospacing="0"/>
              <w:ind w:left="32" w:firstLine="0"/>
              <w:jc w:val="both"/>
            </w:pPr>
            <w:r w:rsidRPr="0017648B">
              <w:t>Iš patirties galime pasakyti, kad pačios narystės kažkurioje organizacijoje faktas neskatina eksporto apimčių augimo. Naujoje priemon</w:t>
            </w:r>
            <w:r>
              <w:t>ėje</w:t>
            </w:r>
            <w:r w:rsidRPr="0017648B">
              <w:t xml:space="preserve"> pagrindinis kriterijus yra “</w:t>
            </w:r>
            <w:r w:rsidRPr="0017648B">
              <w:rPr>
                <w:i/>
                <w:iCs/>
              </w:rPr>
              <w:t>tarptautinės narystės, į kurias klasteris įsitraukia naujai (įstoja) įgyvendinant projektą, o narystės tinkle atnaujinimas</w:t>
            </w:r>
            <w:r>
              <w:rPr>
                <w:i/>
                <w:iCs/>
              </w:rPr>
              <w:t xml:space="preserve"> </w:t>
            </w:r>
            <w:r w:rsidRPr="0017648B">
              <w:rPr>
                <w:i/>
                <w:iCs/>
              </w:rPr>
              <w:t xml:space="preserve">nelaikomas įsitraukimu į tinklą projekto įgyvendinimo metu“ – </w:t>
            </w:r>
            <w:r w:rsidRPr="0017648B">
              <w:t xml:space="preserve">šis kriterijus skatins dirbtinį narysčių skaičiaus augimą, tačiau neturės didelės įtakos minėtam eksporto augimui ir balai bus suteikiami už pažadus, kiekybinius rodiklius, o ne kokybinius. </w:t>
            </w:r>
          </w:p>
          <w:p w14:paraId="56204675" w14:textId="77777777" w:rsidR="005A2BFD" w:rsidRDefault="005A2BFD" w:rsidP="00737596">
            <w:pPr>
              <w:pStyle w:val="pf0"/>
              <w:spacing w:before="0" w:beforeAutospacing="0" w:after="0" w:afterAutospacing="0"/>
              <w:jc w:val="both"/>
              <w:rPr>
                <w:b/>
                <w:bCs/>
              </w:rPr>
            </w:pPr>
            <w:r w:rsidRPr="0017648B">
              <w:rPr>
                <w:b/>
                <w:bCs/>
              </w:rPr>
              <w:t xml:space="preserve">Praktika rodo, kad įmonės į vertės kūrimo grandines įsitraukia per B2B santykį, bet ne per narystę organizacijoje. Narystės organizacijose padeda didinti sklaidą, ryšius, bet ne eksportą ir pardavimus. </w:t>
            </w:r>
          </w:p>
          <w:p w14:paraId="11484685" w14:textId="3394FB61" w:rsidR="005A2BFD" w:rsidRDefault="005A2BFD" w:rsidP="00737596">
            <w:pPr>
              <w:pStyle w:val="pf0"/>
              <w:spacing w:before="0" w:beforeAutospacing="0" w:after="0" w:afterAutospacing="0"/>
              <w:jc w:val="both"/>
              <w:rPr>
                <w:b/>
                <w:bCs/>
              </w:rPr>
            </w:pPr>
            <w:r w:rsidRPr="00737596">
              <w:rPr>
                <w:b/>
                <w:bCs/>
              </w:rPr>
              <w:t>Siūlome atsisakyti šio kriterijaus, nes jis nekuria pridėtinės vertės arba balų skaičių už šį kriterijų skirti mini</w:t>
            </w:r>
            <w:r>
              <w:rPr>
                <w:b/>
                <w:bCs/>
              </w:rPr>
              <w:t>malų.</w:t>
            </w:r>
          </w:p>
          <w:p w14:paraId="757C87E3" w14:textId="77777777" w:rsidR="005A2BFD" w:rsidRDefault="005A2BFD" w:rsidP="00737596">
            <w:pPr>
              <w:pStyle w:val="pf0"/>
              <w:spacing w:before="0" w:beforeAutospacing="0" w:after="0" w:afterAutospacing="0"/>
              <w:jc w:val="both"/>
              <w:rPr>
                <w:b/>
                <w:bCs/>
              </w:rPr>
            </w:pPr>
          </w:p>
          <w:p w14:paraId="242350A5" w14:textId="0ED51A3D" w:rsidR="005A2BFD" w:rsidRPr="00936F7C" w:rsidRDefault="005A2BFD" w:rsidP="00FB1942">
            <w:pPr>
              <w:pStyle w:val="pf0"/>
              <w:numPr>
                <w:ilvl w:val="0"/>
                <w:numId w:val="20"/>
              </w:numPr>
              <w:tabs>
                <w:tab w:val="left" w:pos="590"/>
              </w:tabs>
              <w:spacing w:before="0" w:beforeAutospacing="0" w:after="0" w:afterAutospacing="0"/>
              <w:ind w:left="32" w:firstLine="0"/>
              <w:jc w:val="both"/>
              <w:rPr>
                <w:b/>
                <w:bCs/>
              </w:rPr>
            </w:pPr>
            <w:r w:rsidRPr="001F272C">
              <w:t>Kadangi pagrindinis kriterijus yra naujų, dar neįvykusių narysčių skaičius, kas bus su tais pareiškėjais, kurie įsipareigos pasiekti pernelyg didelį narysčių skaičių, bet nesugebės įgyvendinti šio rodiklio arba neįgyvendins kitų rodiklių?</w:t>
            </w:r>
          </w:p>
          <w:p w14:paraId="205C4943" w14:textId="77777777" w:rsidR="005A2BFD" w:rsidRPr="00936F7C" w:rsidRDefault="005A2BFD" w:rsidP="00936F7C">
            <w:pPr>
              <w:pStyle w:val="pf0"/>
              <w:tabs>
                <w:tab w:val="left" w:pos="590"/>
              </w:tabs>
              <w:spacing w:before="0" w:beforeAutospacing="0" w:after="0" w:afterAutospacing="0"/>
              <w:ind w:left="32"/>
              <w:jc w:val="both"/>
              <w:rPr>
                <w:b/>
                <w:bCs/>
              </w:rPr>
            </w:pPr>
          </w:p>
          <w:p w14:paraId="671205A9" w14:textId="4F0BB2BF" w:rsidR="005A2BFD" w:rsidRPr="001F272C" w:rsidRDefault="005A2BFD" w:rsidP="00FB1942">
            <w:pPr>
              <w:pStyle w:val="pf0"/>
              <w:numPr>
                <w:ilvl w:val="0"/>
                <w:numId w:val="20"/>
              </w:numPr>
              <w:tabs>
                <w:tab w:val="left" w:pos="590"/>
              </w:tabs>
              <w:spacing w:before="0" w:beforeAutospacing="0" w:after="0" w:afterAutospacing="0"/>
              <w:ind w:left="32" w:firstLine="0"/>
              <w:jc w:val="both"/>
              <w:rPr>
                <w:b/>
                <w:bCs/>
              </w:rPr>
            </w:pPr>
            <w:r w:rsidRPr="001F272C">
              <w:t>Sutinkame, kad vienas iš planuojamos priemonės rodiklių tikrai gali būti įsitraukimas į užsienio organizacijas, tačiau jeigu fokusas yra į eksporto skatinimą, toks rodiklis neturėtų būti pagrindinis.</w:t>
            </w:r>
          </w:p>
        </w:tc>
        <w:tc>
          <w:tcPr>
            <w:tcW w:w="5812" w:type="dxa"/>
          </w:tcPr>
          <w:p w14:paraId="6AF0BE40" w14:textId="77777777" w:rsidR="005A2BFD" w:rsidRDefault="005A2BFD" w:rsidP="000116AB">
            <w:pPr>
              <w:tabs>
                <w:tab w:val="left" w:pos="709"/>
                <w:tab w:val="left" w:pos="851"/>
                <w:tab w:val="left" w:pos="1134"/>
              </w:tabs>
              <w:ind w:right="-1"/>
              <w:jc w:val="both"/>
              <w:rPr>
                <w:b/>
                <w:bCs/>
                <w:szCs w:val="24"/>
              </w:rPr>
            </w:pPr>
            <w:r>
              <w:rPr>
                <w:b/>
                <w:bCs/>
                <w:szCs w:val="24"/>
              </w:rPr>
              <w:t>Neatsižvelgta.</w:t>
            </w:r>
          </w:p>
          <w:p w14:paraId="4AD1E22C" w14:textId="77777777" w:rsidR="005A2BFD" w:rsidRDefault="005A2BFD" w:rsidP="000116AB">
            <w:pPr>
              <w:pStyle w:val="xmsonormal"/>
              <w:jc w:val="both"/>
            </w:pPr>
            <w:r w:rsidRPr="00A85D08">
              <w:rPr>
                <w:rFonts w:ascii="Times New Roman" w:eastAsia="Times New Roman" w:hAnsi="Times New Roman" w:cs="Times New Roman"/>
                <w:sz w:val="24"/>
                <w:szCs w:val="24"/>
              </w:rPr>
              <w:t>Bus finansuojama tokia veikla:</w:t>
            </w:r>
            <w:r>
              <w:rPr>
                <w:rFonts w:ascii="Times New Roman" w:eastAsia="Times New Roman" w:hAnsi="Times New Roman" w:cs="Times New Roman"/>
                <w:sz w:val="24"/>
                <w:szCs w:val="24"/>
              </w:rPr>
              <w:t xml:space="preserve"> s</w:t>
            </w:r>
            <w:r>
              <w:rPr>
                <w:rFonts w:ascii="Times New Roman" w:hAnsi="Times New Roman" w:cs="Times New Roman"/>
                <w:b/>
                <w:bCs/>
                <w:sz w:val="24"/>
                <w:szCs w:val="24"/>
              </w:rPr>
              <w:t>katinti į eksportą orientuotų, į bendrą vertės grandinę susijungusių MVĮ tinklo kūrimąsi ir augimą</w:t>
            </w:r>
            <w:r>
              <w:rPr>
                <w:rFonts w:ascii="Times New Roman" w:hAnsi="Times New Roman" w:cs="Times New Roman"/>
                <w:sz w:val="24"/>
                <w:szCs w:val="24"/>
              </w:rPr>
              <w:t xml:space="preserve">: siekiant skatinti eksportuojančių MVĮ įsitraukimą į tarptautines tinklų grandines ir pozicijų jose stiprinimą, bus investuojama į MVĮ partnerystės kultūros stiprinimą, MVĮ tinklo dalyvavimo tarptautiniuose (įskaitant ir BJR) tinkluose ir klasteriuose skatinimą. Investicijas planuojama orientuoti į MVĮ tinklo studijų vizitus, dalyvavimą tarptautinėse parodose ir įsitraukimą į tarptautinę partnerystę, rinkodaros strategijų rengimą, eksporto vadybininko paslaugų įsigijimą. Prioritetas bus teikiamas jau egzistuojančių MVĮ partnerysčių įsitraukimo į tarptautines tinklų grandines veikloms stiprinti. </w:t>
            </w:r>
          </w:p>
          <w:p w14:paraId="20F6B41F" w14:textId="77777777" w:rsidR="005A2BFD" w:rsidRDefault="005A2BFD" w:rsidP="000116AB">
            <w:pPr>
              <w:tabs>
                <w:tab w:val="left" w:pos="851"/>
                <w:tab w:val="left" w:pos="1276"/>
              </w:tabs>
              <w:ind w:right="-1"/>
              <w:jc w:val="both"/>
              <w:rPr>
                <w:szCs w:val="24"/>
              </w:rPr>
            </w:pPr>
            <w:r>
              <w:rPr>
                <w:szCs w:val="24"/>
              </w:rPr>
              <w:t xml:space="preserve">Taigi šia veikla siekiama paskatinti eksportuojančių MVĮ įsitraukimą į tarptautines tinklų grandines ir pozicijų jose stiprinimą, </w:t>
            </w:r>
            <w:r w:rsidRPr="00AA1CE6">
              <w:rPr>
                <w:szCs w:val="24"/>
              </w:rPr>
              <w:t>padidinti tarptautinių narysčių skaičių.</w:t>
            </w:r>
          </w:p>
          <w:p w14:paraId="0A06851F" w14:textId="1BB7DF78" w:rsidR="005A2BFD" w:rsidRPr="005934C1" w:rsidRDefault="005A2BFD" w:rsidP="005934C1">
            <w:pPr>
              <w:pStyle w:val="Sraopastraipa"/>
              <w:numPr>
                <w:ilvl w:val="0"/>
                <w:numId w:val="21"/>
              </w:numPr>
              <w:tabs>
                <w:tab w:val="left" w:pos="392"/>
                <w:tab w:val="left" w:pos="1276"/>
              </w:tabs>
              <w:ind w:left="0" w:right="-1" w:firstLine="0"/>
              <w:jc w:val="both"/>
              <w:rPr>
                <w:szCs w:val="24"/>
              </w:rPr>
            </w:pPr>
            <w:r w:rsidRPr="00D63DB0">
              <w:t xml:space="preserve">Šis prioritetinis projektų atrankos kriterijus pasirinktas, siekiant išskirti efektyviausiai ES fondų lėšas naudosiančius klasterius bei išrinkti geriausiai ir efektyviausiai prie </w:t>
            </w:r>
            <w:r w:rsidRPr="005934C1">
              <w:rPr>
                <w:szCs w:val="24"/>
              </w:rPr>
              <w:t xml:space="preserve">2021–2027 metų Europos Sąjungos fondų investicijų programos specifinio rezultato rodiklio „Klasterio narystė tarptautiniuose tinkluose“ pasiekimo </w:t>
            </w:r>
            <w:r w:rsidRPr="00D63DB0">
              <w:t xml:space="preserve">prisidėsiančius </w:t>
            </w:r>
            <w:r w:rsidRPr="005934C1">
              <w:rPr>
                <w:szCs w:val="24"/>
              </w:rPr>
              <w:t>projektus.</w:t>
            </w:r>
          </w:p>
          <w:p w14:paraId="6CCD153A" w14:textId="77777777" w:rsidR="005A2BFD" w:rsidRDefault="005A2BFD" w:rsidP="00C762AA">
            <w:pPr>
              <w:tabs>
                <w:tab w:val="left" w:pos="851"/>
                <w:tab w:val="left" w:pos="1276"/>
              </w:tabs>
              <w:ind w:right="-1"/>
              <w:jc w:val="both"/>
              <w:rPr>
                <w:i/>
                <w:iCs/>
                <w:szCs w:val="24"/>
              </w:rPr>
            </w:pPr>
          </w:p>
          <w:p w14:paraId="3CA2C946" w14:textId="79992EE0" w:rsidR="005A2BFD" w:rsidRDefault="005A2BFD" w:rsidP="001D1B9F">
            <w:pPr>
              <w:pStyle w:val="Sraopastraipa"/>
              <w:numPr>
                <w:ilvl w:val="0"/>
                <w:numId w:val="21"/>
              </w:numPr>
              <w:tabs>
                <w:tab w:val="left" w:pos="392"/>
              </w:tabs>
              <w:spacing w:after="160" w:line="256" w:lineRule="auto"/>
              <w:ind w:left="34" w:firstLine="0"/>
              <w:jc w:val="both"/>
            </w:pPr>
            <w:r w:rsidRPr="00D63DB0">
              <w:rPr>
                <w:szCs w:val="24"/>
              </w:rPr>
              <w:t>Šis prio</w:t>
            </w:r>
            <w:r>
              <w:rPr>
                <w:szCs w:val="24"/>
              </w:rPr>
              <w:t xml:space="preserve">ritetinis projektų atrankos kriterijus tiesiogiai koreliuoja su stebėsenos rezultato rodikliu – </w:t>
            </w:r>
            <w:r w:rsidRPr="00D63DB0">
              <w:rPr>
                <w:szCs w:val="24"/>
              </w:rPr>
              <w:t>„Klasterio narystė tarptautiniuose tinkluose“</w:t>
            </w:r>
            <w:r>
              <w:rPr>
                <w:szCs w:val="24"/>
              </w:rPr>
              <w:t xml:space="preserve">. </w:t>
            </w:r>
            <w:r w:rsidRPr="00D34FF2">
              <w:t xml:space="preserve">Projekto vykdytojui </w:t>
            </w:r>
            <w:r w:rsidRPr="00D34FF2">
              <w:lastRenderedPageBreak/>
              <w:t>nepasiekus stebėsenos rodiklių reikšmių, nurodytų projekto sutartyje, taikomos Projektų administravimo ir finansavimo taisyklių</w:t>
            </w:r>
            <w:r>
              <w:rPr>
                <w:rStyle w:val="Puslapioinaosnuoroda"/>
              </w:rPr>
              <w:footnoteReference w:id="1"/>
            </w:r>
            <w:r w:rsidRPr="00D34FF2">
              <w:t xml:space="preserve"> IV skyriaus penktojo skirsnio 171–178 punktų nuostatos.</w:t>
            </w:r>
          </w:p>
          <w:p w14:paraId="397009D9" w14:textId="6B78970F" w:rsidR="005A2BFD" w:rsidRPr="00EB0FAD" w:rsidRDefault="005A2BFD" w:rsidP="00EB0FAD">
            <w:pPr>
              <w:pStyle w:val="prastasiniatinklio"/>
              <w:numPr>
                <w:ilvl w:val="0"/>
                <w:numId w:val="21"/>
              </w:numPr>
              <w:shd w:val="clear" w:color="auto" w:fill="FFFFFF"/>
              <w:tabs>
                <w:tab w:val="left" w:pos="510"/>
              </w:tabs>
              <w:spacing w:before="0" w:beforeAutospacing="0" w:after="0" w:afterAutospacing="0"/>
              <w:ind w:left="0" w:firstLine="34"/>
              <w:jc w:val="both"/>
              <w:rPr>
                <w:iCs/>
              </w:rPr>
            </w:pPr>
            <w:r>
              <w:t xml:space="preserve">Pažymėtina, kad šiam prioritetiniam kriterijui nustatytas didžiausias </w:t>
            </w:r>
            <w:r w:rsidRPr="00631061">
              <w:t>kriterijaus vertinimo balas</w:t>
            </w:r>
            <w:r>
              <w:t xml:space="preserve">, </w:t>
            </w:r>
            <w:r>
              <w:rPr>
                <w:iCs/>
              </w:rPr>
              <w:t xml:space="preserve">atsižvelgiant į remiama veikla siekiamą tikslą – </w:t>
            </w:r>
            <w:r>
              <w:t xml:space="preserve">paskatinti eksportuojančių MVĮ įsitraukimą į tarptautines tinklų grandines ir pozicijų jose stiprinimą, </w:t>
            </w:r>
            <w:r w:rsidRPr="00AA1CE6">
              <w:t>padidinti tarptautinių narysčių skaičių.</w:t>
            </w:r>
            <w:r>
              <w:t xml:space="preserve"> Taip pat n</w:t>
            </w:r>
            <w:r w:rsidRPr="003E55E1">
              <w:t>ustatytas kriterijus padės išrinkti geriausiai ir efektyviausiai prisidėsiančius prie specifinio rezultato rodiklio „Klasterio narystė tarptautiniuose tinkluose“ pasiekimo projektus.</w:t>
            </w:r>
          </w:p>
        </w:tc>
      </w:tr>
      <w:tr w:rsidR="005A2BFD" w:rsidRPr="00C85D29" w14:paraId="2BA9E187" w14:textId="77777777" w:rsidTr="00952815">
        <w:tc>
          <w:tcPr>
            <w:tcW w:w="567" w:type="dxa"/>
          </w:tcPr>
          <w:p w14:paraId="79C905D4" w14:textId="1DDF7F55" w:rsidR="005A2BFD" w:rsidRPr="001F1306" w:rsidRDefault="005A2BFD" w:rsidP="0039743C">
            <w:pPr>
              <w:jc w:val="center"/>
              <w:rPr>
                <w:bCs/>
                <w:szCs w:val="24"/>
                <w:lang w:val="en-US"/>
              </w:rPr>
            </w:pPr>
            <w:r>
              <w:rPr>
                <w:bCs/>
                <w:szCs w:val="24"/>
                <w:lang w:val="en-US"/>
              </w:rPr>
              <w:lastRenderedPageBreak/>
              <w:t>4.</w:t>
            </w:r>
          </w:p>
        </w:tc>
        <w:tc>
          <w:tcPr>
            <w:tcW w:w="1730" w:type="dxa"/>
            <w:vMerge/>
          </w:tcPr>
          <w:p w14:paraId="2FF18F2D" w14:textId="77777777" w:rsidR="005A2BFD" w:rsidRPr="00EA7DB7" w:rsidRDefault="005A2BFD" w:rsidP="0039743C">
            <w:pPr>
              <w:rPr>
                <w:b/>
                <w:bCs/>
                <w:szCs w:val="24"/>
              </w:rPr>
            </w:pPr>
          </w:p>
        </w:tc>
        <w:tc>
          <w:tcPr>
            <w:tcW w:w="6662" w:type="dxa"/>
          </w:tcPr>
          <w:p w14:paraId="66EF49D4" w14:textId="77777777" w:rsidR="005A2BFD" w:rsidRDefault="005A2BFD" w:rsidP="0039743C">
            <w:pPr>
              <w:pStyle w:val="Sraopastraipa"/>
              <w:tabs>
                <w:tab w:val="left" w:pos="360"/>
              </w:tabs>
              <w:ind w:left="32"/>
              <w:jc w:val="both"/>
              <w:rPr>
                <w:b/>
                <w:bCs/>
                <w:i/>
                <w:iCs/>
                <w:lang w:val="en-US"/>
              </w:rPr>
            </w:pPr>
            <w:r w:rsidRPr="00412D8A">
              <w:rPr>
                <w:color w:val="222222"/>
                <w:szCs w:val="24"/>
                <w:lang w:val="en-US"/>
              </w:rPr>
              <w:t xml:space="preserve">Prioritetinis projektų atrankos kriterijus. </w:t>
            </w:r>
            <w:r w:rsidRPr="0017648B">
              <w:rPr>
                <w:b/>
                <w:bCs/>
                <w:i/>
                <w:iCs/>
                <w:lang w:val="en-US"/>
              </w:rPr>
              <w:t>6 .Ne mažiau negu 3 projekte dalyvaujantys klasterio nariai (MVĮ) vykdo pagrindinę ekonominę veiklą aukštųjų (high-tech), aukštesniųjų (medium tech) technologijų arba aukštųjų technologijų žinioms imlių paslaugų (high-tech knowledge-intensive services (KIS)) sektoriuose.</w:t>
            </w:r>
          </w:p>
          <w:p w14:paraId="0C06B573" w14:textId="77777777" w:rsidR="005A2BFD" w:rsidRDefault="005A2BFD" w:rsidP="0039743C">
            <w:pPr>
              <w:pStyle w:val="Sraopastraipa"/>
              <w:tabs>
                <w:tab w:val="left" w:pos="360"/>
              </w:tabs>
              <w:ind w:left="32"/>
              <w:jc w:val="both"/>
              <w:rPr>
                <w:szCs w:val="24"/>
              </w:rPr>
            </w:pPr>
          </w:p>
          <w:p w14:paraId="0C12F975" w14:textId="77777777" w:rsidR="005A2BFD" w:rsidRDefault="005A2BFD" w:rsidP="0039743C">
            <w:pPr>
              <w:pStyle w:val="Sraopastraipa"/>
              <w:tabs>
                <w:tab w:val="left" w:pos="360"/>
              </w:tabs>
              <w:ind w:left="32"/>
              <w:jc w:val="both"/>
              <w:rPr>
                <w:b/>
                <w:bCs/>
                <w:szCs w:val="24"/>
                <w:u w:val="single"/>
              </w:rPr>
            </w:pPr>
            <w:r w:rsidRPr="00762FFA">
              <w:rPr>
                <w:b/>
                <w:bCs/>
                <w:szCs w:val="24"/>
                <w:u w:val="single"/>
              </w:rPr>
              <w:t>Pasiūlymas.</w:t>
            </w:r>
          </w:p>
          <w:p w14:paraId="3E2F4C3D" w14:textId="340275B4" w:rsidR="005A2BFD" w:rsidRPr="00CA6C49" w:rsidRDefault="005A2BFD" w:rsidP="0039743C">
            <w:pPr>
              <w:tabs>
                <w:tab w:val="left" w:pos="851"/>
                <w:tab w:val="left" w:pos="1276"/>
              </w:tabs>
              <w:ind w:right="-1"/>
              <w:jc w:val="both"/>
            </w:pPr>
            <w:r>
              <w:t xml:space="preserve">Naujame </w:t>
            </w:r>
            <w:r w:rsidRPr="0017648B">
              <w:t>2021–2027 m. ES fondų investicijų program</w:t>
            </w:r>
            <w:r>
              <w:t>os</w:t>
            </w:r>
            <w:r w:rsidRPr="0017648B">
              <w:t xml:space="preserve"> </w:t>
            </w:r>
            <w:r>
              <w:t xml:space="preserve">laikotarpyje yra numatytas išskirtinis dėmesys aukštą pridėtinę vertę kuriantiems sektoriams, kuriems bus skiriamas platus spektras priemonių ir projektų. Tuo pačiu manome, kad papildomas kriterijus šioje priemonėje apsunkina sąlygas tradiciniams verslams, kurie gal ir kuria mažesnę pridėtinę vertę, bet Lietuvos ekonomikai ir jos eksportui atneša didelę naudą. Todėl papildomi kriterijai riboja galimybes dalyvauti projektuose visiems </w:t>
            </w:r>
            <w:r w:rsidRPr="00CA6C49">
              <w:t>klasteriams/sektoriams ir sudaro nevienodas sąlygas.</w:t>
            </w:r>
          </w:p>
          <w:p w14:paraId="610E803F" w14:textId="378C9654" w:rsidR="005A2BFD" w:rsidRPr="00762FFA" w:rsidRDefault="005A2BFD" w:rsidP="0039743C">
            <w:pPr>
              <w:pStyle w:val="Sraopastraipa"/>
              <w:tabs>
                <w:tab w:val="left" w:pos="360"/>
              </w:tabs>
              <w:ind w:left="32"/>
              <w:jc w:val="both"/>
              <w:rPr>
                <w:b/>
                <w:bCs/>
                <w:szCs w:val="24"/>
                <w:u w:val="single"/>
              </w:rPr>
            </w:pPr>
            <w:r w:rsidRPr="00CA6C49">
              <w:rPr>
                <w:b/>
                <w:bCs/>
              </w:rPr>
              <w:t>Siūlome šio kriterijaus atsisakyti.</w:t>
            </w:r>
          </w:p>
        </w:tc>
        <w:tc>
          <w:tcPr>
            <w:tcW w:w="5812" w:type="dxa"/>
          </w:tcPr>
          <w:p w14:paraId="65272270" w14:textId="77777777" w:rsidR="005A2BFD" w:rsidRPr="00EB7949" w:rsidRDefault="005A2BFD" w:rsidP="0039743C">
            <w:pPr>
              <w:tabs>
                <w:tab w:val="left" w:pos="709"/>
                <w:tab w:val="left" w:pos="851"/>
                <w:tab w:val="left" w:pos="1134"/>
              </w:tabs>
              <w:ind w:right="-1"/>
              <w:jc w:val="both"/>
              <w:rPr>
                <w:b/>
                <w:bCs/>
                <w:szCs w:val="24"/>
              </w:rPr>
            </w:pPr>
            <w:r>
              <w:rPr>
                <w:b/>
                <w:bCs/>
                <w:szCs w:val="24"/>
              </w:rPr>
              <w:t>Atsižvelgta dalinai, paaiškinta.</w:t>
            </w:r>
          </w:p>
          <w:p w14:paraId="29611781" w14:textId="77777777" w:rsidR="005A2BFD" w:rsidRDefault="005A2BFD" w:rsidP="0039743C">
            <w:pPr>
              <w:pStyle w:val="xmsonormal"/>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S</w:t>
            </w:r>
            <w:r w:rsidRPr="00F54400">
              <w:rPr>
                <w:rFonts w:ascii="Times New Roman" w:eastAsia="Times New Roman" w:hAnsi="Times New Roman" w:cs="Times New Roman"/>
                <w:color w:val="222222"/>
                <w:sz w:val="24"/>
                <w:szCs w:val="24"/>
                <w:lang w:val="en-US"/>
              </w:rPr>
              <w:t>umažintas klasterio narių (MVĮ)</w:t>
            </w:r>
            <w:r>
              <w:rPr>
                <w:rFonts w:ascii="Times New Roman" w:eastAsia="Times New Roman" w:hAnsi="Times New Roman" w:cs="Times New Roman"/>
                <w:color w:val="222222"/>
                <w:sz w:val="24"/>
                <w:szCs w:val="24"/>
                <w:lang w:val="en-US"/>
              </w:rPr>
              <w:t xml:space="preserve">, kuriems bus taikomas šis reikalavimas, skaičius iš 3 į 2 klasterio narius. </w:t>
            </w:r>
          </w:p>
          <w:p w14:paraId="0CCF6A29" w14:textId="77777777" w:rsidR="005A2BFD" w:rsidRDefault="005A2BFD" w:rsidP="0039743C">
            <w:pPr>
              <w:pStyle w:val="xmsonormal"/>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Pažymėtina, kad tai yra ne specialusis, o prioritetinis projektų atrankos kriterijus, už kurį projektams suteikiami papildomi balai, tačiau jis neapriboja galimybės dalyvauti konkurse Europos Sąjungos fondų investicijoms gauti pagal šią veiklą. </w:t>
            </w:r>
          </w:p>
          <w:p w14:paraId="0C286683" w14:textId="77777777" w:rsidR="005A2BFD" w:rsidRPr="00044DAE" w:rsidRDefault="005A2BFD" w:rsidP="0039743C">
            <w:pPr>
              <w:pStyle w:val="pf0"/>
              <w:spacing w:before="0" w:beforeAutospacing="0" w:after="0" w:afterAutospacing="0"/>
              <w:jc w:val="both"/>
              <w:rPr>
                <w:color w:val="222222"/>
                <w:lang w:val="en-US"/>
              </w:rPr>
            </w:pPr>
            <w:r>
              <w:rPr>
                <w:color w:val="222222"/>
                <w:lang w:val="en-US"/>
              </w:rPr>
              <w:t>Informuojame, kad šis prioritetinis nustatytas, nes p</w:t>
            </w:r>
            <w:r w:rsidRPr="00044DAE">
              <w:rPr>
                <w:color w:val="222222"/>
                <w:lang w:val="en-US"/>
              </w:rPr>
              <w:t>ažangos priemonėje Nr. 05-001-01-11-04 „Įgyvendinti eksporto konkurencingumo augimą skatinančias priemones“ yra numatytas prioritetas aukštųjų technologijų ir aukštesniųjų technologijų sektoriams.</w:t>
            </w:r>
          </w:p>
          <w:p w14:paraId="04F16B3D" w14:textId="77777777" w:rsidR="005A2BFD" w:rsidRPr="00044DAE" w:rsidRDefault="005A2BFD" w:rsidP="0039743C">
            <w:pPr>
              <w:pStyle w:val="pf0"/>
              <w:spacing w:before="0" w:beforeAutospacing="0" w:after="0" w:afterAutospacing="0"/>
              <w:jc w:val="both"/>
              <w:rPr>
                <w:color w:val="222222"/>
                <w:lang w:val="en-US"/>
              </w:rPr>
            </w:pPr>
            <w:r w:rsidRPr="00044DAE">
              <w:rPr>
                <w:color w:val="222222"/>
                <w:lang w:val="en-US"/>
              </w:rPr>
              <w:t>Numatytas poveikio kriterijus: padidinti aukštųjų (high-tech) ir aukštesniųjų (medium tech) technologijų produktų ir daug žinių reikalaujančių paslaugų dalį lietuviškos kilmės eksporte (be naftos produktų), nuo 29,9% (2021 m.) iki 42% (2025 m.) ir 52% (2030 m.).</w:t>
            </w:r>
          </w:p>
          <w:p w14:paraId="045AD4FF" w14:textId="3CABA6C0" w:rsidR="005A2BFD" w:rsidRDefault="005A2BFD" w:rsidP="0039743C">
            <w:pPr>
              <w:tabs>
                <w:tab w:val="left" w:pos="709"/>
                <w:tab w:val="left" w:pos="851"/>
                <w:tab w:val="left" w:pos="1134"/>
              </w:tabs>
              <w:ind w:right="-1"/>
              <w:jc w:val="both"/>
              <w:rPr>
                <w:b/>
                <w:bCs/>
                <w:szCs w:val="24"/>
              </w:rPr>
            </w:pPr>
            <w:r w:rsidRPr="00044DAE">
              <w:rPr>
                <w:color w:val="222222"/>
                <w:lang w:val="en-US"/>
              </w:rPr>
              <w:lastRenderedPageBreak/>
              <w:t>Atsižvelgiant į tai, nustatytas prioritetas aukštųjų (high-tech) ir aukštesniųjų (medium tech) technologijų produktų ir daug žinių reikalaujančių paslaugų įmones vienijantiems klasteriams.</w:t>
            </w:r>
          </w:p>
        </w:tc>
      </w:tr>
      <w:tr w:rsidR="005A2BFD" w:rsidRPr="00C85D29" w14:paraId="47CE56E1" w14:textId="77777777" w:rsidTr="00952815">
        <w:tc>
          <w:tcPr>
            <w:tcW w:w="567" w:type="dxa"/>
          </w:tcPr>
          <w:p w14:paraId="7F53E15B" w14:textId="0DE185C8" w:rsidR="005A2BFD" w:rsidRDefault="005A2BFD" w:rsidP="0039743C">
            <w:pPr>
              <w:jc w:val="center"/>
              <w:rPr>
                <w:bCs/>
                <w:szCs w:val="24"/>
                <w:lang w:val="en-US"/>
              </w:rPr>
            </w:pPr>
            <w:r>
              <w:rPr>
                <w:bCs/>
                <w:szCs w:val="24"/>
                <w:lang w:val="en-US"/>
              </w:rPr>
              <w:lastRenderedPageBreak/>
              <w:t xml:space="preserve">5. </w:t>
            </w:r>
          </w:p>
        </w:tc>
        <w:tc>
          <w:tcPr>
            <w:tcW w:w="1730" w:type="dxa"/>
            <w:vMerge/>
          </w:tcPr>
          <w:p w14:paraId="4FF94F40" w14:textId="77777777" w:rsidR="005A2BFD" w:rsidRPr="00EA7DB7" w:rsidRDefault="005A2BFD" w:rsidP="0039743C">
            <w:pPr>
              <w:rPr>
                <w:b/>
                <w:bCs/>
                <w:szCs w:val="24"/>
              </w:rPr>
            </w:pPr>
          </w:p>
        </w:tc>
        <w:tc>
          <w:tcPr>
            <w:tcW w:w="6662" w:type="dxa"/>
          </w:tcPr>
          <w:p w14:paraId="612AC7B0" w14:textId="77777777" w:rsidR="005A2BFD" w:rsidRDefault="005A2BFD" w:rsidP="00D27424">
            <w:pPr>
              <w:widowControl w:val="0"/>
              <w:jc w:val="both"/>
              <w:textAlignment w:val="baseline"/>
              <w:rPr>
                <w:b/>
                <w:bCs/>
                <w:sz w:val="22"/>
                <w:szCs w:val="22"/>
              </w:rPr>
            </w:pPr>
            <w:r w:rsidRPr="00D27424">
              <w:rPr>
                <w:b/>
                <w:bCs/>
                <w:sz w:val="22"/>
                <w:szCs w:val="22"/>
              </w:rPr>
              <w:t>NAUJAS</w:t>
            </w:r>
            <w:r>
              <w:rPr>
                <w:b/>
                <w:bCs/>
                <w:sz w:val="22"/>
                <w:szCs w:val="22"/>
              </w:rPr>
              <w:t xml:space="preserve"> PRIORITETINIS PROJEKTŲ ATRANKOS KRITERIJUS. </w:t>
            </w:r>
          </w:p>
          <w:p w14:paraId="413B94F6" w14:textId="77B1FAE9" w:rsidR="005A2BFD" w:rsidRDefault="005A2BFD" w:rsidP="00D27424">
            <w:pPr>
              <w:jc w:val="both"/>
            </w:pPr>
            <w:r w:rsidRPr="002D7755">
              <w:t>Priemonėje, kuri yra orientuota į eksporto skatinimą, įsiliejimą į vertės grandines kaip vienas iš PRIORITETINIŲ PROJEKTŲ A</w:t>
            </w:r>
            <w:r w:rsidRPr="00F074A8">
              <w:t>TRANKOS KRITERIJŲ turėtų būti konsoliduotas projekte dalyvaujančių įmonių eksporto augimo rodiklis, t.</w:t>
            </w:r>
            <w:r>
              <w:t xml:space="preserve"> </w:t>
            </w:r>
            <w:r w:rsidRPr="00F074A8">
              <w:t xml:space="preserve">y., kad įmonės per projekto laikotarpį turėtų įsipareigoti X </w:t>
            </w:r>
            <w:r w:rsidRPr="006E1D1D">
              <w:t>%  padidinti savo eksporto apimtis. Šio svarbaus atrankos kriterijaus nėra, todėl siūlome įtraukti.</w:t>
            </w:r>
          </w:p>
          <w:p w14:paraId="2A62395F" w14:textId="7D2533A5" w:rsidR="005A2BFD" w:rsidRPr="00412D8A" w:rsidRDefault="005A2BFD" w:rsidP="00D27424">
            <w:pPr>
              <w:jc w:val="both"/>
              <w:rPr>
                <w:color w:val="222222"/>
                <w:szCs w:val="24"/>
                <w:lang w:val="en-US"/>
              </w:rPr>
            </w:pPr>
            <w:r w:rsidRPr="00D27424">
              <w:rPr>
                <w:b/>
                <w:bCs/>
              </w:rPr>
              <w:t>Siūlome įtraukti kriterijų „Verslo klasterio narių (MVĮ) pačių pagamintos lietuviškos kilmės produkcijos, integruotos į gaminių / paslaugų pridėtinės vertės kūrimo grandinę, eksporto augimas“ prie Prioritetinių atrankos kriterijų, kaip buvo ankstesnėje priemonėje „Verslo klasteris LT“</w:t>
            </w:r>
            <w:r>
              <w:rPr>
                <w:b/>
                <w:bCs/>
              </w:rPr>
              <w:t>.</w:t>
            </w:r>
          </w:p>
        </w:tc>
        <w:tc>
          <w:tcPr>
            <w:tcW w:w="5812" w:type="dxa"/>
          </w:tcPr>
          <w:p w14:paraId="48F4CBE5" w14:textId="77777777" w:rsidR="005A2BFD" w:rsidRDefault="00283986" w:rsidP="0039743C">
            <w:pPr>
              <w:tabs>
                <w:tab w:val="left" w:pos="709"/>
                <w:tab w:val="left" w:pos="851"/>
                <w:tab w:val="left" w:pos="1134"/>
              </w:tabs>
              <w:ind w:right="-1"/>
              <w:jc w:val="both"/>
              <w:rPr>
                <w:b/>
                <w:bCs/>
                <w:szCs w:val="24"/>
              </w:rPr>
            </w:pPr>
            <w:r>
              <w:rPr>
                <w:b/>
                <w:bCs/>
                <w:szCs w:val="24"/>
              </w:rPr>
              <w:t>Neatsižvelgta.</w:t>
            </w:r>
          </w:p>
          <w:p w14:paraId="662302E5" w14:textId="28155225" w:rsidR="00283986" w:rsidRDefault="00283986" w:rsidP="00E42A6E">
            <w:pPr>
              <w:tabs>
                <w:tab w:val="left" w:pos="392"/>
              </w:tabs>
              <w:jc w:val="both"/>
              <w:rPr>
                <w:szCs w:val="24"/>
              </w:rPr>
            </w:pPr>
            <w:r>
              <w:rPr>
                <w:szCs w:val="24"/>
              </w:rPr>
              <w:t xml:space="preserve">Nutarta neįtraukti </w:t>
            </w:r>
            <w:r w:rsidR="00E42A6E">
              <w:rPr>
                <w:szCs w:val="24"/>
              </w:rPr>
              <w:t xml:space="preserve">prioritetinio </w:t>
            </w:r>
            <w:r>
              <w:rPr>
                <w:szCs w:val="24"/>
              </w:rPr>
              <w:t xml:space="preserve">eksporto augimo </w:t>
            </w:r>
            <w:r w:rsidR="00E42A6E">
              <w:rPr>
                <w:szCs w:val="24"/>
              </w:rPr>
              <w:t xml:space="preserve">kriterijaus, įvertinus </w:t>
            </w:r>
            <w:r w:rsidR="00E42A6E">
              <w:rPr>
                <w:szCs w:val="24"/>
                <w:lang w:val="en-US"/>
              </w:rPr>
              <w:t>2014-2020 m. progra</w:t>
            </w:r>
            <w:r w:rsidR="00E42A6E">
              <w:rPr>
                <w:szCs w:val="24"/>
              </w:rPr>
              <w:t xml:space="preserve">mavimo laikotarpio patirtį ir įžvelgus riziką dėl nepagrįstų eksporto augimo prognozių. </w:t>
            </w:r>
          </w:p>
          <w:p w14:paraId="30AFD3CD" w14:textId="0B2A1301" w:rsidR="00283986" w:rsidRDefault="00B2008A" w:rsidP="00E42A6E">
            <w:pPr>
              <w:tabs>
                <w:tab w:val="left" w:pos="392"/>
              </w:tabs>
              <w:jc w:val="both"/>
            </w:pPr>
            <w:r>
              <w:rPr>
                <w:szCs w:val="24"/>
              </w:rPr>
              <w:t>Todėl nustatytas p</w:t>
            </w:r>
            <w:r w:rsidR="00283986" w:rsidRPr="00283986">
              <w:rPr>
                <w:szCs w:val="24"/>
              </w:rPr>
              <w:t>rioritetinis projektų atrankos kriterijus</w:t>
            </w:r>
            <w:r>
              <w:rPr>
                <w:szCs w:val="24"/>
              </w:rPr>
              <w:t xml:space="preserve"> </w:t>
            </w:r>
            <w:r w:rsidRPr="00B31323">
              <w:rPr>
                <w:b/>
                <w:bCs/>
                <w:lang w:val="en-GB"/>
              </w:rPr>
              <w:t>Projekto efektyvumas</w:t>
            </w:r>
            <w:r>
              <w:rPr>
                <w:lang w:val="en-GB"/>
              </w:rPr>
              <w:t>”</w:t>
            </w:r>
            <w:r>
              <w:rPr>
                <w:lang w:val="en-GB"/>
              </w:rPr>
              <w:t>, kuriuo vertinamas</w:t>
            </w:r>
            <w:r>
              <w:rPr>
                <w:lang w:val="en-GB"/>
              </w:rPr>
              <w:t xml:space="preserve"> </w:t>
            </w:r>
            <w:r>
              <w:rPr>
                <w:lang w:val="en-GB"/>
              </w:rPr>
              <w:t>s</w:t>
            </w:r>
            <w:r>
              <w:rPr>
                <w:lang w:val="en-GB"/>
              </w:rPr>
              <w:t>antykis tarp klasterio tarptautinių narysčių, į kurias bus įsitraukta projekto įgyvendinimo metu  bei prašomos finansavimo sumos (tūkst. Eur)</w:t>
            </w:r>
            <w:r w:rsidR="00332E83">
              <w:rPr>
                <w:lang w:val="en-GB"/>
              </w:rPr>
              <w:t>, nes šis kriterijus</w:t>
            </w:r>
            <w:r w:rsidR="00283986" w:rsidRPr="00283986">
              <w:rPr>
                <w:szCs w:val="24"/>
              </w:rPr>
              <w:t xml:space="preserve"> tiesiogiai koreliuoja su stebėsenos rezultato rodikliu – „Klasterio narystė tarptautiniuose tinkluose“. </w:t>
            </w:r>
            <w:r w:rsidR="00283986" w:rsidRPr="00D34FF2">
              <w:t>Projekto vykdytojui nepasiekus stebėsenos rodiklių reikšmių, nurodytų projekto sutartyje, taikomos Projektų administravimo ir finansavimo taisyklių</w:t>
            </w:r>
            <w:r w:rsidR="00283986">
              <w:rPr>
                <w:rStyle w:val="Puslapioinaosnuoroda"/>
              </w:rPr>
              <w:footnoteReference w:id="2"/>
            </w:r>
            <w:r w:rsidR="00283986" w:rsidRPr="00D34FF2">
              <w:t xml:space="preserve"> IV skyriaus penktojo skirsnio 171–178 punktų nuostatos.</w:t>
            </w:r>
          </w:p>
          <w:p w14:paraId="153FB34D" w14:textId="65249F01" w:rsidR="00283986" w:rsidRDefault="00283986" w:rsidP="0039743C">
            <w:pPr>
              <w:tabs>
                <w:tab w:val="left" w:pos="709"/>
                <w:tab w:val="left" w:pos="851"/>
                <w:tab w:val="left" w:pos="1134"/>
              </w:tabs>
              <w:ind w:right="-1"/>
              <w:jc w:val="both"/>
              <w:rPr>
                <w:b/>
                <w:bCs/>
                <w:szCs w:val="24"/>
              </w:rPr>
            </w:pPr>
          </w:p>
        </w:tc>
      </w:tr>
    </w:tbl>
    <w:p w14:paraId="00AABEA2" w14:textId="77777777" w:rsidR="005C5ECB" w:rsidRPr="00017566" w:rsidRDefault="005C5ECB">
      <w:pPr>
        <w:rPr>
          <w:b/>
          <w:bCs/>
          <w:caps/>
          <w:szCs w:val="24"/>
        </w:rPr>
      </w:pPr>
    </w:p>
    <w:sectPr w:rsidR="005C5ECB" w:rsidRPr="00017566" w:rsidSect="003940F3">
      <w:headerReference w:type="default" r:id="rId11"/>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68B6" w14:textId="77777777" w:rsidR="003940F3" w:rsidRDefault="003940F3" w:rsidP="003940F3">
      <w:r>
        <w:separator/>
      </w:r>
    </w:p>
  </w:endnote>
  <w:endnote w:type="continuationSeparator" w:id="0">
    <w:p w14:paraId="5FDD29A6" w14:textId="77777777" w:rsidR="003940F3" w:rsidRDefault="003940F3"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C7DE" w14:textId="77777777" w:rsidR="003940F3" w:rsidRDefault="003940F3" w:rsidP="003940F3">
      <w:r>
        <w:separator/>
      </w:r>
    </w:p>
  </w:footnote>
  <w:footnote w:type="continuationSeparator" w:id="0">
    <w:p w14:paraId="47C180FA" w14:textId="77777777" w:rsidR="003940F3" w:rsidRDefault="003940F3" w:rsidP="003940F3">
      <w:r>
        <w:continuationSeparator/>
      </w:r>
    </w:p>
  </w:footnote>
  <w:footnote w:id="1">
    <w:p w14:paraId="04A849D4" w14:textId="76D0A911" w:rsidR="005A2BFD" w:rsidRDefault="005A2BFD" w:rsidP="005934C1">
      <w:pPr>
        <w:pStyle w:val="Puslapioinaostekstas"/>
        <w:jc w:val="both"/>
      </w:pPr>
      <w:r>
        <w:rPr>
          <w:rStyle w:val="Puslapioinaosnuoroda"/>
        </w:rPr>
        <w:footnoteRef/>
      </w:r>
      <w:r>
        <w:t xml:space="preserve"> </w:t>
      </w:r>
      <w:r>
        <w:rPr>
          <w:szCs w:val="24"/>
        </w:rPr>
        <w:t>P</w:t>
      </w:r>
      <w:r w:rsidRPr="007851B8">
        <w:rPr>
          <w:szCs w:val="24"/>
        </w:rPr>
        <w:t>atvirtint</w:t>
      </w:r>
      <w:r>
        <w:rPr>
          <w:szCs w:val="24"/>
        </w:rPr>
        <w:t>o</w:t>
      </w:r>
      <w:r w:rsidRPr="007851B8">
        <w:rPr>
          <w:szCs w:val="24"/>
        </w:rPr>
        <w:t xml:space="preserve">s Lietuvos Respublikos finansų ministro 2022 m. birželio 22 d. įsakymu Nr. 1K-237 „Dėl 2021–2027 metų Europos Sąjungos fondų investicijų programos ir Ekonomikos gaivinimo ir atsparumo didinimo plano „Naujos kartos Lietuva“ įgyvendinimo“ </w:t>
      </w:r>
    </w:p>
  </w:footnote>
  <w:footnote w:id="2">
    <w:p w14:paraId="645D2F0C" w14:textId="77777777" w:rsidR="00283986" w:rsidRDefault="00283986" w:rsidP="00283986">
      <w:pPr>
        <w:pStyle w:val="Puslapioinaostekstas"/>
        <w:jc w:val="both"/>
      </w:pPr>
      <w:r>
        <w:rPr>
          <w:rStyle w:val="Puslapioinaosnuoroda"/>
        </w:rPr>
        <w:footnoteRef/>
      </w:r>
      <w:r>
        <w:t xml:space="preserve"> </w:t>
      </w:r>
      <w:r>
        <w:rPr>
          <w:szCs w:val="24"/>
        </w:rPr>
        <w:t>P</w:t>
      </w:r>
      <w:r w:rsidRPr="007851B8">
        <w:rPr>
          <w:szCs w:val="24"/>
        </w:rPr>
        <w:t>atvirtint</w:t>
      </w:r>
      <w:r>
        <w:rPr>
          <w:szCs w:val="24"/>
        </w:rPr>
        <w:t>o</w:t>
      </w:r>
      <w:r w:rsidRPr="007851B8">
        <w:rPr>
          <w:szCs w:val="24"/>
        </w:rPr>
        <w:t xml:space="preserve">s Lietuvos Respublikos finansų ministro 2022 m. birželio 22 d. įsakymu Nr. 1K-237 „Dėl 2021–2027 metų Europos Sąjungos fondų investicijų programos ir Ekonomikos gaivinimo ir atsparumo didinimo plano „Naujos kartos Lietuva“ įgyvendinimo“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185437"/>
      <w:docPartObj>
        <w:docPartGallery w:val="Page Numbers (Top of Page)"/>
        <w:docPartUnique/>
      </w:docPartObj>
    </w:sdtPr>
    <w:sdtEndPr/>
    <w:sdtContent>
      <w:p w14:paraId="7AEDFB48" w14:textId="26F7B89D" w:rsidR="00973CC7" w:rsidRDefault="00973CC7">
        <w:pPr>
          <w:pStyle w:val="Antrats"/>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F49"/>
    <w:multiLevelType w:val="multilevel"/>
    <w:tmpl w:val="5C882F8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6A74"/>
    <w:multiLevelType w:val="hybridMultilevel"/>
    <w:tmpl w:val="AA448342"/>
    <w:lvl w:ilvl="0" w:tplc="C28643A6">
      <w:start w:val="1"/>
      <w:numFmt w:val="lowerLetter"/>
      <w:lvlText w:val="%1)"/>
      <w:lvlJc w:val="left"/>
      <w:pPr>
        <w:ind w:left="420" w:hanging="360"/>
      </w:pPr>
      <w:rPr>
        <w:rFonts w:hint="default"/>
        <w:b w:val="0"/>
        <w:bCs/>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3C7143"/>
    <w:multiLevelType w:val="hybridMultilevel"/>
    <w:tmpl w:val="701A179A"/>
    <w:lvl w:ilvl="0" w:tplc="417237F8">
      <w:start w:val="1"/>
      <w:numFmt w:val="decimal"/>
      <w:lvlText w:val="%1)"/>
      <w:lvlJc w:val="left"/>
      <w:pPr>
        <w:ind w:left="752" w:hanging="360"/>
      </w:pPr>
      <w:rPr>
        <w:b w:val="0"/>
        <w:bCs w:val="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7"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8"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661C0"/>
    <w:multiLevelType w:val="hybridMultilevel"/>
    <w:tmpl w:val="D9BC9172"/>
    <w:lvl w:ilvl="0" w:tplc="FFFFFFFF">
      <w:start w:val="1"/>
      <w:numFmt w:val="decimal"/>
      <w:lvlText w:val="%1)"/>
      <w:lvlJc w:val="left"/>
      <w:pPr>
        <w:ind w:left="752"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9F2F5C"/>
    <w:multiLevelType w:val="hybridMultilevel"/>
    <w:tmpl w:val="D9BC9172"/>
    <w:lvl w:ilvl="0" w:tplc="417237F8">
      <w:start w:val="1"/>
      <w:numFmt w:val="decimal"/>
      <w:lvlText w:val="%1)"/>
      <w:lvlJc w:val="left"/>
      <w:pPr>
        <w:ind w:left="752"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D68167C"/>
    <w:multiLevelType w:val="hybridMultilevel"/>
    <w:tmpl w:val="9620F3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2F61725"/>
    <w:multiLevelType w:val="hybridMultilevel"/>
    <w:tmpl w:val="21B458A4"/>
    <w:lvl w:ilvl="0" w:tplc="8B886B7A">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C4577C"/>
    <w:multiLevelType w:val="hybridMultilevel"/>
    <w:tmpl w:val="50564F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502741369">
    <w:abstractNumId w:val="16"/>
  </w:num>
  <w:num w:numId="2" w16cid:durableId="569387108">
    <w:abstractNumId w:val="15"/>
  </w:num>
  <w:num w:numId="3" w16cid:durableId="920720704">
    <w:abstractNumId w:val="19"/>
  </w:num>
  <w:num w:numId="4" w16cid:durableId="586883998">
    <w:abstractNumId w:val="3"/>
  </w:num>
  <w:num w:numId="5" w16cid:durableId="963542736">
    <w:abstractNumId w:val="5"/>
  </w:num>
  <w:num w:numId="6" w16cid:durableId="1620451074">
    <w:abstractNumId w:val="1"/>
  </w:num>
  <w:num w:numId="7" w16cid:durableId="1643001799">
    <w:abstractNumId w:val="7"/>
  </w:num>
  <w:num w:numId="8" w16cid:durableId="1238171945">
    <w:abstractNumId w:val="9"/>
  </w:num>
  <w:num w:numId="9" w16cid:durableId="1120340164">
    <w:abstractNumId w:val="20"/>
  </w:num>
  <w:num w:numId="10" w16cid:durableId="396517099">
    <w:abstractNumId w:val="8"/>
  </w:num>
  <w:num w:numId="11" w16cid:durableId="726337613">
    <w:abstractNumId w:val="21"/>
  </w:num>
  <w:num w:numId="12" w16cid:durableId="917901310">
    <w:abstractNumId w:val="13"/>
  </w:num>
  <w:num w:numId="13" w16cid:durableId="1391072960">
    <w:abstractNumId w:val="11"/>
  </w:num>
  <w:num w:numId="14" w16cid:durableId="1970668036">
    <w:abstractNumId w:val="2"/>
  </w:num>
  <w:num w:numId="15" w16cid:durableId="88891496">
    <w:abstractNumId w:val="0"/>
  </w:num>
  <w:num w:numId="16" w16cid:durableId="74473564">
    <w:abstractNumId w:val="17"/>
  </w:num>
  <w:num w:numId="17" w16cid:durableId="699010510">
    <w:abstractNumId w:val="14"/>
  </w:num>
  <w:num w:numId="18" w16cid:durableId="1378898715">
    <w:abstractNumId w:val="18"/>
  </w:num>
  <w:num w:numId="19" w16cid:durableId="612980361">
    <w:abstractNumId w:val="4"/>
  </w:num>
  <w:num w:numId="20" w16cid:durableId="1696344664">
    <w:abstractNumId w:val="6"/>
  </w:num>
  <w:num w:numId="21" w16cid:durableId="2125153483">
    <w:abstractNumId w:val="12"/>
  </w:num>
  <w:num w:numId="22" w16cid:durableId="1246183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16AB"/>
    <w:rsid w:val="0001428A"/>
    <w:rsid w:val="00015942"/>
    <w:rsid w:val="00016435"/>
    <w:rsid w:val="00017566"/>
    <w:rsid w:val="000202E8"/>
    <w:rsid w:val="00023010"/>
    <w:rsid w:val="000240C4"/>
    <w:rsid w:val="00030D25"/>
    <w:rsid w:val="00030DBB"/>
    <w:rsid w:val="0003188A"/>
    <w:rsid w:val="00032985"/>
    <w:rsid w:val="00033CEB"/>
    <w:rsid w:val="000410EA"/>
    <w:rsid w:val="00044CAB"/>
    <w:rsid w:val="00044DAE"/>
    <w:rsid w:val="00046D66"/>
    <w:rsid w:val="00046DFE"/>
    <w:rsid w:val="00050427"/>
    <w:rsid w:val="0005206B"/>
    <w:rsid w:val="00053D41"/>
    <w:rsid w:val="00055508"/>
    <w:rsid w:val="00060B0B"/>
    <w:rsid w:val="000611D0"/>
    <w:rsid w:val="00062518"/>
    <w:rsid w:val="00063152"/>
    <w:rsid w:val="000640C7"/>
    <w:rsid w:val="00066215"/>
    <w:rsid w:val="000671F1"/>
    <w:rsid w:val="00070B21"/>
    <w:rsid w:val="00070ED6"/>
    <w:rsid w:val="00070EF3"/>
    <w:rsid w:val="00077247"/>
    <w:rsid w:val="00081BC9"/>
    <w:rsid w:val="000844E7"/>
    <w:rsid w:val="000909EB"/>
    <w:rsid w:val="00092847"/>
    <w:rsid w:val="00095A64"/>
    <w:rsid w:val="00095B14"/>
    <w:rsid w:val="00096A65"/>
    <w:rsid w:val="000A0E20"/>
    <w:rsid w:val="000A3FD2"/>
    <w:rsid w:val="000A58AA"/>
    <w:rsid w:val="000B0EDC"/>
    <w:rsid w:val="000B19E9"/>
    <w:rsid w:val="000B1AF5"/>
    <w:rsid w:val="000B2D7C"/>
    <w:rsid w:val="000B7125"/>
    <w:rsid w:val="000C6DCD"/>
    <w:rsid w:val="000D22BB"/>
    <w:rsid w:val="000D2E71"/>
    <w:rsid w:val="000D3EFE"/>
    <w:rsid w:val="000D51B7"/>
    <w:rsid w:val="000D748B"/>
    <w:rsid w:val="000E057B"/>
    <w:rsid w:val="000E128C"/>
    <w:rsid w:val="000E1F0C"/>
    <w:rsid w:val="000E275C"/>
    <w:rsid w:val="000E28F8"/>
    <w:rsid w:val="000E3A8D"/>
    <w:rsid w:val="000E4F4C"/>
    <w:rsid w:val="000E5A48"/>
    <w:rsid w:val="000E7A99"/>
    <w:rsid w:val="000F1049"/>
    <w:rsid w:val="000F5CE6"/>
    <w:rsid w:val="001021AD"/>
    <w:rsid w:val="001055FE"/>
    <w:rsid w:val="0010585C"/>
    <w:rsid w:val="00105F91"/>
    <w:rsid w:val="001132AD"/>
    <w:rsid w:val="00115372"/>
    <w:rsid w:val="00122138"/>
    <w:rsid w:val="00124A1B"/>
    <w:rsid w:val="001253F4"/>
    <w:rsid w:val="00132E75"/>
    <w:rsid w:val="00143277"/>
    <w:rsid w:val="001445E4"/>
    <w:rsid w:val="00150B26"/>
    <w:rsid w:val="00154392"/>
    <w:rsid w:val="0015638E"/>
    <w:rsid w:val="00156FCF"/>
    <w:rsid w:val="00157004"/>
    <w:rsid w:val="001577E4"/>
    <w:rsid w:val="00162289"/>
    <w:rsid w:val="001661A8"/>
    <w:rsid w:val="001705CF"/>
    <w:rsid w:val="00175B04"/>
    <w:rsid w:val="0018373E"/>
    <w:rsid w:val="001841DA"/>
    <w:rsid w:val="0018469B"/>
    <w:rsid w:val="00184FC3"/>
    <w:rsid w:val="00186511"/>
    <w:rsid w:val="0019085C"/>
    <w:rsid w:val="00191782"/>
    <w:rsid w:val="001923DD"/>
    <w:rsid w:val="00194702"/>
    <w:rsid w:val="001A0E47"/>
    <w:rsid w:val="001A5935"/>
    <w:rsid w:val="001A68FD"/>
    <w:rsid w:val="001B1F0D"/>
    <w:rsid w:val="001C2F60"/>
    <w:rsid w:val="001C65B5"/>
    <w:rsid w:val="001D0FA0"/>
    <w:rsid w:val="001D1B9F"/>
    <w:rsid w:val="001D3C04"/>
    <w:rsid w:val="001D6507"/>
    <w:rsid w:val="001D6F4A"/>
    <w:rsid w:val="001E22A7"/>
    <w:rsid w:val="001E4CE7"/>
    <w:rsid w:val="001E6748"/>
    <w:rsid w:val="001E67A5"/>
    <w:rsid w:val="001E754D"/>
    <w:rsid w:val="001F1306"/>
    <w:rsid w:val="001F272C"/>
    <w:rsid w:val="0020434A"/>
    <w:rsid w:val="00206A92"/>
    <w:rsid w:val="00207E63"/>
    <w:rsid w:val="002104C8"/>
    <w:rsid w:val="00211B2A"/>
    <w:rsid w:val="00212ADD"/>
    <w:rsid w:val="00224286"/>
    <w:rsid w:val="0022435B"/>
    <w:rsid w:val="0023024D"/>
    <w:rsid w:val="00233335"/>
    <w:rsid w:val="00234AE2"/>
    <w:rsid w:val="002361E0"/>
    <w:rsid w:val="00241069"/>
    <w:rsid w:val="00241C69"/>
    <w:rsid w:val="002430D0"/>
    <w:rsid w:val="00244623"/>
    <w:rsid w:val="0024541C"/>
    <w:rsid w:val="002458DD"/>
    <w:rsid w:val="00247BB5"/>
    <w:rsid w:val="00256BE3"/>
    <w:rsid w:val="00257F0A"/>
    <w:rsid w:val="00266F48"/>
    <w:rsid w:val="00270AE5"/>
    <w:rsid w:val="00271242"/>
    <w:rsid w:val="0027186C"/>
    <w:rsid w:val="002730D8"/>
    <w:rsid w:val="002763F8"/>
    <w:rsid w:val="00280FCB"/>
    <w:rsid w:val="00281473"/>
    <w:rsid w:val="00282D46"/>
    <w:rsid w:val="00283986"/>
    <w:rsid w:val="002873BB"/>
    <w:rsid w:val="002923A6"/>
    <w:rsid w:val="002929F7"/>
    <w:rsid w:val="00294FB1"/>
    <w:rsid w:val="00297C4B"/>
    <w:rsid w:val="00297D19"/>
    <w:rsid w:val="002A27A2"/>
    <w:rsid w:val="002A2BDD"/>
    <w:rsid w:val="002A50CF"/>
    <w:rsid w:val="002B1648"/>
    <w:rsid w:val="002B31F3"/>
    <w:rsid w:val="002C57F4"/>
    <w:rsid w:val="002C7407"/>
    <w:rsid w:val="002C79BA"/>
    <w:rsid w:val="002D0B08"/>
    <w:rsid w:val="002D1CED"/>
    <w:rsid w:val="002D3E1E"/>
    <w:rsid w:val="002D4D56"/>
    <w:rsid w:val="002D6D79"/>
    <w:rsid w:val="002E1B28"/>
    <w:rsid w:val="002E5D56"/>
    <w:rsid w:val="002E6C5D"/>
    <w:rsid w:val="002F3746"/>
    <w:rsid w:val="003146B1"/>
    <w:rsid w:val="00316D2C"/>
    <w:rsid w:val="003214A4"/>
    <w:rsid w:val="00330974"/>
    <w:rsid w:val="00330EC9"/>
    <w:rsid w:val="00331EF3"/>
    <w:rsid w:val="00332E83"/>
    <w:rsid w:val="00333A39"/>
    <w:rsid w:val="003439AC"/>
    <w:rsid w:val="00344A49"/>
    <w:rsid w:val="00344EDE"/>
    <w:rsid w:val="0034540C"/>
    <w:rsid w:val="00347C65"/>
    <w:rsid w:val="003529B3"/>
    <w:rsid w:val="003652F0"/>
    <w:rsid w:val="00366151"/>
    <w:rsid w:val="0036662A"/>
    <w:rsid w:val="00375133"/>
    <w:rsid w:val="00385FF4"/>
    <w:rsid w:val="003865B8"/>
    <w:rsid w:val="00391584"/>
    <w:rsid w:val="0039259D"/>
    <w:rsid w:val="003940F3"/>
    <w:rsid w:val="0039743C"/>
    <w:rsid w:val="00397AD7"/>
    <w:rsid w:val="003A1AD9"/>
    <w:rsid w:val="003A332E"/>
    <w:rsid w:val="003B2FAE"/>
    <w:rsid w:val="003B6643"/>
    <w:rsid w:val="003B726A"/>
    <w:rsid w:val="003C6054"/>
    <w:rsid w:val="003D4EB4"/>
    <w:rsid w:val="003E09D5"/>
    <w:rsid w:val="003E55E1"/>
    <w:rsid w:val="003E77A4"/>
    <w:rsid w:val="003F5676"/>
    <w:rsid w:val="003F7DF8"/>
    <w:rsid w:val="0040628C"/>
    <w:rsid w:val="00412D8A"/>
    <w:rsid w:val="004136A8"/>
    <w:rsid w:val="00414392"/>
    <w:rsid w:val="00417DC7"/>
    <w:rsid w:val="00421AD5"/>
    <w:rsid w:val="004225FC"/>
    <w:rsid w:val="004322A4"/>
    <w:rsid w:val="004378EE"/>
    <w:rsid w:val="004428B5"/>
    <w:rsid w:val="00447D74"/>
    <w:rsid w:val="00452AAF"/>
    <w:rsid w:val="00452FA3"/>
    <w:rsid w:val="00455305"/>
    <w:rsid w:val="004631DA"/>
    <w:rsid w:val="004639C4"/>
    <w:rsid w:val="00475D1E"/>
    <w:rsid w:val="00475E13"/>
    <w:rsid w:val="00482B56"/>
    <w:rsid w:val="004853EA"/>
    <w:rsid w:val="00485F22"/>
    <w:rsid w:val="00487204"/>
    <w:rsid w:val="004876E5"/>
    <w:rsid w:val="004923DB"/>
    <w:rsid w:val="004A0897"/>
    <w:rsid w:val="004A42BF"/>
    <w:rsid w:val="004A5F41"/>
    <w:rsid w:val="004A6A07"/>
    <w:rsid w:val="004A704E"/>
    <w:rsid w:val="004B256B"/>
    <w:rsid w:val="004B2CD5"/>
    <w:rsid w:val="004B5C52"/>
    <w:rsid w:val="004C1CE4"/>
    <w:rsid w:val="004C44BD"/>
    <w:rsid w:val="004C58E9"/>
    <w:rsid w:val="004D11D5"/>
    <w:rsid w:val="004D1FB6"/>
    <w:rsid w:val="004D5FC3"/>
    <w:rsid w:val="004D6533"/>
    <w:rsid w:val="004D66FF"/>
    <w:rsid w:val="004E0590"/>
    <w:rsid w:val="004E358F"/>
    <w:rsid w:val="004E6B69"/>
    <w:rsid w:val="004F7609"/>
    <w:rsid w:val="005004F3"/>
    <w:rsid w:val="005054C5"/>
    <w:rsid w:val="00510A85"/>
    <w:rsid w:val="005206B0"/>
    <w:rsid w:val="00520904"/>
    <w:rsid w:val="00520EE9"/>
    <w:rsid w:val="00527115"/>
    <w:rsid w:val="0053023F"/>
    <w:rsid w:val="005303DC"/>
    <w:rsid w:val="00530480"/>
    <w:rsid w:val="0053182B"/>
    <w:rsid w:val="0053408E"/>
    <w:rsid w:val="005376D6"/>
    <w:rsid w:val="0054453C"/>
    <w:rsid w:val="005465CF"/>
    <w:rsid w:val="005479C7"/>
    <w:rsid w:val="00547C74"/>
    <w:rsid w:val="005516A5"/>
    <w:rsid w:val="005533C2"/>
    <w:rsid w:val="00563838"/>
    <w:rsid w:val="00563B3D"/>
    <w:rsid w:val="005671CE"/>
    <w:rsid w:val="00571253"/>
    <w:rsid w:val="0057371A"/>
    <w:rsid w:val="00581B51"/>
    <w:rsid w:val="005903F9"/>
    <w:rsid w:val="005934C1"/>
    <w:rsid w:val="00593EE0"/>
    <w:rsid w:val="005953D7"/>
    <w:rsid w:val="00597AFF"/>
    <w:rsid w:val="005A0AC7"/>
    <w:rsid w:val="005A2BFD"/>
    <w:rsid w:val="005A3FE6"/>
    <w:rsid w:val="005A4A5F"/>
    <w:rsid w:val="005A771F"/>
    <w:rsid w:val="005B09A6"/>
    <w:rsid w:val="005B0AB2"/>
    <w:rsid w:val="005B1293"/>
    <w:rsid w:val="005B38C3"/>
    <w:rsid w:val="005B79FB"/>
    <w:rsid w:val="005B7C13"/>
    <w:rsid w:val="005C00F7"/>
    <w:rsid w:val="005C11A9"/>
    <w:rsid w:val="005C492A"/>
    <w:rsid w:val="005C5B4A"/>
    <w:rsid w:val="005C5ECB"/>
    <w:rsid w:val="005D1053"/>
    <w:rsid w:val="005D2FAD"/>
    <w:rsid w:val="005E0604"/>
    <w:rsid w:val="005E1221"/>
    <w:rsid w:val="005E5744"/>
    <w:rsid w:val="005E58DF"/>
    <w:rsid w:val="005F038F"/>
    <w:rsid w:val="005F0F88"/>
    <w:rsid w:val="0060719B"/>
    <w:rsid w:val="006078D1"/>
    <w:rsid w:val="00607C88"/>
    <w:rsid w:val="006106A7"/>
    <w:rsid w:val="00611B6D"/>
    <w:rsid w:val="00611C52"/>
    <w:rsid w:val="006135D2"/>
    <w:rsid w:val="00613BBB"/>
    <w:rsid w:val="00615ACB"/>
    <w:rsid w:val="006179ED"/>
    <w:rsid w:val="006243C4"/>
    <w:rsid w:val="006259D7"/>
    <w:rsid w:val="00626D21"/>
    <w:rsid w:val="006301B9"/>
    <w:rsid w:val="00631061"/>
    <w:rsid w:val="00631726"/>
    <w:rsid w:val="00633EC5"/>
    <w:rsid w:val="006351B9"/>
    <w:rsid w:val="00635B87"/>
    <w:rsid w:val="00640F80"/>
    <w:rsid w:val="00646217"/>
    <w:rsid w:val="00647FB4"/>
    <w:rsid w:val="006507EE"/>
    <w:rsid w:val="006562ED"/>
    <w:rsid w:val="00661D02"/>
    <w:rsid w:val="00665BE2"/>
    <w:rsid w:val="0067708D"/>
    <w:rsid w:val="0067787C"/>
    <w:rsid w:val="00677B1E"/>
    <w:rsid w:val="00677C93"/>
    <w:rsid w:val="006824CC"/>
    <w:rsid w:val="006836FA"/>
    <w:rsid w:val="00683A16"/>
    <w:rsid w:val="00686E67"/>
    <w:rsid w:val="00690AB6"/>
    <w:rsid w:val="00690B46"/>
    <w:rsid w:val="00696DBF"/>
    <w:rsid w:val="00696E7D"/>
    <w:rsid w:val="006A1E78"/>
    <w:rsid w:val="006A22E2"/>
    <w:rsid w:val="006B0D85"/>
    <w:rsid w:val="006B4F47"/>
    <w:rsid w:val="006B526A"/>
    <w:rsid w:val="006B75D2"/>
    <w:rsid w:val="006C0163"/>
    <w:rsid w:val="006D1718"/>
    <w:rsid w:val="006E05A9"/>
    <w:rsid w:val="006E0B8B"/>
    <w:rsid w:val="006E16C9"/>
    <w:rsid w:val="006E67AE"/>
    <w:rsid w:val="006E798D"/>
    <w:rsid w:val="006E7C89"/>
    <w:rsid w:val="006F23CE"/>
    <w:rsid w:val="0070221E"/>
    <w:rsid w:val="007070F4"/>
    <w:rsid w:val="00707C95"/>
    <w:rsid w:val="00710DD2"/>
    <w:rsid w:val="00713112"/>
    <w:rsid w:val="0071689F"/>
    <w:rsid w:val="0072623F"/>
    <w:rsid w:val="007263AF"/>
    <w:rsid w:val="00727011"/>
    <w:rsid w:val="007350FF"/>
    <w:rsid w:val="00737596"/>
    <w:rsid w:val="007410B0"/>
    <w:rsid w:val="00741C32"/>
    <w:rsid w:val="00742585"/>
    <w:rsid w:val="00747BC9"/>
    <w:rsid w:val="00751DDD"/>
    <w:rsid w:val="007537EC"/>
    <w:rsid w:val="007544B6"/>
    <w:rsid w:val="00760318"/>
    <w:rsid w:val="00761496"/>
    <w:rsid w:val="00761F33"/>
    <w:rsid w:val="00762FFA"/>
    <w:rsid w:val="007769FC"/>
    <w:rsid w:val="0078534B"/>
    <w:rsid w:val="00787C89"/>
    <w:rsid w:val="00791279"/>
    <w:rsid w:val="007972A2"/>
    <w:rsid w:val="007B3305"/>
    <w:rsid w:val="007B3E81"/>
    <w:rsid w:val="007C0EC8"/>
    <w:rsid w:val="007C1CA1"/>
    <w:rsid w:val="007D3038"/>
    <w:rsid w:val="007D42C6"/>
    <w:rsid w:val="007E0E6E"/>
    <w:rsid w:val="007E1501"/>
    <w:rsid w:val="007E33DA"/>
    <w:rsid w:val="007E69B5"/>
    <w:rsid w:val="007F22B2"/>
    <w:rsid w:val="007F5F38"/>
    <w:rsid w:val="0080172F"/>
    <w:rsid w:val="00811BF1"/>
    <w:rsid w:val="008127AF"/>
    <w:rsid w:val="00814122"/>
    <w:rsid w:val="00817EF3"/>
    <w:rsid w:val="0082428A"/>
    <w:rsid w:val="008359DC"/>
    <w:rsid w:val="008475A2"/>
    <w:rsid w:val="0085384B"/>
    <w:rsid w:val="0085430B"/>
    <w:rsid w:val="00856EDA"/>
    <w:rsid w:val="008576A6"/>
    <w:rsid w:val="00865C80"/>
    <w:rsid w:val="008663E3"/>
    <w:rsid w:val="00880909"/>
    <w:rsid w:val="008820BA"/>
    <w:rsid w:val="00885C3D"/>
    <w:rsid w:val="00890A7C"/>
    <w:rsid w:val="008923B9"/>
    <w:rsid w:val="00894683"/>
    <w:rsid w:val="008A3E24"/>
    <w:rsid w:val="008A53CB"/>
    <w:rsid w:val="008A5A0D"/>
    <w:rsid w:val="008A72DE"/>
    <w:rsid w:val="008B3037"/>
    <w:rsid w:val="008B7E97"/>
    <w:rsid w:val="008C3DAE"/>
    <w:rsid w:val="008C4CE9"/>
    <w:rsid w:val="008D13FD"/>
    <w:rsid w:val="008D4415"/>
    <w:rsid w:val="008D444C"/>
    <w:rsid w:val="008D50E7"/>
    <w:rsid w:val="008D55D4"/>
    <w:rsid w:val="008D5F38"/>
    <w:rsid w:val="008D6394"/>
    <w:rsid w:val="008D7278"/>
    <w:rsid w:val="008E2069"/>
    <w:rsid w:val="008E3A92"/>
    <w:rsid w:val="008E3C68"/>
    <w:rsid w:val="008F38C3"/>
    <w:rsid w:val="00912663"/>
    <w:rsid w:val="009220EC"/>
    <w:rsid w:val="00926630"/>
    <w:rsid w:val="00933886"/>
    <w:rsid w:val="00934F45"/>
    <w:rsid w:val="00936F7C"/>
    <w:rsid w:val="009422B0"/>
    <w:rsid w:val="00947C9D"/>
    <w:rsid w:val="00952815"/>
    <w:rsid w:val="00954EEB"/>
    <w:rsid w:val="00956C1E"/>
    <w:rsid w:val="0097341D"/>
    <w:rsid w:val="00973CC7"/>
    <w:rsid w:val="0098163E"/>
    <w:rsid w:val="009913E3"/>
    <w:rsid w:val="009917B2"/>
    <w:rsid w:val="009924A0"/>
    <w:rsid w:val="0099342A"/>
    <w:rsid w:val="009961A8"/>
    <w:rsid w:val="009A1219"/>
    <w:rsid w:val="009A3E23"/>
    <w:rsid w:val="009A650C"/>
    <w:rsid w:val="009A662F"/>
    <w:rsid w:val="009B2BC0"/>
    <w:rsid w:val="009B31F4"/>
    <w:rsid w:val="009B3957"/>
    <w:rsid w:val="009B4714"/>
    <w:rsid w:val="009B7A40"/>
    <w:rsid w:val="009C1904"/>
    <w:rsid w:val="009C687C"/>
    <w:rsid w:val="009D3B8E"/>
    <w:rsid w:val="009D3BAD"/>
    <w:rsid w:val="009E1857"/>
    <w:rsid w:val="009E69E2"/>
    <w:rsid w:val="009E7F18"/>
    <w:rsid w:val="009F0535"/>
    <w:rsid w:val="00A00DB1"/>
    <w:rsid w:val="00A05F9C"/>
    <w:rsid w:val="00A076DC"/>
    <w:rsid w:val="00A127C6"/>
    <w:rsid w:val="00A21253"/>
    <w:rsid w:val="00A24DB0"/>
    <w:rsid w:val="00A255A5"/>
    <w:rsid w:val="00A26CB7"/>
    <w:rsid w:val="00A2721F"/>
    <w:rsid w:val="00A31C11"/>
    <w:rsid w:val="00A323E0"/>
    <w:rsid w:val="00A34915"/>
    <w:rsid w:val="00A3535C"/>
    <w:rsid w:val="00A35603"/>
    <w:rsid w:val="00A37D8F"/>
    <w:rsid w:val="00A4128B"/>
    <w:rsid w:val="00A41FE7"/>
    <w:rsid w:val="00A442E9"/>
    <w:rsid w:val="00A47552"/>
    <w:rsid w:val="00A47E71"/>
    <w:rsid w:val="00A51B2D"/>
    <w:rsid w:val="00A51C1A"/>
    <w:rsid w:val="00A52C00"/>
    <w:rsid w:val="00A533D4"/>
    <w:rsid w:val="00A54BBD"/>
    <w:rsid w:val="00A65189"/>
    <w:rsid w:val="00A6632E"/>
    <w:rsid w:val="00A7066D"/>
    <w:rsid w:val="00A709C3"/>
    <w:rsid w:val="00A725A8"/>
    <w:rsid w:val="00A73B39"/>
    <w:rsid w:val="00A7735B"/>
    <w:rsid w:val="00A80ADA"/>
    <w:rsid w:val="00A845D7"/>
    <w:rsid w:val="00A85D08"/>
    <w:rsid w:val="00A91F0C"/>
    <w:rsid w:val="00A937EF"/>
    <w:rsid w:val="00A9443D"/>
    <w:rsid w:val="00AA1CE6"/>
    <w:rsid w:val="00AA30C9"/>
    <w:rsid w:val="00AA3EF8"/>
    <w:rsid w:val="00AB4283"/>
    <w:rsid w:val="00AC4B6C"/>
    <w:rsid w:val="00AC6352"/>
    <w:rsid w:val="00AC644B"/>
    <w:rsid w:val="00AC73C3"/>
    <w:rsid w:val="00AD5789"/>
    <w:rsid w:val="00AD7DC3"/>
    <w:rsid w:val="00AE3CE8"/>
    <w:rsid w:val="00AE4ABF"/>
    <w:rsid w:val="00AE6787"/>
    <w:rsid w:val="00AF029B"/>
    <w:rsid w:val="00AF0898"/>
    <w:rsid w:val="00AF0A0D"/>
    <w:rsid w:val="00AF0EEC"/>
    <w:rsid w:val="00AF1F99"/>
    <w:rsid w:val="00AF25D0"/>
    <w:rsid w:val="00AF2A89"/>
    <w:rsid w:val="00B00E19"/>
    <w:rsid w:val="00B058B6"/>
    <w:rsid w:val="00B0591B"/>
    <w:rsid w:val="00B06DF8"/>
    <w:rsid w:val="00B14AA0"/>
    <w:rsid w:val="00B17E87"/>
    <w:rsid w:val="00B2008A"/>
    <w:rsid w:val="00B244F5"/>
    <w:rsid w:val="00B259E5"/>
    <w:rsid w:val="00B26628"/>
    <w:rsid w:val="00B3130A"/>
    <w:rsid w:val="00B31323"/>
    <w:rsid w:val="00B33BD8"/>
    <w:rsid w:val="00B42F3A"/>
    <w:rsid w:val="00B4351C"/>
    <w:rsid w:val="00B46548"/>
    <w:rsid w:val="00B47BB9"/>
    <w:rsid w:val="00B47DF8"/>
    <w:rsid w:val="00B51113"/>
    <w:rsid w:val="00B66D73"/>
    <w:rsid w:val="00B67720"/>
    <w:rsid w:val="00B70A77"/>
    <w:rsid w:val="00B7378D"/>
    <w:rsid w:val="00B748DF"/>
    <w:rsid w:val="00B75709"/>
    <w:rsid w:val="00B87121"/>
    <w:rsid w:val="00B905D0"/>
    <w:rsid w:val="00B92508"/>
    <w:rsid w:val="00B92EC5"/>
    <w:rsid w:val="00B95894"/>
    <w:rsid w:val="00B9676C"/>
    <w:rsid w:val="00BA07FA"/>
    <w:rsid w:val="00BA3F54"/>
    <w:rsid w:val="00BA57E5"/>
    <w:rsid w:val="00BA694E"/>
    <w:rsid w:val="00BB138B"/>
    <w:rsid w:val="00BB417C"/>
    <w:rsid w:val="00BB6325"/>
    <w:rsid w:val="00BC5BDA"/>
    <w:rsid w:val="00BD022B"/>
    <w:rsid w:val="00BD0780"/>
    <w:rsid w:val="00BD17AE"/>
    <w:rsid w:val="00BD66CE"/>
    <w:rsid w:val="00BE09ED"/>
    <w:rsid w:val="00BE161C"/>
    <w:rsid w:val="00BE1E8F"/>
    <w:rsid w:val="00BE6468"/>
    <w:rsid w:val="00BE6CC1"/>
    <w:rsid w:val="00BE74D3"/>
    <w:rsid w:val="00BF4652"/>
    <w:rsid w:val="00BF587A"/>
    <w:rsid w:val="00BF6524"/>
    <w:rsid w:val="00BF7592"/>
    <w:rsid w:val="00C02E76"/>
    <w:rsid w:val="00C04DA7"/>
    <w:rsid w:val="00C06FAE"/>
    <w:rsid w:val="00C13806"/>
    <w:rsid w:val="00C1798F"/>
    <w:rsid w:val="00C2262B"/>
    <w:rsid w:val="00C23560"/>
    <w:rsid w:val="00C25577"/>
    <w:rsid w:val="00C25B44"/>
    <w:rsid w:val="00C3317D"/>
    <w:rsid w:val="00C33E49"/>
    <w:rsid w:val="00C35591"/>
    <w:rsid w:val="00C35A56"/>
    <w:rsid w:val="00C40546"/>
    <w:rsid w:val="00C41BD5"/>
    <w:rsid w:val="00C41EDB"/>
    <w:rsid w:val="00C42FA7"/>
    <w:rsid w:val="00C469DB"/>
    <w:rsid w:val="00C52B5C"/>
    <w:rsid w:val="00C535B1"/>
    <w:rsid w:val="00C5421A"/>
    <w:rsid w:val="00C5774B"/>
    <w:rsid w:val="00C6260A"/>
    <w:rsid w:val="00C728D0"/>
    <w:rsid w:val="00C72AC6"/>
    <w:rsid w:val="00C730D6"/>
    <w:rsid w:val="00C7415C"/>
    <w:rsid w:val="00C762AA"/>
    <w:rsid w:val="00C81DDD"/>
    <w:rsid w:val="00C85D29"/>
    <w:rsid w:val="00C916C8"/>
    <w:rsid w:val="00C94B40"/>
    <w:rsid w:val="00C96608"/>
    <w:rsid w:val="00C96B29"/>
    <w:rsid w:val="00C97E60"/>
    <w:rsid w:val="00CA08AD"/>
    <w:rsid w:val="00CA2E85"/>
    <w:rsid w:val="00CA336C"/>
    <w:rsid w:val="00CA3ADD"/>
    <w:rsid w:val="00CA4007"/>
    <w:rsid w:val="00CA6AE7"/>
    <w:rsid w:val="00CA6C49"/>
    <w:rsid w:val="00CB2043"/>
    <w:rsid w:val="00CB2790"/>
    <w:rsid w:val="00CB505F"/>
    <w:rsid w:val="00CB7939"/>
    <w:rsid w:val="00CC01F8"/>
    <w:rsid w:val="00CC5451"/>
    <w:rsid w:val="00CE20A8"/>
    <w:rsid w:val="00CE3166"/>
    <w:rsid w:val="00CE3F94"/>
    <w:rsid w:val="00CE53AB"/>
    <w:rsid w:val="00CE5A7F"/>
    <w:rsid w:val="00CF169A"/>
    <w:rsid w:val="00CF1DFC"/>
    <w:rsid w:val="00CF2C5D"/>
    <w:rsid w:val="00CF78C6"/>
    <w:rsid w:val="00CF7C87"/>
    <w:rsid w:val="00D0429B"/>
    <w:rsid w:val="00D11807"/>
    <w:rsid w:val="00D16B4A"/>
    <w:rsid w:val="00D16C72"/>
    <w:rsid w:val="00D245EA"/>
    <w:rsid w:val="00D24AF2"/>
    <w:rsid w:val="00D27424"/>
    <w:rsid w:val="00D276DB"/>
    <w:rsid w:val="00D36D9D"/>
    <w:rsid w:val="00D3775B"/>
    <w:rsid w:val="00D4190F"/>
    <w:rsid w:val="00D44882"/>
    <w:rsid w:val="00D50FC8"/>
    <w:rsid w:val="00D548C8"/>
    <w:rsid w:val="00D54ED4"/>
    <w:rsid w:val="00D554B6"/>
    <w:rsid w:val="00D6001B"/>
    <w:rsid w:val="00D633A3"/>
    <w:rsid w:val="00D63DB0"/>
    <w:rsid w:val="00D64121"/>
    <w:rsid w:val="00D64E07"/>
    <w:rsid w:val="00D66763"/>
    <w:rsid w:val="00D7108A"/>
    <w:rsid w:val="00D73ECD"/>
    <w:rsid w:val="00D74707"/>
    <w:rsid w:val="00D75FA7"/>
    <w:rsid w:val="00D85ACE"/>
    <w:rsid w:val="00D86F91"/>
    <w:rsid w:val="00DA5D1A"/>
    <w:rsid w:val="00DB3586"/>
    <w:rsid w:val="00DB4AC3"/>
    <w:rsid w:val="00DB5C6B"/>
    <w:rsid w:val="00DC11E3"/>
    <w:rsid w:val="00DC5385"/>
    <w:rsid w:val="00DC769B"/>
    <w:rsid w:val="00DC7728"/>
    <w:rsid w:val="00DC7AB7"/>
    <w:rsid w:val="00DD3616"/>
    <w:rsid w:val="00DD622B"/>
    <w:rsid w:val="00DD6CB9"/>
    <w:rsid w:val="00DE0A8C"/>
    <w:rsid w:val="00DE1BD0"/>
    <w:rsid w:val="00DE27F8"/>
    <w:rsid w:val="00DE55A6"/>
    <w:rsid w:val="00DE693B"/>
    <w:rsid w:val="00E010D9"/>
    <w:rsid w:val="00E01E99"/>
    <w:rsid w:val="00E1009C"/>
    <w:rsid w:val="00E14905"/>
    <w:rsid w:val="00E17087"/>
    <w:rsid w:val="00E307F8"/>
    <w:rsid w:val="00E30E83"/>
    <w:rsid w:val="00E314FC"/>
    <w:rsid w:val="00E32380"/>
    <w:rsid w:val="00E409B4"/>
    <w:rsid w:val="00E42A6E"/>
    <w:rsid w:val="00E42B0B"/>
    <w:rsid w:val="00E45AE3"/>
    <w:rsid w:val="00E47083"/>
    <w:rsid w:val="00E47926"/>
    <w:rsid w:val="00E52C47"/>
    <w:rsid w:val="00E53DCA"/>
    <w:rsid w:val="00E57FED"/>
    <w:rsid w:val="00E6399A"/>
    <w:rsid w:val="00E72A24"/>
    <w:rsid w:val="00E72F4B"/>
    <w:rsid w:val="00E83858"/>
    <w:rsid w:val="00E8709B"/>
    <w:rsid w:val="00E8785C"/>
    <w:rsid w:val="00E87AF4"/>
    <w:rsid w:val="00E95B1A"/>
    <w:rsid w:val="00EA47FF"/>
    <w:rsid w:val="00EA7DB7"/>
    <w:rsid w:val="00EB0FAD"/>
    <w:rsid w:val="00EB6DB9"/>
    <w:rsid w:val="00EB7949"/>
    <w:rsid w:val="00EB7F68"/>
    <w:rsid w:val="00EC036E"/>
    <w:rsid w:val="00EC0828"/>
    <w:rsid w:val="00EC2749"/>
    <w:rsid w:val="00EC38AE"/>
    <w:rsid w:val="00EC641A"/>
    <w:rsid w:val="00EC6692"/>
    <w:rsid w:val="00EC6B07"/>
    <w:rsid w:val="00ED0AC3"/>
    <w:rsid w:val="00ED76BF"/>
    <w:rsid w:val="00EE052C"/>
    <w:rsid w:val="00EE0D2D"/>
    <w:rsid w:val="00EE5396"/>
    <w:rsid w:val="00EE6176"/>
    <w:rsid w:val="00EF0A83"/>
    <w:rsid w:val="00EF5D3D"/>
    <w:rsid w:val="00EF6363"/>
    <w:rsid w:val="00F013E5"/>
    <w:rsid w:val="00F047A9"/>
    <w:rsid w:val="00F063F4"/>
    <w:rsid w:val="00F07C3A"/>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4400"/>
    <w:rsid w:val="00F55FAE"/>
    <w:rsid w:val="00F56078"/>
    <w:rsid w:val="00F636CC"/>
    <w:rsid w:val="00F64A31"/>
    <w:rsid w:val="00F65129"/>
    <w:rsid w:val="00F65CBA"/>
    <w:rsid w:val="00F66624"/>
    <w:rsid w:val="00F66BB6"/>
    <w:rsid w:val="00F66C18"/>
    <w:rsid w:val="00F7164D"/>
    <w:rsid w:val="00F74AD4"/>
    <w:rsid w:val="00F760E7"/>
    <w:rsid w:val="00F7759E"/>
    <w:rsid w:val="00F822A7"/>
    <w:rsid w:val="00F8394C"/>
    <w:rsid w:val="00F83B83"/>
    <w:rsid w:val="00F860AD"/>
    <w:rsid w:val="00F90E2E"/>
    <w:rsid w:val="00FA05C8"/>
    <w:rsid w:val="00FA1112"/>
    <w:rsid w:val="00FA1C73"/>
    <w:rsid w:val="00FA2FE9"/>
    <w:rsid w:val="00FB1942"/>
    <w:rsid w:val="00FB2A58"/>
    <w:rsid w:val="00FB32DA"/>
    <w:rsid w:val="00FC0F99"/>
    <w:rsid w:val="00FC1DE0"/>
    <w:rsid w:val="00FC48EB"/>
    <w:rsid w:val="00FD0EAB"/>
    <w:rsid w:val="00FD2F53"/>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styleId="Neapdorotaspaminjimas">
    <w:name w:val="Unresolved Mention"/>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C1798F"/>
    <w:rPr>
      <w:rFonts w:eastAsia="Times New Roman"/>
      <w:szCs w:val="20"/>
      <w:lang w:eastAsia="lt-LT"/>
    </w:rPr>
  </w:style>
  <w:style w:type="paragraph" w:styleId="Antrats">
    <w:name w:val="header"/>
    <w:basedOn w:val="prastasis"/>
    <w:link w:val="AntratsDiagrama"/>
    <w:uiPriority w:val="99"/>
    <w:unhideWhenUsed/>
    <w:rsid w:val="003940F3"/>
    <w:pPr>
      <w:tabs>
        <w:tab w:val="center" w:pos="4819"/>
        <w:tab w:val="right" w:pos="9638"/>
      </w:tabs>
    </w:pPr>
  </w:style>
  <w:style w:type="character" w:customStyle="1" w:styleId="AntratsDiagrama">
    <w:name w:val="Antraštės Diagrama"/>
    <w:basedOn w:val="Numatytasispastraiposriftas"/>
    <w:link w:val="Antrats"/>
    <w:uiPriority w:val="99"/>
    <w:rsid w:val="003940F3"/>
    <w:rPr>
      <w:rFonts w:eastAsia="Times New Roman"/>
      <w:szCs w:val="20"/>
      <w:lang w:eastAsia="lt-LT"/>
    </w:rPr>
  </w:style>
  <w:style w:type="paragraph" w:styleId="Porat">
    <w:name w:val="footer"/>
    <w:basedOn w:val="prastasis"/>
    <w:link w:val="PoratDiagrama"/>
    <w:uiPriority w:val="99"/>
    <w:unhideWhenUsed/>
    <w:rsid w:val="003940F3"/>
    <w:pPr>
      <w:tabs>
        <w:tab w:val="center" w:pos="4819"/>
        <w:tab w:val="right" w:pos="9638"/>
      </w:tabs>
    </w:pPr>
  </w:style>
  <w:style w:type="character" w:customStyle="1" w:styleId="PoratDiagrama">
    <w:name w:val="Poraštė Diagrama"/>
    <w:basedOn w:val="Numatytasispastraiposriftas"/>
    <w:link w:val="Porat"/>
    <w:uiPriority w:val="99"/>
    <w:rsid w:val="003940F3"/>
    <w:rPr>
      <w:rFonts w:eastAsia="Times New Roman"/>
      <w:szCs w:val="20"/>
      <w:lang w:eastAsia="lt-LT"/>
    </w:rPr>
  </w:style>
  <w:style w:type="paragraph" w:customStyle="1" w:styleId="darbotekstas">
    <w:name w:val="darbo tekstas"/>
    <w:basedOn w:val="prastasis"/>
    <w:uiPriority w:val="99"/>
    <w:rsid w:val="00BA07FA"/>
    <w:pPr>
      <w:ind w:left="-68" w:right="28" w:firstLine="720"/>
      <w:jc w:val="both"/>
    </w:pPr>
    <w:rPr>
      <w:szCs w:val="24"/>
      <w:lang w:eastAsia="en-US"/>
    </w:rPr>
  </w:style>
  <w:style w:type="paragraph" w:customStyle="1" w:styleId="pf0">
    <w:name w:val="pf0"/>
    <w:basedOn w:val="prastasis"/>
    <w:rsid w:val="000E3A8D"/>
    <w:pPr>
      <w:spacing w:before="100" w:beforeAutospacing="1" w:after="100" w:afterAutospacing="1"/>
    </w:pPr>
    <w:rPr>
      <w:szCs w:val="24"/>
    </w:rPr>
  </w:style>
  <w:style w:type="paragraph" w:styleId="prastasiniatinklio">
    <w:name w:val="Normal (Web)"/>
    <w:basedOn w:val="prastasis"/>
    <w:uiPriority w:val="99"/>
    <w:unhideWhenUsed/>
    <w:rsid w:val="002430D0"/>
    <w:pPr>
      <w:spacing w:before="100" w:beforeAutospacing="1" w:after="100" w:afterAutospacing="1"/>
    </w:pPr>
    <w:rPr>
      <w:szCs w:val="24"/>
    </w:rPr>
  </w:style>
  <w:style w:type="character" w:styleId="Grietas">
    <w:name w:val="Strong"/>
    <w:basedOn w:val="Numatytasispastraiposriftas"/>
    <w:uiPriority w:val="22"/>
    <w:qFormat/>
    <w:rsid w:val="002430D0"/>
    <w:rPr>
      <w:b/>
      <w:bCs/>
    </w:rPr>
  </w:style>
  <w:style w:type="paragraph" w:customStyle="1" w:styleId="xmsonormal">
    <w:name w:val="x_msonormal"/>
    <w:basedOn w:val="prastasis"/>
    <w:rsid w:val="001055FE"/>
    <w:rPr>
      <w:rFonts w:ascii="Calibri" w:eastAsiaTheme="minorHAnsi" w:hAnsi="Calibri" w:cs="Calibri"/>
      <w:sz w:val="22"/>
      <w:szCs w:val="22"/>
    </w:rPr>
  </w:style>
  <w:style w:type="paragraph" w:styleId="Puslapioinaostekstas">
    <w:name w:val="footnote text"/>
    <w:basedOn w:val="prastasis"/>
    <w:link w:val="PuslapioinaostekstasDiagrama"/>
    <w:uiPriority w:val="99"/>
    <w:semiHidden/>
    <w:unhideWhenUsed/>
    <w:rsid w:val="005934C1"/>
    <w:rPr>
      <w:sz w:val="20"/>
    </w:rPr>
  </w:style>
  <w:style w:type="character" w:customStyle="1" w:styleId="PuslapioinaostekstasDiagrama">
    <w:name w:val="Puslapio išnašos tekstas Diagrama"/>
    <w:basedOn w:val="Numatytasispastraiposriftas"/>
    <w:link w:val="Puslapioinaostekstas"/>
    <w:uiPriority w:val="99"/>
    <w:semiHidden/>
    <w:rsid w:val="005934C1"/>
    <w:rPr>
      <w:rFonts w:eastAsia="Times New Roman"/>
      <w:sz w:val="20"/>
      <w:szCs w:val="20"/>
      <w:lang w:eastAsia="lt-LT"/>
    </w:rPr>
  </w:style>
  <w:style w:type="character" w:styleId="Puslapioinaosnuoroda">
    <w:name w:val="footnote reference"/>
    <w:basedOn w:val="Numatytasispastraiposriftas"/>
    <w:uiPriority w:val="99"/>
    <w:semiHidden/>
    <w:unhideWhenUsed/>
    <w:rsid w:val="005934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3738924">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560290632">
      <w:bodyDiv w:val="1"/>
      <w:marLeft w:val="0"/>
      <w:marRight w:val="0"/>
      <w:marTop w:val="0"/>
      <w:marBottom w:val="0"/>
      <w:divBdr>
        <w:top w:val="none" w:sz="0" w:space="0" w:color="auto"/>
        <w:left w:val="none" w:sz="0" w:space="0" w:color="auto"/>
        <w:bottom w:val="none" w:sz="0" w:space="0" w:color="auto"/>
        <w:right w:val="none" w:sz="0" w:space="0" w:color="auto"/>
      </w:divBdr>
    </w:div>
    <w:div w:id="590968852">
      <w:bodyDiv w:val="1"/>
      <w:marLeft w:val="0"/>
      <w:marRight w:val="0"/>
      <w:marTop w:val="0"/>
      <w:marBottom w:val="0"/>
      <w:divBdr>
        <w:top w:val="none" w:sz="0" w:space="0" w:color="auto"/>
        <w:left w:val="none" w:sz="0" w:space="0" w:color="auto"/>
        <w:bottom w:val="none" w:sz="0" w:space="0" w:color="auto"/>
        <w:right w:val="none" w:sz="0" w:space="0" w:color="auto"/>
      </w:divBdr>
    </w:div>
    <w:div w:id="693382639">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543329083">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871602539">
      <w:bodyDiv w:val="1"/>
      <w:marLeft w:val="0"/>
      <w:marRight w:val="0"/>
      <w:marTop w:val="0"/>
      <w:marBottom w:val="0"/>
      <w:divBdr>
        <w:top w:val="none" w:sz="0" w:space="0" w:color="auto"/>
        <w:left w:val="none" w:sz="0" w:space="0" w:color="auto"/>
        <w:bottom w:val="none" w:sz="0" w:space="0" w:color="auto"/>
        <w:right w:val="none" w:sz="0" w:space="0" w:color="auto"/>
      </w:divBdr>
    </w:div>
    <w:div w:id="1936553785">
      <w:bodyDiv w:val="1"/>
      <w:marLeft w:val="0"/>
      <w:marRight w:val="0"/>
      <w:marTop w:val="0"/>
      <w:marBottom w:val="0"/>
      <w:divBdr>
        <w:top w:val="none" w:sz="0" w:space="0" w:color="auto"/>
        <w:left w:val="none" w:sz="0" w:space="0" w:color="auto"/>
        <w:bottom w:val="none" w:sz="0" w:space="0" w:color="auto"/>
        <w:right w:val="none" w:sz="0" w:space="0" w:color="auto"/>
      </w:divBdr>
    </w:div>
    <w:div w:id="1965766894">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5</Pages>
  <Words>7723</Words>
  <Characters>4403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Živilė Bilotienė</cp:lastModifiedBy>
  <cp:revision>97</cp:revision>
  <dcterms:created xsi:type="dcterms:W3CDTF">2022-08-25T12:07:00Z</dcterms:created>
  <dcterms:modified xsi:type="dcterms:W3CDTF">2023-02-14T13:54:00Z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