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A1DDB" w14:textId="77777777" w:rsidR="00F6405C" w:rsidRPr="00D37B50" w:rsidRDefault="00F6405C" w:rsidP="00F6405C">
      <w:pPr>
        <w:ind w:left="720" w:hanging="360"/>
        <w:jc w:val="both"/>
        <w:rPr>
          <w:rFonts w:ascii="Times New Roman" w:hAnsi="Times New Roman" w:cs="Times New Roman"/>
        </w:rPr>
      </w:pPr>
    </w:p>
    <w:p w14:paraId="1C12EAAA" w14:textId="21133CE6" w:rsidR="00F6405C" w:rsidRPr="00D37B50" w:rsidRDefault="003B51C1" w:rsidP="00F6405C">
      <w:pPr>
        <w:pStyle w:val="Sraopastraipa"/>
        <w:numPr>
          <w:ilvl w:val="0"/>
          <w:numId w:val="1"/>
        </w:numPr>
        <w:jc w:val="both"/>
        <w:rPr>
          <w:rFonts w:ascii="Times New Roman" w:hAnsi="Times New Roman" w:cs="Times New Roman"/>
          <w:color w:val="1F497D"/>
        </w:rPr>
      </w:pPr>
      <w:r w:rsidRPr="00D37B50">
        <w:rPr>
          <w:rFonts w:ascii="Times New Roman" w:hAnsi="Times New Roman" w:cs="Times New Roman"/>
        </w:rPr>
        <w:t xml:space="preserve">Pagal </w:t>
      </w:r>
      <w:r w:rsidR="0007477C" w:rsidRPr="00D37B50">
        <w:rPr>
          <w:rFonts w:ascii="Times New Roman" w:hAnsi="Times New Roman" w:cs="Times New Roman"/>
        </w:rPr>
        <w:t>PFSA</w:t>
      </w:r>
      <w:r w:rsidR="0042073E" w:rsidRPr="00D37B50">
        <w:rPr>
          <w:rFonts w:ascii="Times New Roman" w:hAnsi="Times New Roman" w:cs="Times New Roman"/>
        </w:rPr>
        <w:t xml:space="preserve"> </w:t>
      </w:r>
      <w:r w:rsidR="00F6405C" w:rsidRPr="00D37B50">
        <w:rPr>
          <w:rFonts w:ascii="Times New Roman" w:hAnsi="Times New Roman" w:cs="Times New Roman"/>
        </w:rPr>
        <w:t>2.4</w:t>
      </w:r>
      <w:r w:rsidR="0042073E" w:rsidRPr="00D37B50">
        <w:rPr>
          <w:rFonts w:ascii="Times New Roman" w:hAnsi="Times New Roman" w:cs="Times New Roman"/>
        </w:rPr>
        <w:t xml:space="preserve"> </w:t>
      </w:r>
      <w:r w:rsidRPr="00D37B50">
        <w:rPr>
          <w:rFonts w:ascii="Times New Roman" w:hAnsi="Times New Roman" w:cs="Times New Roman"/>
        </w:rPr>
        <w:t xml:space="preserve">p. </w:t>
      </w:r>
      <w:r w:rsidR="00F6405C" w:rsidRPr="00D37B50">
        <w:rPr>
          <w:rFonts w:ascii="Times New Roman" w:hAnsi="Times New Roman" w:cs="Times New Roman"/>
        </w:rPr>
        <w:t xml:space="preserve">Didžiausia galima projektui skirti finansavimo lėšų suma yra iki 60 000 Eur (šešiasdešimt tūkstančių eurų). Nėra aišku, ar ši suma yra įskaitant PVM, ar ne. </w:t>
      </w:r>
    </w:p>
    <w:p w14:paraId="291079F1" w14:textId="15A2362A" w:rsidR="00F6405C" w:rsidRPr="00D37B50" w:rsidRDefault="00F6405C" w:rsidP="00F6405C">
      <w:pPr>
        <w:pStyle w:val="Sraopastraipa"/>
        <w:jc w:val="both"/>
        <w:rPr>
          <w:rFonts w:ascii="Times New Roman" w:hAnsi="Times New Roman" w:cs="Times New Roman"/>
          <w:color w:val="2F5496" w:themeColor="accent1" w:themeShade="BF"/>
        </w:rPr>
      </w:pPr>
      <w:r w:rsidRPr="00D37B50">
        <w:rPr>
          <w:rFonts w:ascii="Times New Roman" w:hAnsi="Times New Roman" w:cs="Times New Roman"/>
          <w:color w:val="2F5496" w:themeColor="accent1" w:themeShade="BF"/>
        </w:rPr>
        <w:t xml:space="preserve">Didžiausia galima projektui skirti finansavimo lėšų suma </w:t>
      </w:r>
      <w:r w:rsidR="003B51C1" w:rsidRPr="00D37B50">
        <w:rPr>
          <w:rFonts w:ascii="Times New Roman" w:hAnsi="Times New Roman" w:cs="Times New Roman"/>
          <w:color w:val="2F5496" w:themeColor="accent1" w:themeShade="BF"/>
        </w:rPr>
        <w:t xml:space="preserve">60 000 </w:t>
      </w:r>
      <w:proofErr w:type="spellStart"/>
      <w:r w:rsidR="003B51C1" w:rsidRPr="00D37B50">
        <w:rPr>
          <w:rFonts w:ascii="Times New Roman" w:hAnsi="Times New Roman" w:cs="Times New Roman"/>
          <w:color w:val="2F5496" w:themeColor="accent1" w:themeShade="BF"/>
        </w:rPr>
        <w:t>eur</w:t>
      </w:r>
      <w:proofErr w:type="spellEnd"/>
      <w:r w:rsidR="003B51C1" w:rsidRPr="00D37B50">
        <w:rPr>
          <w:rFonts w:ascii="Times New Roman" w:hAnsi="Times New Roman" w:cs="Times New Roman"/>
          <w:color w:val="2F5496" w:themeColor="accent1" w:themeShade="BF"/>
        </w:rPr>
        <w:t xml:space="preserve"> </w:t>
      </w:r>
      <w:r w:rsidRPr="00D37B50">
        <w:rPr>
          <w:rFonts w:ascii="Times New Roman" w:hAnsi="Times New Roman" w:cs="Times New Roman"/>
          <w:color w:val="2F5496" w:themeColor="accent1" w:themeShade="BF"/>
        </w:rPr>
        <w:t>į</w:t>
      </w:r>
      <w:r w:rsidR="003B51C1" w:rsidRPr="00D37B50">
        <w:rPr>
          <w:rFonts w:ascii="Times New Roman" w:hAnsi="Times New Roman" w:cs="Times New Roman"/>
          <w:color w:val="2F5496" w:themeColor="accent1" w:themeShade="BF"/>
        </w:rPr>
        <w:t>s</w:t>
      </w:r>
      <w:r w:rsidRPr="00D37B50">
        <w:rPr>
          <w:rFonts w:ascii="Times New Roman" w:hAnsi="Times New Roman" w:cs="Times New Roman"/>
          <w:color w:val="2F5496" w:themeColor="accent1" w:themeShade="BF"/>
        </w:rPr>
        <w:t>kaitant ir PVM.</w:t>
      </w:r>
    </w:p>
    <w:p w14:paraId="0B0498B1" w14:textId="77777777" w:rsidR="0042073E" w:rsidRPr="00D37B50" w:rsidRDefault="0042073E" w:rsidP="00F6405C">
      <w:pPr>
        <w:pStyle w:val="Sraopastraipa"/>
        <w:jc w:val="both"/>
        <w:rPr>
          <w:rFonts w:ascii="Times New Roman" w:hAnsi="Times New Roman" w:cs="Times New Roman"/>
          <w:color w:val="1F497D"/>
        </w:rPr>
      </w:pPr>
    </w:p>
    <w:p w14:paraId="4A6270F4" w14:textId="21E49ED9" w:rsidR="0042073E" w:rsidRPr="00D37B50" w:rsidRDefault="0042073E" w:rsidP="0042073E">
      <w:pPr>
        <w:pStyle w:val="Sraopastraipa"/>
        <w:numPr>
          <w:ilvl w:val="0"/>
          <w:numId w:val="1"/>
        </w:numPr>
        <w:jc w:val="both"/>
        <w:rPr>
          <w:rFonts w:ascii="Times New Roman" w:hAnsi="Times New Roman" w:cs="Times New Roman"/>
          <w:sz w:val="24"/>
          <w:szCs w:val="24"/>
        </w:rPr>
      </w:pPr>
      <w:r w:rsidRPr="00D37B50">
        <w:rPr>
          <w:rFonts w:ascii="Times New Roman" w:hAnsi="Times New Roman" w:cs="Times New Roman"/>
        </w:rPr>
        <w:t xml:space="preserve">Pagal </w:t>
      </w:r>
      <w:r w:rsidR="0007477C" w:rsidRPr="00D37B50">
        <w:rPr>
          <w:rFonts w:ascii="Times New Roman" w:hAnsi="Times New Roman" w:cs="Times New Roman"/>
        </w:rPr>
        <w:t>PFSA 2.5 p.</w:t>
      </w:r>
      <w:r w:rsidRPr="00D37B50">
        <w:rPr>
          <w:rFonts w:ascii="Times New Roman" w:hAnsi="Times New Roman" w:cs="Times New Roman"/>
        </w:rPr>
        <w:t xml:space="preserve"> teikiamų paraiškų skaičius vienam pareiškėjui neribojamas. Tai pačiai veiklai (iš 2.6 papunktyje nurodytų) finansavimo projekto įgyvendinimo plane galima prašyti vieną kartą.</w:t>
      </w:r>
      <w:r w:rsidR="0007477C" w:rsidRPr="00D37B50">
        <w:rPr>
          <w:rFonts w:ascii="Times New Roman" w:hAnsi="Times New Roman" w:cs="Times New Roman"/>
        </w:rPr>
        <w:t xml:space="preserve"> </w:t>
      </w:r>
      <w:r w:rsidR="00EE4488" w:rsidRPr="00D37B50">
        <w:rPr>
          <w:rFonts w:ascii="Times New Roman" w:hAnsi="Times New Roman" w:cs="Times New Roman"/>
        </w:rPr>
        <w:t>Ar galima kiekviename PĮP prašyti finansavimo toms pačioms veikloms?</w:t>
      </w:r>
      <w:r w:rsidR="0007477C" w:rsidRPr="00D37B50">
        <w:rPr>
          <w:rFonts w:ascii="Times New Roman" w:hAnsi="Times New Roman" w:cs="Times New Roman"/>
        </w:rPr>
        <w:t xml:space="preserve"> </w:t>
      </w:r>
    </w:p>
    <w:p w14:paraId="3D941263" w14:textId="5A0DA87C" w:rsidR="0042073E" w:rsidRPr="00D37B50" w:rsidRDefault="0007477C" w:rsidP="0042073E">
      <w:pPr>
        <w:pStyle w:val="Sraopastraipa"/>
        <w:rPr>
          <w:rFonts w:ascii="Times New Roman" w:hAnsi="Times New Roman" w:cs="Times New Roman"/>
          <w:color w:val="2F5496" w:themeColor="accent1" w:themeShade="BF"/>
        </w:rPr>
      </w:pPr>
      <w:r w:rsidRPr="00D37B50">
        <w:rPr>
          <w:rFonts w:ascii="Times New Roman" w:hAnsi="Times New Roman" w:cs="Times New Roman"/>
          <w:color w:val="2F5496" w:themeColor="accent1" w:themeShade="BF"/>
        </w:rPr>
        <w:t xml:space="preserve">Vienas pareiškėjas gali teikti kelis PĮP, tačiau </w:t>
      </w:r>
      <w:r w:rsidR="0042073E" w:rsidRPr="00D37B50">
        <w:rPr>
          <w:rFonts w:ascii="Times New Roman" w:hAnsi="Times New Roman" w:cs="Times New Roman"/>
          <w:color w:val="2F5496" w:themeColor="accent1" w:themeShade="BF"/>
        </w:rPr>
        <w:t xml:space="preserve">bendrai per visus </w:t>
      </w:r>
      <w:r w:rsidRPr="00D37B50">
        <w:rPr>
          <w:rFonts w:ascii="Times New Roman" w:hAnsi="Times New Roman" w:cs="Times New Roman"/>
          <w:color w:val="2F5496" w:themeColor="accent1" w:themeShade="BF"/>
        </w:rPr>
        <w:t xml:space="preserve">teikiamus </w:t>
      </w:r>
      <w:r w:rsidR="0042073E" w:rsidRPr="00D37B50">
        <w:rPr>
          <w:rFonts w:ascii="Times New Roman" w:hAnsi="Times New Roman" w:cs="Times New Roman"/>
          <w:color w:val="2F5496" w:themeColor="accent1" w:themeShade="BF"/>
        </w:rPr>
        <w:t xml:space="preserve">PĮP prašyti finansavimo </w:t>
      </w:r>
      <w:r w:rsidR="00EE4488" w:rsidRPr="00D37B50">
        <w:rPr>
          <w:rFonts w:ascii="Times New Roman" w:hAnsi="Times New Roman" w:cs="Times New Roman"/>
          <w:color w:val="2F5496" w:themeColor="accent1" w:themeShade="BF"/>
        </w:rPr>
        <w:t xml:space="preserve">galima </w:t>
      </w:r>
      <w:r w:rsidR="0042073E" w:rsidRPr="00D37B50">
        <w:rPr>
          <w:rFonts w:ascii="Times New Roman" w:hAnsi="Times New Roman" w:cs="Times New Roman"/>
          <w:color w:val="2F5496" w:themeColor="accent1" w:themeShade="BF"/>
        </w:rPr>
        <w:t>tik vieną kartą</w:t>
      </w:r>
      <w:r w:rsidRPr="00D37B50">
        <w:rPr>
          <w:rFonts w:ascii="Times New Roman" w:hAnsi="Times New Roman" w:cs="Times New Roman"/>
          <w:color w:val="2F5496" w:themeColor="accent1" w:themeShade="BF"/>
        </w:rPr>
        <w:t xml:space="preserve"> tai pačiai veiklai.</w:t>
      </w:r>
    </w:p>
    <w:p w14:paraId="09B8E7D3" w14:textId="77777777" w:rsidR="0042073E" w:rsidRPr="00D37B50" w:rsidRDefault="0042073E" w:rsidP="00F6405C">
      <w:pPr>
        <w:pStyle w:val="Sraopastraipa"/>
        <w:jc w:val="both"/>
        <w:rPr>
          <w:rFonts w:ascii="Times New Roman" w:hAnsi="Times New Roman" w:cs="Times New Roman"/>
          <w:color w:val="2F5496" w:themeColor="accent1" w:themeShade="BF"/>
        </w:rPr>
      </w:pPr>
    </w:p>
    <w:p w14:paraId="036A8D26" w14:textId="39288F82" w:rsidR="00F6405C" w:rsidRPr="00D37B50" w:rsidRDefault="00F8680C" w:rsidP="00F6405C">
      <w:pPr>
        <w:pStyle w:val="Sraopastraipa"/>
        <w:numPr>
          <w:ilvl w:val="0"/>
          <w:numId w:val="1"/>
        </w:numPr>
        <w:jc w:val="both"/>
        <w:rPr>
          <w:rFonts w:ascii="Times New Roman" w:hAnsi="Times New Roman" w:cs="Times New Roman"/>
          <w:sz w:val="24"/>
          <w:szCs w:val="24"/>
        </w:rPr>
      </w:pPr>
      <w:r w:rsidRPr="00D37B50">
        <w:rPr>
          <w:rFonts w:ascii="Times New Roman" w:hAnsi="Times New Roman" w:cs="Times New Roman"/>
        </w:rPr>
        <w:t xml:space="preserve">Viena </w:t>
      </w:r>
      <w:r w:rsidR="00F6405C" w:rsidRPr="00D37B50">
        <w:rPr>
          <w:rFonts w:ascii="Times New Roman" w:hAnsi="Times New Roman" w:cs="Times New Roman"/>
        </w:rPr>
        <w:t xml:space="preserve">iš finansuojamų veiklų pagal PFSA yra „2.6.2. parengti ir (arba) įgyvendinti lyčių lygybės ir lygių galimybių priemones (EMTE veiksmas Nr. 5: Skatinti lyčių lygybę ir </w:t>
      </w:r>
      <w:proofErr w:type="spellStart"/>
      <w:r w:rsidR="00F6405C" w:rsidRPr="00D37B50">
        <w:rPr>
          <w:rFonts w:ascii="Times New Roman" w:hAnsi="Times New Roman" w:cs="Times New Roman"/>
        </w:rPr>
        <w:t>įtraukumą</w:t>
      </w:r>
      <w:proofErr w:type="spellEnd"/>
      <w:r w:rsidR="00F6405C" w:rsidRPr="00D37B50">
        <w:rPr>
          <w:rFonts w:ascii="Times New Roman" w:hAnsi="Times New Roman" w:cs="Times New Roman"/>
        </w:rPr>
        <w:t>, atsižvelgiant į Liublianos deklaraciją)“. Jeigu pareiškėjas jau turi parengęs minėtas priemones, tačiau nori jas tobulinti. Ar tokia veikla būtų tinkama finansuoti?</w:t>
      </w:r>
    </w:p>
    <w:p w14:paraId="1373B102" w14:textId="73D60EE2" w:rsidR="003B51C1" w:rsidRPr="00D37B50" w:rsidRDefault="003B51C1" w:rsidP="003B51C1">
      <w:pPr>
        <w:pStyle w:val="Sraopastraipa"/>
        <w:jc w:val="both"/>
        <w:rPr>
          <w:rFonts w:ascii="Times New Roman" w:hAnsi="Times New Roman" w:cs="Times New Roman"/>
          <w:color w:val="2F5496" w:themeColor="accent1" w:themeShade="BF"/>
        </w:rPr>
      </w:pPr>
      <w:r w:rsidRPr="00D37B50">
        <w:rPr>
          <w:rFonts w:ascii="Times New Roman" w:hAnsi="Times New Roman" w:cs="Times New Roman"/>
          <w:color w:val="2F5496" w:themeColor="accent1" w:themeShade="BF"/>
        </w:rPr>
        <w:t>Vien tik „tobulinimas“ nebūtų tinkamas. Bet jei pareiškėjas aiškiai įvardintų, ką konkrečiai planuotų daryti ir PĮP suformuluotų „tobulinimas (įvardinant kas būtų daroma) ir įgyvendinimas“ -tada būtų logiška ir tinkama.</w:t>
      </w:r>
    </w:p>
    <w:p w14:paraId="1F983F0D" w14:textId="3BC4DC66" w:rsidR="00F6405C" w:rsidRPr="00D37B50" w:rsidRDefault="00F6405C">
      <w:pPr>
        <w:rPr>
          <w:rFonts w:ascii="Times New Roman" w:hAnsi="Times New Roman" w:cs="Times New Roman"/>
        </w:rPr>
      </w:pPr>
    </w:p>
    <w:p w14:paraId="7F1C23D6" w14:textId="5A2A4B40" w:rsidR="00F6405C" w:rsidRPr="00D37B50" w:rsidRDefault="00F6405C" w:rsidP="00F6405C">
      <w:pPr>
        <w:pStyle w:val="Sraopastraipa"/>
        <w:numPr>
          <w:ilvl w:val="0"/>
          <w:numId w:val="1"/>
        </w:numPr>
        <w:jc w:val="both"/>
        <w:rPr>
          <w:rFonts w:ascii="Times New Roman" w:hAnsi="Times New Roman" w:cs="Times New Roman"/>
          <w:sz w:val="24"/>
          <w:szCs w:val="24"/>
        </w:rPr>
      </w:pPr>
      <w:r w:rsidRPr="00D37B50">
        <w:rPr>
          <w:rFonts w:ascii="Times New Roman" w:hAnsi="Times New Roman" w:cs="Times New Roman"/>
        </w:rPr>
        <w:t xml:space="preserve">Viena iš finansuojamų veiklų pagal PFSA yra „2.6.5. skatinti abipusiškumu grindžiamą tarptautinį bendradarbiavimą (diegiant Europos Komisijos rekomendacijas dėl išorės grėsmių ir kt.) (EMTE veiksmas Nr. 9: Skatinti abipusiškumu grindžiamam tarptautiniam bendradarbiavimui palankią aplinką ir vienodas sąlygas).“ </w:t>
      </w:r>
      <w:r w:rsidR="00F8680C" w:rsidRPr="00D37B50">
        <w:rPr>
          <w:rFonts w:ascii="Times New Roman" w:hAnsi="Times New Roman" w:cs="Times New Roman"/>
        </w:rPr>
        <w:t>K</w:t>
      </w:r>
      <w:r w:rsidRPr="00D37B50">
        <w:rPr>
          <w:rFonts w:ascii="Times New Roman" w:hAnsi="Times New Roman" w:cs="Times New Roman"/>
        </w:rPr>
        <w:t xml:space="preserve">okios čia veiklos būtų tinkamos? Ką konkrečiai pareiškėjai gali daryti pagal šią veiklą? </w:t>
      </w:r>
    </w:p>
    <w:p w14:paraId="38262FCC" w14:textId="255AFDC8" w:rsidR="00F6405C" w:rsidRPr="00D37B50" w:rsidRDefault="008464E8" w:rsidP="00F6405C">
      <w:pPr>
        <w:pStyle w:val="Sraopastraipa"/>
        <w:rPr>
          <w:rFonts w:ascii="Times New Roman" w:hAnsi="Times New Roman" w:cs="Times New Roman"/>
          <w:color w:val="2F5496" w:themeColor="accent1" w:themeShade="BF"/>
        </w:rPr>
      </w:pPr>
      <w:r>
        <w:rPr>
          <w:rFonts w:ascii="Times New Roman" w:hAnsi="Times New Roman" w:cs="Times New Roman"/>
          <w:color w:val="2F5496" w:themeColor="accent1" w:themeShade="BF"/>
        </w:rPr>
        <w:t xml:space="preserve">Pareiškėjai turėtų </w:t>
      </w:r>
      <w:r w:rsidR="003B51C1" w:rsidRPr="00D37B50">
        <w:rPr>
          <w:rFonts w:ascii="Times New Roman" w:hAnsi="Times New Roman" w:cs="Times New Roman"/>
          <w:color w:val="2F5496" w:themeColor="accent1" w:themeShade="BF"/>
        </w:rPr>
        <w:t>pasirengt</w:t>
      </w:r>
      <w:r>
        <w:rPr>
          <w:rFonts w:ascii="Times New Roman" w:hAnsi="Times New Roman" w:cs="Times New Roman"/>
          <w:color w:val="2F5496" w:themeColor="accent1" w:themeShade="BF"/>
        </w:rPr>
        <w:t>i</w:t>
      </w:r>
      <w:r w:rsidR="003B51C1" w:rsidRPr="00D37B50">
        <w:rPr>
          <w:rFonts w:ascii="Times New Roman" w:hAnsi="Times New Roman" w:cs="Times New Roman"/>
          <w:color w:val="2F5496" w:themeColor="accent1" w:themeShade="BF"/>
        </w:rPr>
        <w:t xml:space="preserve"> savo vidinius aktualius dokumentus pagal (įgyvendinant) EK rekomendacijas</w:t>
      </w:r>
      <w:r w:rsidR="00EE4488" w:rsidRPr="00D37B50">
        <w:rPr>
          <w:rFonts w:ascii="Times New Roman" w:hAnsi="Times New Roman" w:cs="Times New Roman"/>
          <w:color w:val="2F5496" w:themeColor="accent1" w:themeShade="BF"/>
        </w:rPr>
        <w:t xml:space="preserve">: </w:t>
      </w:r>
      <w:r w:rsidR="00F8680C" w:rsidRPr="00D37B50">
        <w:rPr>
          <w:rFonts w:ascii="Times New Roman" w:hAnsi="Times New Roman" w:cs="Times New Roman"/>
          <w:color w:val="2F5496" w:themeColor="accent1" w:themeShade="BF"/>
        </w:rPr>
        <w:t xml:space="preserve"> </w:t>
      </w:r>
      <w:hyperlink r:id="rId5" w:history="1">
        <w:r w:rsidR="00EE4488" w:rsidRPr="00D37B50">
          <w:rPr>
            <w:rStyle w:val="Hipersaitas"/>
            <w:rFonts w:ascii="Times New Roman" w:hAnsi="Times New Roman" w:cs="Times New Roman"/>
            <w14:textFill>
              <w14:solidFill>
                <w14:srgbClr w14:val="0563C1">
                  <w14:lumMod w14:val="75000"/>
                </w14:srgbClr>
              </w14:solidFill>
            </w14:textFill>
          </w:rPr>
          <w:t>https://op.europa.eu/en/publication-detail/-/publication/3faf52e8-79a2-11ec-9136-01aa75ed71a1/language-en</w:t>
        </w:r>
      </w:hyperlink>
    </w:p>
    <w:p w14:paraId="25C9C750" w14:textId="77777777" w:rsidR="00EE4488" w:rsidRPr="00D37B50" w:rsidRDefault="00EE4488" w:rsidP="00F6405C">
      <w:pPr>
        <w:pStyle w:val="Sraopastraipa"/>
        <w:rPr>
          <w:rFonts w:ascii="Times New Roman" w:hAnsi="Times New Roman" w:cs="Times New Roman"/>
          <w:color w:val="2F5496" w:themeColor="accent1" w:themeShade="BF"/>
        </w:rPr>
      </w:pPr>
    </w:p>
    <w:p w14:paraId="5C3B145D" w14:textId="77777777" w:rsidR="003B51C1" w:rsidRPr="00D37B50" w:rsidRDefault="003B51C1" w:rsidP="00F6405C">
      <w:pPr>
        <w:pStyle w:val="Sraopastraipa"/>
        <w:rPr>
          <w:rFonts w:ascii="Times New Roman" w:hAnsi="Times New Roman" w:cs="Times New Roman"/>
          <w:sz w:val="24"/>
          <w:szCs w:val="24"/>
        </w:rPr>
      </w:pPr>
    </w:p>
    <w:p w14:paraId="4EECFB23" w14:textId="64315E91" w:rsidR="0042073E" w:rsidRPr="00D37B50" w:rsidRDefault="00F8680C" w:rsidP="00DA4AF9">
      <w:pPr>
        <w:pStyle w:val="Sraopastraipa"/>
        <w:numPr>
          <w:ilvl w:val="0"/>
          <w:numId w:val="1"/>
        </w:numPr>
        <w:jc w:val="both"/>
        <w:rPr>
          <w:rFonts w:ascii="Times New Roman" w:hAnsi="Times New Roman" w:cs="Times New Roman"/>
        </w:rPr>
      </w:pPr>
      <w:r w:rsidRPr="00D37B50">
        <w:rPr>
          <w:rFonts w:ascii="Times New Roman" w:hAnsi="Times New Roman" w:cs="Times New Roman"/>
        </w:rPr>
        <w:t xml:space="preserve">Kiek </w:t>
      </w:r>
      <w:r w:rsidR="009D5469" w:rsidRPr="00D37B50">
        <w:rPr>
          <w:rFonts w:ascii="Times New Roman" w:hAnsi="Times New Roman" w:cs="Times New Roman"/>
        </w:rPr>
        <w:t xml:space="preserve">svarbu atliepti EMTE veiksmus, kurie nurodyti dokumente : </w:t>
      </w:r>
      <w:r w:rsidR="003B51C1" w:rsidRPr="00D37B50">
        <w:rPr>
          <w:rFonts w:ascii="Times New Roman" w:hAnsi="Times New Roman" w:cs="Times New Roman"/>
        </w:rPr>
        <w:t xml:space="preserve"> </w:t>
      </w:r>
      <w:hyperlink r:id="rId6" w:history="1">
        <w:r w:rsidR="003B51C1" w:rsidRPr="00D37B50">
          <w:rPr>
            <w:rStyle w:val="Hipersaitas"/>
            <w:rFonts w:ascii="Times New Roman" w:hAnsi="Times New Roman" w:cs="Times New Roman"/>
          </w:rPr>
          <w:t>https://data.consilium.europa.eu/doc/document/ST-14308-2021-INIT/lt/pdf</w:t>
        </w:r>
      </w:hyperlink>
      <w:r w:rsidR="003B51C1" w:rsidRPr="00D37B50">
        <w:rPr>
          <w:rFonts w:ascii="Times New Roman" w:hAnsi="Times New Roman" w:cs="Times New Roman"/>
        </w:rPr>
        <w:t xml:space="preserve"> </w:t>
      </w:r>
      <w:r w:rsidR="009D5469" w:rsidRPr="00D37B50">
        <w:rPr>
          <w:rFonts w:ascii="Times New Roman" w:hAnsi="Times New Roman" w:cs="Times New Roman"/>
        </w:rPr>
        <w:t xml:space="preserve"> </w:t>
      </w:r>
      <w:r w:rsidRPr="00D37B50">
        <w:rPr>
          <w:rFonts w:ascii="Times New Roman" w:hAnsi="Times New Roman" w:cs="Times New Roman"/>
        </w:rPr>
        <w:t>K</w:t>
      </w:r>
      <w:r w:rsidR="003B51C1" w:rsidRPr="00D37B50">
        <w:rPr>
          <w:rFonts w:ascii="Times New Roman" w:hAnsi="Times New Roman" w:cs="Times New Roman"/>
        </w:rPr>
        <w:t xml:space="preserve">vietime nurodyta kad </w:t>
      </w:r>
      <w:r w:rsidRPr="00D37B50">
        <w:rPr>
          <w:rFonts w:ascii="Times New Roman" w:hAnsi="Times New Roman" w:cs="Times New Roman"/>
        </w:rPr>
        <w:t>„</w:t>
      </w:r>
      <w:r w:rsidR="003B51C1" w:rsidRPr="00D37B50">
        <w:rPr>
          <w:rFonts w:ascii="Times New Roman" w:hAnsi="Times New Roman" w:cs="Times New Roman"/>
        </w:rPr>
        <w:t>Skiriama parama veikloms, skirtoms Europos mokslinių tyrimų erdvės prioritetams įgyvendinti, siekiant institucinių pokyčių MSI</w:t>
      </w:r>
      <w:r w:rsidR="009D5469" w:rsidRPr="00D37B50">
        <w:rPr>
          <w:rFonts w:ascii="Times New Roman" w:hAnsi="Times New Roman" w:cs="Times New Roman"/>
        </w:rPr>
        <w:t>.</w:t>
      </w:r>
      <w:r w:rsidR="003B51C1" w:rsidRPr="00D37B50">
        <w:rPr>
          <w:rFonts w:ascii="Times New Roman" w:hAnsi="Times New Roman" w:cs="Times New Roman"/>
        </w:rPr>
        <w:t xml:space="preserve"> </w:t>
      </w:r>
      <w:r w:rsidR="009D5469" w:rsidRPr="00D37B50">
        <w:rPr>
          <w:rFonts w:ascii="Times New Roman" w:hAnsi="Times New Roman" w:cs="Times New Roman"/>
        </w:rPr>
        <w:t>Pvz.</w:t>
      </w:r>
      <w:r w:rsidR="003B51C1" w:rsidRPr="00D37B50">
        <w:rPr>
          <w:rFonts w:ascii="Times New Roman" w:hAnsi="Times New Roman" w:cs="Times New Roman"/>
        </w:rPr>
        <w:t xml:space="preserve"> 4 veikla:</w:t>
      </w:r>
      <w:r w:rsidR="009D5469" w:rsidRPr="00D37B50">
        <w:rPr>
          <w:rFonts w:ascii="Times New Roman" w:hAnsi="Times New Roman" w:cs="Times New Roman"/>
        </w:rPr>
        <w:t xml:space="preserve"> </w:t>
      </w:r>
      <w:r w:rsidR="003B51C1" w:rsidRPr="00D37B50">
        <w:rPr>
          <w:rFonts w:ascii="Times New Roman" w:hAnsi="Times New Roman" w:cs="Times New Roman"/>
          <w:lang w:val="en-US"/>
        </w:rPr>
        <w:t xml:space="preserve"> </w:t>
      </w:r>
      <w:proofErr w:type="spellStart"/>
      <w:r w:rsidR="003B51C1" w:rsidRPr="00D37B50">
        <w:rPr>
          <w:rFonts w:ascii="Times New Roman" w:hAnsi="Times New Roman" w:cs="Times New Roman"/>
          <w:lang w:val="en-US"/>
        </w:rPr>
        <w:t>plėtoti</w:t>
      </w:r>
      <w:proofErr w:type="spellEnd"/>
      <w:r w:rsidR="003B51C1" w:rsidRPr="00D37B50">
        <w:rPr>
          <w:rFonts w:ascii="Times New Roman" w:hAnsi="Times New Roman" w:cs="Times New Roman"/>
          <w:lang w:val="en-US"/>
        </w:rPr>
        <w:t xml:space="preserve"> </w:t>
      </w:r>
      <w:proofErr w:type="spellStart"/>
      <w:r w:rsidR="003B51C1" w:rsidRPr="00D37B50">
        <w:rPr>
          <w:rFonts w:ascii="Times New Roman" w:hAnsi="Times New Roman" w:cs="Times New Roman"/>
          <w:lang w:val="en-US"/>
        </w:rPr>
        <w:t>veiklas</w:t>
      </w:r>
      <w:proofErr w:type="spellEnd"/>
      <w:r w:rsidR="003B51C1" w:rsidRPr="00D37B50">
        <w:rPr>
          <w:rFonts w:ascii="Times New Roman" w:hAnsi="Times New Roman" w:cs="Times New Roman"/>
          <w:lang w:val="en-US"/>
        </w:rPr>
        <w:t xml:space="preserve">, </w:t>
      </w:r>
      <w:proofErr w:type="spellStart"/>
      <w:r w:rsidR="003B51C1" w:rsidRPr="00D37B50">
        <w:rPr>
          <w:rFonts w:ascii="Times New Roman" w:hAnsi="Times New Roman" w:cs="Times New Roman"/>
          <w:lang w:val="en-US"/>
        </w:rPr>
        <w:t>skirtas</w:t>
      </w:r>
      <w:proofErr w:type="spellEnd"/>
      <w:r w:rsidR="003B51C1" w:rsidRPr="00D37B50">
        <w:rPr>
          <w:rFonts w:ascii="Times New Roman" w:hAnsi="Times New Roman" w:cs="Times New Roman"/>
          <w:lang w:val="en-US"/>
        </w:rPr>
        <w:t xml:space="preserve"> </w:t>
      </w:r>
      <w:proofErr w:type="spellStart"/>
      <w:r w:rsidR="003B51C1" w:rsidRPr="00D37B50">
        <w:rPr>
          <w:rFonts w:ascii="Times New Roman" w:hAnsi="Times New Roman" w:cs="Times New Roman"/>
          <w:lang w:val="en-US"/>
        </w:rPr>
        <w:t>piliečių</w:t>
      </w:r>
      <w:proofErr w:type="spellEnd"/>
      <w:r w:rsidR="003B51C1" w:rsidRPr="00D37B50">
        <w:rPr>
          <w:rFonts w:ascii="Times New Roman" w:hAnsi="Times New Roman" w:cs="Times New Roman"/>
          <w:lang w:val="en-US"/>
        </w:rPr>
        <w:t xml:space="preserve"> </w:t>
      </w:r>
      <w:proofErr w:type="spellStart"/>
      <w:r w:rsidR="003B51C1" w:rsidRPr="00D37B50">
        <w:rPr>
          <w:rFonts w:ascii="Times New Roman" w:hAnsi="Times New Roman" w:cs="Times New Roman"/>
          <w:lang w:val="en-US"/>
        </w:rPr>
        <w:t>įtraukimui</w:t>
      </w:r>
      <w:proofErr w:type="spellEnd"/>
      <w:r w:rsidR="003B51C1" w:rsidRPr="00D37B50">
        <w:rPr>
          <w:rFonts w:ascii="Times New Roman" w:hAnsi="Times New Roman" w:cs="Times New Roman"/>
          <w:lang w:val="en-US"/>
        </w:rPr>
        <w:t xml:space="preserve"> į </w:t>
      </w:r>
      <w:proofErr w:type="spellStart"/>
      <w:r w:rsidR="003B51C1" w:rsidRPr="00D37B50">
        <w:rPr>
          <w:rFonts w:ascii="Times New Roman" w:hAnsi="Times New Roman" w:cs="Times New Roman"/>
          <w:lang w:val="en-US"/>
        </w:rPr>
        <w:t>mokslo</w:t>
      </w:r>
      <w:proofErr w:type="spellEnd"/>
      <w:r w:rsidR="003B51C1" w:rsidRPr="00D37B50">
        <w:rPr>
          <w:rFonts w:ascii="Times New Roman" w:hAnsi="Times New Roman" w:cs="Times New Roman"/>
          <w:lang w:val="en-US"/>
        </w:rPr>
        <w:t xml:space="preserve"> </w:t>
      </w:r>
      <w:proofErr w:type="spellStart"/>
      <w:r w:rsidR="003B51C1" w:rsidRPr="00D37B50">
        <w:rPr>
          <w:rFonts w:ascii="Times New Roman" w:hAnsi="Times New Roman" w:cs="Times New Roman"/>
          <w:lang w:val="en-US"/>
        </w:rPr>
        <w:t>kampanijas</w:t>
      </w:r>
      <w:proofErr w:type="spellEnd"/>
      <w:r w:rsidR="003B51C1" w:rsidRPr="00D37B50">
        <w:rPr>
          <w:rFonts w:ascii="Times New Roman" w:hAnsi="Times New Roman" w:cs="Times New Roman"/>
          <w:lang w:val="en-US"/>
        </w:rPr>
        <w:t xml:space="preserve"> (EMTE </w:t>
      </w:r>
      <w:proofErr w:type="spellStart"/>
      <w:r w:rsidR="003B51C1" w:rsidRPr="00D37B50">
        <w:rPr>
          <w:rFonts w:ascii="Times New Roman" w:hAnsi="Times New Roman" w:cs="Times New Roman"/>
          <w:lang w:val="en-US"/>
        </w:rPr>
        <w:t>veiksmas</w:t>
      </w:r>
      <w:proofErr w:type="spellEnd"/>
      <w:r w:rsidR="003B51C1" w:rsidRPr="00D37B50">
        <w:rPr>
          <w:rFonts w:ascii="Times New Roman" w:hAnsi="Times New Roman" w:cs="Times New Roman"/>
          <w:lang w:val="en-US"/>
        </w:rPr>
        <w:t xml:space="preserve"> Nr. 14: </w:t>
      </w:r>
      <w:proofErr w:type="spellStart"/>
      <w:r w:rsidR="003B51C1" w:rsidRPr="00D37B50">
        <w:rPr>
          <w:rFonts w:ascii="Times New Roman" w:hAnsi="Times New Roman" w:cs="Times New Roman"/>
          <w:lang w:val="en-US"/>
        </w:rPr>
        <w:t>Priartinti</w:t>
      </w:r>
      <w:proofErr w:type="spellEnd"/>
      <w:r w:rsidR="003B51C1" w:rsidRPr="00D37B50">
        <w:rPr>
          <w:rFonts w:ascii="Times New Roman" w:hAnsi="Times New Roman" w:cs="Times New Roman"/>
          <w:lang w:val="en-US"/>
        </w:rPr>
        <w:t xml:space="preserve"> </w:t>
      </w:r>
      <w:proofErr w:type="spellStart"/>
      <w:r w:rsidR="003B51C1" w:rsidRPr="00D37B50">
        <w:rPr>
          <w:rFonts w:ascii="Times New Roman" w:hAnsi="Times New Roman" w:cs="Times New Roman"/>
          <w:lang w:val="en-US"/>
        </w:rPr>
        <w:t>mokslą</w:t>
      </w:r>
      <w:proofErr w:type="spellEnd"/>
      <w:r w:rsidR="003B51C1" w:rsidRPr="00D37B50">
        <w:rPr>
          <w:rFonts w:ascii="Times New Roman" w:hAnsi="Times New Roman" w:cs="Times New Roman"/>
          <w:lang w:val="en-US"/>
        </w:rPr>
        <w:t xml:space="preserve"> </w:t>
      </w:r>
      <w:proofErr w:type="spellStart"/>
      <w:r w:rsidR="003B51C1" w:rsidRPr="00D37B50">
        <w:rPr>
          <w:rFonts w:ascii="Times New Roman" w:hAnsi="Times New Roman" w:cs="Times New Roman"/>
          <w:lang w:val="en-US"/>
        </w:rPr>
        <w:t>prie</w:t>
      </w:r>
      <w:proofErr w:type="spellEnd"/>
      <w:r w:rsidR="003B51C1" w:rsidRPr="00D37B50">
        <w:rPr>
          <w:rFonts w:ascii="Times New Roman" w:hAnsi="Times New Roman" w:cs="Times New Roman"/>
          <w:lang w:val="en-US"/>
        </w:rPr>
        <w:t xml:space="preserve"> </w:t>
      </w:r>
      <w:proofErr w:type="spellStart"/>
      <w:proofErr w:type="gramStart"/>
      <w:r w:rsidR="003B51C1" w:rsidRPr="00D37B50">
        <w:rPr>
          <w:rFonts w:ascii="Times New Roman" w:hAnsi="Times New Roman" w:cs="Times New Roman"/>
          <w:lang w:val="en-US"/>
        </w:rPr>
        <w:t>piliečių</w:t>
      </w:r>
      <w:proofErr w:type="spellEnd"/>
      <w:r w:rsidR="009D7F8D" w:rsidRPr="00D37B50">
        <w:rPr>
          <w:rFonts w:ascii="Times New Roman" w:hAnsi="Times New Roman" w:cs="Times New Roman"/>
          <w:lang w:val="en-US"/>
        </w:rPr>
        <w:t xml:space="preserve"> )</w:t>
      </w:r>
      <w:proofErr w:type="gramEnd"/>
      <w:r w:rsidRPr="00D37B50">
        <w:rPr>
          <w:rFonts w:ascii="Times New Roman" w:hAnsi="Times New Roman" w:cs="Times New Roman"/>
          <w:lang w:val="en-US"/>
        </w:rPr>
        <w:t>.”</w:t>
      </w:r>
      <w:r w:rsidR="009D7F8D" w:rsidRPr="00D37B50">
        <w:rPr>
          <w:rFonts w:ascii="Times New Roman" w:hAnsi="Times New Roman" w:cs="Times New Roman"/>
          <w:lang w:val="en-US"/>
        </w:rPr>
        <w:t xml:space="preserve"> </w:t>
      </w:r>
      <w:r w:rsidR="003B51C1" w:rsidRPr="00D37B50">
        <w:rPr>
          <w:rFonts w:ascii="Times New Roman" w:hAnsi="Times New Roman" w:cs="Times New Roman"/>
        </w:rPr>
        <w:t>Ar tai reiškia, kad tik tos veiklos bus finansuotinos ir turi būti projektai atliepiantys būtent 14 EMTE veiksmo rezultatą/aprašymą, ar galime  pagal savo poreikius ir kompetencijas plėtoti veiklas, skirtas piliečių įtraukimui į mokslo kampanijas?</w:t>
      </w:r>
      <w:r w:rsidR="0042073E" w:rsidRPr="00D37B50">
        <w:rPr>
          <w:rFonts w:ascii="Times New Roman" w:hAnsi="Times New Roman" w:cs="Times New Roman"/>
        </w:rPr>
        <w:t xml:space="preserve"> </w:t>
      </w:r>
    </w:p>
    <w:p w14:paraId="011814CE" w14:textId="77777777" w:rsidR="0042073E" w:rsidRPr="00D37B50" w:rsidRDefault="0042073E" w:rsidP="0042073E">
      <w:pPr>
        <w:pStyle w:val="Sraopastraipa"/>
        <w:jc w:val="both"/>
        <w:rPr>
          <w:rFonts w:ascii="Times New Roman" w:hAnsi="Times New Roman" w:cs="Times New Roman"/>
        </w:rPr>
      </w:pPr>
    </w:p>
    <w:p w14:paraId="6B4F9F12" w14:textId="5861DB99" w:rsidR="00F8680C" w:rsidRPr="00D37B50" w:rsidRDefault="003B51C1" w:rsidP="00F8680C">
      <w:pPr>
        <w:pStyle w:val="Sraopastraipa"/>
        <w:jc w:val="both"/>
        <w:rPr>
          <w:rFonts w:ascii="Times New Roman" w:hAnsi="Times New Roman" w:cs="Times New Roman"/>
          <w:color w:val="2F5496" w:themeColor="accent1" w:themeShade="BF"/>
        </w:rPr>
      </w:pPr>
      <w:r w:rsidRPr="00D37B50">
        <w:rPr>
          <w:rFonts w:ascii="Times New Roman" w:hAnsi="Times New Roman" w:cs="Times New Roman"/>
          <w:color w:val="2F5496" w:themeColor="accent1" w:themeShade="BF"/>
        </w:rPr>
        <w:t xml:space="preserve">Pagal </w:t>
      </w:r>
      <w:r w:rsidR="008464E8">
        <w:rPr>
          <w:rFonts w:ascii="Times New Roman" w:hAnsi="Times New Roman" w:cs="Times New Roman"/>
          <w:color w:val="2F5496" w:themeColor="accent1" w:themeShade="BF"/>
        </w:rPr>
        <w:t>PFSA</w:t>
      </w:r>
      <w:r w:rsidRPr="00D37B50">
        <w:rPr>
          <w:rFonts w:ascii="Times New Roman" w:hAnsi="Times New Roman" w:cs="Times New Roman"/>
          <w:color w:val="2F5496" w:themeColor="accent1" w:themeShade="BF"/>
        </w:rPr>
        <w:t xml:space="preserve"> parama yra skiriama veikloms, skirtoms Europos mokslinių tyrimų erdvės prioritetams įgyvendinti, siekiant institucinių pokyčių MSI.</w:t>
      </w:r>
      <w:r w:rsidR="0042073E" w:rsidRPr="00D37B50">
        <w:rPr>
          <w:rFonts w:ascii="Times New Roman" w:hAnsi="Times New Roman" w:cs="Times New Roman"/>
          <w:color w:val="2F5496" w:themeColor="accent1" w:themeShade="BF"/>
        </w:rPr>
        <w:t xml:space="preserve"> K</w:t>
      </w:r>
      <w:r w:rsidRPr="00D37B50">
        <w:rPr>
          <w:rFonts w:ascii="Times New Roman" w:hAnsi="Times New Roman" w:cs="Times New Roman"/>
          <w:color w:val="2F5496" w:themeColor="accent1" w:themeShade="BF"/>
        </w:rPr>
        <w:t>artu su PĮP pareiškėjas CPVA turės pateikti pagrindimą (2.11.2. p.), jog projekte numatytomis veiklomis bus siekiama Aprašo 2.6 papunktyje nurodytų institucinių pokyčių (šiuo konkrečiu atveju: pagal 2.6.4. p. plėtoti veiklas, skirtas piliečių įtraukimui į mokslo kampanijas (</w:t>
      </w:r>
      <w:r w:rsidRPr="00D37B50">
        <w:rPr>
          <w:rFonts w:ascii="Times New Roman" w:hAnsi="Times New Roman" w:cs="Times New Roman"/>
          <w:color w:val="2F5496" w:themeColor="accent1" w:themeShade="BF"/>
          <w:shd w:val="clear" w:color="auto" w:fill="FFFFFF"/>
        </w:rPr>
        <w:t>EMTE veiksmas Nr. 14: Priartinti mokslą prie piliečių</w:t>
      </w:r>
      <w:r w:rsidRPr="00D37B50">
        <w:rPr>
          <w:rFonts w:ascii="Times New Roman" w:hAnsi="Times New Roman" w:cs="Times New Roman"/>
          <w:color w:val="2F5496" w:themeColor="accent1" w:themeShade="BF"/>
        </w:rPr>
        <w:t>)) įgyvendinimo, kad įsitikinti, jog projekte suplanuotais veiksmais bus siekiama institucinių pokyčių MSI.</w:t>
      </w:r>
    </w:p>
    <w:p w14:paraId="00B2C296" w14:textId="273D0759" w:rsidR="003B51C1" w:rsidRPr="00D37B50" w:rsidRDefault="003B51C1" w:rsidP="00F8680C">
      <w:pPr>
        <w:pStyle w:val="Sraopastraipa"/>
        <w:jc w:val="both"/>
        <w:rPr>
          <w:rFonts w:ascii="Times New Roman" w:hAnsi="Times New Roman" w:cs="Times New Roman"/>
          <w:color w:val="2F5496" w:themeColor="accent1" w:themeShade="BF"/>
        </w:rPr>
      </w:pPr>
      <w:r w:rsidRPr="00D37B50">
        <w:rPr>
          <w:rFonts w:ascii="Times New Roman" w:hAnsi="Times New Roman" w:cs="Times New Roman"/>
          <w:color w:val="2F5496" w:themeColor="accent1" w:themeShade="BF"/>
        </w:rPr>
        <w:t>Tokių veiklų pavyzdžiais galėtų būti:</w:t>
      </w:r>
    </w:p>
    <w:p w14:paraId="64DFB77A" w14:textId="77777777" w:rsidR="003B51C1" w:rsidRPr="00D37B50" w:rsidRDefault="003B51C1" w:rsidP="003B51C1">
      <w:pPr>
        <w:pStyle w:val="Sraopastraipa"/>
        <w:numPr>
          <w:ilvl w:val="0"/>
          <w:numId w:val="2"/>
        </w:numPr>
        <w:rPr>
          <w:rFonts w:ascii="Times New Roman" w:eastAsia="Times New Roman" w:hAnsi="Times New Roman" w:cs="Times New Roman"/>
          <w:color w:val="2F5496" w:themeColor="accent1" w:themeShade="BF"/>
        </w:rPr>
      </w:pPr>
      <w:r w:rsidRPr="00D37B50">
        <w:rPr>
          <w:rFonts w:ascii="Times New Roman" w:eastAsia="Times New Roman" w:hAnsi="Times New Roman" w:cs="Times New Roman"/>
          <w:color w:val="2F5496" w:themeColor="accent1" w:themeShade="BF"/>
        </w:rPr>
        <w:t>supažindinti institucijos  bendruomenes su piliečių mokslo samprata bei potencialu sprendžiant aktualias problemas /iššūkius (pvz. informaciniai renginiai, tvarkos)</w:t>
      </w:r>
    </w:p>
    <w:p w14:paraId="758EABFE" w14:textId="77777777" w:rsidR="003B51C1" w:rsidRPr="00D37B50" w:rsidRDefault="003B51C1" w:rsidP="003B51C1">
      <w:pPr>
        <w:pStyle w:val="Sraopastraipa"/>
        <w:numPr>
          <w:ilvl w:val="0"/>
          <w:numId w:val="2"/>
        </w:numPr>
        <w:rPr>
          <w:rFonts w:ascii="Times New Roman" w:eastAsia="Times New Roman" w:hAnsi="Times New Roman" w:cs="Times New Roman"/>
          <w:color w:val="2F5496" w:themeColor="accent1" w:themeShade="BF"/>
        </w:rPr>
      </w:pPr>
      <w:r w:rsidRPr="00D37B50">
        <w:rPr>
          <w:rFonts w:ascii="Times New Roman" w:eastAsia="Times New Roman" w:hAnsi="Times New Roman" w:cs="Times New Roman"/>
          <w:color w:val="2F5496" w:themeColor="accent1" w:themeShade="BF"/>
        </w:rPr>
        <w:t>ugdyti tyrėjų gebėjimus kurti, įgyvendinti ir valdyti piliečių mokslo projektus sprendžiant socialines/tyrėjams aktualias problemas ( pvz. informaciniai renginiai, tvarkos)</w:t>
      </w:r>
    </w:p>
    <w:p w14:paraId="7D69316C" w14:textId="1D4C6C6A" w:rsidR="003B51C1" w:rsidRPr="00D37B50" w:rsidRDefault="003B51C1" w:rsidP="003B51C1">
      <w:pPr>
        <w:pStyle w:val="Sraopastraipa"/>
        <w:numPr>
          <w:ilvl w:val="0"/>
          <w:numId w:val="2"/>
        </w:numPr>
        <w:rPr>
          <w:rFonts w:ascii="Times New Roman" w:eastAsia="Times New Roman" w:hAnsi="Times New Roman" w:cs="Times New Roman"/>
          <w:color w:val="2F5496" w:themeColor="accent1" w:themeShade="BF"/>
          <w:lang w:eastAsia="lt-LT"/>
        </w:rPr>
      </w:pPr>
      <w:r w:rsidRPr="00D37B50">
        <w:rPr>
          <w:rFonts w:ascii="Times New Roman" w:eastAsia="Times New Roman" w:hAnsi="Times New Roman" w:cs="Times New Roman"/>
          <w:color w:val="2F5496" w:themeColor="accent1" w:themeShade="BF"/>
        </w:rPr>
        <w:t xml:space="preserve">stiprinti piliečių mokslo ekosistemą ir </w:t>
      </w:r>
      <w:proofErr w:type="spellStart"/>
      <w:r w:rsidRPr="00D37B50">
        <w:rPr>
          <w:rFonts w:ascii="Times New Roman" w:eastAsia="Times New Roman" w:hAnsi="Times New Roman" w:cs="Times New Roman"/>
          <w:color w:val="2F5496" w:themeColor="accent1" w:themeShade="BF"/>
        </w:rPr>
        <w:t>bendrakūros</w:t>
      </w:r>
      <w:proofErr w:type="spellEnd"/>
      <w:r w:rsidRPr="00D37B50">
        <w:rPr>
          <w:rFonts w:ascii="Times New Roman" w:eastAsia="Times New Roman" w:hAnsi="Times New Roman" w:cs="Times New Roman"/>
          <w:color w:val="2F5496" w:themeColor="accent1" w:themeShade="BF"/>
        </w:rPr>
        <w:t xml:space="preserve"> procesus ( pvz. konkretūs </w:t>
      </w:r>
      <w:r w:rsidR="0042073E" w:rsidRPr="00D37B50">
        <w:rPr>
          <w:rFonts w:ascii="Times New Roman" w:eastAsia="Times New Roman" w:hAnsi="Times New Roman" w:cs="Times New Roman"/>
          <w:color w:val="2F5496" w:themeColor="accent1" w:themeShade="BF"/>
        </w:rPr>
        <w:t xml:space="preserve">nedideli </w:t>
      </w:r>
      <w:r w:rsidRPr="00D37B50">
        <w:rPr>
          <w:rFonts w:ascii="Times New Roman" w:eastAsia="Times New Roman" w:hAnsi="Times New Roman" w:cs="Times New Roman"/>
          <w:color w:val="2F5496" w:themeColor="accent1" w:themeShade="BF"/>
        </w:rPr>
        <w:t>proj</w:t>
      </w:r>
      <w:r w:rsidR="0042073E" w:rsidRPr="00D37B50">
        <w:rPr>
          <w:rFonts w:ascii="Times New Roman" w:eastAsia="Times New Roman" w:hAnsi="Times New Roman" w:cs="Times New Roman"/>
          <w:color w:val="2F5496" w:themeColor="accent1" w:themeShade="BF"/>
        </w:rPr>
        <w:t>ektai</w:t>
      </w:r>
      <w:r w:rsidRPr="00D37B50">
        <w:rPr>
          <w:rFonts w:ascii="Times New Roman" w:eastAsia="Times New Roman" w:hAnsi="Times New Roman" w:cs="Times New Roman"/>
          <w:color w:val="2F5496" w:themeColor="accent1" w:themeShade="BF"/>
        </w:rPr>
        <w:t>)</w:t>
      </w:r>
    </w:p>
    <w:p w14:paraId="596A4DDE" w14:textId="2A181D41" w:rsidR="00F6405C" w:rsidRPr="00D37B50" w:rsidRDefault="003B51C1" w:rsidP="003B51C1">
      <w:pPr>
        <w:rPr>
          <w:rFonts w:ascii="Times New Roman" w:eastAsia="Times New Roman" w:hAnsi="Times New Roman" w:cs="Times New Roman"/>
          <w:color w:val="2F5496" w:themeColor="accent1" w:themeShade="BF"/>
        </w:rPr>
      </w:pPr>
      <w:r w:rsidRPr="00D37B50">
        <w:rPr>
          <w:rFonts w:ascii="Times New Roman" w:eastAsia="Times New Roman" w:hAnsi="Times New Roman" w:cs="Times New Roman"/>
          <w:color w:val="2F5496" w:themeColor="accent1" w:themeShade="BF"/>
        </w:rPr>
        <w:t>ir kt.</w:t>
      </w:r>
    </w:p>
    <w:p w14:paraId="4DC1C68E" w14:textId="14E03473" w:rsidR="003B51C1" w:rsidRPr="00D37B50" w:rsidRDefault="003B51C1" w:rsidP="0042073E">
      <w:pPr>
        <w:pStyle w:val="Sraopastraipa"/>
        <w:numPr>
          <w:ilvl w:val="0"/>
          <w:numId w:val="1"/>
        </w:numPr>
        <w:rPr>
          <w:rFonts w:ascii="Times New Roman" w:hAnsi="Times New Roman" w:cs="Times New Roman"/>
        </w:rPr>
      </w:pPr>
      <w:r w:rsidRPr="00D37B50">
        <w:rPr>
          <w:rFonts w:ascii="Times New Roman" w:hAnsi="Times New Roman" w:cs="Times New Roman"/>
        </w:rPr>
        <w:lastRenderedPageBreak/>
        <w:t>Ar galima teikti paraiškas projektams, siekiant susikurti naują mokslo ir mokslininkų vertinimo sistemą Instituciniu lygmeniu? Planuotume kviesti ekspertus, organizuoti diskusijas, tačiau rezultatas būtų ne valstybiniu lygmeniu, o būtų parengtos tvarkos ir minimalūs kvalifikaciniai reikalavimai mokslininkams Institucijoje.</w:t>
      </w:r>
    </w:p>
    <w:p w14:paraId="20F05BFA" w14:textId="170837F2" w:rsidR="003B51C1" w:rsidRPr="00D37B50" w:rsidRDefault="0042073E" w:rsidP="0042073E">
      <w:pPr>
        <w:pStyle w:val="Sraopastraipa"/>
        <w:rPr>
          <w:rFonts w:ascii="Times New Roman" w:hAnsi="Times New Roman" w:cs="Times New Roman"/>
          <w:color w:val="2F5496" w:themeColor="accent1" w:themeShade="BF"/>
        </w:rPr>
      </w:pPr>
      <w:r w:rsidRPr="00D37B50">
        <w:rPr>
          <w:rFonts w:ascii="Times New Roman" w:hAnsi="Times New Roman" w:cs="Times New Roman"/>
          <w:color w:val="2F5496" w:themeColor="accent1" w:themeShade="BF"/>
        </w:rPr>
        <w:t xml:space="preserve">Taip, galima. </w:t>
      </w:r>
      <w:r w:rsidR="003B51C1" w:rsidRPr="00D37B50">
        <w:rPr>
          <w:rFonts w:ascii="Times New Roman" w:hAnsi="Times New Roman" w:cs="Times New Roman"/>
          <w:color w:val="2F5496" w:themeColor="accent1" w:themeShade="BF"/>
        </w:rPr>
        <w:t>MSI susikurdamos naujas vertinimo sistemas kaip tik ir prisidės prie Europos mokslinių tyrimų vertinimo sistemos tobulinimo.</w:t>
      </w:r>
      <w:r w:rsidRPr="00D37B50">
        <w:rPr>
          <w:rFonts w:ascii="Times New Roman" w:hAnsi="Times New Roman" w:cs="Times New Roman"/>
          <w:color w:val="2F5496" w:themeColor="accent1" w:themeShade="BF"/>
        </w:rPr>
        <w:t xml:space="preserve"> Tačiau </w:t>
      </w:r>
      <w:r w:rsidR="003B51C1" w:rsidRPr="00D37B50">
        <w:rPr>
          <w:rFonts w:ascii="Times New Roman" w:hAnsi="Times New Roman" w:cs="Times New Roman"/>
          <w:color w:val="2F5496" w:themeColor="accent1" w:themeShade="BF"/>
        </w:rPr>
        <w:t>būtų svarbu, jog naujoje kuriamoje vertinimo sistemoje būtų atsižvelgiama į atviro mokslo praktiką.</w:t>
      </w:r>
    </w:p>
    <w:p w14:paraId="31570AE4" w14:textId="77777777" w:rsidR="0042073E" w:rsidRPr="00D37B50" w:rsidRDefault="0042073E" w:rsidP="0042073E">
      <w:pPr>
        <w:pStyle w:val="Sraopastraipa"/>
        <w:rPr>
          <w:rFonts w:ascii="Times New Roman" w:hAnsi="Times New Roman" w:cs="Times New Roman"/>
        </w:rPr>
      </w:pPr>
    </w:p>
    <w:p w14:paraId="3E4B4DCD" w14:textId="62361508" w:rsidR="0042073E" w:rsidRPr="00D37B50" w:rsidRDefault="0042073E" w:rsidP="0042073E">
      <w:pPr>
        <w:pStyle w:val="Sraopastraipa"/>
        <w:numPr>
          <w:ilvl w:val="0"/>
          <w:numId w:val="1"/>
        </w:numPr>
        <w:jc w:val="both"/>
        <w:rPr>
          <w:rFonts w:ascii="Times New Roman" w:hAnsi="Times New Roman" w:cs="Times New Roman"/>
          <w:color w:val="1F497D"/>
        </w:rPr>
      </w:pPr>
      <w:r w:rsidRPr="00D37B50">
        <w:rPr>
          <w:rFonts w:ascii="Times New Roman" w:hAnsi="Times New Roman" w:cs="Times New Roman"/>
        </w:rPr>
        <w:t xml:space="preserve">Norėčiau pasitikslinti dėl rodiklio: </w:t>
      </w:r>
      <w:r w:rsidR="00EE4488" w:rsidRPr="00D37B50">
        <w:rPr>
          <w:rFonts w:ascii="Times New Roman" w:hAnsi="Times New Roman" w:cs="Times New Roman"/>
        </w:rPr>
        <w:t>„</w:t>
      </w:r>
      <w:r w:rsidRPr="00D37B50">
        <w:rPr>
          <w:rFonts w:ascii="Times New Roman" w:hAnsi="Times New Roman" w:cs="Times New Roman"/>
        </w:rPr>
        <w:t>Paramą gavusiose mokslinių tyrimų įstaigose dirbantys mokslininkai</w:t>
      </w:r>
      <w:r w:rsidR="00EE4488" w:rsidRPr="00D37B50">
        <w:rPr>
          <w:rFonts w:ascii="Times New Roman" w:hAnsi="Times New Roman" w:cs="Times New Roman"/>
        </w:rPr>
        <w:t xml:space="preserve">“ </w:t>
      </w:r>
      <w:r w:rsidRPr="00D37B50">
        <w:rPr>
          <w:rFonts w:ascii="Times New Roman" w:hAnsi="Times New Roman" w:cs="Times New Roman"/>
        </w:rPr>
        <w:t xml:space="preserve"> P-12-001-01-02-01-17 R.B.1.2008. Ar reikia į rodiklį traukti tik tuos mokslininkus, kurie projekte vykdys veiklas, t. y. kurs metodikas, programas, ves seminarus?</w:t>
      </w:r>
    </w:p>
    <w:p w14:paraId="69F48398" w14:textId="2963F8B4" w:rsidR="0042073E" w:rsidRPr="00D37B50" w:rsidRDefault="0042073E" w:rsidP="0042073E">
      <w:pPr>
        <w:pStyle w:val="Sraopastraipa"/>
        <w:jc w:val="both"/>
        <w:rPr>
          <w:rFonts w:ascii="Times New Roman" w:hAnsi="Times New Roman" w:cs="Times New Roman"/>
          <w:color w:val="2F5496" w:themeColor="accent1" w:themeShade="BF"/>
        </w:rPr>
      </w:pPr>
      <w:r w:rsidRPr="00D37B50">
        <w:rPr>
          <w:rFonts w:ascii="Times New Roman" w:hAnsi="Times New Roman" w:cs="Times New Roman"/>
          <w:color w:val="2F5496" w:themeColor="accent1" w:themeShade="BF"/>
        </w:rPr>
        <w:t xml:space="preserve">Taip, </w:t>
      </w:r>
      <w:r w:rsidR="00EE4488" w:rsidRPr="00D37B50">
        <w:rPr>
          <w:rFonts w:ascii="Times New Roman" w:hAnsi="Times New Roman" w:cs="Times New Roman"/>
          <w:color w:val="2F5496" w:themeColor="accent1" w:themeShade="BF"/>
        </w:rPr>
        <w:t xml:space="preserve">traukiami tik </w:t>
      </w:r>
      <w:r w:rsidRPr="00D37B50">
        <w:rPr>
          <w:rFonts w:ascii="Times New Roman" w:hAnsi="Times New Roman" w:cs="Times New Roman"/>
          <w:color w:val="2F5496" w:themeColor="accent1" w:themeShade="BF"/>
        </w:rPr>
        <w:t>tiesiogiai susiję su projektu tyrėjai.</w:t>
      </w:r>
    </w:p>
    <w:p w14:paraId="6C99F3A2" w14:textId="77777777" w:rsidR="0042073E" w:rsidRPr="00D37B50" w:rsidRDefault="0042073E" w:rsidP="0042073E">
      <w:pPr>
        <w:pStyle w:val="Sraopastraipa"/>
        <w:jc w:val="both"/>
        <w:rPr>
          <w:rFonts w:ascii="Times New Roman" w:hAnsi="Times New Roman" w:cs="Times New Roman"/>
          <w:color w:val="1F497D"/>
        </w:rPr>
      </w:pPr>
    </w:p>
    <w:p w14:paraId="64693B0E" w14:textId="17D9AB09" w:rsidR="0042073E" w:rsidRPr="00D37B50" w:rsidRDefault="00E43E99" w:rsidP="0042073E">
      <w:pPr>
        <w:pStyle w:val="Sraopastraipa"/>
        <w:numPr>
          <w:ilvl w:val="0"/>
          <w:numId w:val="1"/>
        </w:numPr>
        <w:jc w:val="both"/>
        <w:rPr>
          <w:rFonts w:ascii="Times New Roman" w:hAnsi="Times New Roman" w:cs="Times New Roman"/>
          <w:color w:val="1F497D"/>
        </w:rPr>
      </w:pPr>
      <w:r w:rsidRPr="00D37B50">
        <w:rPr>
          <w:rFonts w:ascii="Times New Roman" w:hAnsi="Times New Roman" w:cs="Times New Roman"/>
        </w:rPr>
        <w:t>K</w:t>
      </w:r>
      <w:r w:rsidR="0042073E" w:rsidRPr="00D37B50">
        <w:rPr>
          <w:rFonts w:ascii="Times New Roman" w:hAnsi="Times New Roman" w:cs="Times New Roman"/>
        </w:rPr>
        <w:t xml:space="preserve">aip traktuojame sąvoką „mokslininkai“ - kokį mokslo laipsnį  turintis asmuo yra tinkamas šiam rodikliui pasiekti? </w:t>
      </w:r>
    </w:p>
    <w:p w14:paraId="340B63F3" w14:textId="1147B558" w:rsidR="0042073E" w:rsidRPr="00D37B50" w:rsidRDefault="0042073E" w:rsidP="0042073E">
      <w:pPr>
        <w:pStyle w:val="Sraopastraipa"/>
        <w:jc w:val="both"/>
        <w:rPr>
          <w:rFonts w:ascii="Times New Roman" w:hAnsi="Times New Roman" w:cs="Times New Roman"/>
          <w:color w:val="2F5496" w:themeColor="accent1" w:themeShade="BF"/>
        </w:rPr>
      </w:pPr>
      <w:r w:rsidRPr="00D37B50">
        <w:rPr>
          <w:rFonts w:ascii="Times New Roman" w:hAnsi="Times New Roman" w:cs="Times New Roman"/>
          <w:color w:val="2F5496" w:themeColor="accent1" w:themeShade="BF"/>
        </w:rPr>
        <w:t>Manome, kad turėtų būti traktuojama kaip „tyrėjas“ pagal MSĮ („mokslininkas“ tiesiog yra nelabai tikslus vertimas iš „</w:t>
      </w:r>
      <w:proofErr w:type="spellStart"/>
      <w:r w:rsidRPr="00D37B50">
        <w:rPr>
          <w:rFonts w:ascii="Times New Roman" w:hAnsi="Times New Roman" w:cs="Times New Roman"/>
          <w:color w:val="2F5496" w:themeColor="accent1" w:themeShade="BF"/>
        </w:rPr>
        <w:t>researcher</w:t>
      </w:r>
      <w:proofErr w:type="spellEnd"/>
      <w:r w:rsidRPr="00D37B50">
        <w:rPr>
          <w:rFonts w:ascii="Times New Roman" w:hAnsi="Times New Roman" w:cs="Times New Roman"/>
          <w:color w:val="2F5496" w:themeColor="accent1" w:themeShade="BF"/>
        </w:rPr>
        <w:t>“</w:t>
      </w:r>
      <w:r w:rsidR="008464E8">
        <w:rPr>
          <w:rFonts w:ascii="Times New Roman" w:hAnsi="Times New Roman" w:cs="Times New Roman"/>
          <w:color w:val="2F5496" w:themeColor="accent1" w:themeShade="BF"/>
        </w:rPr>
        <w:t xml:space="preserve">), tai tyrėjai, tiesiogiai susiję su mokslinių tyrimų ir plėtros veikla </w:t>
      </w:r>
      <w:r w:rsidRPr="00D37B50">
        <w:rPr>
          <w:rFonts w:ascii="Times New Roman" w:hAnsi="Times New Roman" w:cs="Times New Roman"/>
          <w:color w:val="2F5496" w:themeColor="accent1" w:themeShade="BF"/>
        </w:rPr>
        <w:t xml:space="preserve"> - </w:t>
      </w:r>
      <w:r w:rsidR="00000000">
        <w:fldChar w:fldCharType="begin"/>
      </w:r>
      <w:r w:rsidR="00000000">
        <w:instrText>HYPERLINK "https://eur-lex.europa.eu/legal-content/EN/TXT/HTML/?uri=CELEX:32021R2106&amp;from=EN"</w:instrText>
      </w:r>
      <w:r w:rsidR="00000000">
        <w:fldChar w:fldCharType="separate"/>
      </w:r>
      <w:r w:rsidR="00F8680C" w:rsidRPr="00D37B50">
        <w:rPr>
          <w:rStyle w:val="Hipersaitas"/>
          <w:rFonts w:ascii="Times New Roman" w:hAnsi="Times New Roman" w:cs="Times New Roman"/>
          <w:color w:val="2F5496" w:themeColor="accent1" w:themeShade="BF"/>
        </w:rPr>
        <w:t>https://eur-lex.europa.eu/legal-content/EN/TXT/HTML/?uri=CELEX:32021R2106&amp;from=EN</w:t>
      </w:r>
      <w:r w:rsidR="00000000">
        <w:rPr>
          <w:rStyle w:val="Hipersaitas"/>
          <w:rFonts w:ascii="Times New Roman" w:hAnsi="Times New Roman" w:cs="Times New Roman"/>
          <w:color w:val="2F5496" w:themeColor="accent1" w:themeShade="BF"/>
        </w:rPr>
        <w:fldChar w:fldCharType="end"/>
      </w:r>
      <w:r w:rsidRPr="00D37B50">
        <w:rPr>
          <w:rFonts w:ascii="Times New Roman" w:hAnsi="Times New Roman" w:cs="Times New Roman"/>
          <w:color w:val="2F5496" w:themeColor="accent1" w:themeShade="BF"/>
        </w:rPr>
        <w:t>.</w:t>
      </w:r>
    </w:p>
    <w:p w14:paraId="1FEB3077" w14:textId="1CAF19AD" w:rsidR="00F8680C" w:rsidRPr="00D37B50" w:rsidRDefault="00F8680C" w:rsidP="0042073E">
      <w:pPr>
        <w:pStyle w:val="Sraopastraipa"/>
        <w:jc w:val="both"/>
        <w:rPr>
          <w:rFonts w:ascii="Times New Roman" w:hAnsi="Times New Roman" w:cs="Times New Roman"/>
          <w:color w:val="1F497D"/>
        </w:rPr>
      </w:pPr>
    </w:p>
    <w:p w14:paraId="103C62A2" w14:textId="0F11896F" w:rsidR="00F8680C" w:rsidRPr="00D37B50" w:rsidRDefault="00F8680C" w:rsidP="00F8680C">
      <w:pPr>
        <w:pStyle w:val="Sraopastraipa"/>
        <w:numPr>
          <w:ilvl w:val="0"/>
          <w:numId w:val="1"/>
        </w:numPr>
        <w:jc w:val="both"/>
        <w:rPr>
          <w:rFonts w:ascii="Times New Roman" w:hAnsi="Times New Roman" w:cs="Times New Roman"/>
          <w:sz w:val="24"/>
          <w:szCs w:val="24"/>
        </w:rPr>
      </w:pPr>
      <w:r w:rsidRPr="00D37B50">
        <w:rPr>
          <w:rFonts w:ascii="Times New Roman" w:hAnsi="Times New Roman" w:cs="Times New Roman"/>
          <w:sz w:val="24"/>
          <w:szCs w:val="24"/>
        </w:rPr>
        <w:t xml:space="preserve">Kokias reikšmes reikia nusimatyti  stebėsenos rodikliui </w:t>
      </w:r>
      <w:r w:rsidR="00E43E99" w:rsidRPr="00D37B50">
        <w:rPr>
          <w:rFonts w:ascii="Times New Roman" w:hAnsi="Times New Roman" w:cs="Times New Roman"/>
          <w:sz w:val="24"/>
          <w:szCs w:val="24"/>
        </w:rPr>
        <w:t>„</w:t>
      </w:r>
      <w:r w:rsidRPr="00D37B50">
        <w:rPr>
          <w:rFonts w:ascii="Times New Roman" w:hAnsi="Times New Roman" w:cs="Times New Roman"/>
          <w:sz w:val="24"/>
          <w:szCs w:val="24"/>
        </w:rPr>
        <w:t xml:space="preserve">Finansuoti projektai ir konsultavimo paslaugos mokslo ir studijų institucijų ir mažų ir vidutinių įmonių potencialiems  programos „Europos horizontas“ pareiškėjams“ P-12-001-01-02-01-14  P.S.1.1136   </w:t>
      </w:r>
    </w:p>
    <w:p w14:paraId="0478D087" w14:textId="02C071C7" w:rsidR="00F8680C" w:rsidRPr="00D37B50" w:rsidRDefault="00F8680C" w:rsidP="00F8680C">
      <w:pPr>
        <w:pStyle w:val="Sraopastraipa"/>
        <w:jc w:val="both"/>
        <w:rPr>
          <w:rFonts w:ascii="Times New Roman" w:hAnsi="Times New Roman" w:cs="Times New Roman"/>
          <w:color w:val="2F5496" w:themeColor="accent1" w:themeShade="BF"/>
        </w:rPr>
      </w:pPr>
      <w:r w:rsidRPr="00D37B50">
        <w:rPr>
          <w:rFonts w:ascii="Times New Roman" w:hAnsi="Times New Roman" w:cs="Times New Roman"/>
          <w:color w:val="2F5496" w:themeColor="accent1" w:themeShade="BF"/>
        </w:rPr>
        <w:t>Šiam stebėsenos rodikliui parenkama reikšmė – 1.</w:t>
      </w:r>
    </w:p>
    <w:p w14:paraId="2BD98249" w14:textId="5267FDB1" w:rsidR="00F8680C" w:rsidRPr="00D37B50" w:rsidRDefault="00F8680C" w:rsidP="00F8680C">
      <w:pPr>
        <w:pStyle w:val="Sraopastraipa"/>
        <w:jc w:val="both"/>
        <w:rPr>
          <w:rFonts w:ascii="Times New Roman" w:hAnsi="Times New Roman" w:cs="Times New Roman"/>
          <w:color w:val="1F497D"/>
        </w:rPr>
      </w:pPr>
    </w:p>
    <w:p w14:paraId="0BDD5906" w14:textId="70E8B23B" w:rsidR="00E43E99" w:rsidRPr="00D37B50" w:rsidRDefault="0031697E" w:rsidP="00965854">
      <w:pPr>
        <w:pStyle w:val="Sraopastraipa"/>
        <w:numPr>
          <w:ilvl w:val="0"/>
          <w:numId w:val="1"/>
        </w:numPr>
        <w:jc w:val="both"/>
        <w:rPr>
          <w:rFonts w:ascii="Times New Roman" w:hAnsi="Times New Roman" w:cs="Times New Roman"/>
          <w:sz w:val="24"/>
          <w:szCs w:val="24"/>
        </w:rPr>
      </w:pPr>
      <w:r w:rsidRPr="00D37B50">
        <w:rPr>
          <w:rFonts w:ascii="Times New Roman" w:hAnsi="Times New Roman" w:cs="Times New Roman"/>
          <w:sz w:val="24"/>
          <w:szCs w:val="24"/>
        </w:rPr>
        <w:t>Kokias siektinas reikšmes pasirinkti stebėsenos rodikliui „</w:t>
      </w:r>
      <w:r w:rsidR="00E43E99" w:rsidRPr="00D37B50">
        <w:rPr>
          <w:rFonts w:ascii="Times New Roman" w:hAnsi="Times New Roman" w:cs="Times New Roman"/>
          <w:sz w:val="24"/>
          <w:szCs w:val="24"/>
        </w:rPr>
        <w:t>Paramą gavusiose mokslinių tyrimų įstaigose dirbantys mokslininkai</w:t>
      </w:r>
      <w:r w:rsidRPr="00D37B50">
        <w:rPr>
          <w:rFonts w:ascii="Times New Roman" w:hAnsi="Times New Roman" w:cs="Times New Roman"/>
          <w:sz w:val="24"/>
          <w:szCs w:val="24"/>
        </w:rPr>
        <w:t xml:space="preserve">“ </w:t>
      </w:r>
      <w:r w:rsidR="00E43E99" w:rsidRPr="00D37B50">
        <w:rPr>
          <w:rFonts w:ascii="Times New Roman" w:hAnsi="Times New Roman" w:cs="Times New Roman"/>
          <w:sz w:val="24"/>
          <w:szCs w:val="24"/>
        </w:rPr>
        <w:t xml:space="preserve">P-12-001-01-02-01-17 R.B.1.2008 </w:t>
      </w:r>
    </w:p>
    <w:p w14:paraId="4EFA5993" w14:textId="6FF360BC" w:rsidR="001E16DC" w:rsidRPr="00D37B50" w:rsidRDefault="001E16DC" w:rsidP="001E16DC">
      <w:pPr>
        <w:pStyle w:val="Sraopastraipa"/>
        <w:jc w:val="both"/>
        <w:rPr>
          <w:rFonts w:ascii="Times New Roman" w:hAnsi="Times New Roman" w:cs="Times New Roman"/>
          <w:color w:val="2F5496" w:themeColor="accent1" w:themeShade="BF"/>
          <w:sz w:val="24"/>
          <w:szCs w:val="24"/>
        </w:rPr>
      </w:pPr>
      <w:r w:rsidRPr="00D37B50">
        <w:rPr>
          <w:rFonts w:ascii="Times New Roman" w:hAnsi="Times New Roman" w:cs="Times New Roman"/>
          <w:color w:val="2F5496" w:themeColor="accent1" w:themeShade="BF"/>
          <w:sz w:val="24"/>
          <w:szCs w:val="24"/>
        </w:rPr>
        <w:t>Rodiklis skaičiuojamas metiniais etato ekvivalentais.</w:t>
      </w:r>
    </w:p>
    <w:p w14:paraId="445FCB77" w14:textId="77777777" w:rsidR="001E16DC" w:rsidRPr="00D37B50" w:rsidRDefault="001E16DC" w:rsidP="001E16DC">
      <w:pPr>
        <w:pStyle w:val="Default"/>
        <w:ind w:left="709"/>
        <w:jc w:val="both"/>
        <w:rPr>
          <w:rFonts w:ascii="Times New Roman" w:hAnsi="Times New Roman" w:cs="Times New Roman"/>
          <w:color w:val="2F5496" w:themeColor="accent1" w:themeShade="BF"/>
        </w:rPr>
      </w:pPr>
      <w:r w:rsidRPr="00D37B50">
        <w:rPr>
          <w:rFonts w:ascii="Times New Roman" w:hAnsi="Times New Roman" w:cs="Times New Roman"/>
          <w:color w:val="2F5496" w:themeColor="accent1" w:themeShade="BF"/>
        </w:rPr>
        <w:t xml:space="preserve">Mokslinių tyrimų ir plėtros darbuotojų metinis etato ekvivalentas nustatomas kaip mokslinių tyrimų ir plėtros srityje faktiškai dirbtų valandų skaičius kalendoriniais metais, padalintas iš viso tuo pačiu laikotarpiu vieno asmens arba grupės įprastai dirbtų valandų skaičiaus. Vienam asmeniui kas pusmetį paprastai negali tekti daugiau kaip vienas mokslinių tyrimų ir plėtros etato ekvivalentas. Įprastai dirbtų valandų skaičius nustatomas remiantis norminiu ir (arba) teisės aktų nustatytu darbo valandų skaičiumi. Visu etatu dirbantis asmuo nustatomas atsižvelgiant į jo užimtumo statusą, sutarties rūšį (darbas visą ar ne visą darbo dieną) ir dalyvavimo mokslinių tyrimų ir plėtros veikloje lygmenį </w:t>
      </w:r>
    </w:p>
    <w:p w14:paraId="66D2FEB6" w14:textId="77777777" w:rsidR="001E16DC" w:rsidRPr="00D37B50" w:rsidRDefault="001E16DC" w:rsidP="001E16DC">
      <w:pPr>
        <w:pStyle w:val="Sraopastraipa"/>
        <w:ind w:firstLine="709"/>
        <w:jc w:val="both"/>
        <w:rPr>
          <w:rFonts w:ascii="Times New Roman" w:hAnsi="Times New Roman" w:cs="Times New Roman"/>
          <w:color w:val="2F5496" w:themeColor="accent1" w:themeShade="BF"/>
          <w:sz w:val="24"/>
          <w:szCs w:val="24"/>
        </w:rPr>
      </w:pPr>
    </w:p>
    <w:p w14:paraId="5CDCACDF" w14:textId="6D8A4A58" w:rsidR="001E16DC" w:rsidRPr="00D37B50" w:rsidRDefault="001E16DC" w:rsidP="001E16DC">
      <w:pPr>
        <w:pStyle w:val="Default"/>
        <w:ind w:left="709"/>
        <w:jc w:val="both"/>
        <w:rPr>
          <w:rFonts w:ascii="Times New Roman" w:hAnsi="Times New Roman" w:cs="Times New Roman"/>
          <w:color w:val="2F5496" w:themeColor="accent1" w:themeShade="BF"/>
        </w:rPr>
      </w:pPr>
      <w:r w:rsidRPr="00D37B50">
        <w:rPr>
          <w:rFonts w:ascii="Times New Roman" w:hAnsi="Times New Roman" w:cs="Times New Roman"/>
          <w:color w:val="2F5496" w:themeColor="accent1" w:themeShade="BF"/>
        </w:rPr>
        <w:t>Į rodiklį netraukiami nei mokslinių tyrimų ir plėtros srities laisvos pareigybės, nei šios srities pagalbiniai darbuotojai (t. y. pareigybės, kurios nėra tiesiogiai susijusios su mokslinių tyrimų ir plėtros veikla).</w:t>
      </w:r>
    </w:p>
    <w:p w14:paraId="67AFEC67" w14:textId="790F1267" w:rsidR="001E16DC" w:rsidRPr="00D37B50" w:rsidRDefault="001E16DC" w:rsidP="001E16DC">
      <w:pPr>
        <w:rPr>
          <w:rFonts w:ascii="Times New Roman" w:hAnsi="Times New Roman" w:cs="Times New Roman"/>
          <w:color w:val="1F497D"/>
        </w:rPr>
      </w:pPr>
      <w:r w:rsidRPr="00D37B50">
        <w:rPr>
          <w:rFonts w:ascii="Times New Roman" w:hAnsi="Times New Roman" w:cs="Times New Roman"/>
          <w:color w:val="1F497D"/>
        </w:rPr>
        <w:t xml:space="preserve">              </w:t>
      </w:r>
      <w:r w:rsidR="00000000">
        <w:fldChar w:fldCharType="begin"/>
      </w:r>
      <w:r w:rsidR="00000000">
        <w:instrText>HYPERLINK "https://eur-lex.europa.eu/legal-content/EN/TXT/?uri=CELEX:32021R2106"</w:instrText>
      </w:r>
      <w:r w:rsidR="00000000">
        <w:fldChar w:fldCharType="separate"/>
      </w:r>
      <w:r w:rsidRPr="00D37B50">
        <w:rPr>
          <w:rStyle w:val="Hipersaitas"/>
          <w:rFonts w:ascii="Times New Roman" w:hAnsi="Times New Roman" w:cs="Times New Roman"/>
        </w:rPr>
        <w:t>https://eur-lex.europa.eu/legal-content/EN/TXT/?uri=CELEX:32021R2106</w:t>
      </w:r>
      <w:r w:rsidR="00000000">
        <w:rPr>
          <w:rStyle w:val="Hipersaitas"/>
          <w:rFonts w:ascii="Times New Roman" w:hAnsi="Times New Roman" w:cs="Times New Roman"/>
        </w:rPr>
        <w:fldChar w:fldCharType="end"/>
      </w:r>
      <w:r w:rsidRPr="00D37B50">
        <w:rPr>
          <w:rFonts w:ascii="Times New Roman" w:hAnsi="Times New Roman" w:cs="Times New Roman"/>
          <w:color w:val="1F497D"/>
        </w:rPr>
        <w:t>.</w:t>
      </w:r>
    </w:p>
    <w:p w14:paraId="0C956A4C" w14:textId="6936B940" w:rsidR="001E16DC" w:rsidRPr="00D37B50" w:rsidRDefault="001E16DC" w:rsidP="0031697E">
      <w:pPr>
        <w:pStyle w:val="Sraopastraipa"/>
        <w:jc w:val="both"/>
        <w:rPr>
          <w:rFonts w:ascii="Times New Roman" w:hAnsi="Times New Roman" w:cs="Times New Roman"/>
          <w:color w:val="2F5496" w:themeColor="accent1" w:themeShade="BF"/>
          <w:sz w:val="24"/>
          <w:szCs w:val="24"/>
        </w:rPr>
      </w:pPr>
    </w:p>
    <w:p w14:paraId="7A7C519A" w14:textId="64BB6E7D" w:rsidR="00F8680C" w:rsidRPr="00D37B50" w:rsidRDefault="005D1501" w:rsidP="00F8680C">
      <w:pPr>
        <w:pStyle w:val="Sraopastraipa"/>
        <w:numPr>
          <w:ilvl w:val="0"/>
          <w:numId w:val="1"/>
        </w:numPr>
        <w:jc w:val="both"/>
        <w:rPr>
          <w:rFonts w:ascii="Times New Roman" w:hAnsi="Times New Roman" w:cs="Times New Roman"/>
          <w:color w:val="1F497D"/>
        </w:rPr>
      </w:pPr>
      <w:r w:rsidRPr="00D37B50">
        <w:rPr>
          <w:rFonts w:ascii="Times New Roman" w:hAnsi="Times New Roman" w:cs="Times New Roman"/>
        </w:rPr>
        <w:t>Kokios privalomos matomumo ir informavimo apie projektus priemonės?</w:t>
      </w:r>
    </w:p>
    <w:p w14:paraId="465AF094" w14:textId="1F2EE244" w:rsidR="005D1501" w:rsidRPr="00D37B50" w:rsidRDefault="005D1501" w:rsidP="005D1501">
      <w:pPr>
        <w:pStyle w:val="Sraopastraipa"/>
        <w:rPr>
          <w:rFonts w:ascii="Times New Roman" w:hAnsi="Times New Roman" w:cs="Times New Roman"/>
          <w:color w:val="2F5496" w:themeColor="accent1" w:themeShade="BF"/>
          <w:kern w:val="24"/>
          <w:position w:val="1"/>
          <w:sz w:val="24"/>
          <w:szCs w:val="24"/>
        </w:rPr>
      </w:pPr>
      <w:r w:rsidRPr="00D37B50">
        <w:rPr>
          <w:rFonts w:ascii="Times New Roman" w:hAnsi="Times New Roman" w:cs="Times New Roman"/>
          <w:color w:val="2F5496" w:themeColor="accent1" w:themeShade="BF"/>
          <w:kern w:val="24"/>
          <w:position w:val="1"/>
          <w:sz w:val="24"/>
          <w:szCs w:val="24"/>
        </w:rPr>
        <w:t xml:space="preserve">Privalomos </w:t>
      </w:r>
      <w:r w:rsidR="001E16DC" w:rsidRPr="00D37B50">
        <w:rPr>
          <w:rFonts w:ascii="Times New Roman" w:hAnsi="Times New Roman" w:cs="Times New Roman"/>
          <w:color w:val="2F5496" w:themeColor="accent1" w:themeShade="BF"/>
          <w:kern w:val="24"/>
          <w:position w:val="1"/>
          <w:sz w:val="24"/>
          <w:szCs w:val="24"/>
        </w:rPr>
        <w:t xml:space="preserve">yra </w:t>
      </w:r>
      <w:r w:rsidRPr="00D37B50">
        <w:rPr>
          <w:rFonts w:ascii="Times New Roman" w:hAnsi="Times New Roman" w:cs="Times New Roman"/>
          <w:color w:val="2F5496" w:themeColor="accent1" w:themeShade="BF"/>
          <w:kern w:val="24"/>
          <w:position w:val="1"/>
          <w:sz w:val="24"/>
          <w:szCs w:val="24"/>
        </w:rPr>
        <w:t>trys priemonės:</w:t>
      </w:r>
    </w:p>
    <w:p w14:paraId="29CC2938" w14:textId="77777777" w:rsidR="005D1501" w:rsidRPr="00D37B50" w:rsidRDefault="005D1501" w:rsidP="005D1501">
      <w:pPr>
        <w:pStyle w:val="Sraopastraipa"/>
        <w:jc w:val="both"/>
        <w:rPr>
          <w:rFonts w:ascii="Times New Roman" w:hAnsi="Times New Roman" w:cs="Times New Roman"/>
          <w:color w:val="2F5496" w:themeColor="accent1" w:themeShade="BF"/>
          <w:sz w:val="24"/>
          <w:szCs w:val="24"/>
        </w:rPr>
      </w:pPr>
      <w:r w:rsidRPr="00D37B50">
        <w:rPr>
          <w:rFonts w:ascii="Times New Roman" w:hAnsi="Times New Roman" w:cs="Times New Roman"/>
          <w:color w:val="2F5496" w:themeColor="accent1" w:themeShade="BF"/>
          <w:sz w:val="24"/>
          <w:szCs w:val="24"/>
        </w:rPr>
        <w:t>341.1.P</w:t>
      </w:r>
      <w:r w:rsidRPr="00D37B50">
        <w:rPr>
          <w:rFonts w:ascii="Times New Roman" w:hAnsi="Times New Roman" w:cs="Times New Roman"/>
          <w:noProof/>
          <w:color w:val="2F5496" w:themeColor="accent1" w:themeShade="BF"/>
          <w:sz w:val="24"/>
          <w:szCs w:val="24"/>
        </w:rPr>
        <w:t>rojekto</w:t>
      </w:r>
      <w:r w:rsidRPr="00D37B50">
        <w:rPr>
          <w:rFonts w:ascii="Times New Roman" w:hAnsi="Times New Roman" w:cs="Times New Roman"/>
          <w:color w:val="2F5496" w:themeColor="accent1" w:themeShade="BF"/>
          <w:sz w:val="24"/>
          <w:szCs w:val="24"/>
        </w:rPr>
        <w:t xml:space="preserve"> vykdytojo ir partnerio pagrindinėje interneto svetainėje (jeigu tokia yra) ir socialiniuose </w:t>
      </w:r>
      <w:r w:rsidRPr="00D37B50">
        <w:rPr>
          <w:rFonts w:ascii="Times New Roman" w:hAnsi="Times New Roman" w:cs="Times New Roman"/>
          <w:noProof/>
          <w:color w:val="2F5496" w:themeColor="accent1" w:themeShade="BF"/>
          <w:sz w:val="24"/>
          <w:szCs w:val="24"/>
        </w:rPr>
        <w:t>tinkluose</w:t>
      </w:r>
      <w:r w:rsidRPr="00D37B50">
        <w:rPr>
          <w:rFonts w:ascii="Times New Roman" w:hAnsi="Times New Roman" w:cs="Times New Roman"/>
          <w:color w:val="2F5496" w:themeColor="accent1" w:themeShade="BF"/>
          <w:sz w:val="24"/>
          <w:szCs w:val="24"/>
        </w:rPr>
        <w:t xml:space="preserve"> per 20 darbo dienų nuo </w:t>
      </w:r>
      <w:r w:rsidRPr="00D37B50">
        <w:rPr>
          <w:rFonts w:ascii="Times New Roman" w:hAnsi="Times New Roman" w:cs="Times New Roman"/>
          <w:noProof/>
          <w:color w:val="2F5496" w:themeColor="accent1" w:themeShade="BF"/>
          <w:sz w:val="24"/>
          <w:szCs w:val="24"/>
        </w:rPr>
        <w:t xml:space="preserve">projekto </w:t>
      </w:r>
      <w:r w:rsidRPr="00D37B50">
        <w:rPr>
          <w:rFonts w:ascii="Times New Roman" w:hAnsi="Times New Roman" w:cs="Times New Roman"/>
          <w:color w:val="2F5496" w:themeColor="accent1" w:themeShade="BF"/>
          <w:sz w:val="24"/>
          <w:szCs w:val="24"/>
        </w:rPr>
        <w:t>sutarties pasirašymo</w:t>
      </w:r>
      <w:r w:rsidRPr="00D37B50">
        <w:rPr>
          <w:rFonts w:ascii="Times New Roman" w:hAnsi="Times New Roman" w:cs="Times New Roman"/>
          <w:noProof/>
          <w:color w:val="2F5496" w:themeColor="accent1" w:themeShade="BF"/>
          <w:sz w:val="24"/>
          <w:szCs w:val="24"/>
        </w:rPr>
        <w:t xml:space="preserve"> dienos paskelbiamas </w:t>
      </w:r>
      <w:r w:rsidRPr="00D37B50">
        <w:rPr>
          <w:rFonts w:ascii="Times New Roman" w:hAnsi="Times New Roman" w:cs="Times New Roman"/>
          <w:color w:val="2F5496" w:themeColor="accent1" w:themeShade="BF"/>
          <w:sz w:val="24"/>
          <w:szCs w:val="24"/>
        </w:rPr>
        <w:t xml:space="preserve">trumpas projekto aprašymas, </w:t>
      </w:r>
      <w:r w:rsidRPr="00D37B50">
        <w:rPr>
          <w:rFonts w:ascii="Times New Roman" w:hAnsi="Times New Roman" w:cs="Times New Roman"/>
          <w:noProof/>
          <w:color w:val="2F5496" w:themeColor="accent1" w:themeShade="BF"/>
          <w:sz w:val="24"/>
          <w:szCs w:val="24"/>
        </w:rPr>
        <w:t>kuriame</w:t>
      </w:r>
      <w:r w:rsidRPr="00D37B50">
        <w:rPr>
          <w:rFonts w:ascii="Times New Roman" w:hAnsi="Times New Roman" w:cs="Times New Roman"/>
          <w:color w:val="2F5496" w:themeColor="accent1" w:themeShade="BF"/>
          <w:sz w:val="24"/>
          <w:szCs w:val="24"/>
        </w:rPr>
        <w:t xml:space="preserve"> pristatomos visos įgyvendinant projektą suplanuotos veiklos, </w:t>
      </w:r>
      <w:proofErr w:type="spellStart"/>
      <w:r w:rsidRPr="00D37B50">
        <w:rPr>
          <w:rFonts w:ascii="Times New Roman" w:hAnsi="Times New Roman" w:cs="Times New Roman"/>
          <w:color w:val="2F5496" w:themeColor="accent1" w:themeShade="BF"/>
          <w:sz w:val="24"/>
          <w:szCs w:val="24"/>
        </w:rPr>
        <w:t>poveiklės</w:t>
      </w:r>
      <w:proofErr w:type="spellEnd"/>
      <w:r w:rsidRPr="00D37B50">
        <w:rPr>
          <w:rFonts w:ascii="Times New Roman" w:hAnsi="Times New Roman" w:cs="Times New Roman"/>
          <w:color w:val="2F5496" w:themeColor="accent1" w:themeShade="BF"/>
          <w:sz w:val="24"/>
          <w:szCs w:val="24"/>
        </w:rPr>
        <w:t xml:space="preserve">, nurodomi </w:t>
      </w:r>
      <w:r w:rsidRPr="00D37B50">
        <w:rPr>
          <w:rFonts w:ascii="Times New Roman" w:hAnsi="Times New Roman" w:cs="Times New Roman"/>
          <w:noProof/>
          <w:color w:val="2F5496" w:themeColor="accent1" w:themeShade="BF"/>
          <w:sz w:val="24"/>
          <w:szCs w:val="24"/>
        </w:rPr>
        <w:t xml:space="preserve">projekto tikslai bei rezultatai </w:t>
      </w:r>
      <w:r w:rsidRPr="00D37B50">
        <w:rPr>
          <w:rFonts w:ascii="Times New Roman" w:hAnsi="Times New Roman" w:cs="Times New Roman"/>
          <w:color w:val="2F5496" w:themeColor="accent1" w:themeShade="BF"/>
          <w:sz w:val="24"/>
          <w:szCs w:val="24"/>
        </w:rPr>
        <w:t xml:space="preserve">ir </w:t>
      </w:r>
      <w:r w:rsidRPr="00D37B50">
        <w:rPr>
          <w:rFonts w:ascii="Times New Roman" w:hAnsi="Times New Roman" w:cs="Times New Roman"/>
          <w:noProof/>
          <w:color w:val="2F5496" w:themeColor="accent1" w:themeShade="BF"/>
          <w:sz w:val="24"/>
          <w:szCs w:val="24"/>
        </w:rPr>
        <w:t>informuojama</w:t>
      </w:r>
      <w:r w:rsidRPr="00D37B50">
        <w:rPr>
          <w:rFonts w:ascii="Times New Roman" w:hAnsi="Times New Roman" w:cs="Times New Roman"/>
          <w:color w:val="2F5496" w:themeColor="accent1" w:themeShade="BF"/>
          <w:sz w:val="24"/>
          <w:szCs w:val="24"/>
        </w:rPr>
        <w:t xml:space="preserve"> apie gautą </w:t>
      </w:r>
      <w:r w:rsidRPr="00D37B50">
        <w:rPr>
          <w:rFonts w:ascii="Times New Roman" w:hAnsi="Times New Roman" w:cs="Times New Roman"/>
          <w:noProof/>
          <w:color w:val="2F5496" w:themeColor="accent1" w:themeShade="BF"/>
          <w:sz w:val="24"/>
          <w:szCs w:val="24"/>
        </w:rPr>
        <w:t>ES</w:t>
      </w:r>
      <w:r w:rsidRPr="00D37B50">
        <w:rPr>
          <w:rFonts w:ascii="Times New Roman" w:hAnsi="Times New Roman" w:cs="Times New Roman"/>
          <w:color w:val="2F5496" w:themeColor="accent1" w:themeShade="BF"/>
          <w:sz w:val="24"/>
          <w:szCs w:val="24"/>
        </w:rPr>
        <w:t xml:space="preserve"> finansavimą.</w:t>
      </w:r>
    </w:p>
    <w:p w14:paraId="18561FD0" w14:textId="38E64A84" w:rsidR="005D1501" w:rsidRPr="00D37B50" w:rsidRDefault="005D1501" w:rsidP="005D1501">
      <w:pPr>
        <w:pStyle w:val="Sraopastraipa"/>
        <w:jc w:val="both"/>
        <w:rPr>
          <w:rFonts w:ascii="Times New Roman" w:hAnsi="Times New Roman" w:cs="Times New Roman"/>
          <w:color w:val="2F5496" w:themeColor="accent1" w:themeShade="BF"/>
          <w:sz w:val="24"/>
          <w:szCs w:val="24"/>
        </w:rPr>
      </w:pPr>
      <w:r w:rsidRPr="00D37B50">
        <w:rPr>
          <w:rFonts w:ascii="Times New Roman" w:hAnsi="Times New Roman" w:cs="Times New Roman"/>
          <w:color w:val="2F5496" w:themeColor="accent1" w:themeShade="BF"/>
          <w:sz w:val="24"/>
          <w:szCs w:val="24"/>
        </w:rPr>
        <w:t xml:space="preserve">341.2. Visuomenei ar projekto dalyviams skirtuose dokumentuose, susijusiuose su projekto įgyvendinimu, aiškiai pateikiama informacija apie gautą ES finansavimą, o </w:t>
      </w:r>
      <w:r w:rsidRPr="00D37B50">
        <w:rPr>
          <w:rFonts w:ascii="Times New Roman" w:hAnsi="Times New Roman" w:cs="Times New Roman"/>
          <w:color w:val="2F5496" w:themeColor="accent1" w:themeShade="BF"/>
          <w:sz w:val="24"/>
          <w:szCs w:val="24"/>
        </w:rPr>
        <w:lastRenderedPageBreak/>
        <w:t xml:space="preserve">komunikacijos medžiagoje, susijusioje su ES investicijų viešinimu, aiškiai pateikiama informacija apie ES indėlį ir naudą. </w:t>
      </w:r>
    </w:p>
    <w:p w14:paraId="058A8F00" w14:textId="776A0247" w:rsidR="005D1501" w:rsidRPr="00D37B50" w:rsidRDefault="005D1501" w:rsidP="005D1501">
      <w:pPr>
        <w:pStyle w:val="Sraopastraipa"/>
        <w:jc w:val="both"/>
        <w:rPr>
          <w:rFonts w:ascii="Times New Roman" w:hAnsi="Times New Roman" w:cs="Times New Roman"/>
          <w:color w:val="2F5496" w:themeColor="accent1" w:themeShade="BF"/>
          <w:sz w:val="24"/>
          <w:szCs w:val="24"/>
          <w:shd w:val="clear" w:color="auto" w:fill="FFFFFF"/>
        </w:rPr>
      </w:pPr>
      <w:r w:rsidRPr="00D37B50">
        <w:rPr>
          <w:rFonts w:ascii="Times New Roman" w:hAnsi="Times New Roman" w:cs="Times New Roman"/>
          <w:color w:val="2F5496" w:themeColor="accent1" w:themeShade="BF"/>
          <w:sz w:val="24"/>
          <w:szCs w:val="24"/>
        </w:rPr>
        <w:t xml:space="preserve">341.4. </w:t>
      </w:r>
      <w:r w:rsidR="001E16DC" w:rsidRPr="00D37B50">
        <w:rPr>
          <w:rFonts w:ascii="Times New Roman" w:hAnsi="Times New Roman" w:cs="Times New Roman"/>
          <w:color w:val="2F5496" w:themeColor="accent1" w:themeShade="BF"/>
          <w:sz w:val="24"/>
          <w:szCs w:val="24"/>
        </w:rPr>
        <w:t>P</w:t>
      </w:r>
      <w:r w:rsidRPr="00D37B50">
        <w:rPr>
          <w:rFonts w:ascii="Times New Roman" w:hAnsi="Times New Roman" w:cs="Times New Roman"/>
          <w:color w:val="2F5496" w:themeColor="accent1" w:themeShade="BF"/>
          <w:sz w:val="24"/>
          <w:szCs w:val="24"/>
        </w:rPr>
        <w:t xml:space="preserve">er 20 darbo dienų nuo </w:t>
      </w:r>
      <w:r w:rsidRPr="00D37B50">
        <w:rPr>
          <w:rFonts w:ascii="Times New Roman" w:hAnsi="Times New Roman" w:cs="Times New Roman"/>
          <w:noProof/>
          <w:color w:val="2F5496" w:themeColor="accent1" w:themeShade="BF"/>
          <w:sz w:val="24"/>
          <w:szCs w:val="24"/>
        </w:rPr>
        <w:t xml:space="preserve">projekto </w:t>
      </w:r>
      <w:r w:rsidRPr="00D37B50">
        <w:rPr>
          <w:rFonts w:ascii="Times New Roman" w:hAnsi="Times New Roman" w:cs="Times New Roman"/>
          <w:color w:val="2F5496" w:themeColor="accent1" w:themeShade="BF"/>
          <w:sz w:val="24"/>
          <w:szCs w:val="24"/>
        </w:rPr>
        <w:t>sutarties pasirašymo</w:t>
      </w:r>
      <w:r w:rsidRPr="00D37B50">
        <w:rPr>
          <w:rFonts w:ascii="Times New Roman" w:hAnsi="Times New Roman" w:cs="Times New Roman"/>
          <w:noProof/>
          <w:color w:val="2F5496" w:themeColor="accent1" w:themeShade="BF"/>
          <w:sz w:val="24"/>
          <w:szCs w:val="24"/>
        </w:rPr>
        <w:t xml:space="preserve"> dienos </w:t>
      </w:r>
      <w:r w:rsidRPr="00D37B50">
        <w:rPr>
          <w:rFonts w:ascii="Times New Roman" w:hAnsi="Times New Roman" w:cs="Times New Roman"/>
          <w:color w:val="2F5496" w:themeColor="accent1" w:themeShade="BF"/>
          <w:sz w:val="24"/>
          <w:szCs w:val="24"/>
        </w:rPr>
        <w:t xml:space="preserve">visuomenei gerai matomoje vietoje (pavyzdžiui, prie pagrindinio įėjimo į pastatą ar organizacijos vestibiulyje) viešai iškabinamas bent vienas spausdintas ar rodomas elektroninis ne mažesnis nei A3 formato pranešimas (plakatas), kuriame pateikiama informacija apie projektą ir paskelbiama apie gautą ES finansavimą. </w:t>
      </w:r>
    </w:p>
    <w:p w14:paraId="73155FF6" w14:textId="160F63B8" w:rsidR="005D1501" w:rsidRPr="00D37B50" w:rsidRDefault="005D1501" w:rsidP="005D1501">
      <w:pPr>
        <w:pStyle w:val="Sraopastraipa"/>
        <w:jc w:val="both"/>
        <w:rPr>
          <w:rFonts w:ascii="Times New Roman" w:hAnsi="Times New Roman" w:cs="Times New Roman"/>
          <w:color w:val="2F5496" w:themeColor="accent1" w:themeShade="BF"/>
          <w:sz w:val="24"/>
          <w:szCs w:val="24"/>
          <w:shd w:val="clear" w:color="auto" w:fill="FFFFFF"/>
        </w:rPr>
      </w:pPr>
    </w:p>
    <w:p w14:paraId="67714D5A" w14:textId="77777777" w:rsidR="005D1501" w:rsidRPr="00D37B50" w:rsidRDefault="005D1501" w:rsidP="005D1501">
      <w:pPr>
        <w:pStyle w:val="Sraopastraipa"/>
        <w:jc w:val="both"/>
        <w:rPr>
          <w:rFonts w:ascii="Times New Roman" w:hAnsi="Times New Roman" w:cs="Times New Roman"/>
          <w:color w:val="2F5496" w:themeColor="accent1" w:themeShade="BF"/>
          <w:lang w:val="en-US"/>
        </w:rPr>
      </w:pPr>
    </w:p>
    <w:p w14:paraId="720F0900" w14:textId="45D9298E" w:rsidR="00F8680C" w:rsidRPr="00D37B50" w:rsidRDefault="00F8680C" w:rsidP="0042073E">
      <w:pPr>
        <w:pStyle w:val="Sraopastraipa"/>
        <w:jc w:val="both"/>
        <w:rPr>
          <w:rFonts w:ascii="Times New Roman" w:hAnsi="Times New Roman" w:cs="Times New Roman"/>
          <w:color w:val="1F497D"/>
        </w:rPr>
      </w:pPr>
    </w:p>
    <w:p w14:paraId="371C145D" w14:textId="77777777" w:rsidR="00F8680C" w:rsidRPr="00D37B50" w:rsidRDefault="00F8680C" w:rsidP="0042073E">
      <w:pPr>
        <w:pStyle w:val="Sraopastraipa"/>
        <w:jc w:val="both"/>
        <w:rPr>
          <w:rFonts w:ascii="Times New Roman" w:hAnsi="Times New Roman" w:cs="Times New Roman"/>
          <w:color w:val="1F497D"/>
        </w:rPr>
      </w:pPr>
    </w:p>
    <w:p w14:paraId="16DCF5CC" w14:textId="77777777" w:rsidR="003B51C1" w:rsidRPr="00D37B50" w:rsidRDefault="003B51C1" w:rsidP="003B51C1">
      <w:pPr>
        <w:rPr>
          <w:rFonts w:ascii="Times New Roman" w:hAnsi="Times New Roman" w:cs="Times New Roman"/>
          <w:sz w:val="24"/>
          <w:szCs w:val="24"/>
        </w:rPr>
      </w:pPr>
    </w:p>
    <w:sectPr w:rsidR="003B51C1" w:rsidRPr="00D37B50" w:rsidSect="0042073E">
      <w:pgSz w:w="11906" w:h="16838"/>
      <w:pgMar w:top="1440" w:right="1133"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EE"/>
    <w:family w:val="swiss"/>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20F99"/>
    <w:multiLevelType w:val="hybridMultilevel"/>
    <w:tmpl w:val="02248C38"/>
    <w:lvl w:ilvl="0" w:tplc="CBE47A72">
      <w:numFmt w:val="bullet"/>
      <w:lvlText w:val=""/>
      <w:lvlJc w:val="left"/>
      <w:pPr>
        <w:ind w:left="720" w:hanging="360"/>
      </w:pPr>
      <w:rPr>
        <w:rFonts w:ascii="Symbol" w:eastAsia="Calibri" w:hAnsi="Symbol"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53617ACC"/>
    <w:multiLevelType w:val="hybridMultilevel"/>
    <w:tmpl w:val="ECA03E92"/>
    <w:lvl w:ilvl="0" w:tplc="E42AA76E">
      <w:start w:val="1"/>
      <w:numFmt w:val="decimal"/>
      <w:lvlText w:val="%1."/>
      <w:lvlJc w:val="left"/>
      <w:pPr>
        <w:ind w:left="720" w:hanging="360"/>
      </w:pPr>
      <w:rPr>
        <w:rFonts w:ascii="Calibri" w:eastAsia="Calibri" w:hAnsi="Calibri" w:cs="Times New Roman" w:hint="default"/>
        <w:color w:val="auto"/>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655307C"/>
    <w:multiLevelType w:val="hybridMultilevel"/>
    <w:tmpl w:val="0AEA1B60"/>
    <w:lvl w:ilvl="0" w:tplc="FFFFFFFF">
      <w:start w:val="1"/>
      <w:numFmt w:val="decimal"/>
      <w:lvlText w:val="%1."/>
      <w:lvlJc w:val="left"/>
      <w:pPr>
        <w:ind w:left="720" w:hanging="360"/>
      </w:pPr>
      <w:rPr>
        <w:rFonts w:ascii="Calibri" w:eastAsia="Calibri" w:hAnsi="Calibri" w:cs="Times New Roman" w:hint="default"/>
        <w:color w:val="1F497D"/>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699671790">
    <w:abstractNumId w:val="1"/>
  </w:num>
  <w:num w:numId="2" w16cid:durableId="1102451939">
    <w:abstractNumId w:val="0"/>
  </w:num>
  <w:num w:numId="3" w16cid:durableId="1740978559">
    <w:abstractNumId w:val="1"/>
  </w:num>
  <w:num w:numId="4" w16cid:durableId="818114775">
    <w:abstractNumId w:val="2"/>
  </w:num>
  <w:num w:numId="5" w16cid:durableId="1946423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05C"/>
    <w:rsid w:val="0007477C"/>
    <w:rsid w:val="001E16DC"/>
    <w:rsid w:val="0031697E"/>
    <w:rsid w:val="003B51C1"/>
    <w:rsid w:val="0042073E"/>
    <w:rsid w:val="005D1501"/>
    <w:rsid w:val="008464E8"/>
    <w:rsid w:val="009D5469"/>
    <w:rsid w:val="009D7F8D"/>
    <w:rsid w:val="00D37B50"/>
    <w:rsid w:val="00E060AD"/>
    <w:rsid w:val="00E43E99"/>
    <w:rsid w:val="00EE4488"/>
    <w:rsid w:val="00F6405C"/>
    <w:rsid w:val="00F868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682C1"/>
  <w15:chartTrackingRefBased/>
  <w15:docId w15:val="{81A616AB-5DA2-4D82-97ED-C25DB3F2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6405C"/>
    <w:pPr>
      <w:spacing w:after="0" w:line="240" w:lineRule="auto"/>
      <w:ind w:left="720"/>
    </w:pPr>
    <w:rPr>
      <w:rFonts w:ascii="Calibri" w:hAnsi="Calibri" w:cs="Calibri"/>
    </w:rPr>
  </w:style>
  <w:style w:type="character" w:styleId="Hipersaitas">
    <w:name w:val="Hyperlink"/>
    <w:basedOn w:val="Numatytasispastraiposriftas"/>
    <w:uiPriority w:val="99"/>
    <w:unhideWhenUsed/>
    <w:rsid w:val="003B51C1"/>
    <w:rPr>
      <w:color w:val="0563C1"/>
      <w:u w:val="single"/>
    </w:rPr>
  </w:style>
  <w:style w:type="character" w:styleId="Neapdorotaspaminjimas">
    <w:name w:val="Unresolved Mention"/>
    <w:basedOn w:val="Numatytasispastraiposriftas"/>
    <w:uiPriority w:val="99"/>
    <w:semiHidden/>
    <w:unhideWhenUsed/>
    <w:rsid w:val="00F8680C"/>
    <w:rPr>
      <w:color w:val="605E5C"/>
      <w:shd w:val="clear" w:color="auto" w:fill="E1DFDD"/>
    </w:rPr>
  </w:style>
  <w:style w:type="character" w:styleId="Komentaronuoroda">
    <w:name w:val="annotation reference"/>
    <w:basedOn w:val="Numatytasispastraiposriftas"/>
    <w:uiPriority w:val="99"/>
    <w:rsid w:val="005D1501"/>
    <w:rPr>
      <w:sz w:val="16"/>
      <w:szCs w:val="16"/>
    </w:rPr>
  </w:style>
  <w:style w:type="paragraph" w:customStyle="1" w:styleId="Default">
    <w:name w:val="Default"/>
    <w:rsid w:val="001E16DC"/>
    <w:pPr>
      <w:autoSpaceDE w:val="0"/>
      <w:autoSpaceDN w:val="0"/>
      <w:adjustRightInd w:val="0"/>
      <w:spacing w:after="0" w:line="240" w:lineRule="auto"/>
    </w:pPr>
    <w:rPr>
      <w:rFonts w:ascii="EUAlbertina" w:hAnsi="EUAlbertina" w:cs="EUAlbertina"/>
      <w:color w:val="000000"/>
      <w:sz w:val="24"/>
      <w:szCs w:val="24"/>
    </w:rPr>
  </w:style>
  <w:style w:type="character" w:styleId="Perirtashipersaitas">
    <w:name w:val="FollowedHyperlink"/>
    <w:basedOn w:val="Numatytasispastraiposriftas"/>
    <w:uiPriority w:val="99"/>
    <w:semiHidden/>
    <w:unhideWhenUsed/>
    <w:rsid w:val="008464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82774">
      <w:bodyDiv w:val="1"/>
      <w:marLeft w:val="0"/>
      <w:marRight w:val="0"/>
      <w:marTop w:val="0"/>
      <w:marBottom w:val="0"/>
      <w:divBdr>
        <w:top w:val="none" w:sz="0" w:space="0" w:color="auto"/>
        <w:left w:val="none" w:sz="0" w:space="0" w:color="auto"/>
        <w:bottom w:val="none" w:sz="0" w:space="0" w:color="auto"/>
        <w:right w:val="none" w:sz="0" w:space="0" w:color="auto"/>
      </w:divBdr>
    </w:div>
    <w:div w:id="194077932">
      <w:bodyDiv w:val="1"/>
      <w:marLeft w:val="0"/>
      <w:marRight w:val="0"/>
      <w:marTop w:val="0"/>
      <w:marBottom w:val="0"/>
      <w:divBdr>
        <w:top w:val="none" w:sz="0" w:space="0" w:color="auto"/>
        <w:left w:val="none" w:sz="0" w:space="0" w:color="auto"/>
        <w:bottom w:val="none" w:sz="0" w:space="0" w:color="auto"/>
        <w:right w:val="none" w:sz="0" w:space="0" w:color="auto"/>
      </w:divBdr>
    </w:div>
    <w:div w:id="242036469">
      <w:bodyDiv w:val="1"/>
      <w:marLeft w:val="0"/>
      <w:marRight w:val="0"/>
      <w:marTop w:val="0"/>
      <w:marBottom w:val="0"/>
      <w:divBdr>
        <w:top w:val="none" w:sz="0" w:space="0" w:color="auto"/>
        <w:left w:val="none" w:sz="0" w:space="0" w:color="auto"/>
        <w:bottom w:val="none" w:sz="0" w:space="0" w:color="auto"/>
        <w:right w:val="none" w:sz="0" w:space="0" w:color="auto"/>
      </w:divBdr>
    </w:div>
    <w:div w:id="879903568">
      <w:bodyDiv w:val="1"/>
      <w:marLeft w:val="0"/>
      <w:marRight w:val="0"/>
      <w:marTop w:val="0"/>
      <w:marBottom w:val="0"/>
      <w:divBdr>
        <w:top w:val="none" w:sz="0" w:space="0" w:color="auto"/>
        <w:left w:val="none" w:sz="0" w:space="0" w:color="auto"/>
        <w:bottom w:val="none" w:sz="0" w:space="0" w:color="auto"/>
        <w:right w:val="none" w:sz="0" w:space="0" w:color="auto"/>
      </w:divBdr>
    </w:div>
    <w:div w:id="1059128072">
      <w:bodyDiv w:val="1"/>
      <w:marLeft w:val="0"/>
      <w:marRight w:val="0"/>
      <w:marTop w:val="0"/>
      <w:marBottom w:val="0"/>
      <w:divBdr>
        <w:top w:val="none" w:sz="0" w:space="0" w:color="auto"/>
        <w:left w:val="none" w:sz="0" w:space="0" w:color="auto"/>
        <w:bottom w:val="none" w:sz="0" w:space="0" w:color="auto"/>
        <w:right w:val="none" w:sz="0" w:space="0" w:color="auto"/>
      </w:divBdr>
    </w:div>
    <w:div w:id="1120612619">
      <w:bodyDiv w:val="1"/>
      <w:marLeft w:val="0"/>
      <w:marRight w:val="0"/>
      <w:marTop w:val="0"/>
      <w:marBottom w:val="0"/>
      <w:divBdr>
        <w:top w:val="none" w:sz="0" w:space="0" w:color="auto"/>
        <w:left w:val="none" w:sz="0" w:space="0" w:color="auto"/>
        <w:bottom w:val="none" w:sz="0" w:space="0" w:color="auto"/>
        <w:right w:val="none" w:sz="0" w:space="0" w:color="auto"/>
      </w:divBdr>
    </w:div>
    <w:div w:id="1247180435">
      <w:bodyDiv w:val="1"/>
      <w:marLeft w:val="0"/>
      <w:marRight w:val="0"/>
      <w:marTop w:val="0"/>
      <w:marBottom w:val="0"/>
      <w:divBdr>
        <w:top w:val="none" w:sz="0" w:space="0" w:color="auto"/>
        <w:left w:val="none" w:sz="0" w:space="0" w:color="auto"/>
        <w:bottom w:val="none" w:sz="0" w:space="0" w:color="auto"/>
        <w:right w:val="none" w:sz="0" w:space="0" w:color="auto"/>
      </w:divBdr>
    </w:div>
    <w:div w:id="1557743362">
      <w:bodyDiv w:val="1"/>
      <w:marLeft w:val="0"/>
      <w:marRight w:val="0"/>
      <w:marTop w:val="0"/>
      <w:marBottom w:val="0"/>
      <w:divBdr>
        <w:top w:val="none" w:sz="0" w:space="0" w:color="auto"/>
        <w:left w:val="none" w:sz="0" w:space="0" w:color="auto"/>
        <w:bottom w:val="none" w:sz="0" w:space="0" w:color="auto"/>
        <w:right w:val="none" w:sz="0" w:space="0" w:color="auto"/>
      </w:divBdr>
    </w:div>
    <w:div w:id="1573348044">
      <w:bodyDiv w:val="1"/>
      <w:marLeft w:val="0"/>
      <w:marRight w:val="0"/>
      <w:marTop w:val="0"/>
      <w:marBottom w:val="0"/>
      <w:divBdr>
        <w:top w:val="none" w:sz="0" w:space="0" w:color="auto"/>
        <w:left w:val="none" w:sz="0" w:space="0" w:color="auto"/>
        <w:bottom w:val="none" w:sz="0" w:space="0" w:color="auto"/>
        <w:right w:val="none" w:sz="0" w:space="0" w:color="auto"/>
      </w:divBdr>
    </w:div>
    <w:div w:id="1596669548">
      <w:bodyDiv w:val="1"/>
      <w:marLeft w:val="0"/>
      <w:marRight w:val="0"/>
      <w:marTop w:val="0"/>
      <w:marBottom w:val="0"/>
      <w:divBdr>
        <w:top w:val="none" w:sz="0" w:space="0" w:color="auto"/>
        <w:left w:val="none" w:sz="0" w:space="0" w:color="auto"/>
        <w:bottom w:val="none" w:sz="0" w:space="0" w:color="auto"/>
        <w:right w:val="none" w:sz="0" w:space="0" w:color="auto"/>
      </w:divBdr>
    </w:div>
    <w:div w:id="198091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a.consilium.europa.eu/doc/document/ST-14308-2021-INIT/lt/pdf" TargetMode="External"/><Relationship Id="rId5" Type="http://schemas.openxmlformats.org/officeDocument/2006/relationships/hyperlink" Target="https://op.europa.eu/en/publication-detail/-/publication/3faf52e8-79a2-11ec-9136-01aa75ed71a1/language-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5080</Words>
  <Characters>2896</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Markevičienė</dc:creator>
  <cp:keywords/>
  <dc:description/>
  <cp:lastModifiedBy>Lina Markevičienė</cp:lastModifiedBy>
  <cp:revision>4</cp:revision>
  <dcterms:created xsi:type="dcterms:W3CDTF">2023-02-28T13:04:00Z</dcterms:created>
  <dcterms:modified xsi:type="dcterms:W3CDTF">2023-03-01T07:38:00Z</dcterms:modified>
</cp:coreProperties>
</file>