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AFA90BA" w:rsidR="000E1BDC" w:rsidRPr="008910FE" w:rsidRDefault="002F0078" w:rsidP="00E93301">
      <w:pPr>
        <w:jc w:val="center"/>
        <w:rPr>
          <w:rFonts w:ascii="Times New Roman" w:hAnsi="Times New Roman" w:cs="Times New Roman"/>
          <w:b/>
        </w:rPr>
      </w:pPr>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4596" w:type="dxa"/>
        <w:tblLook w:val="04A0" w:firstRow="1" w:lastRow="0" w:firstColumn="1" w:lastColumn="0" w:noHBand="0" w:noVBand="1"/>
      </w:tblPr>
      <w:tblGrid>
        <w:gridCol w:w="3539"/>
        <w:gridCol w:w="11057"/>
      </w:tblGrid>
      <w:tr w:rsidR="00B351D0" w:rsidRPr="007C7A59" w14:paraId="324F7CBB" w14:textId="77777777" w:rsidTr="003125E8">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11057" w:type="dxa"/>
          </w:tcPr>
          <w:p w14:paraId="09E85D49" w14:textId="6FD8BFE8" w:rsidR="00B351D0" w:rsidRPr="008D18C8" w:rsidRDefault="00B351D0" w:rsidP="00E93301">
            <w:pPr>
              <w:spacing w:after="120"/>
              <w:rPr>
                <w:rFonts w:ascii="Times New Roman" w:hAnsi="Times New Roman" w:cs="Times New Roman"/>
              </w:rPr>
            </w:pPr>
          </w:p>
        </w:tc>
      </w:tr>
      <w:tr w:rsidR="00B351D0" w:rsidRPr="007C7A59" w14:paraId="69A47D95" w14:textId="77777777" w:rsidTr="003125E8">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11057" w:type="dxa"/>
          </w:tcPr>
          <w:p w14:paraId="7D24036E" w14:textId="694715F3" w:rsidR="00B351D0" w:rsidRPr="008D18C8" w:rsidRDefault="00B351D0" w:rsidP="00E93301">
            <w:pPr>
              <w:spacing w:after="120"/>
              <w:rPr>
                <w:rFonts w:ascii="Times New Roman" w:hAnsi="Times New Roman" w:cs="Times New Roman"/>
              </w:rPr>
            </w:pPr>
          </w:p>
        </w:tc>
      </w:tr>
      <w:tr w:rsidR="001D355E" w:rsidRPr="007C7A59" w14:paraId="72579DC4" w14:textId="77777777" w:rsidTr="003125E8">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11057" w:type="dxa"/>
          </w:tcPr>
          <w:p w14:paraId="4AEC9D33" w14:textId="6721F00E" w:rsidR="001D355E" w:rsidRPr="008D18C8" w:rsidRDefault="001D355E" w:rsidP="00E93301">
            <w:pPr>
              <w:spacing w:after="120"/>
              <w:rPr>
                <w:rFonts w:ascii="Times New Roman" w:hAnsi="Times New Roman" w:cs="Times New Roman"/>
              </w:rPr>
            </w:pPr>
          </w:p>
        </w:tc>
      </w:tr>
    </w:tbl>
    <w:p w14:paraId="027A7495" w14:textId="761852F1" w:rsidR="0079046B" w:rsidRDefault="001D355E" w:rsidP="00047D1C">
      <w:pPr>
        <w:pStyle w:val="Heading1"/>
        <w:numPr>
          <w:ilvl w:val="0"/>
          <w:numId w:val="2"/>
        </w:numPr>
      </w:pPr>
      <w:r w:rsidRPr="007C7A59">
        <w:t>PATIKROS KLAUSIMAI</w:t>
      </w:r>
    </w:p>
    <w:tbl>
      <w:tblPr>
        <w:tblW w:w="5000" w:type="pct"/>
        <w:tblLayout w:type="fixed"/>
        <w:tblCellMar>
          <w:top w:w="15" w:type="dxa"/>
          <w:bottom w:w="15" w:type="dxa"/>
        </w:tblCellMar>
        <w:tblLook w:val="04A0" w:firstRow="1" w:lastRow="0" w:firstColumn="1" w:lastColumn="0" w:noHBand="0" w:noVBand="1"/>
      </w:tblPr>
      <w:tblGrid>
        <w:gridCol w:w="422"/>
        <w:gridCol w:w="1698"/>
        <w:gridCol w:w="6668"/>
        <w:gridCol w:w="990"/>
        <w:gridCol w:w="850"/>
        <w:gridCol w:w="993"/>
        <w:gridCol w:w="990"/>
        <w:gridCol w:w="993"/>
        <w:gridCol w:w="955"/>
      </w:tblGrid>
      <w:tr w:rsidR="00E12105" w:rsidRPr="002F0078" w14:paraId="056CAE02" w14:textId="77777777" w:rsidTr="00A10522">
        <w:trPr>
          <w:trHeight w:val="915"/>
        </w:trPr>
        <w:tc>
          <w:tcPr>
            <w:tcW w:w="145" w:type="pct"/>
            <w:tcBorders>
              <w:top w:val="single" w:sz="4" w:space="0" w:color="auto"/>
              <w:left w:val="single" w:sz="4" w:space="0" w:color="auto"/>
              <w:bottom w:val="nil"/>
              <w:right w:val="single" w:sz="4" w:space="0" w:color="auto"/>
            </w:tcBorders>
            <w:shd w:val="clear" w:color="000000" w:fill="D9D9D9"/>
            <w:hideMark/>
          </w:tcPr>
          <w:p w14:paraId="7A53C4C0"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583" w:type="pct"/>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Kriterijus</w:t>
            </w:r>
          </w:p>
        </w:tc>
        <w:tc>
          <w:tcPr>
            <w:tcW w:w="2290"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vertinimo</w:t>
            </w:r>
            <w:r w:rsidR="001A6072" w:rsidRPr="00EA4E9A">
              <w:rPr>
                <w:rFonts w:ascii="Times New Roman" w:eastAsia="Times New Roman" w:hAnsi="Times New Roman" w:cs="Times New Roman"/>
                <w:b/>
                <w:bCs/>
                <w:color w:val="000000"/>
                <w:lang w:eastAsia="lt-LT"/>
              </w:rPr>
              <w:t xml:space="preserve"> metodas</w:t>
            </w:r>
          </w:p>
        </w:tc>
        <w:tc>
          <w:tcPr>
            <w:tcW w:w="340" w:type="pct"/>
            <w:tcBorders>
              <w:top w:val="single" w:sz="4" w:space="0" w:color="auto"/>
              <w:left w:val="single" w:sz="4" w:space="0" w:color="auto"/>
              <w:bottom w:val="single" w:sz="4" w:space="0" w:color="auto"/>
              <w:right w:val="single" w:sz="4" w:space="0" w:color="auto"/>
            </w:tcBorders>
            <w:shd w:val="clear" w:color="000000" w:fill="D9D9D9"/>
            <w:hideMark/>
          </w:tcPr>
          <w:p w14:paraId="1CF1BAAA"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Didžiausias galimas kriterijaus balas</w:t>
            </w:r>
          </w:p>
        </w:tc>
        <w:tc>
          <w:tcPr>
            <w:tcW w:w="292" w:type="pct"/>
            <w:tcBorders>
              <w:top w:val="single" w:sz="4" w:space="0" w:color="auto"/>
              <w:left w:val="single" w:sz="4" w:space="0" w:color="auto"/>
              <w:bottom w:val="nil"/>
              <w:right w:val="single" w:sz="4" w:space="0" w:color="auto"/>
            </w:tcBorders>
            <w:shd w:val="clear" w:color="000000" w:fill="D9D9D9"/>
            <w:hideMark/>
          </w:tcPr>
          <w:p w14:paraId="0092DFD5"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įvertinimas</w:t>
            </w:r>
          </w:p>
        </w:tc>
        <w:tc>
          <w:tcPr>
            <w:tcW w:w="341" w:type="pct"/>
            <w:tcBorders>
              <w:top w:val="single" w:sz="4" w:space="0" w:color="auto"/>
              <w:left w:val="single" w:sz="4" w:space="0" w:color="auto"/>
              <w:bottom w:val="nil"/>
              <w:right w:val="single" w:sz="4" w:space="0" w:color="auto"/>
            </w:tcBorders>
            <w:shd w:val="clear" w:color="000000" w:fill="D9D9D9"/>
            <w:hideMark/>
          </w:tcPr>
          <w:p w14:paraId="1DA19A37" w14:textId="412D0708" w:rsidR="002F0078" w:rsidRPr="00EA4E9A" w:rsidRDefault="001A6072"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s</w:t>
            </w:r>
            <w:r w:rsidR="002F0078" w:rsidRPr="00EA4E9A">
              <w:rPr>
                <w:rFonts w:ascii="Times New Roman" w:eastAsia="Times New Roman" w:hAnsi="Times New Roman" w:cs="Times New Roman"/>
                <w:b/>
                <w:bCs/>
                <w:color w:val="000000"/>
                <w:lang w:eastAsia="lt-LT"/>
              </w:rPr>
              <w:t xml:space="preserve">vorio koeficientas </w:t>
            </w:r>
            <w:r w:rsidR="002F0078" w:rsidRPr="00EA4E9A">
              <w:rPr>
                <w:rFonts w:ascii="Times New Roman" w:eastAsia="Times New Roman" w:hAnsi="Times New Roman" w:cs="Times New Roman"/>
                <w:i/>
                <w:iCs/>
                <w:color w:val="000000"/>
                <w:lang w:eastAsia="lt-LT"/>
              </w:rPr>
              <w:t>(jei taikoma)</w:t>
            </w:r>
          </w:p>
        </w:tc>
        <w:tc>
          <w:tcPr>
            <w:tcW w:w="340" w:type="pct"/>
            <w:tcBorders>
              <w:top w:val="single" w:sz="4" w:space="0" w:color="auto"/>
              <w:left w:val="single" w:sz="4" w:space="0" w:color="auto"/>
              <w:bottom w:val="nil"/>
              <w:right w:val="single" w:sz="4" w:space="0" w:color="auto"/>
            </w:tcBorders>
            <w:shd w:val="clear" w:color="000000" w:fill="D9D9D9"/>
            <w:hideMark/>
          </w:tcPr>
          <w:p w14:paraId="5BA5ED6C"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Suteiktų balų skaičius</w:t>
            </w:r>
          </w:p>
        </w:tc>
        <w:tc>
          <w:tcPr>
            <w:tcW w:w="341" w:type="pct"/>
            <w:tcBorders>
              <w:top w:val="single" w:sz="4" w:space="0" w:color="auto"/>
              <w:left w:val="single" w:sz="4" w:space="0" w:color="auto"/>
              <w:bottom w:val="nil"/>
              <w:right w:val="single" w:sz="4" w:space="0" w:color="auto"/>
            </w:tcBorders>
            <w:shd w:val="clear" w:color="000000" w:fill="D9D9D9"/>
            <w:hideMark/>
          </w:tcPr>
          <w:p w14:paraId="07922B7B"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328" w:type="pct"/>
            <w:tcBorders>
              <w:top w:val="single" w:sz="4" w:space="0" w:color="auto"/>
              <w:left w:val="single" w:sz="4" w:space="0" w:color="auto"/>
              <w:bottom w:val="nil"/>
              <w:right w:val="single" w:sz="4" w:space="0" w:color="auto"/>
            </w:tcBorders>
            <w:shd w:val="clear" w:color="000000" w:fill="D9D9D9"/>
            <w:hideMark/>
          </w:tcPr>
          <w:p w14:paraId="0D9AC462"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0333E0" w:rsidRPr="002F0078" w14:paraId="76685C02" w14:textId="77777777" w:rsidTr="00A10522">
        <w:trPr>
          <w:trHeight w:val="1388"/>
        </w:trPr>
        <w:tc>
          <w:tcPr>
            <w:tcW w:w="145" w:type="pct"/>
            <w:tcBorders>
              <w:top w:val="single" w:sz="4" w:space="0" w:color="auto"/>
              <w:left w:val="single" w:sz="4" w:space="0" w:color="auto"/>
              <w:bottom w:val="nil"/>
              <w:right w:val="single" w:sz="4" w:space="0" w:color="auto"/>
            </w:tcBorders>
            <w:noWrap/>
            <w:hideMark/>
          </w:tcPr>
          <w:p w14:paraId="355C445D" w14:textId="20207D55" w:rsidR="000333E0" w:rsidRPr="001657DC" w:rsidRDefault="000333E0" w:rsidP="000333E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1.</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7821F" w14:textId="7265E082" w:rsidR="000333E0" w:rsidRPr="001657DC" w:rsidRDefault="00DC19F9" w:rsidP="000333E0">
            <w:pPr>
              <w:spacing w:after="0" w:line="240" w:lineRule="auto"/>
              <w:ind w:left="-57" w:right="-57"/>
              <w:rPr>
                <w:rFonts w:ascii="Times New Roman" w:eastAsia="Times New Roman" w:hAnsi="Times New Roman" w:cs="Times New Roman"/>
                <w:i/>
                <w:iCs/>
                <w:color w:val="000000"/>
                <w:lang w:eastAsia="lt-LT"/>
              </w:rPr>
            </w:pPr>
            <w:r w:rsidRPr="001657DC">
              <w:rPr>
                <w:rFonts w:ascii="Times New Roman" w:hAnsi="Times New Roman" w:cs="Times New Roman"/>
                <w:szCs w:val="24"/>
              </w:rPr>
              <w:t>Projekto nauda transporto sektoriui</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360DF" w14:textId="77777777" w:rsidR="00DC19F9" w:rsidRPr="001657DC" w:rsidRDefault="00DC19F9" w:rsidP="00B8429F">
            <w:pPr>
              <w:widowControl w:val="0"/>
              <w:spacing w:after="120" w:line="240" w:lineRule="auto"/>
              <w:jc w:val="both"/>
              <w:textAlignment w:val="baseline"/>
              <w:rPr>
                <w:rFonts w:ascii="Times New Roman" w:hAnsi="Times New Roman" w:cs="Times New Roman"/>
                <w:lang w:eastAsia="lt-LT"/>
              </w:rPr>
            </w:pPr>
            <w:r w:rsidRPr="001657DC">
              <w:rPr>
                <w:rFonts w:ascii="Times New Roman" w:hAnsi="Times New Roman" w:cs="Times New Roman"/>
                <w:shd w:val="clear" w:color="auto" w:fill="FFFFFF"/>
                <w:lang w:eastAsia="lt-LT"/>
              </w:rPr>
              <w:t>Balai suteikiami</w:t>
            </w:r>
            <w:r w:rsidRPr="001657DC">
              <w:rPr>
                <w:rFonts w:ascii="Times New Roman" w:hAnsi="Times New Roman" w:cs="Times New Roman"/>
                <w:lang w:eastAsia="lt-LT"/>
              </w:rPr>
              <w:t xml:space="preserve">, kai kuriamų inovatyvių skaitmeninių technologinių sprendimų, kuriems įgyvendinti būtinas 5G ryšys, </w:t>
            </w:r>
            <w:r w:rsidRPr="001657DC">
              <w:rPr>
                <w:rFonts w:ascii="Times New Roman" w:hAnsi="Times New Roman" w:cs="Times New Roman"/>
                <w:bCs/>
                <w:szCs w:val="24"/>
              </w:rPr>
              <w:t xml:space="preserve">nauda numatoma </w:t>
            </w:r>
            <w:r w:rsidRPr="001657DC">
              <w:rPr>
                <w:rFonts w:ascii="Times New Roman" w:hAnsi="Times New Roman" w:cs="Times New Roman"/>
                <w:lang w:eastAsia="lt-LT"/>
              </w:rPr>
              <w:t>transporto sektoriui.</w:t>
            </w:r>
          </w:p>
          <w:p w14:paraId="2E07AD0A" w14:textId="0CD8345D" w:rsidR="000333E0" w:rsidRPr="001657DC" w:rsidRDefault="00DC19F9" w:rsidP="00B8429F">
            <w:pPr>
              <w:spacing w:after="120" w:line="240" w:lineRule="auto"/>
              <w:rPr>
                <w:rFonts w:ascii="Times New Roman" w:hAnsi="Times New Roman" w:cs="Times New Roman"/>
                <w:color w:val="000000"/>
                <w:shd w:val="clear" w:color="auto" w:fill="FFFFFF"/>
              </w:rPr>
            </w:pPr>
            <w:r w:rsidRPr="001657DC">
              <w:rPr>
                <w:rFonts w:ascii="Times New Roman" w:hAnsi="Times New Roman" w:cs="Times New Roman"/>
                <w:lang w:eastAsia="lt-LT"/>
              </w:rPr>
              <w:t>Jei projektas neatitinka nustatyto kriterijaus, skiriama 0 balų.</w:t>
            </w:r>
          </w:p>
        </w:tc>
        <w:tc>
          <w:tcPr>
            <w:tcW w:w="340" w:type="pct"/>
            <w:tcBorders>
              <w:top w:val="single" w:sz="4" w:space="0" w:color="auto"/>
              <w:left w:val="single" w:sz="4" w:space="0" w:color="auto"/>
              <w:bottom w:val="single" w:sz="4" w:space="0" w:color="auto"/>
              <w:right w:val="single" w:sz="4" w:space="0" w:color="auto"/>
            </w:tcBorders>
            <w:hideMark/>
          </w:tcPr>
          <w:p w14:paraId="778620F0" w14:textId="60424AAD" w:rsidR="000333E0"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hAnsi="Times New Roman" w:cs="Times New Roman"/>
                <w:szCs w:val="24"/>
              </w:rPr>
              <w:t>20</w:t>
            </w:r>
          </w:p>
        </w:tc>
        <w:tc>
          <w:tcPr>
            <w:tcW w:w="292" w:type="pct"/>
            <w:tcBorders>
              <w:top w:val="single" w:sz="4" w:space="0" w:color="auto"/>
              <w:left w:val="single" w:sz="4" w:space="0" w:color="auto"/>
              <w:bottom w:val="single" w:sz="4" w:space="0" w:color="auto"/>
              <w:right w:val="single" w:sz="4" w:space="0" w:color="auto"/>
            </w:tcBorders>
          </w:tcPr>
          <w:p w14:paraId="6FAA7BE3" w14:textId="1894ECDE" w:rsidR="000333E0" w:rsidRPr="001657DC" w:rsidRDefault="000333E0"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7A5FB876" w14:textId="7164B217" w:rsidR="000333E0"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hAnsi="Times New Roman" w:cs="Times New Roman"/>
                <w:szCs w:val="24"/>
              </w:rPr>
              <w:t>1</w:t>
            </w:r>
          </w:p>
        </w:tc>
        <w:tc>
          <w:tcPr>
            <w:tcW w:w="340" w:type="pct"/>
            <w:tcBorders>
              <w:top w:val="single" w:sz="4" w:space="0" w:color="auto"/>
              <w:left w:val="single" w:sz="4" w:space="0" w:color="auto"/>
              <w:bottom w:val="single" w:sz="4" w:space="0" w:color="auto"/>
              <w:right w:val="single" w:sz="4" w:space="0" w:color="auto"/>
            </w:tcBorders>
            <w:hideMark/>
          </w:tcPr>
          <w:p w14:paraId="45347097" w14:textId="027BD0EF" w:rsidR="000333E0" w:rsidRPr="001657DC" w:rsidRDefault="000333E0" w:rsidP="00DC19F9">
            <w:pPr>
              <w:spacing w:after="0" w:line="240" w:lineRule="auto"/>
              <w:ind w:left="-57" w:right="-57"/>
              <w:jc w:val="center"/>
              <w:rPr>
                <w:rFonts w:ascii="Times New Roman" w:eastAsia="Times New Roman" w:hAnsi="Times New Roman" w:cs="Times New Roman"/>
                <w:i/>
                <w:iCs/>
                <w:lang w:eastAsia="lt-LT"/>
              </w:rPr>
            </w:pPr>
          </w:p>
        </w:tc>
        <w:tc>
          <w:tcPr>
            <w:tcW w:w="341" w:type="pct"/>
            <w:tcBorders>
              <w:top w:val="single" w:sz="4" w:space="0" w:color="auto"/>
              <w:left w:val="single" w:sz="4" w:space="0" w:color="auto"/>
              <w:bottom w:val="single" w:sz="4" w:space="0" w:color="auto"/>
              <w:right w:val="single" w:sz="4" w:space="0" w:color="auto"/>
            </w:tcBorders>
          </w:tcPr>
          <w:p w14:paraId="07D03616" w14:textId="52B0C1C6" w:rsidR="000333E0" w:rsidRPr="00486E60" w:rsidRDefault="000333E0" w:rsidP="00DC19F9">
            <w:pPr>
              <w:spacing w:after="0" w:line="240" w:lineRule="auto"/>
              <w:ind w:left="-57" w:right="-57"/>
              <w:jc w:val="center"/>
              <w:rPr>
                <w:rFonts w:ascii="Times New Roman" w:eastAsia="Times New Roman" w:hAnsi="Times New Roman" w:cs="Times New Roman"/>
                <w:iCs/>
                <w:lang w:eastAsia="lt-LT"/>
              </w:rPr>
            </w:pPr>
          </w:p>
        </w:tc>
        <w:tc>
          <w:tcPr>
            <w:tcW w:w="328" w:type="pct"/>
            <w:tcBorders>
              <w:top w:val="single" w:sz="4" w:space="0" w:color="auto"/>
              <w:left w:val="single" w:sz="4" w:space="0" w:color="auto"/>
              <w:bottom w:val="single" w:sz="4" w:space="0" w:color="auto"/>
              <w:right w:val="single" w:sz="4" w:space="0" w:color="auto"/>
            </w:tcBorders>
            <w:hideMark/>
          </w:tcPr>
          <w:p w14:paraId="59B7ACAD" w14:textId="54B5CC8F" w:rsidR="000333E0" w:rsidRPr="002F0078" w:rsidRDefault="000333E0" w:rsidP="00DC19F9">
            <w:pPr>
              <w:spacing w:after="0" w:line="240" w:lineRule="auto"/>
              <w:ind w:left="-57" w:right="-57"/>
              <w:jc w:val="center"/>
              <w:rPr>
                <w:rFonts w:ascii="Times New Roman" w:eastAsia="Times New Roman" w:hAnsi="Times New Roman" w:cs="Times New Roman"/>
                <w:i/>
                <w:iCs/>
                <w:color w:val="000000"/>
                <w:sz w:val="20"/>
                <w:szCs w:val="20"/>
                <w:lang w:eastAsia="lt-LT"/>
              </w:rPr>
            </w:pPr>
          </w:p>
        </w:tc>
      </w:tr>
      <w:tr w:rsidR="00486E60" w:rsidRPr="002F0078" w14:paraId="0EFF391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hideMark/>
          </w:tcPr>
          <w:p w14:paraId="1C9EBFE6" w14:textId="1C84AB5B" w:rsidR="00486E60" w:rsidRPr="001657DC" w:rsidRDefault="00486E60"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2.</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1134A81C" w14:textId="11ECA4D2" w:rsidR="00486E60" w:rsidRPr="001657DC" w:rsidRDefault="00DC19F9"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hAnsi="Times New Roman" w:cs="Times New Roman"/>
                <w:szCs w:val="24"/>
              </w:rPr>
              <w:t>TPL projekto pradžioje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5C24D896"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 xml:space="preserve">Balai suteikiami projektams, kuriuose planuojamas vėlesnis TPL projekto pradžioje negu nustatyta Aprašo 2.2 papunktyje:  </w:t>
            </w:r>
          </w:p>
          <w:p w14:paraId="0C95D0FB" w14:textId="77777777" w:rsidR="00DC19F9" w:rsidRPr="001657DC" w:rsidRDefault="00DC19F9" w:rsidP="00B8429F">
            <w:pPr>
              <w:spacing w:after="120" w:line="240" w:lineRule="auto"/>
              <w:jc w:val="both"/>
              <w:rPr>
                <w:rFonts w:ascii="Times New Roman" w:hAnsi="Times New Roman" w:cs="Times New Roman"/>
                <w:szCs w:val="24"/>
                <w:lang w:val="es-ES"/>
              </w:rPr>
            </w:pPr>
            <w:r w:rsidRPr="001657DC">
              <w:rPr>
                <w:rFonts w:ascii="Times New Roman" w:hAnsi="Times New Roman" w:cs="Times New Roman"/>
                <w:szCs w:val="24"/>
              </w:rPr>
              <w:t>20 balų suteikiama</w:t>
            </w:r>
            <w:r w:rsidRPr="001657DC">
              <w:rPr>
                <w:rFonts w:ascii="Times New Roman" w:hAnsi="Times New Roman" w:cs="Times New Roman"/>
                <w:szCs w:val="24"/>
                <w:lang w:val="es-ES"/>
              </w:rPr>
              <w:t xml:space="preserve"> </w:t>
            </w:r>
            <w:r w:rsidRPr="001657DC">
              <w:rPr>
                <w:rFonts w:ascii="Times New Roman" w:hAnsi="Times New Roman" w:cs="Times New Roman"/>
                <w:szCs w:val="24"/>
              </w:rPr>
              <w:t xml:space="preserve">projektui, kuriame planuojamos veiklos pradedant nuo TPL </w:t>
            </w:r>
            <w:r w:rsidRPr="001657DC">
              <w:rPr>
                <w:rFonts w:ascii="Times New Roman" w:hAnsi="Times New Roman" w:cs="Times New Roman"/>
                <w:szCs w:val="24"/>
                <w:lang w:val="es-ES"/>
              </w:rPr>
              <w:t xml:space="preserve">4 </w:t>
            </w:r>
            <w:r w:rsidRPr="001657DC">
              <w:rPr>
                <w:rFonts w:ascii="Times New Roman" w:hAnsi="Times New Roman" w:cs="Times New Roman"/>
                <w:szCs w:val="24"/>
              </w:rPr>
              <w:t>etapo;</w:t>
            </w:r>
          </w:p>
          <w:p w14:paraId="6A7EE288" w14:textId="77777777" w:rsidR="00DC19F9" w:rsidRPr="001657DC" w:rsidRDefault="00DC19F9" w:rsidP="00B8429F">
            <w:pPr>
              <w:spacing w:after="120" w:line="240" w:lineRule="auto"/>
              <w:jc w:val="both"/>
              <w:rPr>
                <w:rFonts w:ascii="Times New Roman" w:hAnsi="Times New Roman" w:cs="Times New Roman"/>
                <w:szCs w:val="24"/>
                <w:lang w:val="es-ES"/>
              </w:rPr>
            </w:pPr>
            <w:r w:rsidRPr="001657DC">
              <w:rPr>
                <w:rFonts w:ascii="Times New Roman" w:hAnsi="Times New Roman" w:cs="Times New Roman"/>
                <w:szCs w:val="24"/>
              </w:rPr>
              <w:t>10 balų suteikiama projektui, kuriame planuojamos veiklos pradedant nuo TPL 3 etapo.</w:t>
            </w:r>
          </w:p>
          <w:p w14:paraId="2C21ED93" w14:textId="20C561D6" w:rsidR="003545CF" w:rsidRPr="001657DC" w:rsidRDefault="00DC19F9" w:rsidP="00B8429F">
            <w:pPr>
              <w:tabs>
                <w:tab w:val="left" w:pos="271"/>
                <w:tab w:val="left" w:pos="993"/>
                <w:tab w:val="left" w:pos="1134"/>
              </w:tabs>
              <w:spacing w:after="120" w:line="240" w:lineRule="auto"/>
              <w:rPr>
                <w:rFonts w:ascii="Times New Roman" w:hAnsi="Times New Roman" w:cs="Times New Roman"/>
                <w:lang w:val="lt"/>
              </w:rPr>
            </w:pPr>
            <w:r w:rsidRPr="001657DC">
              <w:rPr>
                <w:rFonts w:ascii="Times New Roman" w:hAnsi="Times New Roman" w:cs="Times New Roman"/>
                <w:szCs w:val="24"/>
              </w:rPr>
              <w:t>Projektams, kuriuose planuojamos veiklos pradedant nuo TPL 2 etapo, skiriama 0 balų.</w:t>
            </w:r>
          </w:p>
        </w:tc>
        <w:tc>
          <w:tcPr>
            <w:tcW w:w="340" w:type="pct"/>
            <w:tcBorders>
              <w:top w:val="single" w:sz="4" w:space="0" w:color="auto"/>
              <w:left w:val="single" w:sz="4" w:space="0" w:color="auto"/>
              <w:bottom w:val="single" w:sz="4" w:space="0" w:color="auto"/>
              <w:right w:val="single" w:sz="4" w:space="0" w:color="auto"/>
            </w:tcBorders>
            <w:hideMark/>
          </w:tcPr>
          <w:p w14:paraId="2CA3EB1B" w14:textId="2B5597C9" w:rsidR="00486E60"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hAnsi="Times New Roman" w:cs="Times New Roman"/>
                <w:szCs w:val="24"/>
              </w:rPr>
              <w:t>20</w:t>
            </w:r>
          </w:p>
        </w:tc>
        <w:tc>
          <w:tcPr>
            <w:tcW w:w="292" w:type="pct"/>
            <w:tcBorders>
              <w:top w:val="single" w:sz="4" w:space="0" w:color="auto"/>
              <w:left w:val="single" w:sz="4" w:space="0" w:color="auto"/>
              <w:bottom w:val="nil"/>
              <w:right w:val="single" w:sz="4" w:space="0" w:color="auto"/>
            </w:tcBorders>
            <w:hideMark/>
          </w:tcPr>
          <w:p w14:paraId="277F4852" w14:textId="77777777" w:rsidR="00486E60" w:rsidRPr="001657DC" w:rsidRDefault="00486E60"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59063FA3" w14:textId="3AE6C990" w:rsidR="00486E60"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hideMark/>
          </w:tcPr>
          <w:p w14:paraId="5FC445DA" w14:textId="77777777" w:rsidR="00486E60" w:rsidRPr="001657DC" w:rsidRDefault="00486E60"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07B89CC8" w14:textId="6206A3E4" w:rsidR="00486E60" w:rsidRPr="002F0078" w:rsidRDefault="00486E60" w:rsidP="00DC19F9">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hideMark/>
          </w:tcPr>
          <w:p w14:paraId="50635D4D" w14:textId="77777777" w:rsidR="00486E60" w:rsidRPr="002F0078" w:rsidRDefault="00486E60" w:rsidP="00DC19F9">
            <w:pPr>
              <w:spacing w:after="0" w:line="240" w:lineRule="auto"/>
              <w:ind w:left="-57" w:right="-57"/>
              <w:jc w:val="center"/>
              <w:rPr>
                <w:rFonts w:ascii="Times New Roman" w:eastAsia="Times New Roman" w:hAnsi="Times New Roman" w:cs="Times New Roman"/>
                <w:sz w:val="20"/>
                <w:szCs w:val="20"/>
                <w:lang w:eastAsia="lt-LT"/>
              </w:rPr>
            </w:pPr>
          </w:p>
        </w:tc>
      </w:tr>
      <w:tr w:rsidR="00DC19F9" w:rsidRPr="002F0078" w14:paraId="3095D86E"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38077895" w14:textId="5A599D81" w:rsidR="00DC19F9" w:rsidRPr="001657DC" w:rsidRDefault="00DC19F9"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3.</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11A9C945" w14:textId="65B3B417" w:rsidR="00DC19F9" w:rsidRPr="001657DC" w:rsidRDefault="00DC19F9" w:rsidP="00486E60">
            <w:pPr>
              <w:spacing w:after="0" w:line="240" w:lineRule="auto"/>
              <w:ind w:left="-57" w:right="-57"/>
              <w:rPr>
                <w:rFonts w:ascii="Times New Roman" w:hAnsi="Times New Roman" w:cs="Times New Roman"/>
                <w:szCs w:val="24"/>
              </w:rPr>
            </w:pPr>
            <w:r w:rsidRPr="001657DC">
              <w:rPr>
                <w:rFonts w:ascii="Times New Roman" w:hAnsi="Times New Roman" w:cs="Times New Roman"/>
                <w:szCs w:val="24"/>
              </w:rPr>
              <w:t>TPL projekto pabaigoje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62593EC1"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Balai suteikiami projektams, kuriuose planuojamas vėlesnis TPL projekto pabaigoje, negu nustatyta Aprašo 2.2 papunktyje:</w:t>
            </w:r>
          </w:p>
          <w:p w14:paraId="14C94A88"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10 balų suteikiama projektui, kuriame planuojama projekto veiklas užbaigti TPL 7 etapu.</w:t>
            </w:r>
          </w:p>
          <w:p w14:paraId="399B0713" w14:textId="093D03C6"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Projektams, kuriuose planuojamas TPL užbaigus projektą sutampa su nustatytu Aprašo 2.2 papunktyje, skiriama 0 balų.</w:t>
            </w:r>
          </w:p>
        </w:tc>
        <w:tc>
          <w:tcPr>
            <w:tcW w:w="340" w:type="pct"/>
            <w:tcBorders>
              <w:top w:val="single" w:sz="4" w:space="0" w:color="auto"/>
              <w:left w:val="single" w:sz="4" w:space="0" w:color="auto"/>
              <w:bottom w:val="single" w:sz="4" w:space="0" w:color="auto"/>
              <w:right w:val="single" w:sz="4" w:space="0" w:color="auto"/>
            </w:tcBorders>
          </w:tcPr>
          <w:p w14:paraId="0B6B47C9" w14:textId="15A1066A" w:rsidR="00DC19F9" w:rsidRPr="001657DC" w:rsidRDefault="00DC19F9" w:rsidP="00DC19F9">
            <w:pPr>
              <w:spacing w:after="0" w:line="240" w:lineRule="auto"/>
              <w:ind w:left="-57" w:right="-57"/>
              <w:jc w:val="center"/>
              <w:rPr>
                <w:rFonts w:ascii="Times New Roman" w:hAnsi="Times New Roman" w:cs="Times New Roman"/>
                <w:szCs w:val="24"/>
              </w:rPr>
            </w:pPr>
            <w:r w:rsidRPr="001657DC">
              <w:rPr>
                <w:rFonts w:ascii="Times New Roman" w:hAnsi="Times New Roman" w:cs="Times New Roman"/>
                <w:szCs w:val="24"/>
              </w:rPr>
              <w:t>10</w:t>
            </w:r>
          </w:p>
        </w:tc>
        <w:tc>
          <w:tcPr>
            <w:tcW w:w="292" w:type="pct"/>
            <w:tcBorders>
              <w:top w:val="single" w:sz="4" w:space="0" w:color="auto"/>
              <w:left w:val="single" w:sz="4" w:space="0" w:color="auto"/>
              <w:bottom w:val="nil"/>
              <w:right w:val="single" w:sz="4" w:space="0" w:color="auto"/>
            </w:tcBorders>
          </w:tcPr>
          <w:p w14:paraId="2DADA25E"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793ABA66" w14:textId="39A16020"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5D0DDB7B"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77A9E468"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4BAC6B1B"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r>
      <w:tr w:rsidR="00DC19F9" w:rsidRPr="002F0078" w14:paraId="1A17743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5DA71FCC" w14:textId="73D8046A" w:rsidR="00DC19F9" w:rsidRPr="001657DC" w:rsidRDefault="00DC19F9"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lastRenderedPageBreak/>
              <w:t>4.</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6F7BB325" w14:textId="412E52F7" w:rsidR="00DC19F9" w:rsidRPr="001657DC" w:rsidRDefault="00DC19F9" w:rsidP="00486E60">
            <w:pPr>
              <w:spacing w:after="0" w:line="240" w:lineRule="auto"/>
              <w:ind w:left="-57" w:right="-57"/>
              <w:rPr>
                <w:rFonts w:ascii="Times New Roman" w:hAnsi="Times New Roman" w:cs="Times New Roman"/>
                <w:szCs w:val="24"/>
              </w:rPr>
            </w:pPr>
            <w:r w:rsidRPr="001657DC">
              <w:rPr>
                <w:rFonts w:ascii="Times New Roman" w:hAnsi="Times New Roman" w:cs="Times New Roman"/>
                <w:iCs/>
              </w:rPr>
              <w:t>Nuosavų lėšų dalis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5EB8EEE2"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Balai suteikiami už papildomą nuosavų lėšų dalį, t. y. kai pareiškėjas ir (ar) partneris (-</w:t>
            </w:r>
            <w:proofErr w:type="spellStart"/>
            <w:r w:rsidRPr="001657DC">
              <w:rPr>
                <w:rFonts w:ascii="Times New Roman" w:hAnsi="Times New Roman" w:cs="Times New Roman"/>
                <w:iCs/>
              </w:rPr>
              <w:t>iai</w:t>
            </w:r>
            <w:proofErr w:type="spellEnd"/>
            <w:r w:rsidRPr="001657DC">
              <w:rPr>
                <w:rFonts w:ascii="Times New Roman" w:hAnsi="Times New Roman" w:cs="Times New Roman"/>
                <w:iCs/>
              </w:rPr>
              <w:t xml:space="preserve">) prie projekto įgyvendinimo prisideda nuosavomis lėšomis. </w:t>
            </w:r>
          </w:p>
          <w:p w14:paraId="77B13F05"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Vertinant nuosavų lėšų dalį nepiniginis įnašas neskaičiuojamas.</w:t>
            </w:r>
          </w:p>
          <w:p w14:paraId="65CBAABC"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0 balų skiriama, kai nuosavų lėšų dalis yra mažiau nei 5 proc.;</w:t>
            </w:r>
          </w:p>
          <w:p w14:paraId="5161DB51"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3 balai skiriami, kai nuosavų lėšų dalis yra 5 proc. ir daugiau, bet mažiau nei 10 proc.;</w:t>
            </w:r>
          </w:p>
          <w:p w14:paraId="32279748"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5 balai skiriami, kai nuosavų lėšų dalis yra 10 proc. ir daugiau, bet mažiau nei 15 proc.;</w:t>
            </w:r>
          </w:p>
          <w:p w14:paraId="33E36B5D"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7 balai skiriami, kai nuosavų lėšų dalis yra 15 proc. ir daugiau, bet mažiau nei 20 proc.;</w:t>
            </w:r>
          </w:p>
          <w:p w14:paraId="369AB031" w14:textId="77777777" w:rsidR="00DC19F9" w:rsidRPr="001657DC" w:rsidRDefault="00DC19F9" w:rsidP="00B8429F">
            <w:pPr>
              <w:tabs>
                <w:tab w:val="left" w:pos="598"/>
              </w:tabs>
              <w:spacing w:after="120" w:line="240" w:lineRule="auto"/>
              <w:jc w:val="both"/>
              <w:rPr>
                <w:rFonts w:ascii="Times New Roman" w:hAnsi="Times New Roman" w:cs="Times New Roman"/>
                <w:iCs/>
              </w:rPr>
            </w:pPr>
            <w:r w:rsidRPr="001657DC">
              <w:rPr>
                <w:rFonts w:ascii="Times New Roman" w:hAnsi="Times New Roman" w:cs="Times New Roman"/>
                <w:iCs/>
              </w:rPr>
              <w:t>10 balų skiriama, kai nuosavų lėšų dalis yra 20 proc. ir daugiau, bet mažiau nei 25 proc.;</w:t>
            </w:r>
          </w:p>
          <w:p w14:paraId="7794762B" w14:textId="54E8D974"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iCs/>
              </w:rPr>
              <w:t>15 balų skiriama, kai nuosavų lėšų dalis yra 25 proc. ir daugiau.</w:t>
            </w:r>
          </w:p>
        </w:tc>
        <w:tc>
          <w:tcPr>
            <w:tcW w:w="340" w:type="pct"/>
            <w:tcBorders>
              <w:top w:val="single" w:sz="4" w:space="0" w:color="auto"/>
              <w:left w:val="single" w:sz="4" w:space="0" w:color="auto"/>
              <w:bottom w:val="single" w:sz="4" w:space="0" w:color="auto"/>
              <w:right w:val="single" w:sz="4" w:space="0" w:color="auto"/>
            </w:tcBorders>
          </w:tcPr>
          <w:p w14:paraId="158646D6" w14:textId="3F10F15A" w:rsidR="00DC19F9" w:rsidRPr="001657DC" w:rsidRDefault="00DC19F9" w:rsidP="00DC19F9">
            <w:pPr>
              <w:spacing w:after="0" w:line="240" w:lineRule="auto"/>
              <w:ind w:left="-57" w:right="-57"/>
              <w:jc w:val="center"/>
              <w:rPr>
                <w:rFonts w:ascii="Times New Roman" w:hAnsi="Times New Roman" w:cs="Times New Roman"/>
                <w:szCs w:val="24"/>
              </w:rPr>
            </w:pPr>
            <w:r w:rsidRPr="001657DC">
              <w:rPr>
                <w:rFonts w:ascii="Times New Roman" w:hAnsi="Times New Roman" w:cs="Times New Roman"/>
                <w:szCs w:val="24"/>
              </w:rPr>
              <w:t>15</w:t>
            </w:r>
          </w:p>
        </w:tc>
        <w:tc>
          <w:tcPr>
            <w:tcW w:w="292" w:type="pct"/>
            <w:tcBorders>
              <w:top w:val="single" w:sz="4" w:space="0" w:color="auto"/>
              <w:left w:val="single" w:sz="4" w:space="0" w:color="auto"/>
              <w:bottom w:val="nil"/>
              <w:right w:val="single" w:sz="4" w:space="0" w:color="auto"/>
            </w:tcBorders>
          </w:tcPr>
          <w:p w14:paraId="5B5832EB"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61A63D88" w14:textId="1790FEEF"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41937448"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50E0BAE2"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586E49F0"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r>
      <w:tr w:rsidR="00DC19F9" w:rsidRPr="002F0078" w14:paraId="55CEC71F"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1FED8CBC" w14:textId="3CE76692" w:rsidR="00DC19F9" w:rsidRPr="001657DC" w:rsidRDefault="00DC19F9"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5.</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73CCDFA" w14:textId="66B46619" w:rsidR="00DC19F9" w:rsidRPr="001657DC" w:rsidRDefault="00DC19F9" w:rsidP="00486E60">
            <w:pPr>
              <w:spacing w:after="0" w:line="240" w:lineRule="auto"/>
              <w:ind w:left="-57" w:right="-57"/>
              <w:rPr>
                <w:rFonts w:ascii="Times New Roman" w:hAnsi="Times New Roman" w:cs="Times New Roman"/>
                <w:szCs w:val="24"/>
              </w:rPr>
            </w:pPr>
            <w:r w:rsidRPr="001657DC">
              <w:rPr>
                <w:rFonts w:ascii="Times New Roman" w:hAnsi="Times New Roman" w:cs="Times New Roman"/>
                <w:szCs w:val="24"/>
              </w:rPr>
              <w:t>Pareiškėjo arba partnerio (-</w:t>
            </w:r>
            <w:proofErr w:type="spellStart"/>
            <w:r w:rsidRPr="001657DC">
              <w:rPr>
                <w:rFonts w:ascii="Times New Roman" w:hAnsi="Times New Roman" w:cs="Times New Roman"/>
                <w:szCs w:val="24"/>
              </w:rPr>
              <w:t>ių</w:t>
            </w:r>
            <w:proofErr w:type="spellEnd"/>
            <w:r w:rsidRPr="001657DC">
              <w:rPr>
                <w:rFonts w:ascii="Times New Roman" w:hAnsi="Times New Roman" w:cs="Times New Roman"/>
                <w:szCs w:val="24"/>
              </w:rPr>
              <w:t>) patirtis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DCDD0C5"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Balai suteikiami projektams už pareiškėjo arba partnerio (-</w:t>
            </w:r>
            <w:proofErr w:type="spellStart"/>
            <w:r w:rsidRPr="001657DC">
              <w:rPr>
                <w:rFonts w:ascii="Times New Roman" w:hAnsi="Times New Roman" w:cs="Times New Roman"/>
                <w:szCs w:val="24"/>
              </w:rPr>
              <w:t>ių</w:t>
            </w:r>
            <w:proofErr w:type="spellEnd"/>
            <w:r w:rsidRPr="001657DC">
              <w:rPr>
                <w:rFonts w:ascii="Times New Roman" w:hAnsi="Times New Roman" w:cs="Times New Roman"/>
                <w:szCs w:val="24"/>
              </w:rPr>
              <w:t xml:space="preserve">) patirtį, įgyvendinant MTEP veiklas ir dalyvaujant tarptautiniuose verslo ir mokslo bendradarbiavimui skirtuose MTEP projektuose: </w:t>
            </w:r>
          </w:p>
          <w:p w14:paraId="5BCF1C5C"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20 balų suteikiama, jei pareiškėjas arba partneris (-</w:t>
            </w:r>
            <w:proofErr w:type="spellStart"/>
            <w:r w:rsidRPr="001657DC">
              <w:rPr>
                <w:rFonts w:ascii="Times New Roman" w:hAnsi="Times New Roman" w:cs="Times New Roman"/>
                <w:szCs w:val="24"/>
              </w:rPr>
              <w:t>iai</w:t>
            </w:r>
            <w:proofErr w:type="spellEnd"/>
            <w:r w:rsidRPr="001657DC">
              <w:rPr>
                <w:rFonts w:ascii="Times New Roman" w:hAnsi="Times New Roman" w:cs="Times New Roman"/>
                <w:szCs w:val="24"/>
              </w:rPr>
              <w:t xml:space="preserve">) dalyvavo (dalyvauja) įgyvendinant bent vieną finansavimą gavusį tarptautinį verslo ir mokslo bendradarbiavimui skirtą MTEP projektą; </w:t>
            </w:r>
          </w:p>
          <w:p w14:paraId="337FECEF" w14:textId="77777777"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10 balų suteikiama, jei pareiškėjas arba partneris (-</w:t>
            </w:r>
            <w:proofErr w:type="spellStart"/>
            <w:r w:rsidRPr="001657DC">
              <w:rPr>
                <w:rFonts w:ascii="Times New Roman" w:hAnsi="Times New Roman" w:cs="Times New Roman"/>
                <w:szCs w:val="24"/>
              </w:rPr>
              <w:t>iai</w:t>
            </w:r>
            <w:proofErr w:type="spellEnd"/>
            <w:r w:rsidRPr="001657DC">
              <w:rPr>
                <w:rFonts w:ascii="Times New Roman" w:hAnsi="Times New Roman" w:cs="Times New Roman"/>
                <w:szCs w:val="24"/>
              </w:rPr>
              <w:t>)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p>
          <w:p w14:paraId="72B6ED2C" w14:textId="4DB15BCC"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5 balai suteikiami, jei pareiškėjas arba partneris (-</w:t>
            </w:r>
            <w:proofErr w:type="spellStart"/>
            <w:r w:rsidRPr="001657DC">
              <w:rPr>
                <w:rFonts w:ascii="Times New Roman" w:hAnsi="Times New Roman" w:cs="Times New Roman"/>
                <w:szCs w:val="24"/>
              </w:rPr>
              <w:t>iai</w:t>
            </w:r>
            <w:proofErr w:type="spellEnd"/>
            <w:r w:rsidRPr="001657DC">
              <w:rPr>
                <w:rFonts w:ascii="Times New Roman" w:hAnsi="Times New Roman" w:cs="Times New Roman"/>
                <w:szCs w:val="24"/>
              </w:rPr>
              <w:t>) yra deklaravę Valstybės duomenų agentūrai MTEP veiklai skirtas lėšas.</w:t>
            </w:r>
          </w:p>
        </w:tc>
        <w:tc>
          <w:tcPr>
            <w:tcW w:w="340" w:type="pct"/>
            <w:tcBorders>
              <w:top w:val="single" w:sz="4" w:space="0" w:color="auto"/>
              <w:left w:val="single" w:sz="4" w:space="0" w:color="auto"/>
              <w:bottom w:val="single" w:sz="4" w:space="0" w:color="auto"/>
              <w:right w:val="single" w:sz="4" w:space="0" w:color="auto"/>
            </w:tcBorders>
          </w:tcPr>
          <w:p w14:paraId="6EB5ACD7" w14:textId="1C72E53C" w:rsidR="00DC19F9" w:rsidRPr="001657DC" w:rsidRDefault="00DC19F9" w:rsidP="00DC19F9">
            <w:pPr>
              <w:spacing w:after="0" w:line="240" w:lineRule="auto"/>
              <w:ind w:left="-57" w:right="-57"/>
              <w:jc w:val="center"/>
              <w:rPr>
                <w:rFonts w:ascii="Times New Roman" w:hAnsi="Times New Roman" w:cs="Times New Roman"/>
                <w:szCs w:val="24"/>
              </w:rPr>
            </w:pPr>
            <w:r w:rsidRPr="001657DC">
              <w:rPr>
                <w:rFonts w:ascii="Times New Roman" w:hAnsi="Times New Roman" w:cs="Times New Roman"/>
                <w:szCs w:val="24"/>
              </w:rPr>
              <w:t>20</w:t>
            </w:r>
          </w:p>
        </w:tc>
        <w:tc>
          <w:tcPr>
            <w:tcW w:w="292" w:type="pct"/>
            <w:tcBorders>
              <w:top w:val="single" w:sz="4" w:space="0" w:color="auto"/>
              <w:left w:val="single" w:sz="4" w:space="0" w:color="auto"/>
              <w:bottom w:val="nil"/>
              <w:right w:val="single" w:sz="4" w:space="0" w:color="auto"/>
            </w:tcBorders>
          </w:tcPr>
          <w:p w14:paraId="4AB497AF"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0D2BFDDA" w14:textId="16BB5C71"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6BB64F89"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4C163594"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0B123D85"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r>
      <w:tr w:rsidR="00DC19F9" w:rsidRPr="002F0078" w14:paraId="2C0332E7"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2C96FA33" w14:textId="34E9D2F7" w:rsidR="00DC19F9" w:rsidRPr="001657DC" w:rsidRDefault="00DC19F9" w:rsidP="00486E60">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6.</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3709546A" w14:textId="094F2B65" w:rsidR="00DC19F9" w:rsidRPr="001657DC" w:rsidRDefault="00DC19F9" w:rsidP="00486E60">
            <w:pPr>
              <w:spacing w:after="0" w:line="240" w:lineRule="auto"/>
              <w:ind w:left="-57" w:right="-57"/>
              <w:rPr>
                <w:rFonts w:ascii="Times New Roman" w:hAnsi="Times New Roman" w:cs="Times New Roman"/>
                <w:szCs w:val="24"/>
              </w:rPr>
            </w:pPr>
            <w:r w:rsidRPr="001657DC">
              <w:rPr>
                <w:rFonts w:ascii="Times New Roman" w:hAnsi="Times New Roman" w:cs="Times New Roman"/>
                <w:szCs w:val="24"/>
              </w:rPr>
              <w:t>Mokslo ir studijų institucijos, tyrėjų dalyvavimas projekte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BF830D5" w14:textId="208726BC" w:rsidR="00DC19F9" w:rsidRPr="001657DC" w:rsidRDefault="00DC19F9" w:rsidP="00B8429F">
            <w:pPr>
              <w:spacing w:after="120" w:line="240" w:lineRule="auto"/>
              <w:jc w:val="both"/>
              <w:rPr>
                <w:rFonts w:ascii="Times New Roman" w:hAnsi="Times New Roman" w:cs="Times New Roman"/>
                <w:szCs w:val="24"/>
              </w:rPr>
            </w:pPr>
            <w:r w:rsidRPr="001657DC">
              <w:rPr>
                <w:rFonts w:ascii="Times New Roman" w:hAnsi="Times New Roman" w:cs="Times New Roman"/>
                <w:szCs w:val="24"/>
              </w:rPr>
              <w:t xml:space="preserve">Įgyvendinamos veiklos metu numatytas bendradarbiavimas su mokslo ir studijų institucijomis, tyrėjais </w:t>
            </w:r>
            <w:r w:rsidRPr="001657DC">
              <w:rPr>
                <w:rFonts w:ascii="Times New Roman" w:hAnsi="Times New Roman" w:cs="Times New Roman"/>
                <w:shd w:val="clear" w:color="auto" w:fill="FFFFFF"/>
                <w:lang w:eastAsia="lt-LT"/>
              </w:rPr>
              <w:t>(</w:t>
            </w:r>
            <w:r w:rsidRPr="001657DC">
              <w:rPr>
                <w:rFonts w:ascii="Times New Roman" w:hAnsi="Times New Roman" w:cs="Times New Roman"/>
                <w:szCs w:val="24"/>
              </w:rPr>
              <w:t>kaip šios sąvokos apibrėžtos Mokslo ir studijų įstatyme) arba tyrėjai bus įdarbinti numatytoje veikloje kaip darbuotojai.</w:t>
            </w:r>
          </w:p>
        </w:tc>
        <w:tc>
          <w:tcPr>
            <w:tcW w:w="340" w:type="pct"/>
            <w:tcBorders>
              <w:top w:val="single" w:sz="4" w:space="0" w:color="auto"/>
              <w:left w:val="single" w:sz="4" w:space="0" w:color="auto"/>
              <w:bottom w:val="single" w:sz="4" w:space="0" w:color="auto"/>
              <w:right w:val="single" w:sz="4" w:space="0" w:color="auto"/>
            </w:tcBorders>
          </w:tcPr>
          <w:p w14:paraId="7B7662C5" w14:textId="46A0A28D" w:rsidR="00DC19F9" w:rsidRPr="001657DC" w:rsidRDefault="00DC19F9" w:rsidP="00DC19F9">
            <w:pPr>
              <w:spacing w:after="0" w:line="240" w:lineRule="auto"/>
              <w:ind w:left="-57" w:right="-57"/>
              <w:jc w:val="center"/>
              <w:rPr>
                <w:rFonts w:ascii="Times New Roman" w:hAnsi="Times New Roman" w:cs="Times New Roman"/>
                <w:szCs w:val="24"/>
              </w:rPr>
            </w:pPr>
            <w:r w:rsidRPr="001657DC">
              <w:rPr>
                <w:rFonts w:ascii="Times New Roman" w:hAnsi="Times New Roman" w:cs="Times New Roman"/>
                <w:szCs w:val="24"/>
              </w:rPr>
              <w:t>15</w:t>
            </w:r>
          </w:p>
        </w:tc>
        <w:tc>
          <w:tcPr>
            <w:tcW w:w="292" w:type="pct"/>
            <w:tcBorders>
              <w:top w:val="single" w:sz="4" w:space="0" w:color="auto"/>
              <w:left w:val="single" w:sz="4" w:space="0" w:color="auto"/>
              <w:bottom w:val="nil"/>
              <w:right w:val="single" w:sz="4" w:space="0" w:color="auto"/>
            </w:tcBorders>
          </w:tcPr>
          <w:p w14:paraId="07B82877"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3EF50B50" w14:textId="58282A1F"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59BFCABC" w14:textId="77777777" w:rsidR="00DC19F9" w:rsidRPr="001657DC" w:rsidRDefault="00DC19F9" w:rsidP="00DC19F9">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2DD183DC"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59BC6889" w14:textId="77777777" w:rsidR="00DC19F9" w:rsidRPr="002F0078" w:rsidRDefault="00DC19F9" w:rsidP="00DC19F9">
            <w:pPr>
              <w:spacing w:after="0" w:line="240" w:lineRule="auto"/>
              <w:ind w:left="-57" w:right="-57"/>
              <w:jc w:val="center"/>
              <w:rPr>
                <w:rFonts w:ascii="Times New Roman" w:eastAsia="Times New Roman" w:hAnsi="Times New Roman" w:cs="Times New Roman"/>
                <w:sz w:val="20"/>
                <w:szCs w:val="20"/>
                <w:lang w:eastAsia="lt-LT"/>
              </w:rPr>
            </w:pPr>
          </w:p>
        </w:tc>
      </w:tr>
      <w:tr w:rsidR="00A10522" w:rsidRPr="002F0078" w14:paraId="6CE49BF1" w14:textId="77777777" w:rsidTr="00A10522">
        <w:trPr>
          <w:trHeight w:val="1250"/>
        </w:trPr>
        <w:tc>
          <w:tcPr>
            <w:tcW w:w="3358" w:type="pct"/>
            <w:gridSpan w:val="4"/>
            <w:tcBorders>
              <w:top w:val="single" w:sz="4" w:space="0" w:color="auto"/>
              <w:left w:val="single" w:sz="4" w:space="0" w:color="auto"/>
              <w:bottom w:val="single" w:sz="4" w:space="0" w:color="auto"/>
              <w:right w:val="nil"/>
            </w:tcBorders>
            <w:noWrap/>
            <w:vAlign w:val="bottom"/>
            <w:hideMark/>
          </w:tcPr>
          <w:p w14:paraId="2AFE4C0B" w14:textId="77777777" w:rsidR="00B8429F" w:rsidRPr="001657DC" w:rsidRDefault="00B8429F" w:rsidP="00B8429F">
            <w:pPr>
              <w:tabs>
                <w:tab w:val="left" w:pos="420"/>
              </w:tabs>
              <w:spacing w:after="120" w:line="240" w:lineRule="auto"/>
              <w:jc w:val="both"/>
              <w:rPr>
                <w:rFonts w:ascii="Times New Roman" w:hAnsi="Times New Roman" w:cs="Times New Roman"/>
                <w:iCs/>
                <w:szCs w:val="24"/>
              </w:rPr>
            </w:pPr>
            <w:bookmarkStart w:id="0" w:name="NK_vertinimas_(1.2.4)!C48"/>
            <w:bookmarkEnd w:id="0"/>
            <w:r w:rsidRPr="001657DC">
              <w:rPr>
                <w:rFonts w:ascii="Times New Roman" w:hAnsi="Times New Roman" w:cs="Times New Roman"/>
                <w:iCs/>
                <w:szCs w:val="24"/>
              </w:rPr>
              <w:lastRenderedPageBreak/>
              <w:t xml:space="preserve">Mažiausia balų suma, kurią turi surinkti planuojamas finansuoti projektas – 25. Balų suma apskaičiuojama sudėjus balus, skirtus pagal prioritetinius projektų atrankos kriterijus. </w:t>
            </w:r>
            <w:r w:rsidRPr="001657DC">
              <w:rPr>
                <w:rFonts w:ascii="Times New Roman" w:hAnsi="Times New Roman" w:cs="Times New Roman"/>
                <w:iCs/>
              </w:rPr>
              <w:t>Jei projektas vertinimo metu nesurenka minimalios balų sumos, PĮP atmetamas.</w:t>
            </w:r>
          </w:p>
          <w:p w14:paraId="5CDFE9DD" w14:textId="6635EC80" w:rsidR="00A10522" w:rsidRPr="001657DC" w:rsidRDefault="00B8429F" w:rsidP="00B8429F">
            <w:pPr>
              <w:spacing w:after="0" w:line="240" w:lineRule="auto"/>
              <w:ind w:left="-57" w:right="-57"/>
              <w:jc w:val="both"/>
              <w:rPr>
                <w:rFonts w:ascii="Times New Roman" w:eastAsia="Times New Roman" w:hAnsi="Times New Roman" w:cs="Times New Roman"/>
                <w:sz w:val="20"/>
                <w:szCs w:val="20"/>
                <w:lang w:eastAsia="lt-LT"/>
              </w:rPr>
            </w:pPr>
            <w:r w:rsidRPr="001657DC">
              <w:rPr>
                <w:rFonts w:ascii="Times New Roman" w:hAnsi="Times New Roman" w:cs="Times New Roman"/>
                <w:iCs/>
              </w:rPr>
              <w:t>Jeigu projektai surenka vienodą galutinį balų skaičių ir visiems nepakanka kvietimui teikti PĮP skirtos finansavimo lėšų sumos, pirmenybė teikiama projektams, surinkusiems daugiau balų pagal pirmąjį Aprašo 6.2 papunkčio lentelėje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c>
          <w:tcPr>
            <w:tcW w:w="633" w:type="pct"/>
            <w:gridSpan w:val="2"/>
            <w:tcBorders>
              <w:top w:val="single" w:sz="4" w:space="0" w:color="auto"/>
              <w:left w:val="single" w:sz="4" w:space="0" w:color="auto"/>
              <w:bottom w:val="single" w:sz="4" w:space="0" w:color="auto"/>
              <w:right w:val="single" w:sz="4" w:space="0" w:color="auto"/>
            </w:tcBorders>
            <w:shd w:val="clear" w:color="000000" w:fill="D0CECE"/>
            <w:hideMark/>
          </w:tcPr>
          <w:p w14:paraId="151BBACC" w14:textId="77777777" w:rsidR="00A10522" w:rsidRPr="001657DC" w:rsidRDefault="00A10522" w:rsidP="002F0078">
            <w:pPr>
              <w:spacing w:after="0" w:line="240" w:lineRule="auto"/>
              <w:ind w:left="-57" w:right="-57"/>
              <w:jc w:val="right"/>
              <w:rPr>
                <w:rFonts w:ascii="Times New Roman" w:eastAsia="Times New Roman" w:hAnsi="Times New Roman" w:cs="Times New Roman"/>
                <w:b/>
                <w:bCs/>
                <w:color w:val="000000"/>
                <w:lang w:eastAsia="lt-LT"/>
              </w:rPr>
            </w:pPr>
            <w:r w:rsidRPr="001657DC">
              <w:rPr>
                <w:rFonts w:ascii="Times New Roman" w:eastAsia="Times New Roman" w:hAnsi="Times New Roman" w:cs="Times New Roman"/>
                <w:b/>
                <w:bCs/>
                <w:color w:val="000000"/>
                <w:lang w:eastAsia="lt-LT"/>
              </w:rPr>
              <w:t>SUMA:</w:t>
            </w:r>
          </w:p>
        </w:tc>
        <w:tc>
          <w:tcPr>
            <w:tcW w:w="340" w:type="pct"/>
            <w:tcBorders>
              <w:top w:val="single" w:sz="4" w:space="0" w:color="auto"/>
              <w:left w:val="single" w:sz="4" w:space="0" w:color="auto"/>
              <w:bottom w:val="single" w:sz="4" w:space="0" w:color="auto"/>
              <w:right w:val="single" w:sz="4" w:space="0" w:color="auto"/>
            </w:tcBorders>
            <w:hideMark/>
          </w:tcPr>
          <w:p w14:paraId="63D9F315" w14:textId="1A6C7A87" w:rsidR="00A10522" w:rsidRPr="001657DC" w:rsidRDefault="00A10522" w:rsidP="00DC19F9">
            <w:pPr>
              <w:spacing w:after="0" w:line="240" w:lineRule="auto"/>
              <w:ind w:left="-57" w:right="-57"/>
              <w:jc w:val="center"/>
              <w:rPr>
                <w:rFonts w:ascii="Times New Roman" w:eastAsia="Times New Roman" w:hAnsi="Times New Roman" w:cs="Times New Roman"/>
                <w:i/>
                <w:iCs/>
                <w:sz w:val="20"/>
                <w:szCs w:val="20"/>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3B4F57B4" w14:textId="3E57EE0A" w:rsidR="00A10522" w:rsidRPr="001657DC" w:rsidRDefault="00DC19F9" w:rsidP="00DC19F9">
            <w:pPr>
              <w:spacing w:after="0" w:line="240" w:lineRule="auto"/>
              <w:ind w:left="-57" w:right="-57"/>
              <w:jc w:val="center"/>
              <w:rPr>
                <w:rFonts w:ascii="Times New Roman" w:eastAsia="Times New Roman" w:hAnsi="Times New Roman" w:cs="Times New Roman"/>
                <w:b/>
                <w:bCs/>
                <w:sz w:val="20"/>
                <w:szCs w:val="20"/>
                <w:lang w:eastAsia="lt-LT"/>
              </w:rPr>
            </w:pPr>
            <w:r w:rsidRPr="001657DC">
              <w:rPr>
                <w:rFonts w:ascii="Times New Roman" w:eastAsia="Times New Roman" w:hAnsi="Times New Roman" w:cs="Times New Roman"/>
                <w:b/>
                <w:bCs/>
                <w:sz w:val="20"/>
                <w:szCs w:val="20"/>
                <w:lang w:eastAsia="lt-LT"/>
              </w:rPr>
              <w:t>25</w:t>
            </w:r>
          </w:p>
        </w:tc>
        <w:tc>
          <w:tcPr>
            <w:tcW w:w="328" w:type="pct"/>
            <w:tcBorders>
              <w:top w:val="single" w:sz="4" w:space="0" w:color="auto"/>
              <w:left w:val="single" w:sz="4" w:space="0" w:color="auto"/>
              <w:bottom w:val="single" w:sz="4" w:space="0" w:color="auto"/>
              <w:right w:val="single" w:sz="4" w:space="0" w:color="auto"/>
            </w:tcBorders>
            <w:shd w:val="clear" w:color="000000" w:fill="D0CECE"/>
            <w:noWrap/>
            <w:hideMark/>
          </w:tcPr>
          <w:p w14:paraId="6DE45D85" w14:textId="7777777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2756BBD8" w:rsidR="00AB1327" w:rsidRDefault="005808BF" w:rsidP="00047D1C">
      <w:pPr>
        <w:pStyle w:val="Heading1"/>
        <w:numPr>
          <w:ilvl w:val="0"/>
          <w:numId w:val="2"/>
        </w:numPr>
      </w:pPr>
      <w:r>
        <w:t>S</w:t>
      </w:r>
      <w:r w:rsidR="00EC0E11" w:rsidRPr="00EC0E11">
        <w:t>PRENDIMAS</w:t>
      </w:r>
    </w:p>
    <w:tbl>
      <w:tblPr>
        <w:tblStyle w:val="TableGrid"/>
        <w:tblW w:w="14596" w:type="dxa"/>
        <w:tblLook w:val="04A0" w:firstRow="1" w:lastRow="0" w:firstColumn="1" w:lastColumn="0" w:noHBand="0" w:noVBand="1"/>
      </w:tblPr>
      <w:tblGrid>
        <w:gridCol w:w="14596"/>
      </w:tblGrid>
      <w:tr w:rsidR="002F4D33" w14:paraId="29B50397" w14:textId="77777777" w:rsidTr="00EA4E9A">
        <w:tc>
          <w:tcPr>
            <w:tcW w:w="14596" w:type="dxa"/>
          </w:tcPr>
          <w:p w14:paraId="5348C4DC" w14:textId="65EF45D4" w:rsidR="002F4D33" w:rsidRDefault="002F4D33" w:rsidP="008864ED">
            <w:pPr>
              <w:pStyle w:val="Heading2"/>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4596" w:type="dxa"/>
        <w:tblLook w:val="04A0" w:firstRow="1" w:lastRow="0" w:firstColumn="1" w:lastColumn="0" w:noHBand="0" w:noVBand="1"/>
      </w:tblPr>
      <w:tblGrid>
        <w:gridCol w:w="14596"/>
      </w:tblGrid>
      <w:tr w:rsidR="001259C3" w14:paraId="570E1E21" w14:textId="77777777" w:rsidTr="00EA4E9A">
        <w:trPr>
          <w:trHeight w:val="481"/>
        </w:trPr>
        <w:tc>
          <w:tcPr>
            <w:tcW w:w="14596" w:type="dxa"/>
          </w:tcPr>
          <w:p w14:paraId="3EB5947C" w14:textId="4571218A" w:rsidR="001259C3" w:rsidRDefault="001259C3" w:rsidP="00E93301">
            <w:pPr>
              <w:rPr>
                <w:rFonts w:ascii="Times New Roman" w:hAnsi="Times New Roman" w:cs="Times New Roman"/>
                <w:b/>
              </w:rPr>
            </w:pP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4596" w:type="dxa"/>
        <w:tblLook w:val="04A0" w:firstRow="1" w:lastRow="0" w:firstColumn="1" w:lastColumn="0" w:noHBand="0" w:noVBand="1"/>
      </w:tblPr>
      <w:tblGrid>
        <w:gridCol w:w="14596"/>
      </w:tblGrid>
      <w:tr w:rsidR="002D7EEE" w14:paraId="1FA5FB0B" w14:textId="77777777" w:rsidTr="00EA4E9A">
        <w:trPr>
          <w:trHeight w:val="1137"/>
        </w:trPr>
        <w:tc>
          <w:tcPr>
            <w:tcW w:w="14596" w:type="dxa"/>
          </w:tcPr>
          <w:p w14:paraId="2D22806F" w14:textId="219CEEE9" w:rsidR="002D7EEE" w:rsidRDefault="002D7EEE" w:rsidP="005808BF">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3125E8">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7065" w14:textId="77777777" w:rsidR="00241D74" w:rsidRDefault="00241D74" w:rsidP="00B351D0">
      <w:pPr>
        <w:spacing w:after="0" w:line="240" w:lineRule="auto"/>
      </w:pPr>
      <w:r>
        <w:separator/>
      </w:r>
    </w:p>
  </w:endnote>
  <w:endnote w:type="continuationSeparator" w:id="0">
    <w:p w14:paraId="729BAAF0" w14:textId="77777777" w:rsidR="00241D74" w:rsidRDefault="00241D74" w:rsidP="00B351D0">
      <w:pPr>
        <w:spacing w:after="0" w:line="240" w:lineRule="auto"/>
      </w:pPr>
      <w:r>
        <w:continuationSeparator/>
      </w:r>
    </w:p>
  </w:endnote>
  <w:endnote w:type="continuationNotice" w:id="1">
    <w:p w14:paraId="7CB4E0D1" w14:textId="77777777" w:rsidR="00241D74" w:rsidRDefault="00241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CBBC" w14:textId="77777777" w:rsidR="00241D74" w:rsidRDefault="00241D74" w:rsidP="00B351D0">
      <w:pPr>
        <w:spacing w:after="0" w:line="240" w:lineRule="auto"/>
      </w:pPr>
      <w:r>
        <w:separator/>
      </w:r>
    </w:p>
  </w:footnote>
  <w:footnote w:type="continuationSeparator" w:id="0">
    <w:p w14:paraId="2DC2A9AA" w14:textId="77777777" w:rsidR="00241D74" w:rsidRDefault="00241D74" w:rsidP="00B351D0">
      <w:pPr>
        <w:spacing w:after="0" w:line="240" w:lineRule="auto"/>
      </w:pPr>
      <w:r>
        <w:continuationSeparator/>
      </w:r>
    </w:p>
  </w:footnote>
  <w:footnote w:type="continuationNotice" w:id="1">
    <w:p w14:paraId="6334604E" w14:textId="77777777" w:rsidR="00241D74" w:rsidRDefault="00241D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700404">
    <w:abstractNumId w:val="0"/>
  </w:num>
  <w:num w:numId="2" w16cid:durableId="1224029144">
    <w:abstractNumId w:val="7"/>
  </w:num>
  <w:num w:numId="3" w16cid:durableId="1325356361">
    <w:abstractNumId w:val="6"/>
  </w:num>
  <w:num w:numId="4" w16cid:durableId="1407611554">
    <w:abstractNumId w:val="10"/>
  </w:num>
  <w:num w:numId="5" w16cid:durableId="1431316093">
    <w:abstractNumId w:val="1"/>
  </w:num>
  <w:num w:numId="6" w16cid:durableId="1400982212">
    <w:abstractNumId w:val="2"/>
  </w:num>
  <w:num w:numId="7" w16cid:durableId="1476137988">
    <w:abstractNumId w:val="4"/>
  </w:num>
  <w:num w:numId="8" w16cid:durableId="1802768854">
    <w:abstractNumId w:val="8"/>
  </w:num>
  <w:num w:numId="9" w16cid:durableId="549418781">
    <w:abstractNumId w:val="7"/>
  </w:num>
  <w:num w:numId="10" w16cid:durableId="1164588580">
    <w:abstractNumId w:val="7"/>
  </w:num>
  <w:num w:numId="11" w16cid:durableId="289480018">
    <w:abstractNumId w:val="7"/>
  </w:num>
  <w:num w:numId="12" w16cid:durableId="137578341">
    <w:abstractNumId w:val="7"/>
  </w:num>
  <w:num w:numId="13" w16cid:durableId="1335036355">
    <w:abstractNumId w:val="5"/>
  </w:num>
  <w:num w:numId="14" w16cid:durableId="194273831">
    <w:abstractNumId w:val="3"/>
  </w:num>
  <w:num w:numId="15" w16cid:durableId="1778132426">
    <w:abstractNumId w:val="9"/>
  </w:num>
  <w:num w:numId="16" w16cid:durableId="507913298">
    <w:abstractNumId w:val="7"/>
  </w:num>
  <w:num w:numId="17" w16cid:durableId="1247881880">
    <w:abstractNumId w:val="7"/>
  </w:num>
  <w:num w:numId="18" w16cid:durableId="5972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333E0"/>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37468"/>
    <w:rsid w:val="00150A02"/>
    <w:rsid w:val="00161FFE"/>
    <w:rsid w:val="001657DC"/>
    <w:rsid w:val="001A6072"/>
    <w:rsid w:val="001B1711"/>
    <w:rsid w:val="001D355E"/>
    <w:rsid w:val="001F6B02"/>
    <w:rsid w:val="00203EAE"/>
    <w:rsid w:val="00207A46"/>
    <w:rsid w:val="0023763D"/>
    <w:rsid w:val="0024066B"/>
    <w:rsid w:val="00241D74"/>
    <w:rsid w:val="002514A2"/>
    <w:rsid w:val="002537E4"/>
    <w:rsid w:val="00257859"/>
    <w:rsid w:val="00277CDC"/>
    <w:rsid w:val="002B3590"/>
    <w:rsid w:val="002B6055"/>
    <w:rsid w:val="002C7C44"/>
    <w:rsid w:val="002D7EEE"/>
    <w:rsid w:val="002F0078"/>
    <w:rsid w:val="002F4D33"/>
    <w:rsid w:val="003013EE"/>
    <w:rsid w:val="003125E8"/>
    <w:rsid w:val="003545CF"/>
    <w:rsid w:val="00360A4B"/>
    <w:rsid w:val="003714BD"/>
    <w:rsid w:val="00383707"/>
    <w:rsid w:val="00387BA3"/>
    <w:rsid w:val="003A0CE3"/>
    <w:rsid w:val="003B42F4"/>
    <w:rsid w:val="003B55C8"/>
    <w:rsid w:val="003C4819"/>
    <w:rsid w:val="003E60ED"/>
    <w:rsid w:val="003F2286"/>
    <w:rsid w:val="003F3E1B"/>
    <w:rsid w:val="0042288E"/>
    <w:rsid w:val="00435582"/>
    <w:rsid w:val="00443102"/>
    <w:rsid w:val="004656F0"/>
    <w:rsid w:val="00474602"/>
    <w:rsid w:val="00486E60"/>
    <w:rsid w:val="00487D77"/>
    <w:rsid w:val="00490E38"/>
    <w:rsid w:val="004F39F2"/>
    <w:rsid w:val="00524BAD"/>
    <w:rsid w:val="00526A14"/>
    <w:rsid w:val="005421A3"/>
    <w:rsid w:val="005437BC"/>
    <w:rsid w:val="00575564"/>
    <w:rsid w:val="005808BF"/>
    <w:rsid w:val="00590917"/>
    <w:rsid w:val="005A780B"/>
    <w:rsid w:val="005F3E2C"/>
    <w:rsid w:val="00603120"/>
    <w:rsid w:val="00604CC3"/>
    <w:rsid w:val="00624ECB"/>
    <w:rsid w:val="00652A5C"/>
    <w:rsid w:val="006A41F7"/>
    <w:rsid w:val="006A5A06"/>
    <w:rsid w:val="006D27F0"/>
    <w:rsid w:val="006E129C"/>
    <w:rsid w:val="006F1E26"/>
    <w:rsid w:val="00700D50"/>
    <w:rsid w:val="007033FE"/>
    <w:rsid w:val="00710DF4"/>
    <w:rsid w:val="00712E9C"/>
    <w:rsid w:val="00724F66"/>
    <w:rsid w:val="007304E8"/>
    <w:rsid w:val="00737DCF"/>
    <w:rsid w:val="007427BA"/>
    <w:rsid w:val="00786A9F"/>
    <w:rsid w:val="0079046B"/>
    <w:rsid w:val="00796CB1"/>
    <w:rsid w:val="007A07D5"/>
    <w:rsid w:val="007B7EB2"/>
    <w:rsid w:val="007C49AD"/>
    <w:rsid w:val="007C4F58"/>
    <w:rsid w:val="007C7A59"/>
    <w:rsid w:val="007D3408"/>
    <w:rsid w:val="007D5464"/>
    <w:rsid w:val="007E5232"/>
    <w:rsid w:val="00820E9C"/>
    <w:rsid w:val="00841EF0"/>
    <w:rsid w:val="008711CE"/>
    <w:rsid w:val="008864ED"/>
    <w:rsid w:val="008910FE"/>
    <w:rsid w:val="008D18C8"/>
    <w:rsid w:val="008D238F"/>
    <w:rsid w:val="009137FF"/>
    <w:rsid w:val="009727F0"/>
    <w:rsid w:val="0097282F"/>
    <w:rsid w:val="0099583A"/>
    <w:rsid w:val="009B2AA4"/>
    <w:rsid w:val="009B7414"/>
    <w:rsid w:val="009D017F"/>
    <w:rsid w:val="009D1156"/>
    <w:rsid w:val="009F0AA0"/>
    <w:rsid w:val="009F786E"/>
    <w:rsid w:val="00A033E1"/>
    <w:rsid w:val="00A043DF"/>
    <w:rsid w:val="00A10522"/>
    <w:rsid w:val="00A14DA4"/>
    <w:rsid w:val="00A60CFF"/>
    <w:rsid w:val="00A6297D"/>
    <w:rsid w:val="00A81016"/>
    <w:rsid w:val="00AA44E2"/>
    <w:rsid w:val="00AA698F"/>
    <w:rsid w:val="00AA7138"/>
    <w:rsid w:val="00AB1327"/>
    <w:rsid w:val="00AE1D79"/>
    <w:rsid w:val="00AE36DB"/>
    <w:rsid w:val="00B351D0"/>
    <w:rsid w:val="00B56BF0"/>
    <w:rsid w:val="00B75FCE"/>
    <w:rsid w:val="00B8429F"/>
    <w:rsid w:val="00BA2878"/>
    <w:rsid w:val="00BF5217"/>
    <w:rsid w:val="00C10C82"/>
    <w:rsid w:val="00C1181F"/>
    <w:rsid w:val="00C87EAD"/>
    <w:rsid w:val="00CA709E"/>
    <w:rsid w:val="00CD1E52"/>
    <w:rsid w:val="00CD5BE7"/>
    <w:rsid w:val="00CE4CB2"/>
    <w:rsid w:val="00D13C72"/>
    <w:rsid w:val="00D3720E"/>
    <w:rsid w:val="00D400C1"/>
    <w:rsid w:val="00D93284"/>
    <w:rsid w:val="00D95176"/>
    <w:rsid w:val="00D95B46"/>
    <w:rsid w:val="00DB30E3"/>
    <w:rsid w:val="00DC19F9"/>
    <w:rsid w:val="00DD76D5"/>
    <w:rsid w:val="00DE25D9"/>
    <w:rsid w:val="00E01DE9"/>
    <w:rsid w:val="00E06CD0"/>
    <w:rsid w:val="00E12105"/>
    <w:rsid w:val="00E3045E"/>
    <w:rsid w:val="00E7587F"/>
    <w:rsid w:val="00E93301"/>
    <w:rsid w:val="00EA4E9A"/>
    <w:rsid w:val="00EA742D"/>
    <w:rsid w:val="00EC0E11"/>
    <w:rsid w:val="00ED47D5"/>
    <w:rsid w:val="00EF1EA6"/>
    <w:rsid w:val="00F0383C"/>
    <w:rsid w:val="00F67075"/>
    <w:rsid w:val="00F8350B"/>
    <w:rsid w:val="00FA002F"/>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5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C4CB4400-B305-432B-8F1D-7F681CAD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850472A-31E1-4886-A6CF-55D983A4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2899</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Naudos ir kokybės vertinimo  PL</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PL</dc:title>
  <dc:subject/>
  <dc:creator>Zita  Markevičienė</dc:creator>
  <cp:keywords/>
  <dc:description/>
  <cp:lastModifiedBy>Aušra Jankauskaitė</cp:lastModifiedBy>
  <cp:revision>5</cp:revision>
  <dcterms:created xsi:type="dcterms:W3CDTF">2023-04-18T10:49:00Z</dcterms:created>
  <dcterms:modified xsi:type="dcterms:W3CDTF">2023-04-21T06:27:00Z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3169;#Darnaus transporto projektų skyrius|ac541b4c-a511-49a1-b192-8ec1ac837a74</vt:lpwstr>
  </property>
  <property fmtid="{D5CDD505-2E9C-101B-9397-08002B2CF9AE}" pid="7" name="DmsPermissionsUsers">
    <vt:lpwstr>149;#Tautvydas Umbražūnas;#145;#Audrius Tamkus</vt:lpwstr>
  </property>
  <property fmtid="{D5CDD505-2E9C-101B-9397-08002B2CF9AE}" pid="8" name="DmsDocPrepDocSendRegReal">
    <vt:bool>false</vt:bool>
  </property>
  <property fmtid="{D5CDD505-2E9C-101B-9397-08002B2CF9AE}" pid="9" name="DmsWaitingForSign">
    <vt:bool>false</vt:bool>
  </property>
</Properties>
</file>