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ED65" w14:textId="6DA8D97D" w:rsidR="00DB7A69" w:rsidRDefault="00DB7A69" w:rsidP="00E822CF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:rsidRPr="00133AB6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Pr="00133AB6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Pr="00133AB6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133AB6">
              <w:rPr>
                <w:b/>
                <w:bCs/>
                <w:sz w:val="20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Pr="00133AB6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133AB6">
              <w:rPr>
                <w:b/>
                <w:bCs/>
                <w:sz w:val="20"/>
              </w:rPr>
              <w:t>Kodas</w:t>
            </w:r>
          </w:p>
        </w:tc>
      </w:tr>
      <w:tr w:rsidR="00DB7A69" w:rsidRPr="00133AB6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133AB6" w:rsidRDefault="00DB7A69" w:rsidP="002464EB">
            <w:pPr>
              <w:widowControl w:val="0"/>
              <w:rPr>
                <w:sz w:val="20"/>
              </w:rPr>
            </w:pPr>
            <w:r w:rsidRPr="00133AB6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2C7D84" w14:textId="77777777" w:rsidR="00133AB6" w:rsidRDefault="00DB7A69" w:rsidP="0014463E">
            <w:pPr>
              <w:widowControl w:val="0"/>
              <w:jc w:val="both"/>
              <w:rPr>
                <w:sz w:val="20"/>
              </w:rPr>
            </w:pPr>
            <w:r w:rsidRPr="00133AB6">
              <w:rPr>
                <w:sz w:val="20"/>
              </w:rPr>
              <w:t xml:space="preserve">Asignavimų valdytojas – </w:t>
            </w:r>
          </w:p>
          <w:p w14:paraId="72B50961" w14:textId="32B84499" w:rsidR="0076369B" w:rsidRPr="00133AB6" w:rsidRDefault="0076369B" w:rsidP="0014463E">
            <w:pPr>
              <w:widowControl w:val="0"/>
              <w:jc w:val="both"/>
              <w:rPr>
                <w:b/>
                <w:bCs/>
                <w:sz w:val="20"/>
              </w:rPr>
            </w:pPr>
            <w:r w:rsidRPr="00133AB6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133AB6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73DB117D" w:rsidR="0076369B" w:rsidRPr="00133AB6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133AB6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Pr="00133AB6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133AB6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133AB6" w:rsidRDefault="00DB7A69" w:rsidP="002464EB">
            <w:pPr>
              <w:widowControl w:val="0"/>
              <w:rPr>
                <w:sz w:val="20"/>
              </w:rPr>
            </w:pPr>
            <w:r w:rsidRPr="00133AB6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914243" w14:textId="77777777" w:rsidR="00133AB6" w:rsidRDefault="00DB7A69" w:rsidP="00133AB6">
            <w:pPr>
              <w:widowControl w:val="0"/>
              <w:jc w:val="both"/>
              <w:rPr>
                <w:sz w:val="20"/>
              </w:rPr>
            </w:pPr>
            <w:r w:rsidRPr="00133AB6">
              <w:rPr>
                <w:sz w:val="20"/>
              </w:rPr>
              <w:t>Nacionalinio pažangos plano strateginis tikslas –</w:t>
            </w:r>
          </w:p>
          <w:p w14:paraId="217CEC63" w14:textId="72696694" w:rsidR="00DB7A69" w:rsidRPr="00133AB6" w:rsidRDefault="007F7FA0" w:rsidP="00133AB6">
            <w:pPr>
              <w:widowControl w:val="0"/>
              <w:jc w:val="both"/>
              <w:rPr>
                <w:b/>
                <w:bCs/>
                <w:i/>
                <w:iCs/>
                <w:sz w:val="20"/>
              </w:rPr>
            </w:pPr>
            <w:r w:rsidRPr="00133AB6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Pr="00133AB6" w:rsidRDefault="000534CD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133AB6">
              <w:rPr>
                <w:iCs/>
                <w:sz w:val="20"/>
              </w:rPr>
              <w:t>NPP-01</w:t>
            </w:r>
          </w:p>
        </w:tc>
      </w:tr>
      <w:tr w:rsidR="00DB7A69" w:rsidRPr="00133AB6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133AB6" w:rsidRDefault="00DB7A69" w:rsidP="002464EB">
            <w:pPr>
              <w:widowControl w:val="0"/>
              <w:rPr>
                <w:sz w:val="20"/>
              </w:rPr>
            </w:pPr>
            <w:r w:rsidRPr="00133AB6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AF5C01" w14:textId="77777777" w:rsidR="00133AB6" w:rsidRDefault="00DB7A69" w:rsidP="002464EB">
            <w:pPr>
              <w:widowControl w:val="0"/>
              <w:jc w:val="both"/>
              <w:rPr>
                <w:sz w:val="20"/>
              </w:rPr>
            </w:pPr>
            <w:r w:rsidRPr="00133AB6">
              <w:rPr>
                <w:sz w:val="20"/>
              </w:rPr>
              <w:t>Nacionalinio pažangos plano uždavinys –</w:t>
            </w:r>
          </w:p>
          <w:p w14:paraId="2EEB1537" w14:textId="4F60D3EF" w:rsidR="001C1FEA" w:rsidRPr="00133AB6" w:rsidRDefault="00A329FE" w:rsidP="002464EB">
            <w:pPr>
              <w:widowControl w:val="0"/>
              <w:jc w:val="both"/>
              <w:rPr>
                <w:b/>
                <w:bCs/>
                <w:sz w:val="20"/>
              </w:rPr>
            </w:pPr>
            <w:r w:rsidRPr="00133AB6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133AB6" w:rsidRDefault="00DB7A69" w:rsidP="002464EB">
            <w:pPr>
              <w:widowControl w:val="0"/>
              <w:jc w:val="both"/>
              <w:rPr>
                <w:b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133AB6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133AB6">
              <w:rPr>
                <w:rFonts w:eastAsiaTheme="minorHAnsi"/>
                <w:iCs/>
                <w:sz w:val="20"/>
              </w:rPr>
              <w:t>NPP-01-05</w:t>
            </w:r>
          </w:p>
          <w:p w14:paraId="01774359" w14:textId="0AAD1F25" w:rsidR="00DB7A69" w:rsidRPr="00133AB6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133AB6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133AB6" w:rsidRDefault="00DB7A69" w:rsidP="002464EB">
            <w:pPr>
              <w:widowControl w:val="0"/>
              <w:rPr>
                <w:sz w:val="20"/>
              </w:rPr>
            </w:pPr>
            <w:r w:rsidRPr="00133AB6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D4878C" w14:textId="77777777" w:rsidR="00133AB6" w:rsidRDefault="00DB7A69" w:rsidP="0014463E">
            <w:pPr>
              <w:widowControl w:val="0"/>
              <w:jc w:val="both"/>
              <w:rPr>
                <w:sz w:val="20"/>
              </w:rPr>
            </w:pPr>
            <w:r w:rsidRPr="00133AB6">
              <w:rPr>
                <w:sz w:val="20"/>
              </w:rPr>
              <w:t>Strateginio veiklos plano programa –</w:t>
            </w:r>
          </w:p>
          <w:p w14:paraId="325BA4F4" w14:textId="0F46526B" w:rsidR="00DB7A69" w:rsidRPr="00133AB6" w:rsidRDefault="007E6792" w:rsidP="0014463E">
            <w:pPr>
              <w:widowControl w:val="0"/>
              <w:jc w:val="both"/>
              <w:rPr>
                <w:sz w:val="20"/>
              </w:rPr>
            </w:pPr>
            <w:r w:rsidRPr="00133AB6">
              <w:rPr>
                <w:b/>
                <w:bCs/>
                <w:color w:val="000000"/>
                <w:sz w:val="20"/>
                <w:lang w:eastAsia="lt-LT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Pr="00133AB6" w:rsidRDefault="001F6146" w:rsidP="002464EB">
            <w:pPr>
              <w:jc w:val="both"/>
              <w:rPr>
                <w:i/>
                <w:iCs/>
                <w:color w:val="808080"/>
                <w:sz w:val="20"/>
              </w:rPr>
            </w:pPr>
            <w:r w:rsidRPr="00133AB6">
              <w:rPr>
                <w:color w:val="000000"/>
                <w:sz w:val="20"/>
                <w:lang w:eastAsia="lt-LT"/>
              </w:rPr>
              <w:t>05-001</w:t>
            </w:r>
          </w:p>
        </w:tc>
      </w:tr>
      <w:tr w:rsidR="00DB7A69" w:rsidRPr="00133AB6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133AB6" w:rsidRDefault="00DB7A69" w:rsidP="002464EB">
            <w:pPr>
              <w:widowControl w:val="0"/>
              <w:rPr>
                <w:sz w:val="20"/>
              </w:rPr>
            </w:pPr>
            <w:r w:rsidRPr="00133AB6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485948" w14:textId="77777777" w:rsidR="00133AB6" w:rsidRDefault="00DB7A69" w:rsidP="002464EB">
            <w:pPr>
              <w:jc w:val="both"/>
              <w:rPr>
                <w:sz w:val="20"/>
              </w:rPr>
            </w:pPr>
            <w:r w:rsidRPr="00133AB6">
              <w:rPr>
                <w:sz w:val="20"/>
              </w:rPr>
              <w:t>Strateginio veiklos plano programos uždavinys –</w:t>
            </w:r>
          </w:p>
          <w:p w14:paraId="62C9DCB1" w14:textId="651D547A" w:rsidR="00DB7A69" w:rsidRPr="00133AB6" w:rsidRDefault="00483E1C" w:rsidP="002464EB">
            <w:pPr>
              <w:jc w:val="both"/>
              <w:rPr>
                <w:b/>
                <w:sz w:val="20"/>
              </w:rPr>
            </w:pPr>
            <w:r w:rsidRPr="00133AB6">
              <w:rPr>
                <w:b/>
                <w:sz w:val="20"/>
              </w:rPr>
              <w:t>Skatinti pažangiųjų technologijų ir inovacijų kūrimą, diegimą ir sklaidą</w:t>
            </w:r>
            <w:r w:rsidRPr="00133AB6">
              <w:rPr>
                <w:b/>
                <w:i/>
                <w:iCs/>
                <w:color w:val="808080"/>
                <w:sz w:val="20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133AB6" w:rsidRDefault="00483E1C" w:rsidP="002464EB">
            <w:pPr>
              <w:widowControl w:val="0"/>
              <w:jc w:val="both"/>
              <w:rPr>
                <w:bCs/>
                <w:color w:val="808080"/>
                <w:sz w:val="20"/>
                <w:highlight w:val="yellow"/>
              </w:rPr>
            </w:pPr>
            <w:r w:rsidRPr="00133AB6">
              <w:rPr>
                <w:bCs/>
                <w:sz w:val="20"/>
              </w:rPr>
              <w:t>05-001-01-05</w:t>
            </w:r>
          </w:p>
        </w:tc>
      </w:tr>
      <w:tr w:rsidR="00DB7A69" w:rsidRPr="00133AB6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133AB6" w:rsidRDefault="00DB7A69" w:rsidP="002464EB">
            <w:pPr>
              <w:widowControl w:val="0"/>
              <w:rPr>
                <w:sz w:val="20"/>
              </w:rPr>
            </w:pPr>
            <w:r w:rsidRPr="00133AB6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BC4AC" w14:textId="77777777" w:rsidR="00DB7A69" w:rsidRPr="00133AB6" w:rsidRDefault="00DB7A69" w:rsidP="002464EB">
            <w:pPr>
              <w:widowControl w:val="0"/>
              <w:jc w:val="both"/>
              <w:rPr>
                <w:sz w:val="20"/>
              </w:rPr>
            </w:pPr>
            <w:r w:rsidRPr="00133AB6">
              <w:rPr>
                <w:sz w:val="20"/>
              </w:rPr>
              <w:t>Strateginio veiklos plano programos priemonė –</w:t>
            </w:r>
          </w:p>
          <w:p w14:paraId="57E4A33F" w14:textId="538C5AAB" w:rsidR="00DB7A69" w:rsidRPr="00133AB6" w:rsidRDefault="007F7BFA" w:rsidP="002464EB">
            <w:pPr>
              <w:jc w:val="both"/>
              <w:rPr>
                <w:b/>
                <w:sz w:val="20"/>
              </w:rPr>
            </w:pPr>
            <w:r w:rsidRPr="00133AB6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2851DD0D" w:rsidR="00DB7A69" w:rsidRPr="00133AB6" w:rsidRDefault="007F7BFA" w:rsidP="002464EB">
            <w:pPr>
              <w:widowControl w:val="0"/>
              <w:jc w:val="both"/>
              <w:rPr>
                <w:bCs/>
                <w:color w:val="808080"/>
                <w:sz w:val="20"/>
              </w:rPr>
            </w:pPr>
            <w:r w:rsidRPr="00133AB6">
              <w:rPr>
                <w:bCs/>
                <w:sz w:val="20"/>
              </w:rPr>
              <w:t>05-001-01-05-07</w:t>
            </w:r>
          </w:p>
        </w:tc>
      </w:tr>
      <w:tr w:rsidR="00DB7A69" w:rsidRPr="00133AB6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133AB6" w:rsidRDefault="00DB7A69" w:rsidP="002464EB">
            <w:pPr>
              <w:widowControl w:val="0"/>
              <w:rPr>
                <w:sz w:val="20"/>
              </w:rPr>
            </w:pPr>
            <w:r w:rsidRPr="00133AB6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A0EBDC" w14:textId="77777777" w:rsidR="004379D2" w:rsidRDefault="00DB7A69" w:rsidP="00D60150">
            <w:pPr>
              <w:widowControl w:val="0"/>
              <w:jc w:val="both"/>
              <w:rPr>
                <w:sz w:val="20"/>
              </w:rPr>
            </w:pPr>
            <w:r w:rsidRPr="00133AB6">
              <w:rPr>
                <w:sz w:val="20"/>
              </w:rPr>
              <w:t>Rodiklio pavadinimas</w:t>
            </w:r>
            <w:r w:rsidR="0014463E" w:rsidRPr="00133AB6">
              <w:rPr>
                <w:sz w:val="20"/>
              </w:rPr>
              <w:t xml:space="preserve"> – </w:t>
            </w:r>
            <w:r w:rsidR="004379D2">
              <w:rPr>
                <w:sz w:val="20"/>
              </w:rPr>
              <w:t>produkto rodiklis</w:t>
            </w:r>
          </w:p>
          <w:p w14:paraId="4A731DE8" w14:textId="34C2AE2E" w:rsidR="00DB7A69" w:rsidRPr="00133AB6" w:rsidRDefault="005B4AC1" w:rsidP="00D60150">
            <w:pPr>
              <w:widowControl w:val="0"/>
              <w:jc w:val="both"/>
              <w:rPr>
                <w:b/>
                <w:bCs/>
                <w:sz w:val="20"/>
              </w:rPr>
            </w:pPr>
            <w:r w:rsidRPr="00133AB6">
              <w:rPr>
                <w:b/>
                <w:bCs/>
                <w:sz w:val="20"/>
              </w:rPr>
              <w:t>MVĮ, investuojančios į pažangiajai specializacijai, pramonės pertvarkai ir verslumui reikalingų įgūdžių ugdymą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F2FAA" w14:textId="6524DF28" w:rsidR="00DB7A69" w:rsidRPr="00133AB6" w:rsidRDefault="005B4AC1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133AB6">
              <w:rPr>
                <w:bCs/>
                <w:sz w:val="20"/>
              </w:rPr>
              <w:t>P-</w:t>
            </w:r>
            <w:r w:rsidR="00EF3972" w:rsidRPr="00133AB6">
              <w:rPr>
                <w:bCs/>
                <w:sz w:val="20"/>
              </w:rPr>
              <w:t>05-001-01-05-07-</w:t>
            </w:r>
            <w:r w:rsidR="00D60150" w:rsidRPr="00133AB6">
              <w:rPr>
                <w:bCs/>
                <w:sz w:val="20"/>
              </w:rPr>
              <w:t>1</w:t>
            </w:r>
            <w:r w:rsidRPr="00133AB6">
              <w:rPr>
                <w:bCs/>
                <w:sz w:val="20"/>
              </w:rPr>
              <w:t>9</w:t>
            </w:r>
          </w:p>
        </w:tc>
      </w:tr>
      <w:tr w:rsidR="00DB7A69" w:rsidRPr="00133AB6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133AB6" w:rsidRDefault="00DB7A69" w:rsidP="00F97E03">
            <w:pPr>
              <w:widowControl w:val="0"/>
              <w:jc w:val="center"/>
              <w:rPr>
                <w:sz w:val="20"/>
              </w:rPr>
            </w:pPr>
            <w:r w:rsidRPr="00133AB6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4EC89EE6" w:rsidR="00DB7A69" w:rsidRPr="00133AB6" w:rsidRDefault="00DB7A69" w:rsidP="002464EB">
            <w:pPr>
              <w:widowControl w:val="0"/>
              <w:jc w:val="both"/>
              <w:rPr>
                <w:sz w:val="20"/>
              </w:rPr>
            </w:pPr>
            <w:r w:rsidRPr="00133AB6">
              <w:rPr>
                <w:sz w:val="20"/>
              </w:rPr>
              <w:t xml:space="preserve">Matavimo vienetas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64A18D13" w:rsidR="00DB7A69" w:rsidRPr="00133AB6" w:rsidRDefault="005B4AC1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133AB6">
              <w:rPr>
                <w:sz w:val="20"/>
              </w:rPr>
              <w:t>Įmonės</w:t>
            </w:r>
          </w:p>
        </w:tc>
      </w:tr>
      <w:tr w:rsidR="00D71ADD" w:rsidRPr="00133AB6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133AB6" w:rsidRDefault="00D71ADD" w:rsidP="00F97E03">
            <w:pPr>
              <w:widowControl w:val="0"/>
              <w:jc w:val="center"/>
              <w:rPr>
                <w:sz w:val="20"/>
              </w:rPr>
            </w:pPr>
            <w:r w:rsidRPr="00133AB6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27DBE621" w:rsidR="00D71ADD" w:rsidRPr="00133AB6" w:rsidRDefault="00D71ADD" w:rsidP="00D71ADD">
            <w:pPr>
              <w:widowControl w:val="0"/>
              <w:jc w:val="both"/>
              <w:rPr>
                <w:sz w:val="20"/>
              </w:rPr>
            </w:pPr>
            <w:r w:rsidRPr="00133AB6">
              <w:rPr>
                <w:sz w:val="20"/>
              </w:rPr>
              <w:t xml:space="preserve">Rodiklio paaiškinimas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3ADEA" w14:textId="4D75DBB5" w:rsidR="00E03FE5" w:rsidRPr="00133AB6" w:rsidRDefault="00E03FE5" w:rsidP="00CC3BC8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133AB6">
              <w:rPr>
                <w:noProof/>
                <w:color w:val="000000"/>
                <w:sz w:val="20"/>
                <w:lang w:eastAsia="en-IE"/>
              </w:rPr>
              <w:t xml:space="preserve">Remiantis EK skelbiamu 2021–2027 m. Europos regioninės plėtros ir Sanglaudos fondų rodiklių </w:t>
            </w:r>
            <w:hyperlink r:id="rId7">
              <w:r w:rsidR="007E6792" w:rsidRPr="00133AB6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Pr="00133AB6">
              <w:rPr>
                <w:noProof/>
                <w:color w:val="000000"/>
                <w:sz w:val="20"/>
                <w:lang w:eastAsia="en-IE"/>
              </w:rPr>
              <w:t xml:space="preserve"> (RCO101).</w:t>
            </w:r>
          </w:p>
          <w:p w14:paraId="3D7AA06C" w14:textId="77777777" w:rsidR="00EE151A" w:rsidRPr="00133AB6" w:rsidRDefault="00EE151A" w:rsidP="00CC3BC8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</w:p>
          <w:p w14:paraId="75299AC0" w14:textId="6D3468A1" w:rsidR="00CC3BC8" w:rsidRPr="00133AB6" w:rsidRDefault="00797A63" w:rsidP="00CC3BC8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133AB6">
              <w:rPr>
                <w:noProof/>
                <w:color w:val="000000"/>
                <w:sz w:val="20"/>
                <w:lang w:eastAsia="en-IE"/>
              </w:rPr>
              <w:t xml:space="preserve">MVĮ, investuojančios į pažangiajai specializacijai, pramonės pertvarkai ir verslumui reikalingų įgūdžių ugdymą, </w:t>
            </w:r>
            <w:r w:rsidR="00CC3BC8" w:rsidRPr="00133AB6">
              <w:rPr>
                <w:noProof/>
                <w:color w:val="000000"/>
                <w:sz w:val="20"/>
                <w:lang w:eastAsia="en-IE"/>
              </w:rPr>
              <w:t xml:space="preserve">skaičius. </w:t>
            </w:r>
            <w:r w:rsidR="00CE3D83" w:rsidRPr="00133AB6">
              <w:rPr>
                <w:noProof/>
                <w:color w:val="000000"/>
                <w:sz w:val="20"/>
                <w:lang w:eastAsia="en-IE"/>
              </w:rPr>
              <w:t>P</w:t>
            </w:r>
            <w:r w:rsidRPr="00133AB6">
              <w:rPr>
                <w:noProof/>
                <w:color w:val="000000"/>
                <w:sz w:val="20"/>
                <w:lang w:eastAsia="en-IE"/>
              </w:rPr>
              <w:t>ažangiajai specializacijai, pramonės pertvarkai ir verslumui reikalingų įgūdžių ugdym</w:t>
            </w:r>
            <w:r w:rsidR="00CE3D83" w:rsidRPr="00133AB6">
              <w:rPr>
                <w:noProof/>
                <w:color w:val="000000"/>
                <w:sz w:val="20"/>
                <w:lang w:eastAsia="en-IE"/>
              </w:rPr>
              <w:t>as</w:t>
            </w:r>
            <w:r w:rsidR="00CC3BC8" w:rsidRPr="00133AB6">
              <w:rPr>
                <w:noProof/>
                <w:color w:val="000000"/>
                <w:sz w:val="20"/>
                <w:lang w:eastAsia="en-IE"/>
              </w:rPr>
              <w:t xml:space="preserve"> gali būti </w:t>
            </w:r>
            <w:r w:rsidR="00CE3D83" w:rsidRPr="00133AB6">
              <w:rPr>
                <w:noProof/>
                <w:color w:val="000000"/>
                <w:sz w:val="20"/>
                <w:lang w:eastAsia="en-IE"/>
              </w:rPr>
              <w:t>įgy</w:t>
            </w:r>
            <w:r w:rsidR="006A7790" w:rsidRPr="00133AB6">
              <w:rPr>
                <w:noProof/>
                <w:color w:val="000000"/>
                <w:sz w:val="20"/>
                <w:lang w:eastAsia="en-IE"/>
              </w:rPr>
              <w:t>tas</w:t>
            </w:r>
            <w:r w:rsidR="00CC3BC8" w:rsidRPr="00133AB6">
              <w:rPr>
                <w:noProof/>
                <w:color w:val="000000"/>
                <w:sz w:val="20"/>
                <w:lang w:eastAsia="en-IE"/>
              </w:rPr>
              <w:t xml:space="preserve"> p</w:t>
            </w:r>
            <w:r w:rsidR="00CE3D83" w:rsidRPr="00133AB6">
              <w:rPr>
                <w:noProof/>
                <w:color w:val="000000"/>
                <w:sz w:val="20"/>
                <w:lang w:eastAsia="en-IE"/>
              </w:rPr>
              <w:t xml:space="preserve">er </w:t>
            </w:r>
            <w:r w:rsidR="00CC3BC8" w:rsidRPr="00133AB6">
              <w:rPr>
                <w:noProof/>
                <w:color w:val="000000"/>
                <w:sz w:val="20"/>
                <w:lang w:eastAsia="en-IE"/>
              </w:rPr>
              <w:t>pameistrystę,</w:t>
            </w:r>
            <w:r w:rsidR="00CE3D83" w:rsidRPr="00133AB6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 w:rsidR="00CC3BC8" w:rsidRPr="00133AB6">
              <w:rPr>
                <w:noProof/>
                <w:color w:val="000000"/>
                <w:sz w:val="20"/>
                <w:lang w:eastAsia="en-IE"/>
              </w:rPr>
              <w:t xml:space="preserve">susitarimus dėl </w:t>
            </w:r>
            <w:r w:rsidR="00CE3D83" w:rsidRPr="00133AB6">
              <w:rPr>
                <w:noProof/>
                <w:color w:val="000000"/>
                <w:sz w:val="20"/>
                <w:lang w:eastAsia="en-IE"/>
              </w:rPr>
              <w:t xml:space="preserve">darbinės patirties ir </w:t>
            </w:r>
            <w:r w:rsidR="00CC3BC8" w:rsidRPr="00133AB6">
              <w:rPr>
                <w:noProof/>
                <w:color w:val="000000"/>
                <w:sz w:val="20"/>
                <w:lang w:eastAsia="en-IE"/>
              </w:rPr>
              <w:t>mokym</w:t>
            </w:r>
            <w:r w:rsidR="00E822CF" w:rsidRPr="00133AB6">
              <w:rPr>
                <w:noProof/>
                <w:color w:val="000000"/>
                <w:sz w:val="20"/>
                <w:lang w:eastAsia="en-IE"/>
              </w:rPr>
              <w:t>us</w:t>
            </w:r>
            <w:r w:rsidR="00CC3BC8" w:rsidRPr="00133AB6">
              <w:rPr>
                <w:noProof/>
                <w:color w:val="000000"/>
                <w:sz w:val="20"/>
                <w:lang w:eastAsia="en-IE"/>
              </w:rPr>
              <w:t xml:space="preserve"> su tiekėjais, klientais ir konsultantais, </w:t>
            </w:r>
            <w:r w:rsidR="00CE3D83" w:rsidRPr="00133AB6">
              <w:rPr>
                <w:noProof/>
                <w:color w:val="000000"/>
                <w:sz w:val="20"/>
                <w:lang w:eastAsia="en-IE"/>
              </w:rPr>
              <w:t xml:space="preserve">taip pat per </w:t>
            </w:r>
            <w:r w:rsidR="00CC3BC8" w:rsidRPr="00133AB6">
              <w:rPr>
                <w:noProof/>
                <w:color w:val="000000"/>
                <w:sz w:val="20"/>
                <w:lang w:eastAsia="en-IE"/>
              </w:rPr>
              <w:t>tęstinį profesinį mokymą</w:t>
            </w:r>
            <w:r w:rsidR="00CE3D83" w:rsidRPr="00133AB6">
              <w:rPr>
                <w:noProof/>
                <w:color w:val="000000"/>
                <w:sz w:val="20"/>
                <w:lang w:eastAsia="en-IE"/>
              </w:rPr>
              <w:t>si</w:t>
            </w:r>
            <w:r w:rsidR="00CC3BC8" w:rsidRPr="00133AB6">
              <w:rPr>
                <w:noProof/>
                <w:color w:val="000000"/>
                <w:sz w:val="20"/>
                <w:lang w:eastAsia="en-IE"/>
              </w:rPr>
              <w:t xml:space="preserve"> ir formal</w:t>
            </w:r>
            <w:r w:rsidR="00CE3D83" w:rsidRPr="00133AB6">
              <w:rPr>
                <w:noProof/>
                <w:color w:val="000000"/>
                <w:sz w:val="20"/>
                <w:lang w:eastAsia="en-IE"/>
              </w:rPr>
              <w:t>ias studijas</w:t>
            </w:r>
          </w:p>
        </w:tc>
      </w:tr>
      <w:tr w:rsidR="00061A9F" w:rsidRPr="00133AB6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061A9F" w:rsidRPr="00133AB6" w:rsidRDefault="00061A9F" w:rsidP="00061A9F">
            <w:pPr>
              <w:widowControl w:val="0"/>
              <w:rPr>
                <w:sz w:val="20"/>
              </w:rPr>
            </w:pPr>
            <w:r w:rsidRPr="00133AB6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2DA2EF6A" w:rsidR="00061A9F" w:rsidRPr="00133AB6" w:rsidRDefault="00061A9F" w:rsidP="00061A9F">
            <w:pPr>
              <w:widowControl w:val="0"/>
              <w:jc w:val="both"/>
              <w:rPr>
                <w:sz w:val="20"/>
              </w:rPr>
            </w:pPr>
            <w:r w:rsidRPr="00133AB6">
              <w:rPr>
                <w:sz w:val="20"/>
              </w:rPr>
              <w:t>Rodiklio reikšmės apskaičiavimo formulė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555478FE" w:rsidR="00CC3BC8" w:rsidRPr="00133AB6" w:rsidRDefault="000A6D63" w:rsidP="00061A9F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B0460F">
              <w:rPr>
                <w:noProof/>
                <w:color w:val="000000"/>
                <w:sz w:val="20"/>
                <w:lang w:eastAsia="en-IE"/>
              </w:rPr>
              <w:t>Rodiklis apskaičiuojamas į</w:t>
            </w:r>
            <w:r w:rsidRPr="00B0460F">
              <w:rPr>
                <w:noProof/>
                <w:color w:val="000000"/>
                <w:sz w:val="20"/>
                <w:lang w:val="en-US" w:eastAsia="en-IE"/>
              </w:rPr>
              <w:t>gyvendinus veiklas, skirtas įgūdžių ugdymui</w:t>
            </w:r>
          </w:p>
        </w:tc>
      </w:tr>
      <w:tr w:rsidR="00061A9F" w:rsidRPr="00133AB6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061A9F" w:rsidRPr="00133AB6" w:rsidRDefault="00061A9F" w:rsidP="00061A9F">
            <w:pPr>
              <w:widowControl w:val="0"/>
              <w:rPr>
                <w:sz w:val="20"/>
              </w:rPr>
            </w:pPr>
            <w:r w:rsidRPr="00133AB6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380A42E3" w:rsidR="00061A9F" w:rsidRPr="00133AB6" w:rsidRDefault="00061A9F" w:rsidP="00061A9F">
            <w:pPr>
              <w:widowControl w:val="0"/>
              <w:jc w:val="both"/>
              <w:rPr>
                <w:sz w:val="20"/>
              </w:rPr>
            </w:pPr>
            <w:r w:rsidRPr="00133AB6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6E6C8CB8" w:rsidR="00061A9F" w:rsidRPr="00133AB6" w:rsidRDefault="00034A59" w:rsidP="001B45D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133AB6">
              <w:rPr>
                <w:noProof/>
                <w:color w:val="000000"/>
                <w:sz w:val="20"/>
                <w:lang w:val="en-US" w:eastAsia="en-IE"/>
              </w:rPr>
              <w:t>-</w:t>
            </w:r>
          </w:p>
        </w:tc>
      </w:tr>
      <w:tr w:rsidR="00061A9F" w:rsidRPr="00133AB6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061A9F" w:rsidRPr="00133AB6" w:rsidRDefault="00061A9F" w:rsidP="00061A9F">
            <w:pPr>
              <w:widowControl w:val="0"/>
              <w:rPr>
                <w:sz w:val="20"/>
              </w:rPr>
            </w:pPr>
            <w:r w:rsidRPr="00133AB6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1487D54D" w:rsidR="00061A9F" w:rsidRPr="00133AB6" w:rsidRDefault="00061A9F" w:rsidP="00061A9F">
            <w:pPr>
              <w:widowControl w:val="0"/>
              <w:jc w:val="both"/>
              <w:rPr>
                <w:sz w:val="20"/>
              </w:rPr>
            </w:pPr>
            <w:r w:rsidRPr="00133AB6">
              <w:rPr>
                <w:sz w:val="20"/>
              </w:rPr>
              <w:t>Rodiklio reikšmės skaičiavimo reguliarumas ar ataskaitinis laikotarpis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E8A060" w14:textId="77777777" w:rsidR="00E03FE5" w:rsidRPr="00133AB6" w:rsidRDefault="00E03FE5" w:rsidP="00E03FE5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133AB6">
              <w:rPr>
                <w:noProof/>
                <w:color w:val="000000"/>
                <w:sz w:val="20"/>
                <w:lang w:val="en-US" w:eastAsia="en-IE"/>
              </w:rPr>
              <w:t>Reikšmės įvertinamos pasibaigus įgūdžių ugdymo veikloms.</w:t>
            </w:r>
          </w:p>
          <w:p w14:paraId="38F31902" w14:textId="23D1D4A1" w:rsidR="00E03FE5" w:rsidRPr="00133AB6" w:rsidRDefault="00E03FE5" w:rsidP="00E03FE5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133AB6">
              <w:rPr>
                <w:noProof/>
                <w:color w:val="000000"/>
                <w:sz w:val="20"/>
                <w:lang w:val="en-US" w:eastAsia="en-IE"/>
              </w:rPr>
              <w:t>Galutinė siekiama rodiklio reikšmė 2029 m. yra 4990.</w:t>
            </w:r>
          </w:p>
          <w:p w14:paraId="0D6E6D8C" w14:textId="2BECDD50" w:rsidR="009A4AFA" w:rsidRPr="00133AB6" w:rsidRDefault="006B7327" w:rsidP="000643F9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133AB6">
              <w:rPr>
                <w:noProof/>
                <w:color w:val="000000"/>
                <w:sz w:val="20"/>
                <w:lang w:val="en-US" w:eastAsia="en-IE"/>
              </w:rPr>
              <w:t xml:space="preserve">1.taisyklė. </w:t>
            </w:r>
            <w:r w:rsidR="007852FF" w:rsidRPr="00133AB6">
              <w:rPr>
                <w:noProof/>
                <w:color w:val="000000"/>
                <w:sz w:val="20"/>
                <w:lang w:val="en-US" w:eastAsia="en-IE"/>
              </w:rPr>
              <w:t>A</w:t>
            </w:r>
            <w:r w:rsidRPr="00133AB6">
              <w:rPr>
                <w:noProof/>
                <w:color w:val="000000"/>
                <w:sz w:val="20"/>
                <w:lang w:val="en-IE" w:eastAsia="en-IE"/>
              </w:rPr>
              <w:t>taskaitos teikiamos pa</w:t>
            </w:r>
            <w:r w:rsidR="009A4AFA" w:rsidRPr="00133AB6">
              <w:rPr>
                <w:noProof/>
                <w:color w:val="000000"/>
                <w:sz w:val="20"/>
                <w:lang w:val="en-IE" w:eastAsia="en-IE"/>
              </w:rPr>
              <w:t>siekus</w:t>
            </w:r>
            <w:r w:rsidRPr="00133AB6">
              <w:rPr>
                <w:noProof/>
                <w:color w:val="000000"/>
                <w:sz w:val="20"/>
                <w:lang w:val="en-IE" w:eastAsia="en-IE"/>
              </w:rPr>
              <w:t xml:space="preserve"> tikslą.</w:t>
            </w:r>
            <w:r w:rsidR="000643F9" w:rsidRPr="00133AB6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</w:p>
          <w:p w14:paraId="06B36D6A" w14:textId="4FC2CED7" w:rsidR="00CC3BC8" w:rsidRPr="00133AB6" w:rsidRDefault="00E03FE5" w:rsidP="009A4AFA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133AB6">
              <w:rPr>
                <w:noProof/>
                <w:color w:val="000000"/>
                <w:sz w:val="20"/>
                <w:lang w:val="en-US" w:eastAsia="en-IE"/>
              </w:rPr>
              <w:t>Pasirinktų projektų prognozė ir pasiektos vertės</w:t>
            </w:r>
            <w:r w:rsidR="0058442A">
              <w:rPr>
                <w:noProof/>
                <w:color w:val="000000"/>
                <w:sz w:val="20"/>
                <w:lang w:val="en-US" w:eastAsia="en-IE"/>
              </w:rPr>
              <w:t>, apskaičiuotos tam tikrai datai</w:t>
            </w:r>
          </w:p>
        </w:tc>
      </w:tr>
      <w:tr w:rsidR="00061A9F" w:rsidRPr="00133AB6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061A9F" w:rsidRPr="00133AB6" w:rsidRDefault="00061A9F" w:rsidP="00061A9F">
            <w:pPr>
              <w:widowControl w:val="0"/>
              <w:rPr>
                <w:sz w:val="20"/>
              </w:rPr>
            </w:pPr>
            <w:r w:rsidRPr="00133AB6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1F886582" w:rsidR="00061A9F" w:rsidRPr="00133AB6" w:rsidRDefault="00061A9F" w:rsidP="00061A9F">
            <w:pPr>
              <w:widowControl w:val="0"/>
              <w:jc w:val="both"/>
              <w:rPr>
                <w:sz w:val="20"/>
              </w:rPr>
            </w:pPr>
            <w:r w:rsidRPr="00133AB6">
              <w:rPr>
                <w:sz w:val="20"/>
              </w:rPr>
              <w:t>Pirminis duomenų šaltinis</w:t>
            </w:r>
          </w:p>
          <w:p w14:paraId="5E58CABE" w14:textId="61F49ECC" w:rsidR="00061A9F" w:rsidRPr="00133AB6" w:rsidRDefault="00061A9F" w:rsidP="00061A9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13B1F8" w14:textId="77777777" w:rsidR="00061A9F" w:rsidRPr="00133AB6" w:rsidRDefault="004D15EC" w:rsidP="00061A9F">
            <w:pPr>
              <w:jc w:val="both"/>
              <w:rPr>
                <w:rStyle w:val="Grietas"/>
                <w:b w:val="0"/>
                <w:spacing w:val="2"/>
                <w:sz w:val="20"/>
                <w:shd w:val="clear" w:color="auto" w:fill="FFFFFF"/>
              </w:rPr>
            </w:pPr>
            <w:r w:rsidRPr="00133AB6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Duomenų rinkimo informacinė sistema  „INVESTIS“</w:t>
            </w:r>
            <w:r w:rsidR="00E03FE5" w:rsidRPr="00133AB6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.</w:t>
            </w:r>
          </w:p>
          <w:p w14:paraId="323BB06D" w14:textId="1676F8D3" w:rsidR="00E03FE5" w:rsidRPr="00133AB6" w:rsidRDefault="00E03FE5" w:rsidP="00061A9F">
            <w:pPr>
              <w:jc w:val="both"/>
              <w:rPr>
                <w:color w:val="808080"/>
                <w:sz w:val="20"/>
              </w:rPr>
            </w:pPr>
            <w:r w:rsidRPr="00133AB6">
              <w:rPr>
                <w:sz w:val="20"/>
              </w:rPr>
              <w:t>Projekto vykdytojas yra atsakingas už duomenų ir informacijos apie rodiklio pasiekimą</w:t>
            </w:r>
            <w:r w:rsidR="007E6792" w:rsidRPr="00133AB6">
              <w:rPr>
                <w:sz w:val="20"/>
              </w:rPr>
              <w:t>, surinkimą</w:t>
            </w:r>
            <w:r w:rsidRPr="00133AB6">
              <w:rPr>
                <w:sz w:val="20"/>
              </w:rPr>
              <w:t xml:space="preserve"> ir pateikimą</w:t>
            </w:r>
          </w:p>
        </w:tc>
      </w:tr>
      <w:tr w:rsidR="00061A9F" w:rsidRPr="00133AB6" w14:paraId="2C7CFB71" w14:textId="77777777" w:rsidTr="006A7790">
        <w:trPr>
          <w:trHeight w:val="24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061A9F" w:rsidRPr="00133AB6" w:rsidRDefault="00061A9F" w:rsidP="00061A9F">
            <w:pPr>
              <w:widowControl w:val="0"/>
              <w:rPr>
                <w:sz w:val="20"/>
              </w:rPr>
            </w:pPr>
            <w:r w:rsidRPr="00133AB6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0F3D4C92" w:rsidR="00061A9F" w:rsidRPr="00133AB6" w:rsidRDefault="00061A9F" w:rsidP="00061A9F">
            <w:pPr>
              <w:widowControl w:val="0"/>
              <w:jc w:val="both"/>
              <w:rPr>
                <w:sz w:val="20"/>
              </w:rPr>
            </w:pPr>
            <w:r w:rsidRPr="00133AB6">
              <w:rPr>
                <w:sz w:val="20"/>
              </w:rPr>
              <w:t xml:space="preserve">Už rodiklį atsakingas kontaktinis asmuo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6BF2C1" w14:textId="0484CBEE" w:rsidR="00EE72BA" w:rsidRPr="00133AB6" w:rsidRDefault="00EE72BA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133AB6">
              <w:rPr>
                <w:sz w:val="20"/>
                <w:lang w:eastAsia="lt-LT"/>
              </w:rPr>
              <w:t>Už rodiklio stebėseną (duomenų surinkimą ir paviešinimą)</w:t>
            </w:r>
            <w:r w:rsidR="007E6792" w:rsidRPr="00133AB6">
              <w:rPr>
                <w:sz w:val="20"/>
                <w:lang w:eastAsia="lt-LT"/>
              </w:rPr>
              <w:t>:</w:t>
            </w:r>
            <w:r w:rsidRPr="00133AB6">
              <w:rPr>
                <w:sz w:val="20"/>
                <w:lang w:eastAsia="lt-LT"/>
              </w:rPr>
              <w:t xml:space="preserve">  </w:t>
            </w:r>
          </w:p>
          <w:p w14:paraId="54F4C438" w14:textId="305EBC56" w:rsidR="00061A9F" w:rsidRPr="00133AB6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133AB6">
              <w:rPr>
                <w:sz w:val="20"/>
                <w:lang w:eastAsia="lt-LT"/>
              </w:rPr>
              <w:t>Povilas Kriaučeliūnas</w:t>
            </w:r>
          </w:p>
          <w:p w14:paraId="4D186F8F" w14:textId="77777777" w:rsidR="00061A9F" w:rsidRPr="00133AB6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133AB6">
              <w:rPr>
                <w:sz w:val="20"/>
                <w:lang w:eastAsia="lt-LT"/>
              </w:rPr>
              <w:t>Ekonomikos ir inovacijų ministerijos</w:t>
            </w:r>
          </w:p>
          <w:p w14:paraId="3D7CAB46" w14:textId="77777777" w:rsidR="00061A9F" w:rsidRPr="00133AB6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133AB6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72C36C9A" w14:textId="77777777" w:rsidR="00061A9F" w:rsidRPr="00133AB6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133AB6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4E2A376C" w14:textId="77777777" w:rsidR="00061A9F" w:rsidRPr="00133AB6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133AB6">
              <w:rPr>
                <w:sz w:val="20"/>
                <w:lang w:eastAsia="lt-LT"/>
              </w:rPr>
              <w:t>Tel.  8 698 42185</w:t>
            </w:r>
          </w:p>
          <w:p w14:paraId="18310AEE" w14:textId="449CFE3B" w:rsidR="00061A9F" w:rsidRPr="00133AB6" w:rsidRDefault="00061A9F" w:rsidP="00061A9F">
            <w:pPr>
              <w:rPr>
                <w:sz w:val="20"/>
              </w:rPr>
            </w:pPr>
            <w:r w:rsidRPr="00133AB6">
              <w:rPr>
                <w:sz w:val="20"/>
                <w:lang w:eastAsia="lt-LT"/>
              </w:rPr>
              <w:t>El. p.  Povilas.Kriauceliunas@eimin.lt</w:t>
            </w:r>
          </w:p>
        </w:tc>
      </w:tr>
      <w:tr w:rsidR="00061A9F" w:rsidRPr="00133AB6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061A9F" w:rsidRPr="00133AB6" w:rsidRDefault="00061A9F" w:rsidP="00061A9F">
            <w:pPr>
              <w:widowControl w:val="0"/>
              <w:rPr>
                <w:sz w:val="20"/>
              </w:rPr>
            </w:pPr>
            <w:r w:rsidRPr="00133AB6">
              <w:rPr>
                <w:sz w:val="20"/>
              </w:rPr>
              <w:t>1</w:t>
            </w:r>
            <w:r w:rsidRPr="00133AB6">
              <w:rPr>
                <w:sz w:val="20"/>
                <w:lang w:val="en-GB"/>
              </w:rPr>
              <w:t>5</w:t>
            </w:r>
            <w:r w:rsidRPr="00133AB6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05D95EA3" w:rsidR="00061A9F" w:rsidRPr="00133AB6" w:rsidRDefault="00061A9F" w:rsidP="00061A9F">
            <w:pPr>
              <w:widowControl w:val="0"/>
              <w:jc w:val="both"/>
              <w:rPr>
                <w:sz w:val="20"/>
              </w:rPr>
            </w:pPr>
            <w:r w:rsidRPr="00133AB6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BC9117" w14:textId="77777777" w:rsidR="00A95C37" w:rsidRPr="0047353E" w:rsidRDefault="00E03FE5" w:rsidP="00061A9F">
            <w:pPr>
              <w:widowControl w:val="0"/>
              <w:jc w:val="both"/>
              <w:rPr>
                <w:sz w:val="20"/>
              </w:rPr>
            </w:pPr>
            <w:r w:rsidRPr="0047353E">
              <w:rPr>
                <w:sz w:val="20"/>
              </w:rPr>
              <w:t>2021</w:t>
            </w:r>
            <w:r w:rsidR="00A95C37" w:rsidRPr="0047353E">
              <w:rPr>
                <w:noProof/>
                <w:color w:val="000000"/>
                <w:sz w:val="20"/>
                <w:lang w:eastAsia="en-IE"/>
              </w:rPr>
              <w:t>–</w:t>
            </w:r>
            <w:r w:rsidRPr="0047353E">
              <w:rPr>
                <w:sz w:val="20"/>
              </w:rPr>
              <w:t>2027 IP</w:t>
            </w:r>
            <w:r w:rsidR="00EE72BA" w:rsidRPr="0047353E">
              <w:rPr>
                <w:sz w:val="20"/>
              </w:rPr>
              <w:t xml:space="preserve"> bendrasis</w:t>
            </w:r>
            <w:r w:rsidRPr="0047353E">
              <w:rPr>
                <w:sz w:val="20"/>
              </w:rPr>
              <w:t xml:space="preserve"> produkto rodiklis RCO101</w:t>
            </w:r>
            <w:r w:rsidR="00A95C37" w:rsidRPr="0047353E">
              <w:rPr>
                <w:sz w:val="20"/>
              </w:rPr>
              <w:t>.</w:t>
            </w:r>
          </w:p>
          <w:p w14:paraId="497EEF1F" w14:textId="0C1D5518" w:rsidR="00061A9F" w:rsidRPr="00133AB6" w:rsidRDefault="00A95C37" w:rsidP="00061A9F">
            <w:pPr>
              <w:widowControl w:val="0"/>
              <w:jc w:val="both"/>
              <w:rPr>
                <w:b/>
                <w:bCs/>
                <w:noProof/>
                <w:color w:val="000000"/>
                <w:sz w:val="20"/>
                <w:lang w:eastAsia="en-IE"/>
              </w:rPr>
            </w:pPr>
            <w:r w:rsidRPr="0047353E">
              <w:rPr>
                <w:sz w:val="20"/>
              </w:rPr>
              <w:lastRenderedPageBreak/>
              <w:t>Rodiklio kodas</w:t>
            </w:r>
            <w:r w:rsidR="00EE151A" w:rsidRPr="0047353E">
              <w:rPr>
                <w:sz w:val="20"/>
              </w:rPr>
              <w:t xml:space="preserve"> </w:t>
            </w:r>
            <w:r w:rsidR="00EE151A" w:rsidRPr="0047353E">
              <w:rPr>
                <w:color w:val="000000"/>
                <w:sz w:val="20"/>
              </w:rPr>
              <w:t>P.B.2</w:t>
            </w:r>
            <w:r w:rsidR="00F20024" w:rsidRPr="0047353E">
              <w:rPr>
                <w:color w:val="000000"/>
                <w:sz w:val="20"/>
              </w:rPr>
              <w:t>.</w:t>
            </w:r>
            <w:r w:rsidR="00F20024" w:rsidRPr="00133AB6">
              <w:rPr>
                <w:color w:val="000000"/>
                <w:sz w:val="20"/>
              </w:rPr>
              <w:t>0</w:t>
            </w:r>
            <w:r w:rsidR="00EE151A" w:rsidRPr="00133AB6">
              <w:rPr>
                <w:color w:val="000000"/>
                <w:sz w:val="20"/>
              </w:rPr>
              <w:t>101</w:t>
            </w:r>
          </w:p>
        </w:tc>
      </w:tr>
    </w:tbl>
    <w:p w14:paraId="246F651E" w14:textId="77777777" w:rsidR="003B74D6" w:rsidRPr="00F647DC" w:rsidRDefault="003B74D6">
      <w:pPr>
        <w:rPr>
          <w:lang w:val="en-US"/>
        </w:rPr>
      </w:pPr>
    </w:p>
    <w:sectPr w:rsidR="003B74D6" w:rsidRPr="00F647DC" w:rsidSect="007E6792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EAAC0" w14:textId="77777777" w:rsidR="0013177D" w:rsidRDefault="0013177D" w:rsidP="007E6792">
      <w:r>
        <w:separator/>
      </w:r>
    </w:p>
  </w:endnote>
  <w:endnote w:type="continuationSeparator" w:id="0">
    <w:p w14:paraId="68C5DF2C" w14:textId="77777777" w:rsidR="0013177D" w:rsidRDefault="0013177D" w:rsidP="007E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325A3" w14:textId="77777777" w:rsidR="0013177D" w:rsidRDefault="0013177D" w:rsidP="007E6792">
      <w:r>
        <w:separator/>
      </w:r>
    </w:p>
  </w:footnote>
  <w:footnote w:type="continuationSeparator" w:id="0">
    <w:p w14:paraId="693B6893" w14:textId="77777777" w:rsidR="0013177D" w:rsidRDefault="0013177D" w:rsidP="007E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213766"/>
      <w:docPartObj>
        <w:docPartGallery w:val="Page Numbers (Top of Page)"/>
        <w:docPartUnique/>
      </w:docPartObj>
    </w:sdtPr>
    <w:sdtContent>
      <w:p w14:paraId="0C3A89AB" w14:textId="24D74FA4" w:rsidR="007E6792" w:rsidRDefault="007E679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BA3A98" w14:textId="77777777" w:rsidR="007E6792" w:rsidRDefault="007E67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115C2"/>
    <w:rsid w:val="00030F4F"/>
    <w:rsid w:val="00034A59"/>
    <w:rsid w:val="00034F4A"/>
    <w:rsid w:val="00040A7A"/>
    <w:rsid w:val="000473EC"/>
    <w:rsid w:val="000534CD"/>
    <w:rsid w:val="000539C4"/>
    <w:rsid w:val="00061A9F"/>
    <w:rsid w:val="000643F9"/>
    <w:rsid w:val="000702C5"/>
    <w:rsid w:val="0007173A"/>
    <w:rsid w:val="00082408"/>
    <w:rsid w:val="00087BFF"/>
    <w:rsid w:val="000937E2"/>
    <w:rsid w:val="000A6D63"/>
    <w:rsid w:val="000B0C1C"/>
    <w:rsid w:val="000B2552"/>
    <w:rsid w:val="000B6451"/>
    <w:rsid w:val="000C2391"/>
    <w:rsid w:val="000D5B7F"/>
    <w:rsid w:val="000E01EC"/>
    <w:rsid w:val="000E3FCE"/>
    <w:rsid w:val="000F27A3"/>
    <w:rsid w:val="00106E82"/>
    <w:rsid w:val="00120A91"/>
    <w:rsid w:val="0013177D"/>
    <w:rsid w:val="00133AB6"/>
    <w:rsid w:val="00141756"/>
    <w:rsid w:val="0014463E"/>
    <w:rsid w:val="00151192"/>
    <w:rsid w:val="0016047C"/>
    <w:rsid w:val="00161CE6"/>
    <w:rsid w:val="00180B65"/>
    <w:rsid w:val="00187C46"/>
    <w:rsid w:val="00191624"/>
    <w:rsid w:val="00192820"/>
    <w:rsid w:val="001B45DE"/>
    <w:rsid w:val="001C06D4"/>
    <w:rsid w:val="001C1FEA"/>
    <w:rsid w:val="001C36AC"/>
    <w:rsid w:val="001C5DDC"/>
    <w:rsid w:val="001D64BC"/>
    <w:rsid w:val="001D6F4F"/>
    <w:rsid w:val="001E1FC6"/>
    <w:rsid w:val="001F6146"/>
    <w:rsid w:val="0020649A"/>
    <w:rsid w:val="00221ABC"/>
    <w:rsid w:val="00240505"/>
    <w:rsid w:val="00251298"/>
    <w:rsid w:val="0025355D"/>
    <w:rsid w:val="00263A7E"/>
    <w:rsid w:val="00272A9F"/>
    <w:rsid w:val="00276EA5"/>
    <w:rsid w:val="00285249"/>
    <w:rsid w:val="002A1D4B"/>
    <w:rsid w:val="002A649D"/>
    <w:rsid w:val="002D2E16"/>
    <w:rsid w:val="002E14A5"/>
    <w:rsid w:val="002E1735"/>
    <w:rsid w:val="002E32DB"/>
    <w:rsid w:val="002F2295"/>
    <w:rsid w:val="00300A0B"/>
    <w:rsid w:val="00302168"/>
    <w:rsid w:val="00304CF4"/>
    <w:rsid w:val="003055B2"/>
    <w:rsid w:val="00307C86"/>
    <w:rsid w:val="003123BB"/>
    <w:rsid w:val="003149A2"/>
    <w:rsid w:val="00317374"/>
    <w:rsid w:val="00325C40"/>
    <w:rsid w:val="00327BB3"/>
    <w:rsid w:val="003A0A53"/>
    <w:rsid w:val="003A3753"/>
    <w:rsid w:val="003A39B3"/>
    <w:rsid w:val="003B74D6"/>
    <w:rsid w:val="003D05F6"/>
    <w:rsid w:val="003E05F0"/>
    <w:rsid w:val="003F674B"/>
    <w:rsid w:val="004037E8"/>
    <w:rsid w:val="004110DF"/>
    <w:rsid w:val="00433849"/>
    <w:rsid w:val="00434568"/>
    <w:rsid w:val="004379D2"/>
    <w:rsid w:val="00443064"/>
    <w:rsid w:val="00461A4D"/>
    <w:rsid w:val="0046350F"/>
    <w:rsid w:val="004716DC"/>
    <w:rsid w:val="0047353E"/>
    <w:rsid w:val="00477217"/>
    <w:rsid w:val="00480DA1"/>
    <w:rsid w:val="00483E1C"/>
    <w:rsid w:val="0048754C"/>
    <w:rsid w:val="004D15EC"/>
    <w:rsid w:val="004D21A7"/>
    <w:rsid w:val="004D6BFF"/>
    <w:rsid w:val="004E03DE"/>
    <w:rsid w:val="004F02AC"/>
    <w:rsid w:val="004F399C"/>
    <w:rsid w:val="004F6848"/>
    <w:rsid w:val="00501BA5"/>
    <w:rsid w:val="005048A1"/>
    <w:rsid w:val="005125B8"/>
    <w:rsid w:val="00513EFB"/>
    <w:rsid w:val="005204F2"/>
    <w:rsid w:val="00521910"/>
    <w:rsid w:val="00524F42"/>
    <w:rsid w:val="00553D21"/>
    <w:rsid w:val="00557FED"/>
    <w:rsid w:val="00572C10"/>
    <w:rsid w:val="005744F7"/>
    <w:rsid w:val="00577519"/>
    <w:rsid w:val="00581D38"/>
    <w:rsid w:val="0058442A"/>
    <w:rsid w:val="00593AE9"/>
    <w:rsid w:val="005A350A"/>
    <w:rsid w:val="005A6F90"/>
    <w:rsid w:val="005B3664"/>
    <w:rsid w:val="005B4AC1"/>
    <w:rsid w:val="005C2213"/>
    <w:rsid w:val="005D199B"/>
    <w:rsid w:val="005E01C3"/>
    <w:rsid w:val="005E7A8A"/>
    <w:rsid w:val="00611CB8"/>
    <w:rsid w:val="00653705"/>
    <w:rsid w:val="00654DDA"/>
    <w:rsid w:val="0065521B"/>
    <w:rsid w:val="00665F0E"/>
    <w:rsid w:val="00687A00"/>
    <w:rsid w:val="00690899"/>
    <w:rsid w:val="006A7790"/>
    <w:rsid w:val="006B527A"/>
    <w:rsid w:val="006B7327"/>
    <w:rsid w:val="006C31D6"/>
    <w:rsid w:val="006C34D8"/>
    <w:rsid w:val="006D37CD"/>
    <w:rsid w:val="006E7D3F"/>
    <w:rsid w:val="006F0DB1"/>
    <w:rsid w:val="007177E5"/>
    <w:rsid w:val="007447A0"/>
    <w:rsid w:val="0076369B"/>
    <w:rsid w:val="00782717"/>
    <w:rsid w:val="007852FF"/>
    <w:rsid w:val="00792F34"/>
    <w:rsid w:val="00795239"/>
    <w:rsid w:val="00797A63"/>
    <w:rsid w:val="007A2E57"/>
    <w:rsid w:val="007A6D43"/>
    <w:rsid w:val="007B5504"/>
    <w:rsid w:val="007C0DFE"/>
    <w:rsid w:val="007C1AD0"/>
    <w:rsid w:val="007C72D7"/>
    <w:rsid w:val="007D1091"/>
    <w:rsid w:val="007D3FCB"/>
    <w:rsid w:val="007E0821"/>
    <w:rsid w:val="007E6792"/>
    <w:rsid w:val="007F3457"/>
    <w:rsid w:val="007F7BFA"/>
    <w:rsid w:val="007F7D67"/>
    <w:rsid w:val="007F7FA0"/>
    <w:rsid w:val="00807523"/>
    <w:rsid w:val="00823721"/>
    <w:rsid w:val="00824F88"/>
    <w:rsid w:val="00846F20"/>
    <w:rsid w:val="0086618F"/>
    <w:rsid w:val="00870BE3"/>
    <w:rsid w:val="00881058"/>
    <w:rsid w:val="008B753D"/>
    <w:rsid w:val="008C5763"/>
    <w:rsid w:val="008C60E8"/>
    <w:rsid w:val="008D4675"/>
    <w:rsid w:val="008D5D07"/>
    <w:rsid w:val="008E49E1"/>
    <w:rsid w:val="008E645B"/>
    <w:rsid w:val="00904B38"/>
    <w:rsid w:val="00914043"/>
    <w:rsid w:val="00921B62"/>
    <w:rsid w:val="00921C35"/>
    <w:rsid w:val="00922784"/>
    <w:rsid w:val="009228B0"/>
    <w:rsid w:val="00925A77"/>
    <w:rsid w:val="009325FA"/>
    <w:rsid w:val="0094018C"/>
    <w:rsid w:val="00946073"/>
    <w:rsid w:val="009569DE"/>
    <w:rsid w:val="0096053A"/>
    <w:rsid w:val="009839A1"/>
    <w:rsid w:val="009923AF"/>
    <w:rsid w:val="009A278B"/>
    <w:rsid w:val="009A4AFA"/>
    <w:rsid w:val="009B1923"/>
    <w:rsid w:val="009B4132"/>
    <w:rsid w:val="009B4BA9"/>
    <w:rsid w:val="009D3685"/>
    <w:rsid w:val="009E2581"/>
    <w:rsid w:val="009E3198"/>
    <w:rsid w:val="00A0661A"/>
    <w:rsid w:val="00A11079"/>
    <w:rsid w:val="00A24AFD"/>
    <w:rsid w:val="00A26BD4"/>
    <w:rsid w:val="00A329FE"/>
    <w:rsid w:val="00A357A3"/>
    <w:rsid w:val="00A35B9A"/>
    <w:rsid w:val="00A549F9"/>
    <w:rsid w:val="00A67E85"/>
    <w:rsid w:val="00A913C3"/>
    <w:rsid w:val="00A95C37"/>
    <w:rsid w:val="00A96976"/>
    <w:rsid w:val="00AA7814"/>
    <w:rsid w:val="00AC0151"/>
    <w:rsid w:val="00AC12CD"/>
    <w:rsid w:val="00AC2E4A"/>
    <w:rsid w:val="00AC5648"/>
    <w:rsid w:val="00AD337B"/>
    <w:rsid w:val="00AE7FD1"/>
    <w:rsid w:val="00AF1D80"/>
    <w:rsid w:val="00B029E4"/>
    <w:rsid w:val="00B13345"/>
    <w:rsid w:val="00B23B74"/>
    <w:rsid w:val="00B26962"/>
    <w:rsid w:val="00B46016"/>
    <w:rsid w:val="00B4798B"/>
    <w:rsid w:val="00B6093A"/>
    <w:rsid w:val="00B65316"/>
    <w:rsid w:val="00B75F10"/>
    <w:rsid w:val="00B8151D"/>
    <w:rsid w:val="00BB028F"/>
    <w:rsid w:val="00BC515B"/>
    <w:rsid w:val="00BD3D60"/>
    <w:rsid w:val="00BE0239"/>
    <w:rsid w:val="00BE0858"/>
    <w:rsid w:val="00BF524D"/>
    <w:rsid w:val="00BF696D"/>
    <w:rsid w:val="00C07704"/>
    <w:rsid w:val="00C36A27"/>
    <w:rsid w:val="00C3705D"/>
    <w:rsid w:val="00C4291B"/>
    <w:rsid w:val="00C6320A"/>
    <w:rsid w:val="00C647CB"/>
    <w:rsid w:val="00C671E7"/>
    <w:rsid w:val="00C87179"/>
    <w:rsid w:val="00C909B6"/>
    <w:rsid w:val="00C946E4"/>
    <w:rsid w:val="00C970EA"/>
    <w:rsid w:val="00CB3B5F"/>
    <w:rsid w:val="00CB40BF"/>
    <w:rsid w:val="00CC3BC8"/>
    <w:rsid w:val="00CD54A6"/>
    <w:rsid w:val="00CD6ADE"/>
    <w:rsid w:val="00CE3D83"/>
    <w:rsid w:val="00CF2588"/>
    <w:rsid w:val="00D04666"/>
    <w:rsid w:val="00D16045"/>
    <w:rsid w:val="00D4565B"/>
    <w:rsid w:val="00D45DFA"/>
    <w:rsid w:val="00D52006"/>
    <w:rsid w:val="00D60150"/>
    <w:rsid w:val="00D61EB0"/>
    <w:rsid w:val="00D64E7C"/>
    <w:rsid w:val="00D70C8D"/>
    <w:rsid w:val="00D71ADD"/>
    <w:rsid w:val="00D7416A"/>
    <w:rsid w:val="00D85632"/>
    <w:rsid w:val="00DB7A69"/>
    <w:rsid w:val="00DC62C0"/>
    <w:rsid w:val="00DC7A01"/>
    <w:rsid w:val="00DD58B8"/>
    <w:rsid w:val="00DE3940"/>
    <w:rsid w:val="00DE5A6A"/>
    <w:rsid w:val="00DE6037"/>
    <w:rsid w:val="00DE64EA"/>
    <w:rsid w:val="00E03FE5"/>
    <w:rsid w:val="00E0465A"/>
    <w:rsid w:val="00E0570B"/>
    <w:rsid w:val="00E10F0A"/>
    <w:rsid w:val="00E42D61"/>
    <w:rsid w:val="00E437A4"/>
    <w:rsid w:val="00E51664"/>
    <w:rsid w:val="00E6300D"/>
    <w:rsid w:val="00E822CF"/>
    <w:rsid w:val="00E82509"/>
    <w:rsid w:val="00E90156"/>
    <w:rsid w:val="00E94114"/>
    <w:rsid w:val="00E9443D"/>
    <w:rsid w:val="00E96A77"/>
    <w:rsid w:val="00E97A43"/>
    <w:rsid w:val="00EC451C"/>
    <w:rsid w:val="00EC4772"/>
    <w:rsid w:val="00ED0823"/>
    <w:rsid w:val="00EE151A"/>
    <w:rsid w:val="00EE72BA"/>
    <w:rsid w:val="00EF33D9"/>
    <w:rsid w:val="00EF3972"/>
    <w:rsid w:val="00EF53A0"/>
    <w:rsid w:val="00F02F8C"/>
    <w:rsid w:val="00F1182E"/>
    <w:rsid w:val="00F12F31"/>
    <w:rsid w:val="00F144D3"/>
    <w:rsid w:val="00F1555F"/>
    <w:rsid w:val="00F20024"/>
    <w:rsid w:val="00F2481F"/>
    <w:rsid w:val="00F37F81"/>
    <w:rsid w:val="00F465A0"/>
    <w:rsid w:val="00F5170E"/>
    <w:rsid w:val="00F54965"/>
    <w:rsid w:val="00F647DC"/>
    <w:rsid w:val="00F72704"/>
    <w:rsid w:val="00F87C86"/>
    <w:rsid w:val="00F94CD3"/>
    <w:rsid w:val="00F97E03"/>
    <w:rsid w:val="00FA30C7"/>
    <w:rsid w:val="00FA7D2C"/>
    <w:rsid w:val="00FB2200"/>
    <w:rsid w:val="00FD4A34"/>
    <w:rsid w:val="00FE229A"/>
    <w:rsid w:val="00FF3B12"/>
    <w:rsid w:val="00FF424A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E679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79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E679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792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E67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hesiondata.ec.europa.eu/2021-2027-Indicators/2021-2027-ERDF-CF-JTF-Common-Indicators/4t73-mihb/d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Vaida Lapinskienė</cp:lastModifiedBy>
  <cp:revision>2</cp:revision>
  <dcterms:created xsi:type="dcterms:W3CDTF">2023-05-19T05:26:00Z</dcterms:created>
  <dcterms:modified xsi:type="dcterms:W3CDTF">2023-05-19T05:26:00Z</dcterms:modified>
</cp:coreProperties>
</file>