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5AEA4BD7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81404A">
        <w:rPr>
          <w:szCs w:val="24"/>
        </w:rPr>
        <w:t xml:space="preserve">gruodžio </w:t>
      </w:r>
      <w:r w:rsidR="00E36F27">
        <w:rPr>
          <w:szCs w:val="24"/>
          <w:lang w:val="en-US"/>
        </w:rPr>
        <w:t>22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02260FDF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6F5662">
              <w:rPr>
                <w:i/>
                <w:szCs w:val="24"/>
              </w:rPr>
              <w:t>1,48</w:t>
            </w:r>
            <w:r w:rsidR="00507513">
              <w:rPr>
                <w:i/>
                <w:szCs w:val="24"/>
              </w:rPr>
              <w:t xml:space="preserve"> mln.</w:t>
            </w:r>
            <w:r w:rsidR="0073129C" w:rsidRPr="0073129C">
              <w:rPr>
                <w:i/>
                <w:szCs w:val="24"/>
              </w:rPr>
              <w:t xml:space="preserve">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6F5662">
              <w:rPr>
                <w:bCs/>
                <w:lang w:eastAsia="lt-LT"/>
              </w:rPr>
            </w:r>
            <w:r w:rsidR="006F5662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6F5662">
              <w:rPr>
                <w:bCs/>
                <w:lang w:eastAsia="lt-LT"/>
              </w:rPr>
            </w:r>
            <w:r w:rsidR="006F5662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6F5662">
              <w:rPr>
                <w:bCs/>
                <w:color w:val="2B579A"/>
                <w:shd w:val="clear" w:color="auto" w:fill="E6E6E6"/>
                <w:lang w:eastAsia="lt-LT"/>
              </w:rPr>
            </w:r>
            <w:r w:rsidR="006F5662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1CF3A529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 w:rsidR="00D0545B">
              <w:rPr>
                <w:lang w:eastAsia="lt-LT"/>
              </w:rPr>
              <w:t>tekstyno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6F5662">
              <w:rPr>
                <w:b/>
                <w:bCs/>
                <w:szCs w:val="24"/>
                <w:lang w:eastAsia="lt-LT"/>
              </w:rPr>
            </w:r>
            <w:r w:rsidR="006F5662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6F5662">
              <w:rPr>
                <w:bCs/>
                <w:i/>
                <w:iCs/>
                <w:lang w:eastAsia="lt-LT"/>
              </w:rPr>
            </w:r>
            <w:r w:rsidR="006F5662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27746E98" w:rsidR="006E76B3" w:rsidRPr="00856870" w:rsidRDefault="00E36F27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2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AF3D70">
              <w:rPr>
                <w:b/>
                <w:i/>
                <w:iCs/>
                <w:lang w:eastAsia="lt-LT"/>
              </w:rPr>
              <w:t>garsyno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42E7B442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D66CA3">
              <w:rPr>
                <w:rStyle w:val="contentpasted0"/>
                <w:color w:val="000000"/>
                <w:szCs w:val="24"/>
              </w:rPr>
              <w:t>tekstynus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 xml:space="preserve">s turi kompetencijų sėkmingai įgyvendinti garsyno projektą (-us) ir prisidės prie į </w:t>
            </w:r>
            <w:hyperlink r:id="rId13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 xml:space="preserve">2021–2030 metų Lietuvos Respublikos </w:t>
              </w:r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lastRenderedPageBreak/>
                <w:t>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4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1305"/>
    <w:rsid w:val="000D31F0"/>
    <w:rsid w:val="000D3646"/>
    <w:rsid w:val="000E2D13"/>
    <w:rsid w:val="000E5934"/>
    <w:rsid w:val="000F5604"/>
    <w:rsid w:val="000F6E10"/>
    <w:rsid w:val="001025EC"/>
    <w:rsid w:val="001039E5"/>
    <w:rsid w:val="00103CD0"/>
    <w:rsid w:val="00106541"/>
    <w:rsid w:val="001073C1"/>
    <w:rsid w:val="00114169"/>
    <w:rsid w:val="00123B11"/>
    <w:rsid w:val="00152E1C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A05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0977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A61F5"/>
    <w:rsid w:val="004C6907"/>
    <w:rsid w:val="004C6A12"/>
    <w:rsid w:val="004C7A23"/>
    <w:rsid w:val="004D0FDB"/>
    <w:rsid w:val="004D70FD"/>
    <w:rsid w:val="004D7D17"/>
    <w:rsid w:val="004E43CC"/>
    <w:rsid w:val="00504F70"/>
    <w:rsid w:val="00507513"/>
    <w:rsid w:val="00526372"/>
    <w:rsid w:val="00531F66"/>
    <w:rsid w:val="00542121"/>
    <w:rsid w:val="00547595"/>
    <w:rsid w:val="005749E0"/>
    <w:rsid w:val="00574FEA"/>
    <w:rsid w:val="005765F9"/>
    <w:rsid w:val="00577BD2"/>
    <w:rsid w:val="00593D88"/>
    <w:rsid w:val="005A513C"/>
    <w:rsid w:val="005B1F0A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62"/>
    <w:rsid w:val="006F56BD"/>
    <w:rsid w:val="00700C75"/>
    <w:rsid w:val="00702B92"/>
    <w:rsid w:val="007130BB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02C90"/>
    <w:rsid w:val="00810ADF"/>
    <w:rsid w:val="00812086"/>
    <w:rsid w:val="0081404A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D6358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E4B1C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27E86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86914"/>
    <w:rsid w:val="00A96117"/>
    <w:rsid w:val="00A96D68"/>
    <w:rsid w:val="00AA415E"/>
    <w:rsid w:val="00AA60C3"/>
    <w:rsid w:val="00AB1CCB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AF3D70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487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008F"/>
    <w:rsid w:val="00C923F2"/>
    <w:rsid w:val="00C93C58"/>
    <w:rsid w:val="00C9485A"/>
    <w:rsid w:val="00C952FC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0545B"/>
    <w:rsid w:val="00D111D3"/>
    <w:rsid w:val="00D147DD"/>
    <w:rsid w:val="00D26C5D"/>
    <w:rsid w:val="00D41947"/>
    <w:rsid w:val="00D5423D"/>
    <w:rsid w:val="00D549B1"/>
    <w:rsid w:val="00D62F0B"/>
    <w:rsid w:val="00D66CA3"/>
    <w:rsid w:val="00D700C6"/>
    <w:rsid w:val="00D76C5B"/>
    <w:rsid w:val="00D91EEE"/>
    <w:rsid w:val="00D923F9"/>
    <w:rsid w:val="00DA34E1"/>
    <w:rsid w:val="00DA4E20"/>
    <w:rsid w:val="00DB5DD9"/>
    <w:rsid w:val="00DD10A5"/>
    <w:rsid w:val="00DD6AE8"/>
    <w:rsid w:val="00DD7AB5"/>
    <w:rsid w:val="00DE5B25"/>
    <w:rsid w:val="00DF365D"/>
    <w:rsid w:val="00DF7456"/>
    <w:rsid w:val="00E044E4"/>
    <w:rsid w:val="00E14872"/>
    <w:rsid w:val="00E16DDF"/>
    <w:rsid w:val="00E17ECA"/>
    <w:rsid w:val="00E20AB9"/>
    <w:rsid w:val="00E2131F"/>
    <w:rsid w:val="00E36F27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06F7"/>
    <w:rsid w:val="00F31949"/>
    <w:rsid w:val="00F46CF9"/>
    <w:rsid w:val="00F573CC"/>
    <w:rsid w:val="00F6015C"/>
    <w:rsid w:val="00F62C10"/>
    <w:rsid w:val="00F64A10"/>
    <w:rsid w:val="00F65DF0"/>
    <w:rsid w:val="00F70FDF"/>
    <w:rsid w:val="00F71A0E"/>
    <w:rsid w:val="00F83BAC"/>
    <w:rsid w:val="00FA2E4A"/>
    <w:rsid w:val="00FB19C4"/>
    <w:rsid w:val="00FB221E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464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4531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53</cp:revision>
  <cp:lastPrinted>2017-02-13T08:49:00Z</cp:lastPrinted>
  <dcterms:created xsi:type="dcterms:W3CDTF">2023-11-13T13:39:00Z</dcterms:created>
  <dcterms:modified xsi:type="dcterms:W3CDTF">2023-12-22T10:10:00Z</dcterms:modified>
</cp:coreProperties>
</file>