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3A6488D8" w:rsidR="006E7474" w:rsidRDefault="007C726B" w:rsidP="007D43A9">
      <w:pPr>
        <w:ind w:left="9639"/>
        <w:rPr>
          <w:szCs w:val="24"/>
        </w:rPr>
      </w:pPr>
      <w:r>
        <w:rPr>
          <w:szCs w:val="24"/>
          <w:lang w:val="en-US"/>
        </w:rPr>
        <w:t>1</w:t>
      </w:r>
      <w:r w:rsidR="001130FA">
        <w:rPr>
          <w:szCs w:val="24"/>
          <w:lang w:val="en-US"/>
        </w:rPr>
        <w:t>3</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671BC03E"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1130FA">
        <w:rPr>
          <w:b/>
          <w:bCs/>
          <w:szCs w:val="24"/>
        </w:rPr>
        <w:t>10</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000000">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(lrv.lt)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3DD5240A" w:rsidR="00D050C8" w:rsidRDefault="00AB315D" w:rsidP="00FA137F">
            <w:pPr>
              <w:widowControl w:val="0"/>
              <w:ind w:left="360" w:hanging="36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050C8" w:rsidRPr="00842891">
              <w:rPr>
                <w:color w:val="000000"/>
              </w:rPr>
              <w:t>(</w:t>
            </w:r>
            <w:r w:rsidR="00D050C8">
              <w:rPr>
                <w:color w:val="000000"/>
              </w:rPr>
              <w:t xml:space="preserve">Projektas </w:t>
            </w:r>
            <w:r w:rsidR="00B84890">
              <w:rPr>
                <w:color w:val="000000"/>
              </w:rPr>
              <w:t>–</w:t>
            </w:r>
            <w:r w:rsidR="00D050C8">
              <w:rPr>
                <w:color w:val="000000"/>
              </w:rPr>
              <w:t xml:space="preserve"> </w:t>
            </w:r>
            <w:r w:rsidR="0081231A">
              <w:t>m</w:t>
            </w:r>
            <w:r w:rsidR="0081231A">
              <w:t>edicinos vienkalbis ir lygiagretieji tekstynai</w:t>
            </w:r>
            <w:r w:rsidR="00D050C8">
              <w:rPr>
                <w:color w:val="000000"/>
              </w:rPr>
              <w:t>).</w:t>
            </w:r>
          </w:p>
          <w:p w14:paraId="00EF87C6" w14:textId="5CFAE1D2"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w:t>
            </w:r>
            <w:r w:rsidR="008B0D7E" w:rsidRPr="00A26985">
              <w:rPr>
                <w:szCs w:val="24"/>
              </w:rPr>
              <w:t>privatūs juridiniai asmenys</w:t>
            </w:r>
            <w:r w:rsidR="008B0D7E" w:rsidRPr="00AE543F">
              <w:rPr>
                <w:szCs w:val="24"/>
              </w:rPr>
              <w:t xml:space="preserve">.  </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31E8F618" w14:textId="3D8F21E6" w:rsidR="00B82021" w:rsidRPr="00842891" w:rsidRDefault="00B82021" w:rsidP="00B82021">
            <w:pPr>
              <w:widowControl w:val="0"/>
              <w:jc w:val="both"/>
            </w:pPr>
            <w:r w:rsidRPr="00842891">
              <w:t xml:space="preserve">2.4. Projekto veikloms įgyvendinti skiriama iki </w:t>
            </w:r>
            <w:r w:rsidR="003858DF">
              <w:t>240 000</w:t>
            </w:r>
            <w:r w:rsidRPr="00842891">
              <w:t xml:space="preserve"> Eur (</w:t>
            </w:r>
            <w:r w:rsidR="00730A9D">
              <w:t xml:space="preserve">du </w:t>
            </w:r>
            <w:r w:rsidRPr="00842891">
              <w:t xml:space="preserve">šimtai </w:t>
            </w:r>
            <w:r w:rsidR="00730A9D">
              <w:t>keturiasdešimt</w:t>
            </w:r>
            <w:r w:rsidRPr="00842891">
              <w:t xml:space="preserve"> tūkstanči</w:t>
            </w:r>
            <w:r>
              <w:t>ų</w:t>
            </w:r>
            <w:r w:rsidRPr="00842891">
              <w:t xml:space="preserve"> eurų) Ekonomikos gaivinimo ir atsparumo didinimo priemonės lėšų ir iki </w:t>
            </w:r>
            <w:r w:rsidR="003337C2">
              <w:rPr>
                <w:lang w:val="en-US"/>
              </w:rPr>
              <w:t>50 400</w:t>
            </w:r>
            <w:r>
              <w:t xml:space="preserve"> </w:t>
            </w:r>
            <w:r w:rsidRPr="00842891">
              <w:t>Eur (</w:t>
            </w:r>
            <w:r>
              <w:t xml:space="preserve"> </w:t>
            </w:r>
            <w:r w:rsidR="006374F0">
              <w:t>penkiasdešimt</w:t>
            </w:r>
            <w:r>
              <w:t xml:space="preserve"> tūkstančių </w:t>
            </w:r>
            <w:r w:rsidR="00D638FD">
              <w:t>keturi</w:t>
            </w:r>
            <w:r>
              <w:t xml:space="preserve"> šimtai</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55BD0486" w14:textId="77F8DA4B" w:rsidR="00A74FA7" w:rsidRPr="002423EA" w:rsidRDefault="006E6800" w:rsidP="002423EA">
            <w:pPr>
              <w:jc w:val="both"/>
            </w:pPr>
            <w:r w:rsidRPr="006E6800">
              <w:rPr>
                <w:bCs/>
                <w:szCs w:val="24"/>
              </w:rPr>
              <w:lastRenderedPageBreak/>
              <w:t>2.</w:t>
            </w:r>
            <w:r w:rsidR="00D805A4">
              <w:rPr>
                <w:bCs/>
                <w:szCs w:val="24"/>
              </w:rPr>
              <w:t>9</w:t>
            </w:r>
            <w:r w:rsidRPr="006E6800">
              <w:rPr>
                <w:bCs/>
                <w:szCs w:val="24"/>
              </w:rPr>
              <w:t>. Techniniai reikalavimai</w:t>
            </w:r>
            <w:r w:rsidR="00147849">
              <w:rPr>
                <w:bCs/>
                <w:szCs w:val="24"/>
              </w:rPr>
              <w:t xml:space="preserve"> projektui</w:t>
            </w:r>
            <w:r w:rsidR="00492269">
              <w:rPr>
                <w:bCs/>
                <w:szCs w:val="24"/>
              </w:rPr>
              <w:t xml:space="preserve">: </w:t>
            </w:r>
            <w:r w:rsidR="00492269" w:rsidRPr="0027451A">
              <w:t>nustat</w:t>
            </w:r>
            <w:r w:rsidR="002423EA">
              <w:t>omi</w:t>
            </w:r>
            <w:r w:rsidR="00492269" w:rsidRPr="0027451A">
              <w:t xml:space="preserve"> </w:t>
            </w:r>
            <w:r w:rsidR="00492269">
              <w:t>medicinos</w:t>
            </w:r>
            <w:r w:rsidR="00492269" w:rsidRPr="0027451A">
              <w:t xml:space="preserve"> </w:t>
            </w:r>
            <w:r w:rsidR="00492269">
              <w:t>lygiagrečiųjų</w:t>
            </w:r>
            <w:r w:rsidR="00492269" w:rsidRPr="0027451A">
              <w:t xml:space="preserve"> tekstų šaltiniai, identifikuoti, surinkti duomenys, jie konvertuojami ir paruošiami tinkamu formatu panaudojimui mašininio vertimo sprendimų kūrimui</w:t>
            </w:r>
            <w:r w:rsidR="002423EA">
              <w:t>:</w:t>
            </w:r>
          </w:p>
          <w:p w14:paraId="75DE660E" w14:textId="45FEDA3C" w:rsidR="00A74FA7" w:rsidRDefault="00A74FA7" w:rsidP="00A74FA7">
            <w:pPr>
              <w:tabs>
                <w:tab w:val="left" w:pos="426"/>
                <w:tab w:val="left" w:pos="709"/>
              </w:tabs>
              <w:jc w:val="both"/>
            </w:pPr>
            <w:r>
              <w:t xml:space="preserve">2.9.1. </w:t>
            </w:r>
            <w:r w:rsidR="00147849">
              <w:t>Vienkalbis anglų kalbos tekstynas –  ne mažesnis nei 10 mln. žodžių.</w:t>
            </w:r>
          </w:p>
          <w:p w14:paraId="0B6D2742" w14:textId="457685CB" w:rsidR="00A74FA7" w:rsidRDefault="00A74FA7" w:rsidP="00A74FA7">
            <w:pPr>
              <w:tabs>
                <w:tab w:val="left" w:pos="426"/>
                <w:tab w:val="left" w:pos="709"/>
              </w:tabs>
              <w:jc w:val="both"/>
            </w:pPr>
            <w:r>
              <w:t xml:space="preserve">2.9.2. </w:t>
            </w:r>
            <w:r w:rsidR="00147849">
              <w:t>Vienkalbis lietuvių kalbos tekstynas – ne mažesnis nei 10 mln. žodžių.</w:t>
            </w:r>
          </w:p>
          <w:p w14:paraId="1910EC7E" w14:textId="7B13B707" w:rsidR="00A74FA7" w:rsidRDefault="00A74FA7" w:rsidP="00A74FA7">
            <w:pPr>
              <w:tabs>
                <w:tab w:val="left" w:pos="426"/>
                <w:tab w:val="left" w:pos="709"/>
              </w:tabs>
              <w:jc w:val="both"/>
            </w:pPr>
            <w:r>
              <w:t>2.9</w:t>
            </w:r>
            <w:r w:rsidR="00783215">
              <w:t xml:space="preserve">.3. </w:t>
            </w:r>
            <w:r w:rsidR="00147849">
              <w:t>Lygiagretus anglų-lietuvių kalbų tekstynas – ne mažiau nei 100 tūkst. lygiagrečių sakinių.</w:t>
            </w:r>
          </w:p>
          <w:p w14:paraId="66F5D37B" w14:textId="270CB89F" w:rsidR="00A74FA7" w:rsidRDefault="00783215" w:rsidP="00A74FA7">
            <w:pPr>
              <w:tabs>
                <w:tab w:val="left" w:pos="426"/>
                <w:tab w:val="left" w:pos="709"/>
              </w:tabs>
              <w:jc w:val="both"/>
            </w:pPr>
            <w:r>
              <w:t xml:space="preserve">2.9.4. </w:t>
            </w:r>
            <w:r w:rsidR="00147849">
              <w:t>Lygiagrečiame tekstyne turi būti n</w:t>
            </w:r>
            <w:r w:rsidR="00147849" w:rsidRPr="0027451A">
              <w:t xml:space="preserve">e didesnis nei </w:t>
            </w:r>
            <w:r w:rsidR="00147849">
              <w:t>2</w:t>
            </w:r>
            <w:r w:rsidR="00147849" w:rsidRPr="0027451A">
              <w:t>% lygiavimo klaidų kiekis.</w:t>
            </w:r>
          </w:p>
          <w:p w14:paraId="1CBCACA8" w14:textId="23304844" w:rsidR="00147849" w:rsidRPr="00A74FA7" w:rsidRDefault="00783215" w:rsidP="00A74FA7">
            <w:pPr>
              <w:tabs>
                <w:tab w:val="left" w:pos="426"/>
                <w:tab w:val="left" w:pos="709"/>
              </w:tabs>
              <w:jc w:val="both"/>
              <w:rPr>
                <w:bCs/>
                <w:szCs w:val="24"/>
              </w:rPr>
            </w:pPr>
            <w:r>
              <w:t xml:space="preserve">2.9.5. </w:t>
            </w:r>
            <w:r w:rsidR="00147849" w:rsidRPr="0027451A">
              <w:t>Turi būti naudojam</w:t>
            </w:r>
            <w:r w:rsidR="00147849">
              <w:t>i</w:t>
            </w:r>
            <w:r w:rsidR="00147849" w:rsidRPr="0027451A">
              <w:t xml:space="preserve"> UTF-8 kodavimo standartinis TMX (</w:t>
            </w:r>
            <w:r w:rsidR="00147849">
              <w:t xml:space="preserve">angl. </w:t>
            </w:r>
            <w:r w:rsidR="00147849" w:rsidRPr="00B45D7A">
              <w:rPr>
                <w:i/>
                <w:iCs/>
              </w:rPr>
              <w:t>Translation Memory eXchange</w:t>
            </w:r>
            <w:r w:rsidR="00147849" w:rsidRPr="0027451A">
              <w:t xml:space="preserve">) </w:t>
            </w:r>
            <w:r w:rsidR="00147849">
              <w:t xml:space="preserve">ir XLIFF (XML Localisation Interchange File Format) </w:t>
            </w:r>
            <w:r w:rsidR="00147849" w:rsidRPr="0027451A">
              <w:t xml:space="preserve">duomenų </w:t>
            </w:r>
            <w:r w:rsidR="00147849">
              <w:t xml:space="preserve">standartų </w:t>
            </w:r>
            <w:r w:rsidR="00147849" w:rsidRPr="0027451A">
              <w:t>formata</w:t>
            </w:r>
            <w:r w:rsidR="00147849">
              <w:t>i</w:t>
            </w:r>
            <w:r w:rsidR="00147849" w:rsidRPr="0027451A">
              <w:t>.</w:t>
            </w:r>
          </w:p>
          <w:p w14:paraId="494C1293" w14:textId="74B52192" w:rsidR="006E6800" w:rsidRPr="006E6800" w:rsidRDefault="006E6800" w:rsidP="006E6800">
            <w:pPr>
              <w:tabs>
                <w:tab w:val="left" w:pos="426"/>
                <w:tab w:val="left" w:pos="709"/>
              </w:tabs>
              <w:jc w:val="both"/>
              <w:rPr>
                <w:bCs/>
                <w:szCs w:val="24"/>
              </w:rPr>
            </w:pPr>
            <w:r w:rsidRPr="006E6800">
              <w:rPr>
                <w:bCs/>
                <w:szCs w:val="24"/>
              </w:rPr>
              <w:t>2.</w:t>
            </w:r>
            <w:r w:rsidR="00D805A4">
              <w:rPr>
                <w:bCs/>
                <w:szCs w:val="24"/>
                <w:lang w:val="en-US"/>
              </w:rPr>
              <w:t>10</w:t>
            </w:r>
            <w:r w:rsidRPr="006E6800">
              <w:rPr>
                <w:bCs/>
                <w:szCs w:val="24"/>
              </w:rPr>
              <w:t>. Dokumentavimo reikalavimai: a) ištekliaus aprašymas; b) naudojimo instrukcijos; c) taikymo rekomendacijos; d) rekomendacijos tolimesnei ištekliaus plėtrai; e) sukurtam produktui turi būti taikomas detaliai dokumentuotas tarptautinis metaduomenų standartas. (pvz., Data Catalog Vocabulary (DCAT) https://www.w3.org/TR/vocab-dcat-3/, Dublin Core Metadata Element Set (DCMES) https://www.dublincore.org/specifications/dublin-core/dces/, The Component Metadata Initiative (CMDI) https://media.dwds.de/clarin/userguide/text/metadata_CMDI.xhtml arba analogiški).</w:t>
            </w:r>
          </w:p>
          <w:p w14:paraId="06715E35" w14:textId="58017CD9"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11</w:t>
            </w:r>
            <w:r w:rsidRPr="006E6800">
              <w:rPr>
                <w:bCs/>
                <w:szCs w:val="24"/>
              </w:rPr>
              <w:t>. Teisiniai reikalavimai projektui:</w:t>
            </w:r>
          </w:p>
          <w:p w14:paraId="4637D1B3" w14:textId="62FE3112"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11</w:t>
            </w:r>
            <w:r w:rsidRPr="006E6800">
              <w:rPr>
                <w:bCs/>
                <w:szCs w:val="24"/>
              </w:rPr>
              <w:t xml:space="preserve">.1.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66748D93" w14:textId="77777777" w:rsidR="006E6800" w:rsidRPr="006E6800" w:rsidRDefault="006E6800" w:rsidP="006E6800">
            <w:pPr>
              <w:tabs>
                <w:tab w:val="left" w:pos="426"/>
                <w:tab w:val="left" w:pos="709"/>
              </w:tabs>
              <w:jc w:val="both"/>
              <w:rPr>
                <w:bCs/>
                <w:szCs w:val="24"/>
              </w:rPr>
            </w:pPr>
            <w:r w:rsidRPr="006E6800">
              <w:rPr>
                <w:bCs/>
                <w:szCs w:val="24"/>
              </w:rPr>
              <w:t xml:space="preserve">https://eur-lex.europa.eu/legal-content/EN/TXT/?qid=1561563110433&amp;uri=CELEX:32019L1024); </w:t>
            </w:r>
          </w:p>
          <w:p w14:paraId="20684088" w14:textId="5B8E2BA9" w:rsidR="006E6800" w:rsidRPr="006E6800" w:rsidRDefault="006E6800" w:rsidP="006E6800">
            <w:pPr>
              <w:tabs>
                <w:tab w:val="left" w:pos="426"/>
                <w:tab w:val="left" w:pos="709"/>
              </w:tabs>
              <w:jc w:val="both"/>
              <w:rPr>
                <w:bCs/>
                <w:szCs w:val="24"/>
              </w:rPr>
            </w:pPr>
            <w:r w:rsidRPr="006E6800">
              <w:rPr>
                <w:bCs/>
                <w:szCs w:val="24"/>
              </w:rPr>
              <w:t>2.1</w:t>
            </w:r>
            <w:r w:rsidR="00DB304C">
              <w:rPr>
                <w:bCs/>
                <w:szCs w:val="24"/>
              </w:rPr>
              <w:t>1</w:t>
            </w:r>
            <w:r w:rsidRPr="006E6800">
              <w:rPr>
                <w:bCs/>
                <w:szCs w:val="24"/>
              </w:rPr>
              <w:t xml:space="preserve">.2.  Kuriant visus produktus (rezultatus) rekomenduojama atsižvelgti į naujai ruošiamą dirbtinio intelekto aktą (EUR-Lex - 52021PC0206 - EN - EUR-Lex (europa.eu)). </w:t>
            </w:r>
          </w:p>
          <w:p w14:paraId="5A762C4B" w14:textId="13BE2068" w:rsidR="006E6800" w:rsidRDefault="006E6800" w:rsidP="006E6800">
            <w:pPr>
              <w:jc w:val="both"/>
              <w:rPr>
                <w:bCs/>
                <w:szCs w:val="24"/>
              </w:rPr>
            </w:pPr>
            <w:r w:rsidRPr="006E6800">
              <w:rPr>
                <w:bCs/>
                <w:szCs w:val="24"/>
              </w:rPr>
              <w:t>2.1</w:t>
            </w:r>
            <w:r w:rsidR="00DB304C">
              <w:rPr>
                <w:bCs/>
                <w:szCs w:val="24"/>
              </w:rPr>
              <w:t>1</w:t>
            </w:r>
            <w:r w:rsidRPr="006E6800">
              <w:rPr>
                <w:bCs/>
                <w:szCs w:val="24"/>
              </w:rPr>
              <w:t>.2. Turi būti parengta ištekliaus naudojimo licencija, kuri užtikrina atvirą ir nemokamą prieigą prie ištekliaus. Visi surinkti tekstyno įrašai turi turėti atitinkamas licencijas.</w:t>
            </w:r>
          </w:p>
          <w:p w14:paraId="63B90CBA" w14:textId="4E9237DE" w:rsidR="00CD1331" w:rsidRDefault="00C74CDD" w:rsidP="006E6800">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lastRenderedPageBreak/>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(-iais));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(-iais));</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4D714B33" w14:textId="7CF97CFD" w:rsidR="00CA4A86" w:rsidRPr="00BC4146" w:rsidRDefault="005F1F6E" w:rsidP="00BC4146">
            <w:pPr>
              <w:tabs>
                <w:tab w:val="decimal" w:pos="458"/>
                <w:tab w:val="left" w:pos="597"/>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0E5EB32E" w14:textId="5C704E3F"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BC4146">
              <w:rPr>
                <w:rFonts w:eastAsia="Calibri"/>
              </w:rPr>
              <w:t>5</w:t>
            </w:r>
            <w:r>
              <w:rPr>
                <w:rFonts w:eastAsia="Calibri"/>
              </w:rPr>
              <w:t xml:space="preserve">.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75C0BA89"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BC4146">
              <w:rPr>
                <w:rFonts w:eastAsia="Calibri"/>
              </w:rPr>
              <w:t>6</w:t>
            </w:r>
            <w:r>
              <w:rPr>
                <w:rFonts w:eastAsia="Calibri"/>
              </w:rPr>
              <w:t xml:space="preserve">.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71763500"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BC4146">
              <w:rPr>
                <w:rFonts w:eastAsia="Calibri"/>
              </w:rPr>
              <w:t>7</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419EC692"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BC4146">
              <w:rPr>
                <w:rFonts w:eastAsia="Calibri"/>
              </w:rPr>
              <w:t>8</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3"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w:t>
            </w:r>
            <w:r w:rsidRPr="00D97546">
              <w:rPr>
                <w:szCs w:val="24"/>
              </w:rPr>
              <w:lastRenderedPageBreak/>
              <w:t>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551402DB" w14:textId="77777777" w:rsidR="00C62DFC" w:rsidRPr="00507D88" w:rsidRDefault="00C62DFC" w:rsidP="00C62DFC">
            <w:pPr>
              <w:tabs>
                <w:tab w:val="left" w:pos="447"/>
              </w:tabs>
              <w:jc w:val="both"/>
            </w:pPr>
            <w:r w:rsidRPr="00507D88">
              <w:t>8.1. Pareiškėjui teikiama </w:t>
            </w:r>
            <w:r w:rsidRPr="00507D88">
              <w:rPr>
                <w:i/>
                <w:iCs/>
              </w:rPr>
              <w:t>de minimis</w:t>
            </w:r>
            <w:r w:rsidRPr="00507D88">
              <w:t> pagalba, vadovaujantis 2013 m. gruodžio 18 d. Komisijos reglamento (ES) Nr. 1407/2013 dėl Sutarties dėl Europos Sąjungos veikimo 107 ir 108 straipsnių taikymo </w:t>
            </w:r>
            <w:r w:rsidRPr="00507D88">
              <w:rPr>
                <w:i/>
                <w:iCs/>
              </w:rPr>
              <w:t>de minimis</w:t>
            </w:r>
            <w:r w:rsidRPr="00507D88">
              <w:t> pagalbai su paskutiniais pakeitimais, padarytais 2020 m. liepos 2 d. Komisijos reglamentu (ES) 2020/972, 1 ir 3 straipsnio nuostatomis.</w:t>
            </w:r>
          </w:p>
          <w:p w14:paraId="7BBE7CD9" w14:textId="77777777" w:rsidR="00C62DFC" w:rsidRPr="0099798E" w:rsidRDefault="00C62DFC" w:rsidP="00C62DFC">
            <w:pPr>
              <w:tabs>
                <w:tab w:val="left" w:pos="447"/>
              </w:tabs>
              <w:jc w:val="both"/>
              <w:rPr>
                <w:i/>
                <w:iCs/>
              </w:rPr>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de minimis</w:t>
            </w:r>
            <w:r w:rsidRPr="00507D88">
              <w:rPr>
                <w:color w:val="000000"/>
              </w:rPr>
              <w:t xml:space="preserve"> pagalbos, suteiktos vienai įmonei, suma neturi viršyti 200 000,00 </w:t>
            </w:r>
            <w:r>
              <w:rPr>
                <w:color w:val="000000"/>
              </w:rPr>
              <w:t xml:space="preserve">Eur </w:t>
            </w:r>
            <w:r w:rsidRPr="00507D88">
              <w:rPr>
                <w:color w:val="000000"/>
              </w:rPr>
              <w:t>(dviejų šimtų tūkstančių eurų</w:t>
            </w:r>
            <w:r>
              <w:rPr>
                <w:color w:val="000000"/>
              </w:rPr>
              <w:t>)</w:t>
            </w:r>
            <w:r w:rsidRPr="00507D88">
              <w:rPr>
                <w:color w:val="000000"/>
              </w:rPr>
              <w:t xml:space="preserve"> per bet kurį trejų finansinių metų laikotarpį. Bendra </w:t>
            </w:r>
            <w:r w:rsidRPr="00507D88">
              <w:rPr>
                <w:i/>
                <w:iCs/>
                <w:color w:val="000000"/>
              </w:rPr>
              <w:t>de minimis</w:t>
            </w:r>
            <w:r w:rsidRPr="00507D88">
              <w:rPr>
                <w:color w:val="000000"/>
              </w:rPr>
              <w:t xml:space="preserve"> pagalbos, suteiktos vienai įmonei, vykdančiai krovinių vežimo keliais veiklą samdos pagrindais arba už atlygį per bet kurį trejų finansinių metų laikotarpį, suma neturi viršyti 100 000,00 </w:t>
            </w:r>
            <w:r>
              <w:rPr>
                <w:color w:val="000000"/>
              </w:rPr>
              <w:t xml:space="preserve">Eur </w:t>
            </w:r>
            <w:r w:rsidRPr="00507D88">
              <w:rPr>
                <w:color w:val="000000"/>
              </w:rPr>
              <w:t>(šimto tūkstančių eurų</w:t>
            </w:r>
            <w:r>
              <w:rPr>
                <w:color w:val="000000"/>
              </w:rPr>
              <w:t>)</w:t>
            </w:r>
            <w:r w:rsidRPr="00507D88">
              <w:rPr>
                <w:color w:val="000000"/>
              </w:rPr>
              <w:t>. Šios ribos taikomos neatsižvelgiant į </w:t>
            </w:r>
            <w:r w:rsidRPr="00507D88">
              <w:rPr>
                <w:i/>
                <w:iCs/>
                <w:color w:val="000000"/>
              </w:rPr>
              <w:t>de minimis</w:t>
            </w:r>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99798E">
              <w:rPr>
                <w:i/>
                <w:iCs/>
                <w:color w:val="000000"/>
              </w:rPr>
              <w:t>https://kt.gov.lt/uploads/documents/files/veiklos-sritys/valstybes-pagalba/klausimynai/kaip_KLAUSIMYNAS_vienas_ukio_subjektas.pdf.</w:t>
            </w:r>
          </w:p>
          <w:p w14:paraId="55C8833F" w14:textId="77777777" w:rsidR="00C62DFC" w:rsidRPr="00507D88" w:rsidRDefault="00C62DFC" w:rsidP="00C62DFC">
            <w:pPr>
              <w:tabs>
                <w:tab w:val="left" w:pos="447"/>
              </w:tabs>
              <w:jc w:val="both"/>
            </w:pPr>
            <w:r w:rsidRPr="00507D88">
              <w:t>8.3. Administruojančioji institucija PĮP vertinimo metu patikrina pareiškėjo teisę gauti vienai įmonei suteikiamą </w:t>
            </w:r>
            <w:r w:rsidRPr="00507D88">
              <w:rPr>
                <w:i/>
                <w:iCs/>
              </w:rPr>
              <w:t>de minimis</w:t>
            </w:r>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de minimis</w:t>
            </w:r>
            <w:r w:rsidRPr="00507D88">
              <w:t xml:space="preserve">) pagalbos registre, kurio nuostatai patvirtinti Lietuvos Respublikos Vyriausybės 2005 m. sausio 19 d. </w:t>
            </w:r>
            <w:r w:rsidRPr="00507D88">
              <w:lastRenderedPageBreak/>
              <w:t>nutarimu Nr. 35 „Dėl Suteiktos valstybės pagalbos ir nereikšmingos (</w:t>
            </w:r>
            <w:r w:rsidRPr="00507D88">
              <w:rPr>
                <w:i/>
                <w:iCs/>
              </w:rPr>
              <w:t>de minimis</w:t>
            </w:r>
            <w:r w:rsidRPr="00507D88">
              <w:t>) pagalbos registro nuostatų patvirtinimo“ (toliau – Registras), patikrina, ar teikiama pagalba neviršys leidžiamo </w:t>
            </w:r>
            <w:r w:rsidRPr="00507D88">
              <w:rPr>
                <w:i/>
                <w:iCs/>
              </w:rPr>
              <w:t>de minimis</w:t>
            </w:r>
            <w:r w:rsidRPr="00507D88">
              <w:t xml:space="preserve"> pagalbos dydžio, kaip nustatyta Reglamento (ES) Nr. 1407/2013 3 straipsnyje. </w:t>
            </w:r>
          </w:p>
          <w:p w14:paraId="085FEFD1" w14:textId="77777777" w:rsidR="00C62DFC" w:rsidRPr="00507D88" w:rsidRDefault="00C62DFC" w:rsidP="00C62DFC">
            <w:pPr>
              <w:tabs>
                <w:tab w:val="left" w:pos="447"/>
              </w:tabs>
              <w:jc w:val="both"/>
            </w:pPr>
            <w:r w:rsidRPr="00507D88">
              <w:t>8.4.</w:t>
            </w:r>
            <w:r w:rsidRPr="00507D88">
              <w:rPr>
                <w:i/>
                <w:iCs/>
                <w:color w:val="000000"/>
              </w:rPr>
              <w:t xml:space="preserve"> De minimis</w:t>
            </w:r>
            <w:r w:rsidRPr="00507D88">
              <w:rPr>
                <w:color w:val="000000"/>
              </w:rPr>
              <w:t> pagalba diskontuojama iki jos vertės finansavimo skyrimo momentu, kaip nustatyta Reglamento (ES) Nr. 1407/2013 3 straipsnio 6 punkte.</w:t>
            </w:r>
          </w:p>
          <w:p w14:paraId="637FD5ED" w14:textId="77777777" w:rsidR="00C62DFC" w:rsidRPr="00507D88" w:rsidRDefault="00C62DFC" w:rsidP="00C62DFC">
            <w:pPr>
              <w:tabs>
                <w:tab w:val="left" w:pos="447"/>
              </w:tabs>
              <w:jc w:val="both"/>
            </w:pPr>
            <w:r w:rsidRPr="00507D88">
              <w:t>8.5. Priėmus sprendimą finansuoti projektą, administruojančioji institucija per 5 darbo dienas registruoja suteiktos </w:t>
            </w:r>
            <w:r w:rsidRPr="00507D88">
              <w:rPr>
                <w:i/>
                <w:iCs/>
              </w:rPr>
              <w:t>de minimis</w:t>
            </w:r>
            <w:r w:rsidRPr="00507D88">
              <w:t> pagalbos sumą Registre.</w:t>
            </w:r>
          </w:p>
          <w:p w14:paraId="7FCF967F" w14:textId="3A3EDD5C" w:rsidR="006E7474" w:rsidRPr="00D721EE" w:rsidRDefault="00C62DFC" w:rsidP="00C62DFC">
            <w:pPr>
              <w:jc w:val="both"/>
              <w:rPr>
                <w:szCs w:val="24"/>
              </w:rPr>
            </w:pPr>
            <w:r w:rsidRPr="00507D88">
              <w:t xml:space="preserve">8.6. </w:t>
            </w:r>
            <w:r w:rsidRPr="00507D88">
              <w:rPr>
                <w:i/>
                <w:iCs/>
              </w:rPr>
              <w:t>De minimis</w:t>
            </w:r>
            <w:r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lastRenderedPageBreak/>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kompiuterinės lingvistikos ir (arba) tekstynų lingvistikos srityse;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r w:rsidRPr="007D43A9">
                    <w:rPr>
                      <w:rStyle w:val="contentpasted0"/>
                      <w:color w:val="000000"/>
                      <w:szCs w:val="24"/>
                    </w:rPr>
                    <w:t>Natural language processing</w:t>
                  </w:r>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r w:rsidRPr="007D43A9">
                    <w:rPr>
                      <w:rStyle w:val="contentpasted0"/>
                      <w:color w:val="000000"/>
                      <w:szCs w:val="24"/>
                    </w:rPr>
                    <w:t>Deep learning</w:t>
                  </w:r>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52599F2E"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w:t>
                  </w:r>
                  <w:r w:rsidRPr="00FA137F">
                    <w:rPr>
                      <w:rStyle w:val="contentpasted0"/>
                      <w:color w:val="000000"/>
                      <w:szCs w:val="24"/>
                    </w:rPr>
                    <w:lastRenderedPageBreak/>
                    <w:t xml:space="preserve">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4DA99D93"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3DE679A6"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lastRenderedPageBreak/>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lastRenderedPageBreak/>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apie ES fondų investicijų 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Projektą vykdančio personalo išlaidos 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xml:space="preserve">, kurios apskaičiuojamos nuo tinkamų finansuoti faktiškai patirtų vykdančiojo personalo darbo užmokesčio išlaidų, arba tiesiog Projektą vykdančio </w:t>
                  </w:r>
                  <w:r>
                    <w:rPr>
                      <w:color w:val="242424"/>
                      <w:szCs w:val="24"/>
                      <w:shd w:val="clear" w:color="auto" w:fill="FFFFFF"/>
                    </w:rPr>
                    <w:lastRenderedPageBreak/>
                    <w:t>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t xml:space="preserve">5 d. d. per savaitę) arba nuo </w:t>
                  </w:r>
                  <w:r w:rsidR="002D19FD">
                    <w:rPr>
                      <w:szCs w:val="24"/>
                      <w:shd w:val="clear" w:color="auto" w:fill="FFFFFF"/>
                    </w:rPr>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w:t>
                  </w:r>
                  <w:r>
                    <w:rPr>
                      <w:color w:val="242424"/>
                      <w:szCs w:val="24"/>
                      <w:shd w:val="clear" w:color="auto" w:fill="FFFFFF"/>
                    </w:rPr>
                    <w:lastRenderedPageBreak/>
                    <w:t xml:space="preserve">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lastRenderedPageBreak/>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t>39 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w:t>
                  </w:r>
                  <w:r>
                    <w:rPr>
                      <w:color w:val="242424"/>
                      <w:szCs w:val="24"/>
                      <w:shd w:val="clear" w:color="auto" w:fill="FFFFFF"/>
                    </w:rPr>
                    <w:lastRenderedPageBreak/>
                    <w:t xml:space="preserve">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r w:rsidRPr="00AA18C4">
        <w:rPr>
          <w:rStyle w:val="contentpasted0"/>
          <w:b/>
          <w:color w:val="000000"/>
          <w:szCs w:val="24"/>
        </w:rPr>
        <w:t>Natural language processing</w:t>
      </w:r>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r w:rsidRPr="00AA18C4">
        <w:rPr>
          <w:rStyle w:val="contentpasted0"/>
          <w:b/>
          <w:color w:val="000000"/>
          <w:szCs w:val="24"/>
        </w:rPr>
        <w:t>Deep learning</w:t>
      </w:r>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r w:rsidRPr="00AA18C4">
              <w:rPr>
                <w:rStyle w:val="contentpasted0"/>
                <w:color w:val="000000"/>
                <w:szCs w:val="24"/>
              </w:rPr>
              <w:t>Natural language processing</w:t>
            </w:r>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r w:rsidRPr="00AA18C4">
              <w:rPr>
                <w:rStyle w:val="contentpasted0"/>
                <w:color w:val="000000"/>
                <w:szCs w:val="24"/>
              </w:rPr>
              <w:t>Deep learning</w:t>
            </w:r>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41963ECD"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3424ADFC"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E621" w14:textId="77777777" w:rsidR="0087219A" w:rsidRDefault="0087219A">
      <w:pPr>
        <w:rPr>
          <w:sz w:val="22"/>
          <w:szCs w:val="22"/>
        </w:rPr>
      </w:pPr>
      <w:r>
        <w:rPr>
          <w:sz w:val="22"/>
          <w:szCs w:val="22"/>
        </w:rPr>
        <w:separator/>
      </w:r>
    </w:p>
  </w:endnote>
  <w:endnote w:type="continuationSeparator" w:id="0">
    <w:p w14:paraId="6B51D5CA" w14:textId="77777777" w:rsidR="0087219A" w:rsidRDefault="0087219A">
      <w:pPr>
        <w:rPr>
          <w:sz w:val="22"/>
          <w:szCs w:val="22"/>
        </w:rPr>
      </w:pPr>
      <w:r>
        <w:rPr>
          <w:sz w:val="22"/>
          <w:szCs w:val="22"/>
        </w:rPr>
        <w:continuationSeparator/>
      </w:r>
    </w:p>
  </w:endnote>
  <w:endnote w:type="continuationNotice" w:id="1">
    <w:p w14:paraId="7BF7188D" w14:textId="77777777" w:rsidR="0087219A" w:rsidRDefault="0087219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6145" w14:textId="77777777" w:rsidR="0087219A" w:rsidRDefault="0087219A">
      <w:pPr>
        <w:rPr>
          <w:sz w:val="22"/>
          <w:szCs w:val="22"/>
        </w:rPr>
      </w:pPr>
      <w:r>
        <w:rPr>
          <w:sz w:val="22"/>
          <w:szCs w:val="22"/>
        </w:rPr>
        <w:separator/>
      </w:r>
    </w:p>
  </w:footnote>
  <w:footnote w:type="continuationSeparator" w:id="0">
    <w:p w14:paraId="46EB25A4" w14:textId="77777777" w:rsidR="0087219A" w:rsidRDefault="0087219A">
      <w:pPr>
        <w:rPr>
          <w:sz w:val="22"/>
          <w:szCs w:val="22"/>
        </w:rPr>
      </w:pPr>
      <w:r>
        <w:rPr>
          <w:sz w:val="22"/>
          <w:szCs w:val="22"/>
        </w:rPr>
        <w:continuationSeparator/>
      </w:r>
    </w:p>
  </w:footnote>
  <w:footnote w:type="continuationNotice" w:id="1">
    <w:p w14:paraId="6B4A2FBA" w14:textId="77777777" w:rsidR="0087219A" w:rsidRDefault="0087219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6F04FDF"/>
    <w:multiLevelType w:val="hybridMultilevel"/>
    <w:tmpl w:val="BD421E30"/>
    <w:lvl w:ilvl="0" w:tplc="77F4583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 w:numId="3" w16cid:durableId="507408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B0976"/>
    <w:rsid w:val="000B3B09"/>
    <w:rsid w:val="000B56AA"/>
    <w:rsid w:val="000B5BA8"/>
    <w:rsid w:val="000B6054"/>
    <w:rsid w:val="000C17D4"/>
    <w:rsid w:val="000D1500"/>
    <w:rsid w:val="000D50F0"/>
    <w:rsid w:val="000E2607"/>
    <w:rsid w:val="000E6564"/>
    <w:rsid w:val="000E746D"/>
    <w:rsid w:val="000F068C"/>
    <w:rsid w:val="000F1088"/>
    <w:rsid w:val="000F3104"/>
    <w:rsid w:val="000F34DA"/>
    <w:rsid w:val="000F589F"/>
    <w:rsid w:val="00102BB8"/>
    <w:rsid w:val="00106C90"/>
    <w:rsid w:val="001078F0"/>
    <w:rsid w:val="00107D28"/>
    <w:rsid w:val="00110655"/>
    <w:rsid w:val="001130FA"/>
    <w:rsid w:val="001162B9"/>
    <w:rsid w:val="001243FD"/>
    <w:rsid w:val="001256FB"/>
    <w:rsid w:val="00125B73"/>
    <w:rsid w:val="00131B8E"/>
    <w:rsid w:val="00131C12"/>
    <w:rsid w:val="001327D1"/>
    <w:rsid w:val="00132EAB"/>
    <w:rsid w:val="00133200"/>
    <w:rsid w:val="00136794"/>
    <w:rsid w:val="00140851"/>
    <w:rsid w:val="00140D0B"/>
    <w:rsid w:val="0014152C"/>
    <w:rsid w:val="00147849"/>
    <w:rsid w:val="00151D96"/>
    <w:rsid w:val="00156788"/>
    <w:rsid w:val="00156B42"/>
    <w:rsid w:val="00161E15"/>
    <w:rsid w:val="001620A9"/>
    <w:rsid w:val="001814BA"/>
    <w:rsid w:val="001827A9"/>
    <w:rsid w:val="001929F2"/>
    <w:rsid w:val="00193467"/>
    <w:rsid w:val="001946CE"/>
    <w:rsid w:val="00196338"/>
    <w:rsid w:val="001A61BB"/>
    <w:rsid w:val="001A7772"/>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10F7E"/>
    <w:rsid w:val="002110CB"/>
    <w:rsid w:val="00211372"/>
    <w:rsid w:val="00211E55"/>
    <w:rsid w:val="00214210"/>
    <w:rsid w:val="0021567F"/>
    <w:rsid w:val="00215802"/>
    <w:rsid w:val="00216A06"/>
    <w:rsid w:val="00217FEC"/>
    <w:rsid w:val="00230AC8"/>
    <w:rsid w:val="00233817"/>
    <w:rsid w:val="00237514"/>
    <w:rsid w:val="00237603"/>
    <w:rsid w:val="00241715"/>
    <w:rsid w:val="0024199B"/>
    <w:rsid w:val="00242040"/>
    <w:rsid w:val="002423EA"/>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6C72"/>
    <w:rsid w:val="002E1DD7"/>
    <w:rsid w:val="002E24C4"/>
    <w:rsid w:val="002E4827"/>
    <w:rsid w:val="002E4BDD"/>
    <w:rsid w:val="002E522C"/>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37C2"/>
    <w:rsid w:val="00335D31"/>
    <w:rsid w:val="00341854"/>
    <w:rsid w:val="00344132"/>
    <w:rsid w:val="00344626"/>
    <w:rsid w:val="003448CB"/>
    <w:rsid w:val="00347EBD"/>
    <w:rsid w:val="0035442D"/>
    <w:rsid w:val="00354763"/>
    <w:rsid w:val="00357C6F"/>
    <w:rsid w:val="00364873"/>
    <w:rsid w:val="0036640C"/>
    <w:rsid w:val="003674DF"/>
    <w:rsid w:val="00371F26"/>
    <w:rsid w:val="00376CC0"/>
    <w:rsid w:val="0038122C"/>
    <w:rsid w:val="00384A23"/>
    <w:rsid w:val="00384EA9"/>
    <w:rsid w:val="003858DF"/>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45DB"/>
    <w:rsid w:val="00465CA6"/>
    <w:rsid w:val="004726F2"/>
    <w:rsid w:val="00476956"/>
    <w:rsid w:val="00486970"/>
    <w:rsid w:val="004870D7"/>
    <w:rsid w:val="0049116E"/>
    <w:rsid w:val="00492269"/>
    <w:rsid w:val="004B21DA"/>
    <w:rsid w:val="004B688C"/>
    <w:rsid w:val="004B6C6F"/>
    <w:rsid w:val="004C0BFA"/>
    <w:rsid w:val="004C0D9B"/>
    <w:rsid w:val="004C2456"/>
    <w:rsid w:val="004C4057"/>
    <w:rsid w:val="004C45C6"/>
    <w:rsid w:val="004C4D82"/>
    <w:rsid w:val="004D1B7B"/>
    <w:rsid w:val="004D351F"/>
    <w:rsid w:val="004D3FD8"/>
    <w:rsid w:val="004D4036"/>
    <w:rsid w:val="004D6248"/>
    <w:rsid w:val="004E0A82"/>
    <w:rsid w:val="004E3187"/>
    <w:rsid w:val="004E4D14"/>
    <w:rsid w:val="004E55C6"/>
    <w:rsid w:val="004E6F4F"/>
    <w:rsid w:val="004F13CF"/>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30F6"/>
    <w:rsid w:val="00603E6D"/>
    <w:rsid w:val="006070C7"/>
    <w:rsid w:val="00612CE3"/>
    <w:rsid w:val="006133D9"/>
    <w:rsid w:val="0061637A"/>
    <w:rsid w:val="00632561"/>
    <w:rsid w:val="00632AEF"/>
    <w:rsid w:val="006374F0"/>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76FA"/>
    <w:rsid w:val="00730A9D"/>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3215"/>
    <w:rsid w:val="00785EE9"/>
    <w:rsid w:val="0079350B"/>
    <w:rsid w:val="00794E22"/>
    <w:rsid w:val="007952DA"/>
    <w:rsid w:val="007B01D9"/>
    <w:rsid w:val="007B3657"/>
    <w:rsid w:val="007B4329"/>
    <w:rsid w:val="007C1A20"/>
    <w:rsid w:val="007C1DFB"/>
    <w:rsid w:val="007C5603"/>
    <w:rsid w:val="007C726B"/>
    <w:rsid w:val="007D3CF8"/>
    <w:rsid w:val="007D3D66"/>
    <w:rsid w:val="007D43A9"/>
    <w:rsid w:val="007E2493"/>
    <w:rsid w:val="007E3688"/>
    <w:rsid w:val="007E4029"/>
    <w:rsid w:val="007E55D7"/>
    <w:rsid w:val="007F18CE"/>
    <w:rsid w:val="007F2E44"/>
    <w:rsid w:val="007F323B"/>
    <w:rsid w:val="007F5D91"/>
    <w:rsid w:val="0080081C"/>
    <w:rsid w:val="00801564"/>
    <w:rsid w:val="008115BD"/>
    <w:rsid w:val="0081231A"/>
    <w:rsid w:val="00815F38"/>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219A"/>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0D7E"/>
    <w:rsid w:val="008B1777"/>
    <w:rsid w:val="008B326F"/>
    <w:rsid w:val="008B3827"/>
    <w:rsid w:val="008B6404"/>
    <w:rsid w:val="008B6D8A"/>
    <w:rsid w:val="008C751C"/>
    <w:rsid w:val="008D292B"/>
    <w:rsid w:val="008D5B14"/>
    <w:rsid w:val="008E1026"/>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4FA7"/>
    <w:rsid w:val="00A75C4C"/>
    <w:rsid w:val="00A805DE"/>
    <w:rsid w:val="00A8774F"/>
    <w:rsid w:val="00A90739"/>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EAE"/>
    <w:rsid w:val="00B540D4"/>
    <w:rsid w:val="00B54CD0"/>
    <w:rsid w:val="00B61363"/>
    <w:rsid w:val="00B61505"/>
    <w:rsid w:val="00B63E27"/>
    <w:rsid w:val="00B659F1"/>
    <w:rsid w:val="00B77876"/>
    <w:rsid w:val="00B8073E"/>
    <w:rsid w:val="00B81951"/>
    <w:rsid w:val="00B82021"/>
    <w:rsid w:val="00B83399"/>
    <w:rsid w:val="00B8362F"/>
    <w:rsid w:val="00B84890"/>
    <w:rsid w:val="00B96614"/>
    <w:rsid w:val="00BA1744"/>
    <w:rsid w:val="00BA7FEF"/>
    <w:rsid w:val="00BB02B3"/>
    <w:rsid w:val="00BB5AFC"/>
    <w:rsid w:val="00BC0188"/>
    <w:rsid w:val="00BC1992"/>
    <w:rsid w:val="00BC2BDF"/>
    <w:rsid w:val="00BC3D10"/>
    <w:rsid w:val="00BC4146"/>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2DFC"/>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42CE"/>
    <w:rsid w:val="00CE42E2"/>
    <w:rsid w:val="00CE4A92"/>
    <w:rsid w:val="00CE7A04"/>
    <w:rsid w:val="00D0174F"/>
    <w:rsid w:val="00D019AD"/>
    <w:rsid w:val="00D050C8"/>
    <w:rsid w:val="00D063BF"/>
    <w:rsid w:val="00D10553"/>
    <w:rsid w:val="00D11BF5"/>
    <w:rsid w:val="00D140F2"/>
    <w:rsid w:val="00D16A4E"/>
    <w:rsid w:val="00D2754D"/>
    <w:rsid w:val="00D32919"/>
    <w:rsid w:val="00D33344"/>
    <w:rsid w:val="00D42CA2"/>
    <w:rsid w:val="00D4360D"/>
    <w:rsid w:val="00D45BDA"/>
    <w:rsid w:val="00D5212F"/>
    <w:rsid w:val="00D53A34"/>
    <w:rsid w:val="00D540C8"/>
    <w:rsid w:val="00D56D0C"/>
    <w:rsid w:val="00D62E02"/>
    <w:rsid w:val="00D638FD"/>
    <w:rsid w:val="00D65351"/>
    <w:rsid w:val="00D714CB"/>
    <w:rsid w:val="00D721EE"/>
    <w:rsid w:val="00D805A4"/>
    <w:rsid w:val="00D86C21"/>
    <w:rsid w:val="00D92C65"/>
    <w:rsid w:val="00D9301F"/>
    <w:rsid w:val="00D94190"/>
    <w:rsid w:val="00D9462E"/>
    <w:rsid w:val="00D94654"/>
    <w:rsid w:val="00DA4CF3"/>
    <w:rsid w:val="00DB0DDA"/>
    <w:rsid w:val="00DB304C"/>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77E"/>
    <w:rsid w:val="00EE3642"/>
    <w:rsid w:val="00EE3F7D"/>
    <w:rsid w:val="00EE6066"/>
    <w:rsid w:val="00EF1655"/>
    <w:rsid w:val="00F00F61"/>
    <w:rsid w:val="00F0162B"/>
    <w:rsid w:val="00F04F3E"/>
    <w:rsid w:val="00F059E6"/>
    <w:rsid w:val="00F11068"/>
    <w:rsid w:val="00F124B5"/>
    <w:rsid w:val="00F151E3"/>
    <w:rsid w:val="00F204E9"/>
    <w:rsid w:val="00F25B67"/>
    <w:rsid w:val="00F31BAA"/>
    <w:rsid w:val="00F35AC2"/>
    <w:rsid w:val="00F374CC"/>
    <w:rsid w:val="00F44BC8"/>
    <w:rsid w:val="00F518C4"/>
    <w:rsid w:val="00F51AB1"/>
    <w:rsid w:val="00F531DD"/>
    <w:rsid w:val="00F53E90"/>
    <w:rsid w:val="00F55561"/>
    <w:rsid w:val="00F61BF4"/>
    <w:rsid w:val="00F63360"/>
    <w:rsid w:val="00F65351"/>
    <w:rsid w:val="00F664E3"/>
    <w:rsid w:val="00F94C78"/>
    <w:rsid w:val="00F9727F"/>
    <w:rsid w:val="00FA137F"/>
    <w:rsid w:val="00FA7E3B"/>
    <w:rsid w:val="00FB7312"/>
    <w:rsid w:val="00FC4EEA"/>
    <w:rsid w:val="00FC4F56"/>
    <w:rsid w:val="00FC5670"/>
    <w:rsid w:val="00FD1032"/>
    <w:rsid w:val="00FD4EB8"/>
    <w:rsid w:val="00FD5E4A"/>
    <w:rsid w:val="00FD79FF"/>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3.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18</Pages>
  <Words>22647</Words>
  <Characters>12910</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35487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44</cp:revision>
  <cp:lastPrinted>2023-11-10T12:48:00Z</cp:lastPrinted>
  <dcterms:created xsi:type="dcterms:W3CDTF">2023-12-20T08:15:00Z</dcterms:created>
  <dcterms:modified xsi:type="dcterms:W3CDTF">2024-01-08T18:08:00Z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