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35CB" w14:textId="77777777" w:rsidR="004826EC" w:rsidRPr="002116EA" w:rsidRDefault="004826EC">
      <w:pPr>
        <w:rPr>
          <w:szCs w:val="24"/>
        </w:rPr>
      </w:pPr>
    </w:p>
    <w:p w14:paraId="72277460" w14:textId="77777777" w:rsidR="004826EC" w:rsidRPr="002116EA" w:rsidRDefault="00EF0216">
      <w:pPr>
        <w:jc w:val="center"/>
        <w:rPr>
          <w:b/>
          <w:szCs w:val="24"/>
        </w:rPr>
      </w:pPr>
      <w:r w:rsidRPr="002116EA">
        <w:rPr>
          <w:b/>
          <w:szCs w:val="24"/>
        </w:rPr>
        <w:t>KVIETIMAS TEIKTI PROJEKTŲ ĮGYVENDINIMO PLANUS</w:t>
      </w:r>
    </w:p>
    <w:p w14:paraId="6EA87996" w14:textId="77777777" w:rsidR="004826EC" w:rsidRPr="002116EA" w:rsidRDefault="004826EC" w:rsidP="00B8062D">
      <w:pPr>
        <w:jc w:val="center"/>
        <w:rPr>
          <w:b/>
          <w:szCs w:val="24"/>
        </w:rPr>
      </w:pPr>
    </w:p>
    <w:p w14:paraId="41F1FF66" w14:textId="18686330" w:rsidR="00B8062D" w:rsidRDefault="00B8062D" w:rsidP="00B8062D">
      <w:pPr>
        <w:ind w:right="-57"/>
        <w:jc w:val="center"/>
        <w:rPr>
          <w:i/>
          <w:sz w:val="18"/>
          <w:szCs w:val="18"/>
        </w:rPr>
      </w:pPr>
      <w:r w:rsidRPr="006B21DC">
        <w:rPr>
          <w:iCs/>
          <w:szCs w:val="24"/>
        </w:rPr>
        <w:t>2022-03-08</w:t>
      </w:r>
      <w:r w:rsidR="00EF0216" w:rsidRPr="002116EA">
        <w:rPr>
          <w:szCs w:val="24"/>
        </w:rPr>
        <w:t xml:space="preserve"> </w:t>
      </w:r>
      <w:r w:rsidR="00EF0216" w:rsidRPr="00B8062D">
        <w:rPr>
          <w:iCs/>
          <w:szCs w:val="24"/>
        </w:rPr>
        <w:t xml:space="preserve">Nr. </w:t>
      </w:r>
      <w:r w:rsidRPr="00B8062D">
        <w:rPr>
          <w:iCs/>
          <w:szCs w:val="24"/>
        </w:rPr>
        <w:t>EM-V-001</w:t>
      </w:r>
    </w:p>
    <w:p w14:paraId="504D734A" w14:textId="7BDFD0E8" w:rsidR="004826EC" w:rsidRPr="002116EA" w:rsidRDefault="004826EC">
      <w:pPr>
        <w:jc w:val="center"/>
        <w:rPr>
          <w:i/>
          <w:iCs/>
          <w:color w:val="808080"/>
          <w:szCs w:val="24"/>
        </w:rPr>
      </w:pPr>
    </w:p>
    <w:p w14:paraId="464CCB34" w14:textId="77777777" w:rsidR="004826EC" w:rsidRPr="002116EA" w:rsidRDefault="004826EC">
      <w:pPr>
        <w:jc w:val="center"/>
        <w:rPr>
          <w:i/>
          <w:iCs/>
          <w:color w:val="808080"/>
          <w:szCs w:val="24"/>
        </w:rPr>
      </w:pPr>
    </w:p>
    <w:p w14:paraId="0B1C6442" w14:textId="25B388AA" w:rsidR="004826EC" w:rsidRPr="002116EA" w:rsidRDefault="00EF0216">
      <w:pPr>
        <w:ind w:firstLine="567"/>
        <w:jc w:val="both"/>
        <w:rPr>
          <w:i/>
          <w:iCs/>
          <w:color w:val="808080"/>
          <w:szCs w:val="24"/>
        </w:rPr>
      </w:pPr>
      <w:r w:rsidRPr="002116EA">
        <w:rPr>
          <w:iCs/>
          <w:szCs w:val="24"/>
        </w:rPr>
        <w:t>Kvietimas parengtas</w:t>
      </w:r>
      <w:r w:rsidRPr="002116EA">
        <w:rPr>
          <w:i/>
          <w:iCs/>
          <w:color w:val="808080"/>
          <w:szCs w:val="24"/>
        </w:rPr>
        <w:t xml:space="preserve"> </w:t>
      </w:r>
      <w:r w:rsidRPr="002116EA">
        <w:rPr>
          <w:iCs/>
          <w:szCs w:val="24"/>
        </w:rPr>
        <w:t>vadovaujantis</w:t>
      </w:r>
      <w:r w:rsidR="001C02A3" w:rsidRPr="002116EA">
        <w:rPr>
          <w:i/>
          <w:iCs/>
          <w:color w:val="808080"/>
          <w:szCs w:val="24"/>
        </w:rPr>
        <w:t xml:space="preserve"> </w:t>
      </w:r>
      <w:r w:rsidR="001C02A3" w:rsidRPr="002116EA">
        <w:rPr>
          <w:szCs w:val="24"/>
        </w:rPr>
        <w:t>2021 – 2030 m. Nacionalinės energetikos pažangos programos Nr. 03-001-06-03-07 priemonės „Įrengti elektros energijos kaupimo įrenginių sistemą“ projektų finansavimo sąlygų aprašu,</w:t>
      </w:r>
      <w:r w:rsidR="00E34BAA" w:rsidRPr="002116EA">
        <w:rPr>
          <w:szCs w:val="24"/>
        </w:rPr>
        <w:t xml:space="preserve"> patvirtintu Lietuvos Respublikos energetikos ministro </w:t>
      </w:r>
      <w:r w:rsidR="00E34BAA" w:rsidRPr="002116EA">
        <w:rPr>
          <w:color w:val="000000"/>
          <w:szCs w:val="24"/>
        </w:rPr>
        <w:t>2022 m. kovo 2 d. įsakymu Nr. 1-86</w:t>
      </w:r>
      <w:r w:rsidR="002116EA">
        <w:rPr>
          <w:color w:val="000000"/>
          <w:szCs w:val="24"/>
        </w:rPr>
        <w:t xml:space="preserve"> (toliau – PFSA)</w:t>
      </w:r>
      <w:r w:rsidR="00E34BAA" w:rsidRPr="002116EA">
        <w:rPr>
          <w:szCs w:val="24"/>
        </w:rPr>
        <w:t>.</w:t>
      </w:r>
    </w:p>
    <w:p w14:paraId="5B3EEDB3" w14:textId="77777777" w:rsidR="004826EC" w:rsidRPr="002116EA" w:rsidRDefault="004826EC">
      <w:pPr>
        <w:keepNext/>
        <w:keepLines/>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51"/>
        <w:gridCol w:w="6028"/>
      </w:tblGrid>
      <w:tr w:rsidR="004826EC" w:rsidRPr="002116EA" w14:paraId="3EC77179" w14:textId="77777777" w:rsidTr="37AD1130">
        <w:trPr>
          <w:trHeight w:val="489"/>
        </w:trPr>
        <w:tc>
          <w:tcPr>
            <w:tcW w:w="9854" w:type="dxa"/>
            <w:gridSpan w:val="3"/>
          </w:tcPr>
          <w:p w14:paraId="1831CEEF" w14:textId="77777777" w:rsidR="004826EC" w:rsidRPr="002116EA" w:rsidRDefault="004826EC">
            <w:pPr>
              <w:rPr>
                <w:szCs w:val="24"/>
              </w:rPr>
            </w:pPr>
          </w:p>
          <w:p w14:paraId="49DC77AC" w14:textId="77777777" w:rsidR="004826EC" w:rsidRPr="002116EA" w:rsidRDefault="00EF0216">
            <w:pPr>
              <w:keepNext/>
              <w:keepLines/>
              <w:ind w:left="360" w:hanging="360"/>
              <w:rPr>
                <w:b/>
                <w:i/>
                <w:iCs/>
                <w:color w:val="000000"/>
                <w:kern w:val="16"/>
                <w:szCs w:val="24"/>
              </w:rPr>
            </w:pPr>
            <w:r w:rsidRPr="002116EA">
              <w:rPr>
                <w:b/>
                <w:iCs/>
                <w:color w:val="000000"/>
                <w:kern w:val="16"/>
                <w:szCs w:val="24"/>
              </w:rPr>
              <w:t>1.</w:t>
            </w:r>
            <w:r w:rsidRPr="002116EA">
              <w:rPr>
                <w:b/>
                <w:iCs/>
                <w:color w:val="000000"/>
                <w:kern w:val="16"/>
                <w:szCs w:val="24"/>
              </w:rPr>
              <w:tab/>
            </w:r>
            <w:r w:rsidRPr="002116EA">
              <w:rPr>
                <w:b/>
                <w:color w:val="000000"/>
                <w:szCs w:val="24"/>
              </w:rPr>
              <w:t>Bendrieji reikalavimai projektams ir projektų įgyvendinimo planų teikimo tvarka</w:t>
            </w:r>
          </w:p>
          <w:p w14:paraId="29E7DAF3" w14:textId="77777777" w:rsidR="004826EC" w:rsidRPr="002116EA" w:rsidRDefault="004826EC">
            <w:pPr>
              <w:ind w:left="360"/>
              <w:rPr>
                <w:i/>
                <w:iCs/>
                <w:color w:val="808080"/>
                <w:kern w:val="16"/>
                <w:szCs w:val="24"/>
              </w:rPr>
            </w:pPr>
          </w:p>
        </w:tc>
      </w:tr>
      <w:tr w:rsidR="004826EC" w:rsidRPr="002116EA" w14:paraId="54622294" w14:textId="77777777" w:rsidTr="37AD1130">
        <w:tc>
          <w:tcPr>
            <w:tcW w:w="675" w:type="dxa"/>
          </w:tcPr>
          <w:p w14:paraId="0458F698" w14:textId="77777777" w:rsidR="004826EC" w:rsidRPr="002116EA" w:rsidRDefault="004826EC">
            <w:pPr>
              <w:rPr>
                <w:szCs w:val="24"/>
              </w:rPr>
            </w:pPr>
          </w:p>
          <w:p w14:paraId="63F8CB35" w14:textId="77777777" w:rsidR="004826EC" w:rsidRPr="002116EA" w:rsidRDefault="00EF0216">
            <w:pPr>
              <w:keepNext/>
              <w:keepLines/>
              <w:ind w:left="576" w:hanging="576"/>
              <w:outlineLvl w:val="1"/>
              <w:rPr>
                <w:color w:val="2E74B5"/>
                <w:szCs w:val="24"/>
              </w:rPr>
            </w:pPr>
            <w:r w:rsidRPr="002116EA">
              <w:rPr>
                <w:b/>
                <w:color w:val="000000"/>
                <w:szCs w:val="24"/>
              </w:rPr>
              <w:t>1.1.</w:t>
            </w:r>
            <w:r w:rsidRPr="002116EA">
              <w:rPr>
                <w:b/>
                <w:color w:val="000000"/>
                <w:szCs w:val="24"/>
              </w:rPr>
              <w:tab/>
            </w:r>
          </w:p>
        </w:tc>
        <w:tc>
          <w:tcPr>
            <w:tcW w:w="3151" w:type="dxa"/>
          </w:tcPr>
          <w:p w14:paraId="5A988D9D" w14:textId="77777777" w:rsidR="004826EC" w:rsidRPr="002116EA" w:rsidRDefault="00EF0216">
            <w:pPr>
              <w:rPr>
                <w:b/>
                <w:szCs w:val="24"/>
              </w:rPr>
            </w:pPr>
            <w:r w:rsidRPr="002116EA">
              <w:rPr>
                <w:b/>
                <w:szCs w:val="24"/>
              </w:rPr>
              <w:t>Finansavimo forma</w:t>
            </w:r>
          </w:p>
        </w:tc>
        <w:tc>
          <w:tcPr>
            <w:tcW w:w="6028" w:type="dxa"/>
          </w:tcPr>
          <w:p w14:paraId="297DA650" w14:textId="54DCD57A" w:rsidR="004826EC" w:rsidRPr="002116EA" w:rsidRDefault="00BC6FED">
            <w:pPr>
              <w:rPr>
                <w:i/>
                <w:iCs/>
                <w:color w:val="808080"/>
                <w:szCs w:val="24"/>
              </w:rPr>
            </w:pPr>
            <w:r w:rsidRPr="002116EA">
              <w:rPr>
                <w:szCs w:val="24"/>
              </w:rPr>
              <w:t xml:space="preserve">Dotacija </w:t>
            </w:r>
          </w:p>
        </w:tc>
      </w:tr>
      <w:tr w:rsidR="004826EC" w:rsidRPr="002116EA" w14:paraId="06F1A8C4" w14:textId="77777777" w:rsidTr="37AD1130">
        <w:tc>
          <w:tcPr>
            <w:tcW w:w="675" w:type="dxa"/>
          </w:tcPr>
          <w:p w14:paraId="53D56799" w14:textId="77777777" w:rsidR="004826EC" w:rsidRPr="002116EA" w:rsidRDefault="004826EC">
            <w:pPr>
              <w:rPr>
                <w:szCs w:val="24"/>
              </w:rPr>
            </w:pPr>
          </w:p>
          <w:p w14:paraId="3CF43EA3" w14:textId="77777777" w:rsidR="004826EC" w:rsidRPr="002116EA" w:rsidRDefault="00EF0216">
            <w:pPr>
              <w:keepNext/>
              <w:keepLines/>
              <w:ind w:left="576" w:hanging="576"/>
              <w:outlineLvl w:val="1"/>
              <w:rPr>
                <w:color w:val="000000"/>
                <w:szCs w:val="24"/>
              </w:rPr>
            </w:pPr>
            <w:r w:rsidRPr="002116EA">
              <w:rPr>
                <w:b/>
                <w:color w:val="000000"/>
                <w:szCs w:val="24"/>
              </w:rPr>
              <w:t>1.2.</w:t>
            </w:r>
            <w:r w:rsidRPr="002116EA">
              <w:rPr>
                <w:b/>
                <w:color w:val="000000"/>
                <w:szCs w:val="24"/>
              </w:rPr>
              <w:tab/>
            </w:r>
          </w:p>
        </w:tc>
        <w:tc>
          <w:tcPr>
            <w:tcW w:w="3151" w:type="dxa"/>
          </w:tcPr>
          <w:p w14:paraId="0113B5D5" w14:textId="77777777" w:rsidR="004826EC" w:rsidRPr="002116EA" w:rsidRDefault="00EF0216">
            <w:pPr>
              <w:rPr>
                <w:b/>
                <w:bCs/>
                <w:szCs w:val="24"/>
              </w:rPr>
            </w:pPr>
            <w:r w:rsidRPr="002116EA">
              <w:rPr>
                <w:b/>
                <w:bCs/>
                <w:szCs w:val="24"/>
              </w:rPr>
              <w:t>Projektų atrankos būdas</w:t>
            </w:r>
          </w:p>
        </w:tc>
        <w:tc>
          <w:tcPr>
            <w:tcW w:w="6028" w:type="dxa"/>
          </w:tcPr>
          <w:p w14:paraId="6C334BD9" w14:textId="7D1F4358" w:rsidR="004826EC" w:rsidRPr="002116EA" w:rsidRDefault="00B04EB4">
            <w:pPr>
              <w:rPr>
                <w:iCs/>
                <w:szCs w:val="24"/>
              </w:rPr>
            </w:pPr>
            <w:r w:rsidRPr="002116EA">
              <w:rPr>
                <w:iCs/>
                <w:szCs w:val="24"/>
              </w:rPr>
              <w:t>P</w:t>
            </w:r>
            <w:r w:rsidR="003D5ED1" w:rsidRPr="002116EA">
              <w:rPr>
                <w:iCs/>
                <w:szCs w:val="24"/>
              </w:rPr>
              <w:t xml:space="preserve">lanavimas </w:t>
            </w:r>
          </w:p>
        </w:tc>
      </w:tr>
      <w:tr w:rsidR="004826EC" w:rsidRPr="002116EA" w14:paraId="01B74E3D" w14:textId="77777777" w:rsidTr="37AD1130">
        <w:tc>
          <w:tcPr>
            <w:tcW w:w="675" w:type="dxa"/>
            <w:vMerge w:val="restart"/>
          </w:tcPr>
          <w:p w14:paraId="7FE419A0" w14:textId="77777777" w:rsidR="004826EC" w:rsidRPr="002116EA" w:rsidRDefault="004826EC">
            <w:pPr>
              <w:rPr>
                <w:szCs w:val="24"/>
              </w:rPr>
            </w:pPr>
          </w:p>
          <w:p w14:paraId="6CB818B1" w14:textId="77777777" w:rsidR="004826EC" w:rsidRPr="002116EA" w:rsidRDefault="00EF0216">
            <w:pPr>
              <w:keepNext/>
              <w:keepLines/>
              <w:ind w:left="576" w:hanging="576"/>
              <w:outlineLvl w:val="1"/>
              <w:rPr>
                <w:color w:val="000000"/>
                <w:szCs w:val="24"/>
              </w:rPr>
            </w:pPr>
            <w:r w:rsidRPr="002116EA">
              <w:rPr>
                <w:b/>
                <w:color w:val="000000"/>
                <w:szCs w:val="24"/>
              </w:rPr>
              <w:t>1.3.</w:t>
            </w:r>
            <w:r w:rsidRPr="002116EA">
              <w:rPr>
                <w:b/>
                <w:color w:val="000000"/>
                <w:szCs w:val="24"/>
              </w:rPr>
              <w:tab/>
            </w:r>
          </w:p>
        </w:tc>
        <w:tc>
          <w:tcPr>
            <w:tcW w:w="9179" w:type="dxa"/>
            <w:gridSpan w:val="2"/>
          </w:tcPr>
          <w:p w14:paraId="6D982B05" w14:textId="77777777" w:rsidR="004826EC" w:rsidRPr="002116EA" w:rsidRDefault="00EF0216">
            <w:pPr>
              <w:rPr>
                <w:i/>
                <w:color w:val="808080"/>
                <w:szCs w:val="24"/>
              </w:rPr>
            </w:pPr>
            <w:r w:rsidRPr="002116EA">
              <w:rPr>
                <w:b/>
                <w:bCs/>
                <w:szCs w:val="24"/>
              </w:rPr>
              <w:t>Projektų atrankos kriterijai</w:t>
            </w:r>
          </w:p>
        </w:tc>
      </w:tr>
      <w:tr w:rsidR="004826EC" w:rsidRPr="002116EA" w14:paraId="399D523F" w14:textId="77777777" w:rsidTr="37AD1130">
        <w:tc>
          <w:tcPr>
            <w:tcW w:w="675" w:type="dxa"/>
            <w:vMerge/>
          </w:tcPr>
          <w:p w14:paraId="70413188" w14:textId="77777777" w:rsidR="004826EC" w:rsidRPr="002116EA" w:rsidRDefault="00EF0216">
            <w:pPr>
              <w:ind w:left="720" w:hanging="360"/>
              <w:jc w:val="center"/>
              <w:rPr>
                <w:color w:val="000000"/>
                <w:szCs w:val="24"/>
              </w:rPr>
            </w:pPr>
            <w:r w:rsidRPr="002116EA">
              <w:rPr>
                <w:color w:val="000000"/>
                <w:szCs w:val="24"/>
              </w:rPr>
              <w:t>1.</w:t>
            </w:r>
            <w:r w:rsidRPr="002116EA">
              <w:rPr>
                <w:color w:val="000000"/>
                <w:szCs w:val="24"/>
              </w:rPr>
              <w:tab/>
            </w:r>
          </w:p>
        </w:tc>
        <w:tc>
          <w:tcPr>
            <w:tcW w:w="9179" w:type="dxa"/>
            <w:gridSpan w:val="2"/>
          </w:tcPr>
          <w:p w14:paraId="526E8442" w14:textId="77777777" w:rsidR="004826EC" w:rsidRDefault="002B77A2">
            <w:pPr>
              <w:rPr>
                <w:i/>
                <w:iCs/>
                <w:color w:val="808080"/>
                <w:szCs w:val="24"/>
              </w:rPr>
            </w:pPr>
            <w:r w:rsidRPr="002116EA">
              <w:rPr>
                <w:iCs/>
                <w:szCs w:val="24"/>
              </w:rPr>
              <w:t>Specialieji projektų atrankos kriterijai nėra nustatomi</w:t>
            </w:r>
            <w:r w:rsidR="009B7195" w:rsidRPr="002116EA">
              <w:rPr>
                <w:i/>
                <w:iCs/>
                <w:color w:val="808080"/>
                <w:szCs w:val="24"/>
              </w:rPr>
              <w:t>.</w:t>
            </w:r>
          </w:p>
          <w:p w14:paraId="1016112B" w14:textId="74D4AD78" w:rsidR="00011569" w:rsidRPr="002116EA" w:rsidRDefault="00011569">
            <w:pPr>
              <w:rPr>
                <w:i/>
                <w:iCs/>
                <w:color w:val="808080"/>
                <w:szCs w:val="24"/>
              </w:rPr>
            </w:pPr>
            <w:r>
              <w:t>Projektų atranka atliekama valstybės projektų planavimo būdu. Projektai turi atitikti bendruosius projektų atrankos kriterijus, kurių sąrašas ir vertinimo metodika nustatyti Laikinosios tvarkos 9 priede</w:t>
            </w:r>
          </w:p>
        </w:tc>
      </w:tr>
      <w:tr w:rsidR="004826EC" w:rsidRPr="002116EA" w14:paraId="2AAE12D9" w14:textId="77777777" w:rsidTr="37AD1130">
        <w:trPr>
          <w:trHeight w:val="244"/>
        </w:trPr>
        <w:tc>
          <w:tcPr>
            <w:tcW w:w="675" w:type="dxa"/>
            <w:vMerge w:val="restart"/>
          </w:tcPr>
          <w:p w14:paraId="63691A7E" w14:textId="284FFA20" w:rsidR="004826EC" w:rsidRPr="002116EA" w:rsidRDefault="00630312">
            <w:pPr>
              <w:rPr>
                <w:szCs w:val="24"/>
              </w:rPr>
            </w:pPr>
            <w:r w:rsidRPr="002116EA">
              <w:rPr>
                <w:noProof/>
                <w:szCs w:val="24"/>
              </w:rPr>
              <w:drawing>
                <wp:inline distT="0" distB="0" distL="0" distR="0" wp14:anchorId="3B2DCE1B" wp14:editId="694F7532">
                  <wp:extent cx="291465" cy="90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 cy="90805"/>
                          </a:xfrm>
                          <a:prstGeom prst="rect">
                            <a:avLst/>
                          </a:prstGeom>
                          <a:noFill/>
                          <a:ln>
                            <a:noFill/>
                          </a:ln>
                        </pic:spPr>
                      </pic:pic>
                    </a:graphicData>
                  </a:graphic>
                </wp:inline>
              </w:drawing>
            </w:r>
          </w:p>
          <w:p w14:paraId="522A4B49" w14:textId="77777777" w:rsidR="004826EC" w:rsidRPr="002116EA" w:rsidRDefault="00EF0216">
            <w:pPr>
              <w:keepNext/>
              <w:keepLines/>
              <w:ind w:left="576" w:hanging="576"/>
              <w:outlineLvl w:val="1"/>
              <w:rPr>
                <w:color w:val="000000"/>
                <w:szCs w:val="24"/>
              </w:rPr>
            </w:pPr>
            <w:r w:rsidRPr="002116EA">
              <w:rPr>
                <w:b/>
                <w:color w:val="000000"/>
                <w:szCs w:val="24"/>
              </w:rPr>
              <w:t>1.4.</w:t>
            </w:r>
            <w:r w:rsidRPr="002116EA">
              <w:rPr>
                <w:b/>
                <w:color w:val="000000"/>
                <w:szCs w:val="24"/>
              </w:rPr>
              <w:tab/>
            </w:r>
          </w:p>
        </w:tc>
        <w:tc>
          <w:tcPr>
            <w:tcW w:w="9179" w:type="dxa"/>
            <w:gridSpan w:val="2"/>
          </w:tcPr>
          <w:p w14:paraId="3B96FE7F" w14:textId="77777777" w:rsidR="004826EC" w:rsidRPr="002116EA" w:rsidRDefault="00EF0216">
            <w:pPr>
              <w:jc w:val="both"/>
              <w:rPr>
                <w:i/>
                <w:color w:val="808080"/>
                <w:szCs w:val="24"/>
              </w:rPr>
            </w:pPr>
            <w:r w:rsidRPr="002116EA">
              <w:rPr>
                <w:b/>
                <w:bCs/>
                <w:szCs w:val="24"/>
              </w:rPr>
              <w:t>Reikalavimai projektams</w:t>
            </w:r>
          </w:p>
        </w:tc>
      </w:tr>
      <w:tr w:rsidR="004826EC" w:rsidRPr="002116EA" w14:paraId="43CCFA61" w14:textId="77777777" w:rsidTr="37AD1130">
        <w:trPr>
          <w:trHeight w:val="180"/>
        </w:trPr>
        <w:tc>
          <w:tcPr>
            <w:tcW w:w="675" w:type="dxa"/>
            <w:vMerge/>
          </w:tcPr>
          <w:p w14:paraId="7315D7F6" w14:textId="77777777" w:rsidR="004826EC" w:rsidRPr="002116EA" w:rsidRDefault="00EF0216">
            <w:pPr>
              <w:ind w:left="720" w:hanging="360"/>
              <w:jc w:val="center"/>
              <w:rPr>
                <w:color w:val="000000"/>
                <w:szCs w:val="24"/>
              </w:rPr>
            </w:pPr>
            <w:r w:rsidRPr="002116EA">
              <w:rPr>
                <w:color w:val="000000"/>
                <w:szCs w:val="24"/>
              </w:rPr>
              <w:t>1.</w:t>
            </w:r>
            <w:r w:rsidRPr="002116EA">
              <w:rPr>
                <w:color w:val="000000"/>
                <w:szCs w:val="24"/>
              </w:rPr>
              <w:tab/>
            </w:r>
          </w:p>
        </w:tc>
        <w:tc>
          <w:tcPr>
            <w:tcW w:w="9179" w:type="dxa"/>
            <w:gridSpan w:val="2"/>
          </w:tcPr>
          <w:p w14:paraId="7A13A95D" w14:textId="3F24057D" w:rsidR="00E34BAA" w:rsidRPr="002116EA" w:rsidRDefault="00313517" w:rsidP="00F31395">
            <w:pPr>
              <w:tabs>
                <w:tab w:val="left" w:pos="306"/>
                <w:tab w:val="left" w:pos="540"/>
                <w:tab w:val="left" w:pos="739"/>
              </w:tabs>
              <w:jc w:val="both"/>
              <w:rPr>
                <w:iCs/>
                <w:szCs w:val="24"/>
              </w:rPr>
            </w:pPr>
            <w:r>
              <w:rPr>
                <w:iCs/>
                <w:szCs w:val="24"/>
                <w:lang w:val="en-US"/>
              </w:rPr>
              <w:t>1</w:t>
            </w:r>
            <w:r w:rsidR="00E34BAA" w:rsidRPr="002116EA">
              <w:rPr>
                <w:iCs/>
                <w:szCs w:val="24"/>
              </w:rPr>
              <w:t>. Projektu turi būti siekiama įgyvendinti priemonės rezultato rodiklį „Įrengtų naujų elektros energijos kaupimo įrenginių galia, MW - 200“. Siekiamos reikšmės aprašymas: pradeda veikti keturi elektros energijos kaupimo įrenginiai, kurių kiekvieno galia – 50 MW. Rodiklis laikomas pasiektu, kai projekto veiklų įgyvendinimo pabaigoje pateikiamas kompetentingos institucijos išduotas dokumentas dėl statybos darbų užbaigimo ir (ar) įrenginių leidimo veikti/eksploatuoti pradžios.</w:t>
            </w:r>
          </w:p>
          <w:p w14:paraId="5F5558BB" w14:textId="0B531AAD" w:rsidR="00E34BAA" w:rsidRPr="002116EA" w:rsidRDefault="00313517" w:rsidP="00F31395">
            <w:pPr>
              <w:tabs>
                <w:tab w:val="left" w:pos="306"/>
                <w:tab w:val="left" w:pos="540"/>
                <w:tab w:val="left" w:pos="739"/>
              </w:tabs>
              <w:ind w:left="30" w:hanging="8"/>
              <w:jc w:val="both"/>
              <w:rPr>
                <w:iCs/>
                <w:szCs w:val="24"/>
              </w:rPr>
            </w:pPr>
            <w:r>
              <w:rPr>
                <w:bCs/>
                <w:iCs/>
                <w:szCs w:val="24"/>
              </w:rPr>
              <w:t>2</w:t>
            </w:r>
            <w:r w:rsidR="00E34BAA" w:rsidRPr="002116EA">
              <w:rPr>
                <w:bCs/>
                <w:iCs/>
                <w:szCs w:val="24"/>
              </w:rPr>
              <w:t>.</w:t>
            </w:r>
            <w:r w:rsidR="00E34BAA" w:rsidRPr="002116EA">
              <w:rPr>
                <w:bCs/>
                <w:iCs/>
                <w:szCs w:val="24"/>
              </w:rPr>
              <w:tab/>
            </w:r>
            <w:r w:rsidR="00E34BAA" w:rsidRPr="002116EA">
              <w:rPr>
                <w:iCs/>
                <w:szCs w:val="24"/>
              </w:rPr>
              <w:t>Techniniai reikalavimai projektui:</w:t>
            </w:r>
          </w:p>
          <w:p w14:paraId="6839F930" w14:textId="0EC53FBC" w:rsidR="00E34BAA" w:rsidRPr="002116EA" w:rsidRDefault="00E34BAA" w:rsidP="00F31395">
            <w:pPr>
              <w:tabs>
                <w:tab w:val="left" w:pos="630"/>
                <w:tab w:val="left" w:pos="739"/>
                <w:tab w:val="left" w:pos="850"/>
              </w:tabs>
              <w:ind w:left="30" w:firstLine="425"/>
              <w:jc w:val="both"/>
              <w:rPr>
                <w:iCs/>
                <w:szCs w:val="24"/>
                <w:lang w:val="en-US"/>
              </w:rPr>
            </w:pPr>
            <w:r w:rsidRPr="002116EA">
              <w:rPr>
                <w:iCs/>
                <w:szCs w:val="24"/>
              </w:rPr>
              <w:t>3.1. elektros energijos kaupimo įrenginių suminė galia turi būti ne mažesnė nei 200 MW;</w:t>
            </w:r>
          </w:p>
          <w:p w14:paraId="13199EED" w14:textId="41B30C4B" w:rsidR="00E34BAA" w:rsidRPr="002116EA" w:rsidRDefault="00E34BAA" w:rsidP="00F31395">
            <w:pPr>
              <w:tabs>
                <w:tab w:val="left" w:pos="739"/>
              </w:tabs>
              <w:ind w:left="30" w:firstLine="425"/>
              <w:jc w:val="both"/>
              <w:rPr>
                <w:iCs/>
                <w:szCs w:val="24"/>
              </w:rPr>
            </w:pPr>
            <w:r w:rsidRPr="002116EA">
              <w:rPr>
                <w:iCs/>
                <w:szCs w:val="24"/>
              </w:rPr>
              <w:t>3.2. suminė talpa turi būti ne mažesnė nei 200 MWh;</w:t>
            </w:r>
          </w:p>
          <w:p w14:paraId="58F2A092" w14:textId="40AD9906" w:rsidR="00E34BAA" w:rsidRPr="002116EA" w:rsidRDefault="00E34BAA" w:rsidP="00F31395">
            <w:pPr>
              <w:tabs>
                <w:tab w:val="left" w:pos="739"/>
              </w:tabs>
              <w:ind w:left="30" w:firstLine="425"/>
              <w:jc w:val="both"/>
              <w:rPr>
                <w:iCs/>
                <w:szCs w:val="24"/>
              </w:rPr>
            </w:pPr>
            <w:r w:rsidRPr="002116EA">
              <w:rPr>
                <w:iCs/>
                <w:szCs w:val="24"/>
              </w:rPr>
              <w:t>3.3. technologija – ličio jonų baterijų;</w:t>
            </w:r>
          </w:p>
          <w:p w14:paraId="6F06DCE6" w14:textId="14A5DD48" w:rsidR="00E34BAA" w:rsidRPr="002116EA" w:rsidRDefault="00E34BAA" w:rsidP="00F31395">
            <w:pPr>
              <w:tabs>
                <w:tab w:val="left" w:pos="739"/>
              </w:tabs>
              <w:ind w:left="30" w:firstLine="425"/>
              <w:jc w:val="both"/>
              <w:rPr>
                <w:iCs/>
                <w:szCs w:val="24"/>
              </w:rPr>
            </w:pPr>
            <w:r w:rsidRPr="002116EA">
              <w:rPr>
                <w:iCs/>
                <w:szCs w:val="24"/>
              </w:rPr>
              <w:t>3.4. ciklo efektyvumas turi būti ne mažesnis kaip 85 proc.;</w:t>
            </w:r>
          </w:p>
          <w:p w14:paraId="28D19F6B" w14:textId="6563D202" w:rsidR="00E34BAA" w:rsidRPr="00011569" w:rsidRDefault="00E34BAA" w:rsidP="00F31395">
            <w:pPr>
              <w:tabs>
                <w:tab w:val="left" w:pos="739"/>
              </w:tabs>
              <w:ind w:left="30" w:firstLine="425"/>
              <w:jc w:val="both"/>
              <w:rPr>
                <w:iCs/>
                <w:szCs w:val="24"/>
              </w:rPr>
            </w:pPr>
            <w:r w:rsidRPr="002116EA">
              <w:rPr>
                <w:iCs/>
                <w:szCs w:val="24"/>
              </w:rPr>
              <w:t>3.5. elektros energijos kaupimo įrenginių sistema turi būti geografiškai išskaidyta (4 baterijų parkai po 50 MW ir 50 MWh ).</w:t>
            </w:r>
          </w:p>
          <w:p w14:paraId="0CDD881E" w14:textId="62CABD3F" w:rsidR="00E34BAA" w:rsidRPr="002116EA" w:rsidRDefault="00313517" w:rsidP="00F31395">
            <w:pPr>
              <w:tabs>
                <w:tab w:val="left" w:pos="306"/>
                <w:tab w:val="left" w:pos="739"/>
              </w:tabs>
              <w:ind w:left="30" w:hanging="8"/>
              <w:jc w:val="both"/>
            </w:pPr>
            <w:r>
              <w:t>3</w:t>
            </w:r>
            <w:r w:rsidR="00E34BAA">
              <w:t>.</w:t>
            </w:r>
            <w:r w:rsidR="00E34BAA">
              <w:tab/>
            </w:r>
            <w:r w:rsidRPr="00313517">
              <w:rPr>
                <w:iCs/>
                <w:szCs w:val="24"/>
              </w:rPr>
              <w:t>Iki projekto įgyvendinimo plano pateikimo administruojančiajai institucijai dienos daiktinės pareiškėjo teisės į statinį ir (ar) žemę, kuriame įgyvendinant projektą bus vykdomi statybos darbai arba žemės ir (ar) statinio valdymo formos (nuoma, panauda) turi būti įregistruotos įstatymų nustatyta tvarka ir galioti ne trumpiau nei nustatyta Sinchronizacijos įstatymo 61 str. 6 d., t. y. kol visi elektros energijos kaupimo įrenginiai Lietuvos Respublikos energetikos ministerija nustatyta tvarka bus perleisti asmenims, atitinkantiems nacionalinio saugumo interesus.  Jei statinys ar žemės sklypas yra naudojamas pagal panaudos ar nuomos sutartį, pareiškėjas turi turėti panaudos davėjo ar nuomotojo raštišką sutikimą vykdyti projekto veiklas</w:t>
            </w:r>
            <w:r w:rsidR="00784818">
              <w:rPr>
                <w:iCs/>
                <w:szCs w:val="24"/>
              </w:rPr>
              <w:t>.</w:t>
            </w:r>
          </w:p>
          <w:p w14:paraId="29BB9BE0" w14:textId="30B309F8" w:rsidR="00E34BAA" w:rsidRPr="002116EA" w:rsidRDefault="00313517" w:rsidP="00F31395">
            <w:pPr>
              <w:tabs>
                <w:tab w:val="left" w:pos="306"/>
                <w:tab w:val="left" w:pos="610"/>
                <w:tab w:val="left" w:pos="739"/>
                <w:tab w:val="left" w:pos="780"/>
              </w:tabs>
              <w:jc w:val="both"/>
            </w:pPr>
            <w:r>
              <w:t>4</w:t>
            </w:r>
            <w:r w:rsidR="00E34BAA">
              <w:t>.</w:t>
            </w:r>
            <w:r w:rsidR="00C47E86">
              <w:tab/>
            </w:r>
            <w:r w:rsidR="00E34BAA">
              <w:t xml:space="preserve"> </w:t>
            </w:r>
            <w:r w:rsidR="0033791D">
              <w:t>P</w:t>
            </w:r>
            <w:r w:rsidR="00E34BAA">
              <w:t>askirtasis elektros energijos kaupimo įrenginių sistemos operatorius</w:t>
            </w:r>
            <w:r w:rsidR="0033791D">
              <w:t xml:space="preserve"> UAB „</w:t>
            </w:r>
            <w:proofErr w:type="spellStart"/>
            <w:r w:rsidR="0033791D">
              <w:t>Energy</w:t>
            </w:r>
            <w:proofErr w:type="spellEnd"/>
            <w:r w:rsidR="0033791D">
              <w:t xml:space="preserve"> </w:t>
            </w:r>
            <w:proofErr w:type="spellStart"/>
            <w:r w:rsidR="0033791D">
              <w:t>cells</w:t>
            </w:r>
            <w:proofErr w:type="spellEnd"/>
            <w:r w:rsidR="0033791D">
              <w:t>“</w:t>
            </w:r>
            <w:r w:rsidR="00E34BAA">
              <w:t xml:space="preserve"> privalo teikti perdavimo sistemos operatoriui izoliuoto darbo rezervo paslaugą ir  neturi teisės vykdyti kitos energetikos veiklos, nesusijusios su izoliuoto darbo rezervo paslaugos teikimu, </w:t>
            </w:r>
            <w:r w:rsidR="00E34BAA">
              <w:lastRenderedPageBreak/>
              <w:t>kaip tai numatyta Elektros energijos sistemos sinchronizacijos projekto įgyvendinimo metu, Sinchronizacijos įstatymo 6</w:t>
            </w:r>
            <w:r w:rsidR="00E34BAA" w:rsidRPr="37AD1130">
              <w:rPr>
                <w:vertAlign w:val="superscript"/>
              </w:rPr>
              <w:t>1</w:t>
            </w:r>
            <w:r w:rsidR="00E34BAA">
              <w:t xml:space="preserve"> str. 4 d.</w:t>
            </w:r>
          </w:p>
          <w:p w14:paraId="1D57A3F6" w14:textId="08AEB9E4" w:rsidR="00E34BAA" w:rsidRPr="002116EA" w:rsidRDefault="00313517" w:rsidP="00F31395">
            <w:pPr>
              <w:tabs>
                <w:tab w:val="left" w:pos="306"/>
                <w:tab w:val="left" w:pos="610"/>
                <w:tab w:val="left" w:pos="739"/>
                <w:tab w:val="left" w:pos="780"/>
              </w:tabs>
              <w:ind w:left="30" w:hanging="8"/>
              <w:jc w:val="both"/>
              <w:rPr>
                <w:iCs/>
                <w:szCs w:val="24"/>
              </w:rPr>
            </w:pPr>
            <w:r>
              <w:rPr>
                <w:bCs/>
                <w:iCs/>
                <w:szCs w:val="24"/>
              </w:rPr>
              <w:t>5</w:t>
            </w:r>
            <w:r w:rsidR="00E34BAA" w:rsidRPr="002116EA">
              <w:rPr>
                <w:bCs/>
                <w:iCs/>
                <w:szCs w:val="24"/>
              </w:rPr>
              <w:t>.</w:t>
            </w:r>
            <w:r w:rsidR="00E34BAA" w:rsidRPr="002116EA">
              <w:rPr>
                <w:bCs/>
                <w:iCs/>
                <w:szCs w:val="24"/>
              </w:rPr>
              <w:tab/>
            </w:r>
            <w:r w:rsidR="00E34BAA" w:rsidRPr="002116EA">
              <w:rPr>
                <w:iCs/>
                <w:szCs w:val="24"/>
              </w:rPr>
              <w:t xml:space="preserve"> Elektros energijos kaupimo įrenginių sistemos operatorius teikia perdavimo sistemos operatoriui izoliuoto darbo rezervo paslaugą iki tol, kol bus baigtas įgyvendinti elektros energetikos sistemos sinchronizacijos projektas ir Lietuvos Respublikos energetikos ministerija įvertins iš perdavimo sistemos operatoriaus gautą išvadą dėl elektros energetikos sistemos sinchronizacijos projekto pabaigos, kaip numatyta Elektros energijos sistemos sinchronizacijos projekto įgyvendinimo metu, Lietuvos Respublikos elektros energetikos sistemos sujungimo su kontinentinės Europos elektros tinklais darbui sinchroniniu režimu įstatymo 6</w:t>
            </w:r>
            <w:r w:rsidR="00E34BAA" w:rsidRPr="002116EA">
              <w:rPr>
                <w:iCs/>
                <w:szCs w:val="24"/>
                <w:vertAlign w:val="superscript"/>
              </w:rPr>
              <w:t>1</w:t>
            </w:r>
            <w:r w:rsidR="00E34BAA" w:rsidRPr="002116EA">
              <w:rPr>
                <w:iCs/>
                <w:szCs w:val="24"/>
              </w:rPr>
              <w:t xml:space="preserve"> str. 5 d.</w:t>
            </w:r>
          </w:p>
          <w:p w14:paraId="280ADCFF" w14:textId="6F7C78DD" w:rsidR="004826EC" w:rsidRPr="00313517" w:rsidRDefault="00313517" w:rsidP="00F31395">
            <w:pPr>
              <w:tabs>
                <w:tab w:val="left" w:pos="306"/>
                <w:tab w:val="left" w:pos="610"/>
                <w:tab w:val="left" w:pos="739"/>
                <w:tab w:val="left" w:pos="780"/>
              </w:tabs>
              <w:ind w:left="30" w:hanging="8"/>
              <w:jc w:val="both"/>
              <w:rPr>
                <w:iCs/>
                <w:szCs w:val="24"/>
              </w:rPr>
            </w:pPr>
            <w:r>
              <w:rPr>
                <w:bCs/>
                <w:iCs/>
                <w:szCs w:val="24"/>
              </w:rPr>
              <w:t>6</w:t>
            </w:r>
            <w:r w:rsidR="00E34BAA" w:rsidRPr="002116EA">
              <w:rPr>
                <w:bCs/>
                <w:iCs/>
                <w:szCs w:val="24"/>
              </w:rPr>
              <w:t>.</w:t>
            </w:r>
            <w:r w:rsidR="00E34BAA" w:rsidRPr="002116EA">
              <w:rPr>
                <w:bCs/>
                <w:iCs/>
                <w:szCs w:val="24"/>
              </w:rPr>
              <w:tab/>
            </w:r>
            <w:r w:rsidR="00E34BAA" w:rsidRPr="002116EA">
              <w:rPr>
                <w:iCs/>
                <w:szCs w:val="24"/>
              </w:rPr>
              <w:t xml:space="preserve"> Papildomi matomumo (viešinimo) reikalavimai, kurie nenumatyti Laikinojoje tvarkoje, nėra taikomi.</w:t>
            </w:r>
          </w:p>
        </w:tc>
      </w:tr>
      <w:tr w:rsidR="004826EC" w:rsidRPr="002116EA" w14:paraId="76EBF5F7" w14:textId="77777777" w:rsidTr="37AD1130">
        <w:trPr>
          <w:trHeight w:val="72"/>
        </w:trPr>
        <w:tc>
          <w:tcPr>
            <w:tcW w:w="675" w:type="dxa"/>
            <w:vMerge w:val="restart"/>
          </w:tcPr>
          <w:p w14:paraId="29AE299D" w14:textId="77777777" w:rsidR="004826EC" w:rsidRPr="002116EA" w:rsidRDefault="004826EC">
            <w:pPr>
              <w:rPr>
                <w:szCs w:val="24"/>
              </w:rPr>
            </w:pPr>
          </w:p>
          <w:p w14:paraId="197F45BA" w14:textId="77777777" w:rsidR="004826EC" w:rsidRPr="002116EA" w:rsidRDefault="00EF0216">
            <w:pPr>
              <w:keepNext/>
              <w:keepLines/>
              <w:ind w:left="576" w:hanging="576"/>
              <w:outlineLvl w:val="1"/>
              <w:rPr>
                <w:color w:val="000000"/>
                <w:szCs w:val="24"/>
              </w:rPr>
            </w:pPr>
            <w:r w:rsidRPr="002116EA">
              <w:rPr>
                <w:b/>
                <w:color w:val="000000"/>
                <w:szCs w:val="24"/>
              </w:rPr>
              <w:t>1.5.</w:t>
            </w:r>
            <w:r w:rsidRPr="002116EA">
              <w:rPr>
                <w:b/>
                <w:color w:val="000000"/>
                <w:szCs w:val="24"/>
              </w:rPr>
              <w:tab/>
            </w:r>
          </w:p>
        </w:tc>
        <w:tc>
          <w:tcPr>
            <w:tcW w:w="9179" w:type="dxa"/>
            <w:gridSpan w:val="2"/>
          </w:tcPr>
          <w:p w14:paraId="42A2B44E" w14:textId="77777777" w:rsidR="004826EC" w:rsidRPr="002116EA" w:rsidRDefault="00EF0216">
            <w:pPr>
              <w:jc w:val="both"/>
              <w:rPr>
                <w:i/>
                <w:iCs/>
                <w:color w:val="808080"/>
                <w:szCs w:val="24"/>
              </w:rPr>
            </w:pPr>
            <w:r w:rsidRPr="002116EA">
              <w:rPr>
                <w:b/>
                <w:szCs w:val="24"/>
              </w:rPr>
              <w:t>Horizontaliųjų principų įgyvendinimo reikalavimai</w:t>
            </w:r>
          </w:p>
        </w:tc>
      </w:tr>
      <w:tr w:rsidR="004826EC" w:rsidRPr="002116EA" w14:paraId="45CA2E98" w14:textId="77777777" w:rsidTr="37AD1130">
        <w:trPr>
          <w:trHeight w:val="72"/>
        </w:trPr>
        <w:tc>
          <w:tcPr>
            <w:tcW w:w="675" w:type="dxa"/>
            <w:vMerge/>
          </w:tcPr>
          <w:p w14:paraId="5547F892" w14:textId="77777777" w:rsidR="004826EC" w:rsidRPr="002116EA" w:rsidRDefault="004826EC">
            <w:pPr>
              <w:rPr>
                <w:szCs w:val="24"/>
              </w:rPr>
            </w:pPr>
          </w:p>
          <w:p w14:paraId="4517CBFC" w14:textId="77777777" w:rsidR="004826EC" w:rsidRPr="002116EA" w:rsidRDefault="00EF0216">
            <w:pPr>
              <w:keepNext/>
              <w:keepLines/>
              <w:ind w:left="576" w:hanging="576"/>
              <w:outlineLvl w:val="1"/>
              <w:rPr>
                <w:color w:val="000000"/>
                <w:szCs w:val="24"/>
              </w:rPr>
            </w:pPr>
            <w:r w:rsidRPr="002116EA">
              <w:rPr>
                <w:b/>
                <w:color w:val="000000"/>
                <w:szCs w:val="24"/>
              </w:rPr>
              <w:t>1.1.</w:t>
            </w:r>
            <w:r w:rsidRPr="002116EA">
              <w:rPr>
                <w:b/>
                <w:color w:val="000000"/>
                <w:szCs w:val="24"/>
              </w:rPr>
              <w:tab/>
            </w:r>
          </w:p>
        </w:tc>
        <w:tc>
          <w:tcPr>
            <w:tcW w:w="9179" w:type="dxa"/>
            <w:gridSpan w:val="2"/>
          </w:tcPr>
          <w:p w14:paraId="3CF95F4F" w14:textId="502F9ECE" w:rsidR="00C95BB4" w:rsidRPr="002116EA" w:rsidRDefault="00C95BB4">
            <w:pPr>
              <w:jc w:val="both"/>
              <w:rPr>
                <w:szCs w:val="24"/>
              </w:rPr>
            </w:pPr>
            <w:r w:rsidRPr="002116EA">
              <w:rPr>
                <w:szCs w:val="24"/>
              </w:rPr>
              <w:t>Neutralus – projektas negali daryti neigiamo poveikio horizontaliems principams. Reikšmingos žalos nedarymo principo vertinimo reikalavimai pateikiami Nacionalinės energetikos pažangos programos pažangos priemonės Nr. 03-001-06-03-07 „Įrengti elektros energijos kaupimo įrenginių sistemą“ aprašo priede Nr. 2</w:t>
            </w:r>
            <w:r w:rsidR="002116EA">
              <w:rPr>
                <w:szCs w:val="24"/>
              </w:rPr>
              <w:t xml:space="preserve"> (</w:t>
            </w:r>
            <w:hyperlink r:id="rId12" w:history="1">
              <w:r w:rsidR="002116EA" w:rsidRPr="0090462E">
                <w:rPr>
                  <w:rStyle w:val="Hyperlink"/>
                  <w:szCs w:val="24"/>
                </w:rPr>
                <w:t>https://www.e-tar.lt/portal/lt/legalAct/46d56f0099f611ec8d04d3fbbc911715</w:t>
              </w:r>
            </w:hyperlink>
            <w:r w:rsidR="002116EA">
              <w:rPr>
                <w:szCs w:val="24"/>
              </w:rPr>
              <w:t xml:space="preserve"> ).</w:t>
            </w:r>
          </w:p>
        </w:tc>
      </w:tr>
      <w:tr w:rsidR="004826EC" w:rsidRPr="002116EA" w14:paraId="65F041E0" w14:textId="77777777" w:rsidTr="37AD1130">
        <w:tc>
          <w:tcPr>
            <w:tcW w:w="675" w:type="dxa"/>
            <w:vMerge w:val="restart"/>
          </w:tcPr>
          <w:p w14:paraId="786A4F56" w14:textId="77777777" w:rsidR="004826EC" w:rsidRPr="002116EA" w:rsidRDefault="004826EC">
            <w:pPr>
              <w:rPr>
                <w:szCs w:val="24"/>
              </w:rPr>
            </w:pPr>
          </w:p>
          <w:p w14:paraId="21729972" w14:textId="77777777" w:rsidR="004826EC" w:rsidRPr="002116EA" w:rsidRDefault="00EF0216">
            <w:pPr>
              <w:keepNext/>
              <w:keepLines/>
              <w:ind w:left="576" w:hanging="576"/>
              <w:outlineLvl w:val="1"/>
              <w:rPr>
                <w:color w:val="000000"/>
                <w:szCs w:val="24"/>
              </w:rPr>
            </w:pPr>
            <w:r w:rsidRPr="002116EA">
              <w:rPr>
                <w:b/>
                <w:color w:val="000000"/>
                <w:szCs w:val="24"/>
              </w:rPr>
              <w:t>1.6.</w:t>
            </w:r>
            <w:r w:rsidRPr="002116EA">
              <w:rPr>
                <w:b/>
                <w:color w:val="000000"/>
                <w:szCs w:val="24"/>
              </w:rPr>
              <w:tab/>
            </w:r>
          </w:p>
        </w:tc>
        <w:tc>
          <w:tcPr>
            <w:tcW w:w="9179" w:type="dxa"/>
            <w:gridSpan w:val="2"/>
          </w:tcPr>
          <w:p w14:paraId="44755FFD" w14:textId="77777777" w:rsidR="004826EC" w:rsidRPr="002116EA" w:rsidRDefault="00EF0216">
            <w:pPr>
              <w:jc w:val="both"/>
              <w:rPr>
                <w:i/>
                <w:szCs w:val="24"/>
              </w:rPr>
            </w:pPr>
            <w:r w:rsidRPr="002116EA">
              <w:rPr>
                <w:b/>
                <w:bCs/>
                <w:szCs w:val="24"/>
              </w:rPr>
              <w:t>Reikalavimai įgyvendinus projektų veiklas</w:t>
            </w:r>
          </w:p>
        </w:tc>
      </w:tr>
      <w:tr w:rsidR="004826EC" w:rsidRPr="002116EA" w14:paraId="0F1EA277" w14:textId="77777777" w:rsidTr="37AD1130">
        <w:tc>
          <w:tcPr>
            <w:tcW w:w="675" w:type="dxa"/>
            <w:vMerge/>
          </w:tcPr>
          <w:p w14:paraId="4D1C2DD4" w14:textId="77777777" w:rsidR="004826EC" w:rsidRPr="002116EA" w:rsidRDefault="004826EC">
            <w:pPr>
              <w:rPr>
                <w:szCs w:val="24"/>
              </w:rPr>
            </w:pPr>
          </w:p>
          <w:p w14:paraId="4D16F6BB" w14:textId="77777777" w:rsidR="004826EC" w:rsidRPr="002116EA" w:rsidRDefault="00EF0216">
            <w:pPr>
              <w:keepNext/>
              <w:keepLines/>
              <w:ind w:left="576" w:hanging="576"/>
              <w:outlineLvl w:val="1"/>
              <w:rPr>
                <w:color w:val="000000"/>
                <w:szCs w:val="24"/>
              </w:rPr>
            </w:pPr>
            <w:r w:rsidRPr="002116EA">
              <w:rPr>
                <w:b/>
                <w:color w:val="000000"/>
                <w:szCs w:val="24"/>
              </w:rPr>
              <w:t>1.1.</w:t>
            </w:r>
            <w:r w:rsidRPr="002116EA">
              <w:rPr>
                <w:b/>
                <w:color w:val="000000"/>
                <w:szCs w:val="24"/>
              </w:rPr>
              <w:tab/>
            </w:r>
          </w:p>
        </w:tc>
        <w:tc>
          <w:tcPr>
            <w:tcW w:w="9179" w:type="dxa"/>
            <w:gridSpan w:val="2"/>
          </w:tcPr>
          <w:p w14:paraId="6DC9EB39" w14:textId="31C9275F" w:rsidR="00AE4806" w:rsidRPr="002116EA" w:rsidRDefault="00AE4806" w:rsidP="37AD1130">
            <w:pPr>
              <w:tabs>
                <w:tab w:val="left" w:pos="448"/>
                <w:tab w:val="left" w:pos="876"/>
              </w:tabs>
              <w:ind w:firstLine="22"/>
              <w:jc w:val="both"/>
            </w:pPr>
            <w:r w:rsidRPr="37AD1130">
              <w:rPr>
                <w:lang w:val="en-US"/>
              </w:rPr>
              <w:t>1</w:t>
            </w:r>
            <w:r>
              <w:t>.</w:t>
            </w:r>
            <w:r>
              <w:tab/>
              <w:t>Vadovaujantis Lietuvos Respublikos elektros energetikos sistemos sujungimo su kontinentinės Europos elektros tinklais darbui sinchroniniu režimu įstatymo Nr. 6</w:t>
            </w:r>
            <w:r w:rsidRPr="37AD1130">
              <w:rPr>
                <w:vertAlign w:val="superscript"/>
              </w:rPr>
              <w:t>1</w:t>
            </w:r>
            <w:r>
              <w:t xml:space="preserve"> str. 6 d., po</w:t>
            </w:r>
            <w:r w:rsidRPr="37AD1130">
              <w:rPr>
                <w:color w:val="FF0000"/>
              </w:rPr>
              <w:t xml:space="preserve"> </w:t>
            </w:r>
            <w:r>
              <w:t>izoliuoto darbo rezervo paslaugos teikimui reikalingos infrastruktūros įrengimo paskirtasis kaupimo sistemos operatorius savo valdomus elektros energijos kaupimo įrenginius atviro, skaidraus ir nediskriminacinio konkurso būdu, kurio tvarką ir sąlygas nustato Lietuvos Respublikos energetikos ministerija, pasiūlo ir, gavęs konkurso dokumentuose išdėstytas sąlygas atitinkantį pasiūlymą (ar pasiūlymus), perleidžia asmenims, atitinkantiems nacionalinio saugumo interesus ir užtikrinantiems, kad perleidžiami elektros energijos kaupimo įrenginiai neribotą laikotarpį iki jų techninės eksploatacijos pabaigos veiks Lietuvos Respublikos elektros energetikos sistemoje, neprieštaraujant</w:t>
            </w:r>
            <w:r w:rsidR="00E51300">
              <w:t xml:space="preserve"> </w:t>
            </w:r>
            <w:r w:rsidR="00E51300" w:rsidRPr="002116EA">
              <w:rPr>
                <w:szCs w:val="24"/>
              </w:rPr>
              <w:t>2021 m. spalio 28 d. d. EK sprendime Nr. C(2021) dėl valstybės pagalbos Nr. A.63178 – Lietuva. Elektros kaupimo įrenginiai pagal RRF</w:t>
            </w:r>
            <w:r w:rsidR="00E51300">
              <w:rPr>
                <w:szCs w:val="24"/>
              </w:rPr>
              <w:t xml:space="preserve"> (toliau – EK sprendimas)</w:t>
            </w:r>
            <w:r w:rsidR="00E51300">
              <w:t>.</w:t>
            </w:r>
          </w:p>
          <w:p w14:paraId="7651DFB7" w14:textId="4BE440AD" w:rsidR="00AE4806" w:rsidRPr="002116EA" w:rsidRDefault="00AE4806" w:rsidP="37AD1130">
            <w:pPr>
              <w:tabs>
                <w:tab w:val="left" w:pos="448"/>
                <w:tab w:val="left" w:pos="739"/>
              </w:tabs>
              <w:ind w:firstLine="22"/>
              <w:jc w:val="both"/>
              <w:rPr>
                <w:b/>
                <w:bCs/>
              </w:rPr>
            </w:pPr>
            <w:r>
              <w:t>2.</w:t>
            </w:r>
            <w:r>
              <w:tab/>
              <w:t xml:space="preserve">Investicijų tęstinumo reikalavimai taikomi tokia apimtimi, kokia nustatyta EK sprendime. </w:t>
            </w:r>
          </w:p>
          <w:p w14:paraId="3E0072FB" w14:textId="183C86F7" w:rsidR="00AE4806" w:rsidRPr="002116EA" w:rsidRDefault="00AE4806" w:rsidP="00AE4806">
            <w:pPr>
              <w:tabs>
                <w:tab w:val="left" w:pos="448"/>
                <w:tab w:val="left" w:pos="743"/>
              </w:tabs>
              <w:ind w:left="34"/>
              <w:jc w:val="both"/>
            </w:pPr>
            <w:r>
              <w:t xml:space="preserve">3. Iki </w:t>
            </w:r>
            <w:r w:rsidR="0093673F">
              <w:t>PFSA</w:t>
            </w:r>
            <w:r>
              <w:t xml:space="preserve"> 22 punkte nustatytų sąlygų įgyvendinimo bus patvirtinta Lietuvos Respublikos energetikos ministerijos tvarka, kurioje bus nustatytos taisyklės dėl EK sprendimo 11, 37, 44-51 dalių nuostatų įgyvendinimo (Taisyklės). Projekto vykdytojas, Taisyklėmis privalo užtikrinti susigrąžinimo mechanizmo taikymą:</w:t>
            </w:r>
          </w:p>
          <w:p w14:paraId="3247D8A2" w14:textId="5495D332" w:rsidR="00AE4806" w:rsidRPr="002116EA" w:rsidRDefault="0039087C" w:rsidP="00AE4806">
            <w:pPr>
              <w:tabs>
                <w:tab w:val="left" w:pos="734"/>
              </w:tabs>
              <w:ind w:left="34" w:firstLine="287"/>
              <w:jc w:val="both"/>
            </w:pPr>
            <w:r>
              <w:t>3</w:t>
            </w:r>
            <w:r w:rsidR="00AE4806">
              <w:t xml:space="preserve">.1. Užbaigus elektros energijos kaupimo įrenginių pardavimo procedūras, kaip numatyta šio </w:t>
            </w:r>
            <w:r w:rsidR="00C116C9">
              <w:t>PFSA</w:t>
            </w:r>
            <w:r w:rsidR="00AE4806">
              <w:t xml:space="preserve"> 22 p., gautas pardavimo pajamas, išskyrus su Projekto vykdytojo įsteigimu ir veiklos vykdymu (tiek iki, tiek po jo paskyrimo paskirtuoju kaupimo sistemos operatoriumi 2021 m. liepos 28 d. Lietuvos Respublikos Vyriausybės nutarimu Nr. 590 „Dėl elektros energijos kaupimo įrenginių sistemos operatoriaus paskyrimo“) - susijusius patirtus veiklos ir kapitalo kaštus, nekompensuotus ir (ar) nepakankamai kompensuotus per reguliuojamų paslaugų kainas izoliuoto darbo rezervo paslaugos teikimu laikotarpiu, įvertinus nuosavas Projekto vykdytojo ir ES finansavimo (pagal EK sprendimą) lėšas), privalės grąžinti į valstybės biudžetą Taisyklėse nustatyta tvarka.</w:t>
            </w:r>
          </w:p>
          <w:p w14:paraId="094E8357" w14:textId="1022AF6F" w:rsidR="00AE4806" w:rsidRPr="002116EA" w:rsidRDefault="0039087C" w:rsidP="00AE4806">
            <w:pPr>
              <w:tabs>
                <w:tab w:val="left" w:pos="743"/>
              </w:tabs>
              <w:ind w:left="34" w:firstLine="284"/>
              <w:jc w:val="both"/>
            </w:pPr>
            <w:r>
              <w:t>3</w:t>
            </w:r>
            <w:r w:rsidR="00AE4806">
              <w:t>.2. Įvykdžius</w:t>
            </w:r>
            <w:r w:rsidR="00C116C9">
              <w:t xml:space="preserve"> </w:t>
            </w:r>
            <w:r w:rsidR="008376B6">
              <w:rPr>
                <w:lang w:val="en-US"/>
              </w:rPr>
              <w:t xml:space="preserve">3.1. </w:t>
            </w:r>
            <w:r w:rsidR="008376B6">
              <w:t>punkte nurodytus</w:t>
            </w:r>
            <w:r w:rsidR="00AE4806">
              <w:t xml:space="preserve"> reikalavimus, administruojančiajai institucijai pateikti metinės finansinės atskaitomybės dokumentų kopijas už laikotarpį nuo projekto įgyvendinimo pabaigos iki 24.1 p. įvykdymo fakto (jeigu projekto vykdytojas šių dokumentų nėra pateikęs Juridinių asmenų registrui) ir paskutinio ketvirčio iki 24.1 p. įvykdymo fakto projekto vykdytojo tarpinės finansinės atskaitomybės dokumentus, pasirašytus įmonės/įstaigos direktoriaus. Taip pat, lėšų, nurodytų 24.1 p., grąžinimo į valstybės biudžetą faktą patvirtinančius dokumentus.  </w:t>
            </w:r>
          </w:p>
          <w:p w14:paraId="0504402D" w14:textId="3D1590F7" w:rsidR="0093673F" w:rsidRPr="0093673F" w:rsidRDefault="0039087C" w:rsidP="0093673F">
            <w:pPr>
              <w:jc w:val="both"/>
            </w:pPr>
            <w:r>
              <w:lastRenderedPageBreak/>
              <w:t>4</w:t>
            </w:r>
            <w:r w:rsidR="00AE4806">
              <w:t>. Neįvykus elektros energijos kaupimo įrenginių pardavimui per EK sprendimo 44 dalyje numatytą terminą</w:t>
            </w:r>
            <w:r w:rsidR="00AE4806" w:rsidRPr="37AD1130">
              <w:rPr>
                <w:b/>
                <w:bCs/>
              </w:rPr>
              <w:t xml:space="preserve">, </w:t>
            </w:r>
            <w:r w:rsidR="00AE4806">
              <w:t>turi būti teikiamas pranešimas Europos Komisijai dėl EK sprendimo pakeitimo.</w:t>
            </w:r>
          </w:p>
        </w:tc>
      </w:tr>
      <w:tr w:rsidR="004826EC" w:rsidRPr="002116EA" w14:paraId="5DE3F5AC" w14:textId="77777777" w:rsidTr="37AD1130">
        <w:tc>
          <w:tcPr>
            <w:tcW w:w="675" w:type="dxa"/>
          </w:tcPr>
          <w:p w14:paraId="254B77D7" w14:textId="77777777" w:rsidR="004826EC" w:rsidRPr="002116EA" w:rsidRDefault="004826EC">
            <w:pPr>
              <w:rPr>
                <w:szCs w:val="24"/>
              </w:rPr>
            </w:pPr>
          </w:p>
          <w:p w14:paraId="5B4126F4" w14:textId="77777777" w:rsidR="004826EC" w:rsidRPr="002116EA" w:rsidRDefault="00EF0216">
            <w:pPr>
              <w:keepNext/>
              <w:keepLines/>
              <w:ind w:left="576" w:hanging="576"/>
              <w:outlineLvl w:val="1"/>
              <w:rPr>
                <w:color w:val="000000"/>
                <w:szCs w:val="24"/>
              </w:rPr>
            </w:pPr>
            <w:r w:rsidRPr="002116EA">
              <w:rPr>
                <w:b/>
                <w:color w:val="000000"/>
                <w:szCs w:val="24"/>
              </w:rPr>
              <w:t>1.7.</w:t>
            </w:r>
            <w:r w:rsidRPr="002116EA">
              <w:rPr>
                <w:b/>
                <w:color w:val="000000"/>
                <w:szCs w:val="24"/>
              </w:rPr>
              <w:tab/>
            </w:r>
          </w:p>
        </w:tc>
        <w:tc>
          <w:tcPr>
            <w:tcW w:w="3151" w:type="dxa"/>
          </w:tcPr>
          <w:p w14:paraId="6D805327" w14:textId="77777777" w:rsidR="004826EC" w:rsidRPr="002116EA" w:rsidRDefault="00EF0216">
            <w:pPr>
              <w:jc w:val="both"/>
              <w:rPr>
                <w:b/>
                <w:szCs w:val="24"/>
              </w:rPr>
            </w:pPr>
            <w:r w:rsidRPr="002116EA">
              <w:rPr>
                <w:b/>
                <w:szCs w:val="24"/>
              </w:rPr>
              <w:t xml:space="preserve">Projektų įgyvendinimo trukmė </w:t>
            </w:r>
          </w:p>
        </w:tc>
        <w:tc>
          <w:tcPr>
            <w:tcW w:w="6028" w:type="dxa"/>
          </w:tcPr>
          <w:p w14:paraId="7EBADD80" w14:textId="77777777" w:rsidR="001941E3" w:rsidRPr="002116EA" w:rsidRDefault="00FC4B42" w:rsidP="001941E3">
            <w:pPr>
              <w:jc w:val="both"/>
              <w:rPr>
                <w:iCs/>
                <w:szCs w:val="24"/>
              </w:rPr>
            </w:pPr>
            <w:r w:rsidRPr="002116EA">
              <w:rPr>
                <w:iCs/>
                <w:szCs w:val="24"/>
              </w:rPr>
              <w:t>Projekto veiklos turi būti įgyvendintos iki  2022 m. gruodžio 31 d</w:t>
            </w:r>
            <w:r w:rsidR="0049531F" w:rsidRPr="002116EA">
              <w:rPr>
                <w:iCs/>
                <w:szCs w:val="24"/>
              </w:rPr>
              <w:t>.</w:t>
            </w:r>
            <w:r w:rsidR="00F432A7" w:rsidRPr="002116EA">
              <w:rPr>
                <w:iCs/>
                <w:szCs w:val="24"/>
              </w:rPr>
              <w:t xml:space="preserve"> </w:t>
            </w:r>
          </w:p>
          <w:p w14:paraId="6F02EA50" w14:textId="17AE489F" w:rsidR="004826EC" w:rsidRPr="002116EA" w:rsidRDefault="004826EC" w:rsidP="001941E3">
            <w:pPr>
              <w:jc w:val="both"/>
              <w:rPr>
                <w:i/>
                <w:iCs/>
                <w:color w:val="808080"/>
                <w:szCs w:val="24"/>
              </w:rPr>
            </w:pPr>
          </w:p>
        </w:tc>
      </w:tr>
      <w:tr w:rsidR="004826EC" w:rsidRPr="002116EA" w14:paraId="509C9A4D" w14:textId="77777777" w:rsidTr="37AD1130">
        <w:tc>
          <w:tcPr>
            <w:tcW w:w="675" w:type="dxa"/>
          </w:tcPr>
          <w:p w14:paraId="0D54B602" w14:textId="77777777" w:rsidR="004826EC" w:rsidRPr="002116EA" w:rsidRDefault="004826EC">
            <w:pPr>
              <w:rPr>
                <w:szCs w:val="24"/>
              </w:rPr>
            </w:pPr>
          </w:p>
          <w:p w14:paraId="05D71B22" w14:textId="77777777" w:rsidR="004826EC" w:rsidRPr="002116EA" w:rsidRDefault="00EF0216">
            <w:pPr>
              <w:keepNext/>
              <w:keepLines/>
              <w:ind w:left="576" w:hanging="576"/>
              <w:outlineLvl w:val="1"/>
              <w:rPr>
                <w:color w:val="000000"/>
                <w:szCs w:val="24"/>
              </w:rPr>
            </w:pPr>
            <w:r w:rsidRPr="002116EA">
              <w:rPr>
                <w:b/>
                <w:color w:val="000000"/>
                <w:szCs w:val="24"/>
              </w:rPr>
              <w:t>1.8.</w:t>
            </w:r>
            <w:r w:rsidRPr="002116EA">
              <w:rPr>
                <w:b/>
                <w:color w:val="000000"/>
                <w:szCs w:val="24"/>
              </w:rPr>
              <w:tab/>
            </w:r>
          </w:p>
        </w:tc>
        <w:tc>
          <w:tcPr>
            <w:tcW w:w="3151" w:type="dxa"/>
          </w:tcPr>
          <w:p w14:paraId="2838A7DE" w14:textId="77777777" w:rsidR="004826EC" w:rsidRPr="002116EA" w:rsidRDefault="00EF0216">
            <w:pPr>
              <w:jc w:val="both"/>
              <w:rPr>
                <w:b/>
                <w:szCs w:val="24"/>
              </w:rPr>
            </w:pPr>
            <w:r w:rsidRPr="002116EA">
              <w:rPr>
                <w:b/>
                <w:szCs w:val="24"/>
              </w:rPr>
              <w:t>Regionas, kuriam gali būti priskiriami projektai</w:t>
            </w:r>
          </w:p>
        </w:tc>
        <w:tc>
          <w:tcPr>
            <w:tcW w:w="6028" w:type="dxa"/>
          </w:tcPr>
          <w:p w14:paraId="208CB230" w14:textId="62D8708D" w:rsidR="004826EC" w:rsidRPr="002116EA" w:rsidRDefault="00AA1F54">
            <w:pPr>
              <w:jc w:val="both"/>
              <w:rPr>
                <w:i/>
                <w:iCs/>
                <w:color w:val="808080"/>
                <w:szCs w:val="24"/>
              </w:rPr>
            </w:pPr>
            <w:r w:rsidRPr="002116EA">
              <w:rPr>
                <w:iCs/>
                <w:szCs w:val="24"/>
              </w:rPr>
              <w:t>Netaikoma</w:t>
            </w:r>
          </w:p>
        </w:tc>
      </w:tr>
      <w:tr w:rsidR="004826EC" w:rsidRPr="002116EA" w14:paraId="0103D57F" w14:textId="77777777" w:rsidTr="37AD1130">
        <w:tc>
          <w:tcPr>
            <w:tcW w:w="675" w:type="dxa"/>
          </w:tcPr>
          <w:p w14:paraId="22D86506" w14:textId="77777777" w:rsidR="004826EC" w:rsidRPr="002116EA" w:rsidRDefault="004826EC">
            <w:pPr>
              <w:rPr>
                <w:szCs w:val="24"/>
              </w:rPr>
            </w:pPr>
          </w:p>
          <w:p w14:paraId="62A863FB" w14:textId="77777777" w:rsidR="004826EC" w:rsidRPr="002116EA" w:rsidRDefault="00EF0216">
            <w:pPr>
              <w:keepNext/>
              <w:keepLines/>
              <w:ind w:left="576" w:hanging="576"/>
              <w:outlineLvl w:val="1"/>
              <w:rPr>
                <w:color w:val="000000"/>
                <w:szCs w:val="24"/>
              </w:rPr>
            </w:pPr>
            <w:r w:rsidRPr="002116EA">
              <w:rPr>
                <w:b/>
                <w:color w:val="000000"/>
                <w:szCs w:val="24"/>
              </w:rPr>
              <w:t>1.9.</w:t>
            </w:r>
            <w:r w:rsidRPr="002116EA">
              <w:rPr>
                <w:b/>
                <w:color w:val="000000"/>
                <w:szCs w:val="24"/>
              </w:rPr>
              <w:tab/>
            </w:r>
          </w:p>
        </w:tc>
        <w:tc>
          <w:tcPr>
            <w:tcW w:w="3151" w:type="dxa"/>
          </w:tcPr>
          <w:p w14:paraId="711074FD" w14:textId="77777777" w:rsidR="004826EC" w:rsidRPr="002116EA" w:rsidRDefault="00EF0216">
            <w:pPr>
              <w:jc w:val="both"/>
              <w:rPr>
                <w:b/>
                <w:szCs w:val="24"/>
              </w:rPr>
            </w:pPr>
            <w:r w:rsidRPr="002116EA">
              <w:rPr>
                <w:b/>
                <w:szCs w:val="24"/>
              </w:rPr>
              <w:t xml:space="preserve">Reikalavimai valstybės pagalbai </w:t>
            </w:r>
          </w:p>
        </w:tc>
        <w:tc>
          <w:tcPr>
            <w:tcW w:w="6028" w:type="dxa"/>
          </w:tcPr>
          <w:p w14:paraId="30518460" w14:textId="2AF27122" w:rsidR="002B21C1" w:rsidRPr="00B05ACF" w:rsidRDefault="002B21C1" w:rsidP="00F31395">
            <w:pPr>
              <w:tabs>
                <w:tab w:val="left" w:pos="306"/>
                <w:tab w:val="left" w:pos="610"/>
                <w:tab w:val="left" w:pos="739"/>
                <w:tab w:val="left" w:pos="780"/>
              </w:tabs>
              <w:ind w:left="30" w:hanging="8"/>
              <w:jc w:val="both"/>
              <w:rPr>
                <w:iCs/>
                <w:szCs w:val="24"/>
              </w:rPr>
            </w:pPr>
            <w:r w:rsidRPr="00B05ACF">
              <w:rPr>
                <w:bCs/>
                <w:iCs/>
                <w:szCs w:val="24"/>
                <w:lang w:val="en-US"/>
              </w:rPr>
              <w:t xml:space="preserve">1. </w:t>
            </w:r>
            <w:r w:rsidRPr="00B05ACF">
              <w:rPr>
                <w:bCs/>
                <w:iCs/>
                <w:szCs w:val="24"/>
              </w:rPr>
              <w:t>P</w:t>
            </w:r>
            <w:r w:rsidRPr="00B05ACF">
              <w:rPr>
                <w:iCs/>
                <w:szCs w:val="24"/>
              </w:rPr>
              <w:t xml:space="preserve">agal </w:t>
            </w:r>
            <w:r w:rsidR="003219B3" w:rsidRPr="00B05ACF">
              <w:rPr>
                <w:iCs/>
                <w:szCs w:val="24"/>
              </w:rPr>
              <w:t>PFSA</w:t>
            </w:r>
            <w:r w:rsidRPr="00B05ACF">
              <w:rPr>
                <w:iCs/>
                <w:szCs w:val="24"/>
              </w:rPr>
              <w:t xml:space="preserve"> projekto veiklų finansavimas yra valstybės pagalba, teikiama pagal Sutarties dėl Europos Sąjungos veikimo 107 straipsnio 3 punkto c dalį, EK sprendimą, apie visus ketinimus suteikti ar pakeisti pagalbą Europos Komisija turi būti laiku informuojama, kad ji galėtų pateikti savo pastabas. Priėmusi sprendimą finansuoti projektą, Energetikos ministerija per 20 darbo dienas registruoja suteiktos valstybės pagalbos sumą Suteiktos valstybės pagalbos ir nereikšmingos (de </w:t>
            </w:r>
            <w:proofErr w:type="spellStart"/>
            <w:r w:rsidRPr="00B05ACF">
              <w:rPr>
                <w:iCs/>
                <w:szCs w:val="24"/>
              </w:rPr>
              <w:t>minimis</w:t>
            </w:r>
            <w:proofErr w:type="spellEnd"/>
            <w:r w:rsidRPr="00B05ACF">
              <w:rPr>
                <w:iCs/>
                <w:szCs w:val="24"/>
              </w:rPr>
              <w:t>) pagalbos registre.</w:t>
            </w:r>
          </w:p>
          <w:p w14:paraId="425012F8" w14:textId="641F7B8A" w:rsidR="002B21C1" w:rsidRPr="00B05ACF" w:rsidRDefault="002B21C1" w:rsidP="00F31395">
            <w:pPr>
              <w:tabs>
                <w:tab w:val="left" w:pos="306"/>
                <w:tab w:val="left" w:pos="610"/>
                <w:tab w:val="left" w:pos="780"/>
              </w:tabs>
              <w:ind w:left="30" w:hanging="8"/>
              <w:jc w:val="both"/>
              <w:rPr>
                <w:iCs/>
                <w:szCs w:val="24"/>
              </w:rPr>
            </w:pPr>
            <w:r w:rsidRPr="00B05ACF">
              <w:rPr>
                <w:bCs/>
                <w:iCs/>
                <w:szCs w:val="24"/>
              </w:rPr>
              <w:t>2.</w:t>
            </w:r>
            <w:r w:rsidRPr="00B05ACF">
              <w:rPr>
                <w:bCs/>
                <w:iCs/>
                <w:szCs w:val="24"/>
              </w:rPr>
              <w:tab/>
            </w:r>
            <w:r w:rsidRPr="00B05ACF">
              <w:rPr>
                <w:iCs/>
                <w:szCs w:val="24"/>
              </w:rPr>
              <w:t xml:space="preserve">Projekto įgyvendinimo pradžia suvokiama taip, kaip darbų pradžia, apibrėžta </w:t>
            </w:r>
            <w:r w:rsidR="00997872" w:rsidRPr="00B05ACF">
              <w:rPr>
                <w:iCs/>
                <w:szCs w:val="24"/>
              </w:rPr>
              <w:t xml:space="preserve">2014–2020 m. Valstybės pagalbos aplinkos apsaugai ir energetikai gairių (2014/C 200/01) (toliau – Gairės) dėl valstybės pagalbos </w:t>
            </w:r>
            <w:r w:rsidRPr="00B05ACF">
              <w:rPr>
                <w:iCs/>
                <w:szCs w:val="24"/>
              </w:rPr>
              <w:t>1 skyriaus 19 punkto 44 papunktyje.</w:t>
            </w:r>
          </w:p>
          <w:p w14:paraId="14F4817F" w14:textId="5A18B472" w:rsidR="002B21C1" w:rsidRPr="00B05ACF" w:rsidRDefault="002B21C1" w:rsidP="00F31395">
            <w:pPr>
              <w:tabs>
                <w:tab w:val="left" w:pos="306"/>
                <w:tab w:val="left" w:pos="881"/>
              </w:tabs>
              <w:ind w:left="30" w:hanging="8"/>
              <w:jc w:val="both"/>
              <w:rPr>
                <w:iCs/>
                <w:szCs w:val="24"/>
              </w:rPr>
            </w:pPr>
            <w:r w:rsidRPr="00B05ACF">
              <w:rPr>
                <w:bCs/>
                <w:iCs/>
                <w:szCs w:val="24"/>
              </w:rPr>
              <w:t>3.</w:t>
            </w:r>
            <w:r w:rsidRPr="00B05ACF">
              <w:rPr>
                <w:bCs/>
                <w:iCs/>
                <w:szCs w:val="24"/>
              </w:rPr>
              <w:tab/>
            </w:r>
            <w:r w:rsidRPr="00B05ACF">
              <w:rPr>
                <w:iCs/>
                <w:szCs w:val="24"/>
              </w:rPr>
              <w:t>Valstybės pagalba neteikiama sunkumų patiriančioms įmonėms, kaip nustatyta Gairių 1 skyriaus 16 punkte.</w:t>
            </w:r>
          </w:p>
          <w:p w14:paraId="357B8400" w14:textId="77777777" w:rsidR="004826EC" w:rsidRPr="00B05ACF" w:rsidRDefault="002B21C1" w:rsidP="00F31395">
            <w:pPr>
              <w:jc w:val="both"/>
              <w:rPr>
                <w:szCs w:val="24"/>
                <w:lang w:val="en-US"/>
              </w:rPr>
            </w:pPr>
            <w:r w:rsidRPr="00B05ACF">
              <w:rPr>
                <w:szCs w:val="24"/>
              </w:rPr>
              <w:t>4. Reikalavimai pareiškėjui nustatyti 2021 m. spalio 28 d. d. EK sprendime Nr. C(2021) dėl valstybės pagalbos Nr. A.63178 – Lietuva. Elektros kaupimo įrenginiai pagal RRF</w:t>
            </w:r>
            <w:r w:rsidRPr="00B05ACF">
              <w:rPr>
                <w:szCs w:val="24"/>
                <w:lang w:val="en-US"/>
              </w:rPr>
              <w:t>.</w:t>
            </w:r>
          </w:p>
          <w:p w14:paraId="1F6501D4" w14:textId="5E83D328" w:rsidR="0033791D" w:rsidRPr="002116EA" w:rsidRDefault="0033791D" w:rsidP="00997872">
            <w:pPr>
              <w:tabs>
                <w:tab w:val="left" w:pos="306"/>
                <w:tab w:val="left" w:pos="881"/>
              </w:tabs>
              <w:jc w:val="both"/>
              <w:rPr>
                <w:szCs w:val="24"/>
                <w:lang w:val="en-US"/>
              </w:rPr>
            </w:pPr>
          </w:p>
        </w:tc>
      </w:tr>
      <w:tr w:rsidR="004826EC" w:rsidRPr="002116EA" w14:paraId="578C30EF" w14:textId="77777777" w:rsidTr="37AD1130">
        <w:tc>
          <w:tcPr>
            <w:tcW w:w="675" w:type="dxa"/>
          </w:tcPr>
          <w:p w14:paraId="0B221473" w14:textId="77777777" w:rsidR="004826EC" w:rsidRPr="002116EA" w:rsidRDefault="004826EC">
            <w:pPr>
              <w:rPr>
                <w:szCs w:val="24"/>
              </w:rPr>
            </w:pPr>
          </w:p>
          <w:p w14:paraId="357732CE" w14:textId="77777777" w:rsidR="004826EC" w:rsidRPr="002116EA" w:rsidRDefault="00EF0216">
            <w:pPr>
              <w:keepNext/>
              <w:keepLines/>
              <w:ind w:left="576" w:hanging="576"/>
              <w:outlineLvl w:val="1"/>
              <w:rPr>
                <w:color w:val="000000"/>
                <w:szCs w:val="24"/>
              </w:rPr>
            </w:pPr>
            <w:r w:rsidRPr="002116EA">
              <w:rPr>
                <w:b/>
                <w:color w:val="000000"/>
                <w:szCs w:val="24"/>
              </w:rPr>
              <w:t>1.10.</w:t>
            </w:r>
            <w:r w:rsidRPr="002116EA">
              <w:rPr>
                <w:b/>
                <w:color w:val="000000"/>
                <w:szCs w:val="24"/>
              </w:rPr>
              <w:tab/>
            </w:r>
          </w:p>
        </w:tc>
        <w:tc>
          <w:tcPr>
            <w:tcW w:w="3151" w:type="dxa"/>
          </w:tcPr>
          <w:p w14:paraId="38E4E290" w14:textId="77777777" w:rsidR="004826EC" w:rsidRPr="002116EA" w:rsidRDefault="00EF0216">
            <w:pPr>
              <w:rPr>
                <w:szCs w:val="24"/>
              </w:rPr>
            </w:pPr>
            <w:r w:rsidRPr="002116EA">
              <w:rPr>
                <w:b/>
                <w:szCs w:val="24"/>
              </w:rPr>
              <w:t>Bendrieji teisės aktai</w:t>
            </w:r>
          </w:p>
        </w:tc>
        <w:tc>
          <w:tcPr>
            <w:tcW w:w="6028" w:type="dxa"/>
          </w:tcPr>
          <w:p w14:paraId="50137DF3" w14:textId="77777777" w:rsidR="003A4A50" w:rsidRPr="003219B3" w:rsidRDefault="003A4A50" w:rsidP="00F31395">
            <w:pPr>
              <w:pStyle w:val="pf1"/>
              <w:numPr>
                <w:ilvl w:val="0"/>
                <w:numId w:val="4"/>
              </w:numPr>
              <w:jc w:val="both"/>
              <w:rPr>
                <w:iCs/>
                <w:lang w:eastAsia="en-US"/>
              </w:rPr>
            </w:pPr>
            <w:r w:rsidRPr="003219B3">
              <w:rPr>
                <w:iCs/>
                <w:lang w:eastAsia="en-US"/>
              </w:rPr>
              <w:t xml:space="preserve">2021 m. vasario 12 d. Europos Parlamento ir Tarybos reglamentas (ES) 2021/241, kuriuo nustatoma ekonomikos gaivinimo ir atsparumo didinimo priemonė; </w:t>
            </w:r>
          </w:p>
          <w:p w14:paraId="36E8A23F" w14:textId="57FAAA6C" w:rsidR="003A4A50" w:rsidRPr="00E044D8" w:rsidRDefault="003A4A50" w:rsidP="00F31395">
            <w:pPr>
              <w:pStyle w:val="pf1"/>
              <w:numPr>
                <w:ilvl w:val="0"/>
                <w:numId w:val="4"/>
              </w:numPr>
              <w:jc w:val="both"/>
              <w:rPr>
                <w:iCs/>
                <w:lang w:eastAsia="en-US"/>
              </w:rPr>
            </w:pPr>
            <w:r w:rsidRPr="003219B3">
              <w:rPr>
                <w:iCs/>
                <w:lang w:eastAsia="en-US"/>
              </w:rPr>
              <w:t>2021 m. liepos 26 d. Europos Sąjungos Tarybos</w:t>
            </w:r>
            <w:r w:rsidR="00FE4CCB" w:rsidRPr="003219B3">
              <w:rPr>
                <w:iCs/>
                <w:lang w:eastAsia="en-US"/>
              </w:rPr>
              <w:t xml:space="preserve"> sprendimas</w:t>
            </w:r>
            <w:r w:rsidRPr="003219B3">
              <w:rPr>
                <w:iCs/>
                <w:lang w:eastAsia="en-US"/>
              </w:rPr>
              <w:t xml:space="preserve"> </w:t>
            </w:r>
            <w:r w:rsidR="00FE4CCB" w:rsidRPr="003219B3">
              <w:rPr>
                <w:iCs/>
                <w:lang w:eastAsia="en-US"/>
              </w:rPr>
              <w:t xml:space="preserve">dėl </w:t>
            </w:r>
            <w:r w:rsidRPr="003219B3">
              <w:rPr>
                <w:iCs/>
                <w:lang w:eastAsia="en-US"/>
              </w:rPr>
              <w:t>Ekonomikos gaivinimo ir atsparumo didinimo plan</w:t>
            </w:r>
            <w:r w:rsidR="00FE4CCB" w:rsidRPr="003219B3">
              <w:rPr>
                <w:iCs/>
                <w:lang w:eastAsia="en-US"/>
              </w:rPr>
              <w:t>o</w:t>
            </w:r>
            <w:r w:rsidRPr="003219B3">
              <w:rPr>
                <w:iCs/>
                <w:lang w:eastAsia="en-US"/>
              </w:rPr>
              <w:t xml:space="preserve"> „Naujos kartos Lietuva“</w:t>
            </w:r>
            <w:r w:rsidR="00FE4CCB" w:rsidRPr="003219B3">
              <w:rPr>
                <w:iCs/>
                <w:lang w:eastAsia="en-US"/>
              </w:rPr>
              <w:t xml:space="preserve"> patvirtinimo</w:t>
            </w:r>
            <w:r w:rsidR="00FE4CCB" w:rsidRPr="003219B3">
              <w:rPr>
                <w:i/>
                <w:lang w:eastAsia="en-US"/>
              </w:rPr>
              <w:t>;</w:t>
            </w:r>
          </w:p>
          <w:p w14:paraId="41C135D8" w14:textId="065508D8" w:rsidR="00E044D8" w:rsidRPr="002116EA" w:rsidRDefault="00E044D8" w:rsidP="00F31395">
            <w:pPr>
              <w:pStyle w:val="ListParagraph"/>
              <w:numPr>
                <w:ilvl w:val="0"/>
                <w:numId w:val="4"/>
              </w:numPr>
              <w:tabs>
                <w:tab w:val="left" w:pos="873"/>
              </w:tabs>
              <w:ind w:right="312"/>
              <w:jc w:val="both"/>
              <w:rPr>
                <w:shd w:val="clear" w:color="auto" w:fill="FFFFFF"/>
              </w:rPr>
            </w:pPr>
            <w:r w:rsidRPr="37AD1130">
              <w:rPr>
                <w:shd w:val="clear" w:color="auto" w:fill="FFFFFF"/>
              </w:rPr>
              <w:t>Lietuvos Respublikos Vyriausybės 2020 m. lapkričio 25 d. nutarimas Nr. 1322 „Dėl pasirengimo administruoti Europos Sąjungos fondų lėšas“, kuriuo patvirtintas vadovaujančiosios, administruojančiosios ir audito institucijų funkcijų, įgyvendinant Ekonomikos gaivinimo ir atsparumo didinimo planą „Naujos kartos Lietuva“, paskirstymo taisykles, reglamentuojančias Ekonomikos gaivinimo ir atsparumo didinimo plano „Naujos kartos Lietuva“ vadovaujančiosios institucijos, Plano administruojančiosios institucijos ir Plano audito institucijos funkcijas ir teises</w:t>
            </w:r>
            <w:r w:rsidR="00B05ACF">
              <w:rPr>
                <w:shd w:val="clear" w:color="auto" w:fill="FFFFFF"/>
              </w:rPr>
              <w:t>;</w:t>
            </w:r>
          </w:p>
          <w:p w14:paraId="4668E90B" w14:textId="77777777" w:rsidR="00E044D8" w:rsidRPr="003219B3" w:rsidRDefault="00E044D8" w:rsidP="00F31395">
            <w:pPr>
              <w:pStyle w:val="pf1"/>
              <w:numPr>
                <w:ilvl w:val="0"/>
                <w:numId w:val="4"/>
              </w:numPr>
              <w:jc w:val="both"/>
              <w:rPr>
                <w:iCs/>
                <w:lang w:eastAsia="en-US"/>
              </w:rPr>
            </w:pPr>
          </w:p>
          <w:p w14:paraId="3FD488AD" w14:textId="2B20046E" w:rsidR="004826EC" w:rsidRPr="001C3F1A" w:rsidRDefault="003A4A50" w:rsidP="00F31395">
            <w:pPr>
              <w:pStyle w:val="pf1"/>
              <w:numPr>
                <w:ilvl w:val="0"/>
                <w:numId w:val="4"/>
              </w:numPr>
              <w:jc w:val="both"/>
              <w:rPr>
                <w:iCs/>
                <w:lang w:eastAsia="en-US"/>
              </w:rPr>
            </w:pPr>
            <w:r w:rsidRPr="003219B3">
              <w:rPr>
                <w:iCs/>
                <w:lang w:eastAsia="en-US"/>
              </w:rPr>
              <w:lastRenderedPageBreak/>
              <w:t>2021 m. liepos 7 d. Lietuvos Respublikos finansų ministro įsakym</w:t>
            </w:r>
            <w:r w:rsidR="00FE4CCB" w:rsidRPr="003219B3">
              <w:rPr>
                <w:iCs/>
                <w:lang w:eastAsia="en-US"/>
              </w:rPr>
              <w:t>as</w:t>
            </w:r>
            <w:r w:rsidRPr="003219B3">
              <w:rPr>
                <w:iCs/>
                <w:lang w:eastAsia="en-US"/>
              </w:rPr>
              <w:t xml:space="preserve"> Nr. 1K-240 „Dėl 2021–2027 metų Europos Sąjungos fondų ir ekonomikos gaivinimo ir atsparumo didinimo priemonės lėšomis finansuojamų ar iš dalies finansuojamų projektų įgyvendinimo laikinosios tvarkos aprašo patvirtinimo“ (toliau – Laikinoji tvarka).</w:t>
            </w:r>
          </w:p>
        </w:tc>
      </w:tr>
      <w:tr w:rsidR="004826EC" w:rsidRPr="002116EA" w14:paraId="44084523" w14:textId="77777777" w:rsidTr="37AD1130">
        <w:tc>
          <w:tcPr>
            <w:tcW w:w="675" w:type="dxa"/>
          </w:tcPr>
          <w:p w14:paraId="383E23BB" w14:textId="77777777" w:rsidR="004826EC" w:rsidRPr="002116EA" w:rsidRDefault="004826EC">
            <w:pPr>
              <w:rPr>
                <w:szCs w:val="24"/>
              </w:rPr>
            </w:pPr>
          </w:p>
          <w:p w14:paraId="42ED8DC8" w14:textId="77777777" w:rsidR="004826EC" w:rsidRPr="002116EA" w:rsidRDefault="00EF0216">
            <w:pPr>
              <w:keepNext/>
              <w:keepLines/>
              <w:ind w:left="576" w:hanging="576"/>
              <w:outlineLvl w:val="1"/>
              <w:rPr>
                <w:color w:val="000000"/>
                <w:szCs w:val="24"/>
              </w:rPr>
            </w:pPr>
            <w:r w:rsidRPr="002116EA">
              <w:rPr>
                <w:b/>
                <w:color w:val="000000"/>
                <w:szCs w:val="24"/>
              </w:rPr>
              <w:t>1.11.</w:t>
            </w:r>
            <w:r w:rsidRPr="002116EA">
              <w:rPr>
                <w:b/>
                <w:color w:val="000000"/>
                <w:szCs w:val="24"/>
              </w:rPr>
              <w:tab/>
            </w:r>
          </w:p>
        </w:tc>
        <w:tc>
          <w:tcPr>
            <w:tcW w:w="3151" w:type="dxa"/>
          </w:tcPr>
          <w:p w14:paraId="2E650B1F" w14:textId="77777777" w:rsidR="004826EC" w:rsidRPr="002116EA" w:rsidRDefault="00EF0216">
            <w:pPr>
              <w:rPr>
                <w:szCs w:val="24"/>
              </w:rPr>
            </w:pPr>
            <w:r w:rsidRPr="002116EA">
              <w:rPr>
                <w:b/>
                <w:szCs w:val="24"/>
              </w:rPr>
              <w:t>Specialieji teisės aktai</w:t>
            </w:r>
          </w:p>
        </w:tc>
        <w:tc>
          <w:tcPr>
            <w:tcW w:w="6028" w:type="dxa"/>
          </w:tcPr>
          <w:p w14:paraId="39651517" w14:textId="64203ACE" w:rsidR="008F06AE" w:rsidRPr="00133D04" w:rsidRDefault="00D02415" w:rsidP="00F31395">
            <w:pPr>
              <w:pStyle w:val="ListParagraph"/>
              <w:numPr>
                <w:ilvl w:val="0"/>
                <w:numId w:val="4"/>
              </w:numPr>
              <w:tabs>
                <w:tab w:val="left" w:pos="873"/>
              </w:tabs>
              <w:ind w:right="312"/>
              <w:jc w:val="both"/>
              <w:rPr>
                <w:szCs w:val="24"/>
                <w:shd w:val="clear" w:color="auto" w:fill="FFFFFF"/>
              </w:rPr>
            </w:pPr>
            <w:r w:rsidRPr="00133D04">
              <w:rPr>
                <w:szCs w:val="24"/>
                <w:shd w:val="clear" w:color="auto" w:fill="FFFFFF"/>
              </w:rPr>
              <w:t>Lietuvos Respublikos energetikos ministro 2022 m. kovo 2 d. įsakymu</w:t>
            </w:r>
            <w:r w:rsidR="00133D04" w:rsidRPr="00133D04">
              <w:rPr>
                <w:szCs w:val="24"/>
                <w:shd w:val="clear" w:color="auto" w:fill="FFFFFF"/>
              </w:rPr>
              <w:t xml:space="preserve"> Nr. 1-86</w:t>
            </w:r>
            <w:r w:rsidRPr="00133D04">
              <w:rPr>
                <w:szCs w:val="24"/>
                <w:shd w:val="clear" w:color="auto" w:fill="FFFFFF"/>
              </w:rPr>
              <w:t xml:space="preserve"> patvirtintas</w:t>
            </w:r>
            <w:r w:rsidR="00133D04" w:rsidRPr="00133D04">
              <w:rPr>
                <w:szCs w:val="24"/>
                <w:shd w:val="clear" w:color="auto" w:fill="FFFFFF"/>
              </w:rPr>
              <w:t xml:space="preserve"> 2021 – 2030 metų nacionalinės energetikos pažangos programos pažangos priemonės Nr. 03-001-06-03-07 „Įrengti elektros energijos kaupimo įrenginių sistemą“ aprašas</w:t>
            </w:r>
            <w:r w:rsidR="002A1490">
              <w:rPr>
                <w:szCs w:val="24"/>
                <w:shd w:val="clear" w:color="auto" w:fill="FFFFFF"/>
              </w:rPr>
              <w:t xml:space="preserve"> (toliau – Aprašas)</w:t>
            </w:r>
            <w:r w:rsidR="00B05ACF">
              <w:rPr>
                <w:szCs w:val="24"/>
                <w:shd w:val="clear" w:color="auto" w:fill="FFFFFF"/>
              </w:rPr>
              <w:t>;</w:t>
            </w:r>
          </w:p>
          <w:p w14:paraId="588A117B" w14:textId="2A8B6611" w:rsidR="007A5CAF"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shd w:val="clear" w:color="auto" w:fill="FFFFFF"/>
              </w:rPr>
              <w:t xml:space="preserve">Europos Parlamento ir Tarybos 2019 m. birželio 5 d. direktyva (ES) 2019/944 dėl elektros energijos vidaus rinkos bendrųjų taisyklių, kuria iš dalies keičiama Direktyva </w:t>
            </w:r>
            <w:r w:rsidRPr="002116EA">
              <w:rPr>
                <w:color w:val="0563C1"/>
                <w:szCs w:val="24"/>
                <w:u w:val="single"/>
                <w:shd w:val="clear" w:color="auto" w:fill="FFFFFF"/>
              </w:rPr>
              <w:t>2012/27/ES</w:t>
            </w:r>
            <w:r w:rsidRPr="002116EA">
              <w:rPr>
                <w:szCs w:val="24"/>
                <w:shd w:val="clear" w:color="auto" w:fill="FFFFFF"/>
              </w:rPr>
              <w:t>, kuria vadovaujantis nėra teisinio draudimo EPSO-G steigiamai dukterinei bendrovei įgyvendinti šio projekto ir kaupimo įrenginiai nėra priskirtini energijos gamybos veiklai</w:t>
            </w:r>
            <w:r w:rsidR="00B05ACF">
              <w:rPr>
                <w:szCs w:val="24"/>
                <w:shd w:val="clear" w:color="auto" w:fill="FFFFFF"/>
              </w:rPr>
              <w:t>;</w:t>
            </w:r>
          </w:p>
          <w:p w14:paraId="4F789EA3" w14:textId="2148F4A2" w:rsidR="007A5CAF"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rPr>
              <w:t>2014 m. birželio 28 d. Europos Komisijos komunikatu patvirtintos 2014–2020 m. Valstybės pagalbos aplinkos apsaugai ir energetikai gairės (2014/C 200/01)</w:t>
            </w:r>
            <w:r w:rsidR="00B05ACF">
              <w:rPr>
                <w:szCs w:val="24"/>
              </w:rPr>
              <w:t>;</w:t>
            </w:r>
          </w:p>
          <w:p w14:paraId="1C01D9F4" w14:textId="7FDEC4DF" w:rsidR="005B3DE6"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rPr>
              <w:t>2021 m. liepos 20 d. Europos Sąjungos Tarybos įgyvendinimo sprendimas dėl Lietuvos ekonomikos gaivinimo ir atsparumo didinimo plano patvirtinimo, kuriuo patvirtintas siekis įrengti naujus elektros energijos kaupimo įrenginius 200 MW galios</w:t>
            </w:r>
            <w:r w:rsidR="00B05ACF">
              <w:rPr>
                <w:szCs w:val="24"/>
              </w:rPr>
              <w:t>;</w:t>
            </w:r>
          </w:p>
          <w:p w14:paraId="522F1546" w14:textId="78E581E9" w:rsidR="008F06AE"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shd w:val="clear" w:color="auto" w:fill="FFFFFF"/>
              </w:rPr>
              <w:t>Lietuvos Respublikos elektros energetikos įstatym</w:t>
            </w:r>
            <w:r w:rsidR="005B3DE6" w:rsidRPr="002116EA">
              <w:rPr>
                <w:szCs w:val="24"/>
                <w:shd w:val="clear" w:color="auto" w:fill="FFFFFF"/>
              </w:rPr>
              <w:t>as</w:t>
            </w:r>
            <w:r w:rsidR="00B05ACF">
              <w:rPr>
                <w:szCs w:val="24"/>
                <w:shd w:val="clear" w:color="auto" w:fill="FFFFFF"/>
              </w:rPr>
              <w:t>;</w:t>
            </w:r>
          </w:p>
          <w:p w14:paraId="5E88FF1F" w14:textId="34EE73ED" w:rsidR="008F06AE"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shd w:val="clear" w:color="auto" w:fill="FFFFFF"/>
              </w:rPr>
              <w:t>Lietuvos Respublikos elektros energetikos sistemos sujungimo su kontinentinės Europos elektros tinklais darbui sinchroniniu režimu įstatym</w:t>
            </w:r>
            <w:r w:rsidR="008F06AE" w:rsidRPr="002116EA">
              <w:rPr>
                <w:szCs w:val="24"/>
                <w:shd w:val="clear" w:color="auto" w:fill="FFFFFF"/>
              </w:rPr>
              <w:t>as</w:t>
            </w:r>
            <w:r w:rsidR="00B05ACF">
              <w:rPr>
                <w:szCs w:val="24"/>
                <w:shd w:val="clear" w:color="auto" w:fill="FFFFFF"/>
              </w:rPr>
              <w:t>;</w:t>
            </w:r>
          </w:p>
          <w:p w14:paraId="06784AD8" w14:textId="16BD1B9B" w:rsidR="008F06AE"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shd w:val="clear" w:color="auto" w:fill="FFFFFF"/>
              </w:rPr>
              <w:t>Lietuvos Respublikos Vyriausybės 2019 m. rugsėjo 4 d. nutarim</w:t>
            </w:r>
            <w:r w:rsidR="008F06AE" w:rsidRPr="002116EA">
              <w:rPr>
                <w:szCs w:val="24"/>
                <w:shd w:val="clear" w:color="auto" w:fill="FFFFFF"/>
              </w:rPr>
              <w:t>as</w:t>
            </w:r>
            <w:r w:rsidRPr="002116EA">
              <w:rPr>
                <w:szCs w:val="24"/>
                <w:shd w:val="clear" w:color="auto" w:fill="FFFFFF"/>
              </w:rPr>
              <w:t xml:space="preserve"> Nr. 918 „Dėl Elektros energetikos sistemos sinchronizacijos projekto veiksmų ir priemonių plano patvirtinimo”</w:t>
            </w:r>
            <w:r w:rsidR="00B05ACF">
              <w:rPr>
                <w:szCs w:val="24"/>
                <w:shd w:val="clear" w:color="auto" w:fill="FFFFFF"/>
              </w:rPr>
              <w:t>;</w:t>
            </w:r>
          </w:p>
          <w:p w14:paraId="35F5A33E" w14:textId="6A33ACA7" w:rsidR="008F06AE"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rPr>
              <w:t>Lietuvos Respublikos Vyriausybės 2021 m. gruodžio 8 d. nutarim</w:t>
            </w:r>
            <w:r w:rsidR="008F06AE" w:rsidRPr="002116EA">
              <w:rPr>
                <w:szCs w:val="24"/>
              </w:rPr>
              <w:t>as</w:t>
            </w:r>
            <w:r w:rsidRPr="002116EA">
              <w:rPr>
                <w:szCs w:val="24"/>
              </w:rPr>
              <w:t xml:space="preserve"> Nr. 1064 „Dėl </w:t>
            </w:r>
            <w:r w:rsidRPr="002116EA">
              <w:rPr>
                <w:szCs w:val="24"/>
                <w:shd w:val="clear" w:color="auto" w:fill="FFFFFF"/>
              </w:rPr>
              <w:t>2021–2030 metų plėtros programos valdytojos Lietuvos Respublikos energetikos ministerijos energetikos plėtros programos patvirtinimo“ kuria vadovaujantis patvirtintos plėtros programos pažangos priemonės</w:t>
            </w:r>
            <w:r w:rsidR="00B05ACF">
              <w:rPr>
                <w:szCs w:val="24"/>
                <w:shd w:val="clear" w:color="auto" w:fill="FFFFFF"/>
              </w:rPr>
              <w:t>;</w:t>
            </w:r>
          </w:p>
          <w:p w14:paraId="42FFBAB9" w14:textId="0C507356" w:rsidR="009907C0" w:rsidRPr="002116EA" w:rsidRDefault="007A5CAF" w:rsidP="00F31395">
            <w:pPr>
              <w:pStyle w:val="ListParagraph"/>
              <w:numPr>
                <w:ilvl w:val="0"/>
                <w:numId w:val="4"/>
              </w:numPr>
              <w:tabs>
                <w:tab w:val="left" w:pos="873"/>
              </w:tabs>
              <w:ind w:right="312"/>
              <w:jc w:val="both"/>
              <w:rPr>
                <w:szCs w:val="24"/>
                <w:shd w:val="clear" w:color="auto" w:fill="FFFFFF"/>
              </w:rPr>
            </w:pPr>
            <w:r w:rsidRPr="002116EA">
              <w:rPr>
                <w:szCs w:val="24"/>
                <w:shd w:val="clear" w:color="auto" w:fill="FFFFFF"/>
              </w:rPr>
              <w:t>2021 m. spalio 28 d. Europos Komisijos sprendim</w:t>
            </w:r>
            <w:r w:rsidR="008F06AE" w:rsidRPr="002116EA">
              <w:rPr>
                <w:szCs w:val="24"/>
                <w:shd w:val="clear" w:color="auto" w:fill="FFFFFF"/>
              </w:rPr>
              <w:t>as</w:t>
            </w:r>
            <w:r w:rsidRPr="002116EA">
              <w:rPr>
                <w:szCs w:val="24"/>
                <w:shd w:val="clear" w:color="auto" w:fill="FFFFFF"/>
              </w:rPr>
              <w:t xml:space="preserve"> Nr. C(2021) dėl valstybės pagalbos Nr. A.63178 – Lietuva. Elektros kaupimo </w:t>
            </w:r>
            <w:r w:rsidRPr="002116EA">
              <w:rPr>
                <w:szCs w:val="24"/>
                <w:shd w:val="clear" w:color="auto" w:fill="FFFFFF"/>
              </w:rPr>
              <w:lastRenderedPageBreak/>
              <w:t>įrenginiai pagal RRF</w:t>
            </w:r>
            <w:r w:rsidR="006E5F46">
              <w:rPr>
                <w:szCs w:val="24"/>
                <w:shd w:val="clear" w:color="auto" w:fill="FFFFFF"/>
              </w:rPr>
              <w:t>,</w:t>
            </w:r>
            <w:r w:rsidRPr="002116EA">
              <w:rPr>
                <w:szCs w:val="24"/>
                <w:shd w:val="clear" w:color="auto" w:fill="FFFFFF"/>
              </w:rPr>
              <w:t xml:space="preserve"> kuriuo suderinta valstybės pagalbos teikimo schema</w:t>
            </w:r>
            <w:r w:rsidR="00B05ACF">
              <w:rPr>
                <w:szCs w:val="24"/>
                <w:shd w:val="clear" w:color="auto" w:fill="FFFFFF"/>
              </w:rPr>
              <w:t>;</w:t>
            </w:r>
          </w:p>
          <w:p w14:paraId="74CA61AA" w14:textId="64E17016" w:rsidR="009907C0" w:rsidRPr="002116EA" w:rsidRDefault="00466380" w:rsidP="00F31395">
            <w:pPr>
              <w:pStyle w:val="ListParagraph"/>
              <w:numPr>
                <w:ilvl w:val="0"/>
                <w:numId w:val="4"/>
              </w:numPr>
              <w:tabs>
                <w:tab w:val="left" w:pos="873"/>
              </w:tabs>
              <w:ind w:right="312"/>
              <w:jc w:val="both"/>
              <w:rPr>
                <w:szCs w:val="24"/>
                <w:shd w:val="clear" w:color="auto" w:fill="FFFFFF"/>
              </w:rPr>
            </w:pPr>
            <w:r w:rsidRPr="002116EA">
              <w:rPr>
                <w:iCs/>
                <w:szCs w:val="24"/>
              </w:rPr>
              <w:t>Investicijų projektų, kuriems siekiama gauti finansavimą iš Europos Sąjungos struktūrinės paramos ir / ar valstybės biudžeto lėšų, rengimo metodika</w:t>
            </w:r>
            <w:r w:rsidR="009907C0" w:rsidRPr="002116EA">
              <w:rPr>
                <w:iCs/>
                <w:szCs w:val="24"/>
              </w:rPr>
              <w:t>.</w:t>
            </w:r>
          </w:p>
          <w:p w14:paraId="75687974" w14:textId="67AB2F29" w:rsidR="004826EC" w:rsidRPr="002116EA" w:rsidRDefault="004826EC" w:rsidP="00F31395">
            <w:pPr>
              <w:jc w:val="both"/>
              <w:rPr>
                <w:i/>
                <w:iCs/>
                <w:color w:val="808080"/>
                <w:szCs w:val="24"/>
              </w:rPr>
            </w:pPr>
          </w:p>
        </w:tc>
      </w:tr>
      <w:tr w:rsidR="004826EC" w:rsidRPr="002116EA" w14:paraId="129B96E1" w14:textId="77777777" w:rsidTr="37AD1130">
        <w:trPr>
          <w:trHeight w:val="517"/>
        </w:trPr>
        <w:tc>
          <w:tcPr>
            <w:tcW w:w="9854" w:type="dxa"/>
            <w:gridSpan w:val="3"/>
          </w:tcPr>
          <w:p w14:paraId="0C511C12" w14:textId="77777777" w:rsidR="004826EC" w:rsidRPr="002116EA" w:rsidRDefault="004826EC">
            <w:pPr>
              <w:rPr>
                <w:szCs w:val="24"/>
              </w:rPr>
            </w:pPr>
          </w:p>
          <w:p w14:paraId="1EAE958A" w14:textId="77777777" w:rsidR="004826EC" w:rsidRPr="002116EA" w:rsidRDefault="00EF0216">
            <w:pPr>
              <w:keepNext/>
              <w:keepLines/>
              <w:ind w:left="432" w:hanging="432"/>
              <w:rPr>
                <w:b/>
                <w:color w:val="000000"/>
                <w:szCs w:val="24"/>
                <w:lang w:eastAsia="lt-LT"/>
              </w:rPr>
            </w:pPr>
            <w:r w:rsidRPr="002116EA">
              <w:rPr>
                <w:b/>
                <w:color w:val="000000"/>
                <w:szCs w:val="24"/>
                <w:lang w:eastAsia="lt-LT"/>
              </w:rPr>
              <w:t>2.</w:t>
            </w:r>
            <w:r w:rsidRPr="002116EA">
              <w:rPr>
                <w:b/>
                <w:color w:val="000000"/>
                <w:szCs w:val="24"/>
                <w:lang w:eastAsia="lt-LT"/>
              </w:rPr>
              <w:tab/>
              <w:t>Informacija apie projektų įgyvendinimo planų teikimą</w:t>
            </w:r>
          </w:p>
          <w:p w14:paraId="2AAB8F0C" w14:textId="77777777" w:rsidR="004826EC" w:rsidRPr="002116EA" w:rsidRDefault="004826EC">
            <w:pPr>
              <w:rPr>
                <w:szCs w:val="24"/>
                <w:lang w:eastAsia="lt-LT"/>
              </w:rPr>
            </w:pPr>
          </w:p>
        </w:tc>
      </w:tr>
      <w:tr w:rsidR="004826EC" w:rsidRPr="002116EA" w14:paraId="4412C9D8" w14:textId="77777777" w:rsidTr="37AD1130">
        <w:tc>
          <w:tcPr>
            <w:tcW w:w="675" w:type="dxa"/>
          </w:tcPr>
          <w:p w14:paraId="75F7EF35" w14:textId="77777777" w:rsidR="004826EC" w:rsidRPr="002116EA" w:rsidRDefault="004826EC">
            <w:pPr>
              <w:rPr>
                <w:szCs w:val="24"/>
              </w:rPr>
            </w:pPr>
          </w:p>
          <w:p w14:paraId="43A0AA4E" w14:textId="77777777" w:rsidR="004826EC" w:rsidRPr="002116EA" w:rsidRDefault="004826EC">
            <w:pPr>
              <w:rPr>
                <w:szCs w:val="24"/>
              </w:rPr>
            </w:pPr>
          </w:p>
          <w:p w14:paraId="05B25B77" w14:textId="77777777" w:rsidR="004826EC" w:rsidRPr="002116EA" w:rsidRDefault="00EF0216">
            <w:pPr>
              <w:keepNext/>
              <w:keepLines/>
              <w:ind w:left="576" w:hanging="576"/>
              <w:outlineLvl w:val="1"/>
              <w:rPr>
                <w:color w:val="2E74B5"/>
                <w:szCs w:val="24"/>
              </w:rPr>
            </w:pPr>
            <w:r w:rsidRPr="002116EA">
              <w:rPr>
                <w:b/>
                <w:color w:val="000000"/>
                <w:szCs w:val="24"/>
              </w:rPr>
              <w:t>2.1.</w:t>
            </w:r>
            <w:r w:rsidRPr="002116EA">
              <w:rPr>
                <w:b/>
                <w:color w:val="000000"/>
                <w:szCs w:val="24"/>
              </w:rPr>
              <w:tab/>
            </w:r>
          </w:p>
        </w:tc>
        <w:tc>
          <w:tcPr>
            <w:tcW w:w="3151" w:type="dxa"/>
          </w:tcPr>
          <w:p w14:paraId="266B91A4" w14:textId="77777777" w:rsidR="004826EC" w:rsidRPr="002116EA" w:rsidRDefault="00EF0216">
            <w:pPr>
              <w:jc w:val="both"/>
              <w:rPr>
                <w:b/>
                <w:szCs w:val="24"/>
              </w:rPr>
            </w:pPr>
            <w:r w:rsidRPr="002116EA">
              <w:rPr>
                <w:b/>
                <w:szCs w:val="24"/>
              </w:rPr>
              <w:t>Atsakinga ministerija</w:t>
            </w:r>
          </w:p>
        </w:tc>
        <w:tc>
          <w:tcPr>
            <w:tcW w:w="6028" w:type="dxa"/>
          </w:tcPr>
          <w:p w14:paraId="3CE37A7C" w14:textId="77777777" w:rsidR="008E5DD0" w:rsidRPr="002116EA" w:rsidRDefault="008E5DD0">
            <w:pPr>
              <w:jc w:val="both"/>
              <w:rPr>
                <w:kern w:val="16"/>
                <w:szCs w:val="24"/>
              </w:rPr>
            </w:pPr>
            <w:r w:rsidRPr="002116EA">
              <w:rPr>
                <w:kern w:val="16"/>
                <w:szCs w:val="24"/>
              </w:rPr>
              <w:t>Energetikos ministerija</w:t>
            </w:r>
          </w:p>
          <w:p w14:paraId="07BEF6E8" w14:textId="21687E7D" w:rsidR="004826EC" w:rsidRPr="002116EA" w:rsidRDefault="004826EC">
            <w:pPr>
              <w:jc w:val="both"/>
              <w:rPr>
                <w:i/>
                <w:iCs/>
                <w:color w:val="808080"/>
                <w:szCs w:val="24"/>
              </w:rPr>
            </w:pPr>
          </w:p>
        </w:tc>
      </w:tr>
      <w:tr w:rsidR="004826EC" w:rsidRPr="002116EA" w14:paraId="4C21A35A" w14:textId="77777777" w:rsidTr="37AD1130">
        <w:tc>
          <w:tcPr>
            <w:tcW w:w="675" w:type="dxa"/>
          </w:tcPr>
          <w:p w14:paraId="1FD639B7" w14:textId="77777777" w:rsidR="004826EC" w:rsidRPr="002116EA" w:rsidRDefault="004826EC">
            <w:pPr>
              <w:rPr>
                <w:szCs w:val="24"/>
              </w:rPr>
            </w:pPr>
          </w:p>
          <w:p w14:paraId="7870D793" w14:textId="77777777" w:rsidR="004826EC" w:rsidRPr="002116EA" w:rsidRDefault="00EF0216">
            <w:pPr>
              <w:keepNext/>
              <w:keepLines/>
              <w:ind w:left="576" w:hanging="576"/>
              <w:outlineLvl w:val="1"/>
              <w:rPr>
                <w:color w:val="2E74B5"/>
                <w:szCs w:val="24"/>
              </w:rPr>
            </w:pPr>
            <w:r w:rsidRPr="002116EA">
              <w:rPr>
                <w:b/>
                <w:color w:val="000000"/>
                <w:szCs w:val="24"/>
              </w:rPr>
              <w:t>2.2.</w:t>
            </w:r>
            <w:r w:rsidRPr="002116EA">
              <w:rPr>
                <w:b/>
                <w:color w:val="000000"/>
                <w:szCs w:val="24"/>
              </w:rPr>
              <w:tab/>
            </w:r>
          </w:p>
        </w:tc>
        <w:tc>
          <w:tcPr>
            <w:tcW w:w="3151" w:type="dxa"/>
          </w:tcPr>
          <w:p w14:paraId="1C0B2827" w14:textId="77777777" w:rsidR="004826EC" w:rsidRPr="002116EA" w:rsidRDefault="00EF0216">
            <w:pPr>
              <w:jc w:val="both"/>
              <w:rPr>
                <w:b/>
                <w:szCs w:val="24"/>
              </w:rPr>
            </w:pPr>
            <w:r w:rsidRPr="002116EA">
              <w:rPr>
                <w:b/>
                <w:szCs w:val="24"/>
              </w:rPr>
              <w:t>Administruojančioji institucija</w:t>
            </w:r>
          </w:p>
        </w:tc>
        <w:tc>
          <w:tcPr>
            <w:tcW w:w="6028" w:type="dxa"/>
          </w:tcPr>
          <w:p w14:paraId="73101C7C" w14:textId="064E887B" w:rsidR="004826EC" w:rsidRPr="002116EA" w:rsidRDefault="0074510C">
            <w:pPr>
              <w:jc w:val="both"/>
              <w:rPr>
                <w:kern w:val="16"/>
                <w:szCs w:val="24"/>
              </w:rPr>
            </w:pPr>
            <w:r w:rsidRPr="002116EA">
              <w:rPr>
                <w:kern w:val="16"/>
                <w:szCs w:val="24"/>
              </w:rPr>
              <w:t>VšĮ Centrinė projektų valdymo agentūra</w:t>
            </w:r>
          </w:p>
        </w:tc>
      </w:tr>
      <w:tr w:rsidR="004826EC" w:rsidRPr="002116EA" w14:paraId="64A49595" w14:textId="77777777" w:rsidTr="37AD1130">
        <w:tc>
          <w:tcPr>
            <w:tcW w:w="675" w:type="dxa"/>
          </w:tcPr>
          <w:p w14:paraId="41849986" w14:textId="77777777" w:rsidR="004826EC" w:rsidRPr="002116EA" w:rsidRDefault="004826EC">
            <w:pPr>
              <w:rPr>
                <w:szCs w:val="24"/>
              </w:rPr>
            </w:pPr>
          </w:p>
          <w:p w14:paraId="17027DC1" w14:textId="77777777" w:rsidR="004826EC" w:rsidRPr="002116EA" w:rsidRDefault="00EF0216">
            <w:pPr>
              <w:keepNext/>
              <w:keepLines/>
              <w:ind w:left="576" w:hanging="576"/>
              <w:outlineLvl w:val="1"/>
              <w:rPr>
                <w:color w:val="2E74B5"/>
                <w:szCs w:val="24"/>
              </w:rPr>
            </w:pPr>
            <w:r w:rsidRPr="002116EA">
              <w:rPr>
                <w:b/>
                <w:color w:val="000000"/>
                <w:szCs w:val="24"/>
              </w:rPr>
              <w:t>2.3.</w:t>
            </w:r>
            <w:r w:rsidRPr="002116EA">
              <w:rPr>
                <w:b/>
                <w:color w:val="000000"/>
                <w:szCs w:val="24"/>
              </w:rPr>
              <w:tab/>
            </w:r>
          </w:p>
        </w:tc>
        <w:tc>
          <w:tcPr>
            <w:tcW w:w="3151" w:type="dxa"/>
          </w:tcPr>
          <w:p w14:paraId="559F00F2" w14:textId="77777777" w:rsidR="004826EC" w:rsidRPr="002116EA" w:rsidRDefault="00EF0216">
            <w:pPr>
              <w:jc w:val="both"/>
              <w:rPr>
                <w:b/>
                <w:szCs w:val="24"/>
              </w:rPr>
            </w:pPr>
            <w:r w:rsidRPr="002116EA">
              <w:rPr>
                <w:b/>
                <w:szCs w:val="24"/>
              </w:rPr>
              <w:t>Projektų įgyvendinimo planų pateikimo terminas</w:t>
            </w:r>
          </w:p>
        </w:tc>
        <w:tc>
          <w:tcPr>
            <w:tcW w:w="6028" w:type="dxa"/>
          </w:tcPr>
          <w:p w14:paraId="4FF427B8" w14:textId="11B8E315" w:rsidR="004826EC" w:rsidRPr="002A43F3" w:rsidRDefault="00162E80">
            <w:pPr>
              <w:jc w:val="both"/>
              <w:rPr>
                <w:i/>
                <w:color w:val="808080"/>
                <w:szCs w:val="24"/>
                <w:lang w:val="en-US"/>
              </w:rPr>
            </w:pPr>
            <w:r w:rsidRPr="002A43F3">
              <w:rPr>
                <w:kern w:val="16"/>
                <w:szCs w:val="24"/>
              </w:rPr>
              <w:t xml:space="preserve">Iki </w:t>
            </w:r>
            <w:r w:rsidR="002A43F3" w:rsidRPr="002A43F3">
              <w:rPr>
                <w:kern w:val="16"/>
                <w:szCs w:val="24"/>
              </w:rPr>
              <w:t xml:space="preserve">2022 m. balandžio </w:t>
            </w:r>
            <w:r w:rsidR="00B05ACF">
              <w:rPr>
                <w:kern w:val="16"/>
                <w:szCs w:val="24"/>
              </w:rPr>
              <w:t>11</w:t>
            </w:r>
            <w:r w:rsidR="002A43F3" w:rsidRPr="002A43F3">
              <w:rPr>
                <w:kern w:val="16"/>
                <w:szCs w:val="24"/>
              </w:rPr>
              <w:t xml:space="preserve"> d. 1</w:t>
            </w:r>
            <w:r w:rsidR="00B05ACF">
              <w:rPr>
                <w:kern w:val="16"/>
                <w:szCs w:val="24"/>
              </w:rPr>
              <w:t>6</w:t>
            </w:r>
            <w:r w:rsidR="002A43F3" w:rsidRPr="002A43F3">
              <w:rPr>
                <w:kern w:val="16"/>
                <w:szCs w:val="24"/>
              </w:rPr>
              <w:t>.</w:t>
            </w:r>
            <w:r w:rsidR="00B05ACF">
              <w:rPr>
                <w:kern w:val="16"/>
                <w:szCs w:val="24"/>
              </w:rPr>
              <w:t>00</w:t>
            </w:r>
            <w:r w:rsidR="002A43F3" w:rsidRPr="002A43F3">
              <w:rPr>
                <w:kern w:val="16"/>
                <w:szCs w:val="24"/>
              </w:rPr>
              <w:t xml:space="preserve"> val.</w:t>
            </w:r>
          </w:p>
        </w:tc>
      </w:tr>
      <w:tr w:rsidR="004826EC" w:rsidRPr="002116EA" w14:paraId="0F0E75A9" w14:textId="77777777" w:rsidTr="37AD1130">
        <w:tc>
          <w:tcPr>
            <w:tcW w:w="675" w:type="dxa"/>
          </w:tcPr>
          <w:p w14:paraId="190B69DF" w14:textId="77777777" w:rsidR="004826EC" w:rsidRPr="002116EA" w:rsidRDefault="004826EC">
            <w:pPr>
              <w:rPr>
                <w:szCs w:val="24"/>
              </w:rPr>
            </w:pPr>
          </w:p>
          <w:p w14:paraId="65E94356" w14:textId="77777777" w:rsidR="004826EC" w:rsidRPr="002116EA" w:rsidRDefault="00EF0216">
            <w:pPr>
              <w:keepNext/>
              <w:keepLines/>
              <w:ind w:left="576" w:hanging="576"/>
              <w:outlineLvl w:val="1"/>
              <w:rPr>
                <w:color w:val="2E74B5"/>
                <w:szCs w:val="24"/>
              </w:rPr>
            </w:pPr>
            <w:r w:rsidRPr="002116EA">
              <w:rPr>
                <w:b/>
                <w:color w:val="000000"/>
                <w:szCs w:val="24"/>
              </w:rPr>
              <w:t>2.4.</w:t>
            </w:r>
            <w:r w:rsidRPr="002116EA">
              <w:rPr>
                <w:b/>
                <w:color w:val="000000"/>
                <w:szCs w:val="24"/>
              </w:rPr>
              <w:tab/>
            </w:r>
          </w:p>
        </w:tc>
        <w:tc>
          <w:tcPr>
            <w:tcW w:w="3151" w:type="dxa"/>
          </w:tcPr>
          <w:p w14:paraId="40C92457" w14:textId="77777777" w:rsidR="004826EC" w:rsidRPr="002116EA" w:rsidRDefault="00EF0216">
            <w:pPr>
              <w:jc w:val="both"/>
              <w:rPr>
                <w:b/>
                <w:szCs w:val="24"/>
              </w:rPr>
            </w:pPr>
            <w:r w:rsidRPr="002116EA">
              <w:rPr>
                <w:b/>
                <w:szCs w:val="24"/>
              </w:rPr>
              <w:t>Projektų įgyvendinimo planų rengimo ir teikimo tvarka</w:t>
            </w:r>
          </w:p>
        </w:tc>
        <w:tc>
          <w:tcPr>
            <w:tcW w:w="6028" w:type="dxa"/>
          </w:tcPr>
          <w:p w14:paraId="3C3283A5" w14:textId="41223875" w:rsidR="00AA65A7" w:rsidRPr="002116EA" w:rsidRDefault="00444D3D" w:rsidP="009C6DD4">
            <w:pPr>
              <w:jc w:val="both"/>
              <w:rPr>
                <w:i/>
                <w:color w:val="808080"/>
                <w:szCs w:val="24"/>
                <w:lang w:val="en-US"/>
              </w:rPr>
            </w:pPr>
            <w:r w:rsidRPr="002116EA">
              <w:rPr>
                <w:kern w:val="16"/>
                <w:szCs w:val="24"/>
              </w:rPr>
              <w:t>Pagal prie Kvietimo teikti projektų įgyvendinimo planą pridėtą</w:t>
            </w:r>
            <w:r w:rsidR="00D35413" w:rsidRPr="002116EA">
              <w:rPr>
                <w:kern w:val="16"/>
                <w:szCs w:val="24"/>
              </w:rPr>
              <w:t xml:space="preserve"> formą užpildytas bei elektroniniu parašu pasirašytas </w:t>
            </w:r>
            <w:r w:rsidR="00EB57C2" w:rsidRPr="002116EA">
              <w:rPr>
                <w:kern w:val="16"/>
                <w:szCs w:val="24"/>
              </w:rPr>
              <w:t xml:space="preserve">Projektų įgyvendinimo planas, kartu su priedais </w:t>
            </w:r>
            <w:r w:rsidR="00D35413" w:rsidRPr="002116EA">
              <w:rPr>
                <w:kern w:val="16"/>
                <w:szCs w:val="24"/>
              </w:rPr>
              <w:t xml:space="preserve">teikiamas </w:t>
            </w:r>
            <w:hyperlink r:id="rId13" w:history="1">
              <w:r w:rsidR="00EB57C2" w:rsidRPr="002116EA">
                <w:rPr>
                  <w:rStyle w:val="Hyperlink"/>
                  <w:iCs/>
                  <w:szCs w:val="24"/>
                </w:rPr>
                <w:t>info</w:t>
              </w:r>
              <w:r w:rsidR="00EB57C2" w:rsidRPr="002116EA">
                <w:rPr>
                  <w:rStyle w:val="Hyperlink"/>
                  <w:iCs/>
                  <w:szCs w:val="24"/>
                  <w:lang w:val="en-US"/>
                </w:rPr>
                <w:t>@cpva.lt</w:t>
              </w:r>
            </w:hyperlink>
            <w:r w:rsidR="00AA65A7" w:rsidRPr="002116EA">
              <w:rPr>
                <w:i/>
                <w:color w:val="808080"/>
                <w:szCs w:val="24"/>
                <w:lang w:val="en-US"/>
              </w:rPr>
              <w:t xml:space="preserve"> </w:t>
            </w:r>
          </w:p>
          <w:p w14:paraId="78FDE9E5" w14:textId="1CA3670B" w:rsidR="00B77B76" w:rsidRPr="002116EA" w:rsidRDefault="00316099" w:rsidP="009C6DD4">
            <w:pPr>
              <w:jc w:val="both"/>
              <w:rPr>
                <w:kern w:val="16"/>
                <w:szCs w:val="24"/>
              </w:rPr>
            </w:pPr>
            <w:r w:rsidRPr="002116EA">
              <w:rPr>
                <w:kern w:val="16"/>
                <w:szCs w:val="24"/>
              </w:rPr>
              <w:t xml:space="preserve">Jei kartu su Projektų įgyvendinimo planu teikiami didelės apimties priedai, jie kartu su lydraščiu gali </w:t>
            </w:r>
            <w:r w:rsidR="003834A9" w:rsidRPr="002116EA">
              <w:rPr>
                <w:kern w:val="16"/>
                <w:szCs w:val="24"/>
              </w:rPr>
              <w:t>b</w:t>
            </w:r>
            <w:r w:rsidR="00133D04">
              <w:rPr>
                <w:kern w:val="16"/>
                <w:szCs w:val="24"/>
              </w:rPr>
              <w:t>ū</w:t>
            </w:r>
            <w:r w:rsidR="003834A9" w:rsidRPr="002116EA">
              <w:rPr>
                <w:kern w:val="16"/>
                <w:szCs w:val="24"/>
              </w:rPr>
              <w:t xml:space="preserve">ti pateikiami elektroninėje laikmenoje VšĮ Centrinei projektų valdymo agentūrai adresu </w:t>
            </w:r>
            <w:r w:rsidR="000866D7" w:rsidRPr="002116EA">
              <w:rPr>
                <w:kern w:val="16"/>
                <w:szCs w:val="24"/>
              </w:rPr>
              <w:t>S. Konarskio g. 13, 03109 Vilnius, arba pateikiami kitu saugiu būdu.</w:t>
            </w:r>
          </w:p>
          <w:p w14:paraId="06CA042A" w14:textId="6A59CFDC" w:rsidR="004826EC" w:rsidRPr="002116EA" w:rsidRDefault="00EF0216" w:rsidP="009C6DD4">
            <w:pPr>
              <w:jc w:val="both"/>
              <w:rPr>
                <w:i/>
                <w:szCs w:val="24"/>
              </w:rPr>
            </w:pPr>
            <w:r w:rsidRPr="002116EA">
              <w:rPr>
                <w:i/>
                <w:color w:val="808080"/>
                <w:szCs w:val="24"/>
              </w:rPr>
              <w:t xml:space="preserve"> </w:t>
            </w:r>
          </w:p>
        </w:tc>
      </w:tr>
      <w:tr w:rsidR="004826EC" w:rsidRPr="002116EA" w14:paraId="295A6E68" w14:textId="77777777" w:rsidTr="37AD1130">
        <w:tc>
          <w:tcPr>
            <w:tcW w:w="675" w:type="dxa"/>
          </w:tcPr>
          <w:p w14:paraId="38C482ED" w14:textId="77777777" w:rsidR="004826EC" w:rsidRPr="002116EA" w:rsidRDefault="004826EC">
            <w:pPr>
              <w:rPr>
                <w:szCs w:val="24"/>
              </w:rPr>
            </w:pPr>
          </w:p>
          <w:p w14:paraId="65DF9038" w14:textId="77777777" w:rsidR="004826EC" w:rsidRPr="002116EA" w:rsidRDefault="00EF0216">
            <w:pPr>
              <w:keepNext/>
              <w:keepLines/>
              <w:ind w:left="576" w:hanging="576"/>
              <w:outlineLvl w:val="1"/>
              <w:rPr>
                <w:color w:val="2E74B5"/>
                <w:szCs w:val="24"/>
              </w:rPr>
            </w:pPr>
            <w:r w:rsidRPr="002116EA">
              <w:rPr>
                <w:b/>
                <w:color w:val="000000"/>
                <w:szCs w:val="24"/>
              </w:rPr>
              <w:t>2.5.</w:t>
            </w:r>
            <w:r w:rsidRPr="002116EA">
              <w:rPr>
                <w:b/>
                <w:color w:val="000000"/>
                <w:szCs w:val="24"/>
              </w:rPr>
              <w:tab/>
            </w:r>
          </w:p>
        </w:tc>
        <w:tc>
          <w:tcPr>
            <w:tcW w:w="3151" w:type="dxa"/>
          </w:tcPr>
          <w:p w14:paraId="4CAC912E" w14:textId="77777777" w:rsidR="004826EC" w:rsidRPr="002116EA" w:rsidRDefault="00EF0216">
            <w:pPr>
              <w:jc w:val="both"/>
              <w:rPr>
                <w:b/>
                <w:szCs w:val="24"/>
              </w:rPr>
            </w:pPr>
            <w:r w:rsidRPr="002116EA">
              <w:rPr>
                <w:b/>
                <w:szCs w:val="24"/>
              </w:rPr>
              <w:t>Projektų įgyvendinimo planų suderinimas su atsakinga ministerija</w:t>
            </w:r>
          </w:p>
        </w:tc>
        <w:tc>
          <w:tcPr>
            <w:tcW w:w="6028" w:type="dxa"/>
          </w:tcPr>
          <w:p w14:paraId="5B6B3115" w14:textId="7A2F4215" w:rsidR="009B4BC6" w:rsidRPr="002116EA" w:rsidRDefault="009B4BC6">
            <w:pPr>
              <w:jc w:val="both"/>
              <w:rPr>
                <w:iCs/>
                <w:szCs w:val="24"/>
              </w:rPr>
            </w:pPr>
            <w:r w:rsidRPr="002116EA">
              <w:rPr>
                <w:iCs/>
                <w:szCs w:val="24"/>
              </w:rPr>
              <w:t>Projekto įgyvendinimo plano projektas nederin</w:t>
            </w:r>
            <w:r w:rsidR="00B36BB9" w:rsidRPr="002116EA">
              <w:rPr>
                <w:iCs/>
                <w:szCs w:val="24"/>
              </w:rPr>
              <w:t>a</w:t>
            </w:r>
            <w:r w:rsidRPr="002116EA">
              <w:rPr>
                <w:iCs/>
                <w:szCs w:val="24"/>
              </w:rPr>
              <w:t>mas su Lietuvos Respublikos energetikos ministerija.</w:t>
            </w:r>
          </w:p>
          <w:p w14:paraId="134A6D93" w14:textId="128825BC" w:rsidR="004826EC" w:rsidRPr="002116EA" w:rsidRDefault="004826EC">
            <w:pPr>
              <w:jc w:val="both"/>
              <w:rPr>
                <w:i/>
                <w:szCs w:val="24"/>
              </w:rPr>
            </w:pPr>
          </w:p>
        </w:tc>
      </w:tr>
      <w:tr w:rsidR="004826EC" w:rsidRPr="002116EA" w14:paraId="3CF11D01" w14:textId="77777777" w:rsidTr="37AD1130">
        <w:tc>
          <w:tcPr>
            <w:tcW w:w="675" w:type="dxa"/>
          </w:tcPr>
          <w:p w14:paraId="0D4A42A2" w14:textId="77777777" w:rsidR="004826EC" w:rsidRPr="002116EA" w:rsidRDefault="004826EC">
            <w:pPr>
              <w:rPr>
                <w:szCs w:val="24"/>
              </w:rPr>
            </w:pPr>
          </w:p>
          <w:p w14:paraId="74EAF2D3" w14:textId="77777777" w:rsidR="004826EC" w:rsidRPr="002116EA" w:rsidRDefault="00EF0216">
            <w:pPr>
              <w:keepNext/>
              <w:keepLines/>
              <w:ind w:left="576" w:hanging="576"/>
              <w:outlineLvl w:val="1"/>
              <w:rPr>
                <w:color w:val="2E74B5"/>
                <w:szCs w:val="24"/>
              </w:rPr>
            </w:pPr>
            <w:r w:rsidRPr="002116EA">
              <w:rPr>
                <w:b/>
                <w:color w:val="000000"/>
                <w:szCs w:val="24"/>
              </w:rPr>
              <w:t>2.6.</w:t>
            </w:r>
            <w:r w:rsidRPr="002116EA">
              <w:rPr>
                <w:b/>
                <w:color w:val="000000"/>
                <w:szCs w:val="24"/>
              </w:rPr>
              <w:tab/>
            </w:r>
          </w:p>
        </w:tc>
        <w:tc>
          <w:tcPr>
            <w:tcW w:w="3151" w:type="dxa"/>
          </w:tcPr>
          <w:p w14:paraId="74728EC5" w14:textId="77777777" w:rsidR="004826EC" w:rsidRPr="002116EA" w:rsidRDefault="00EF0216">
            <w:pPr>
              <w:jc w:val="both"/>
              <w:rPr>
                <w:b/>
                <w:szCs w:val="24"/>
              </w:rPr>
            </w:pPr>
            <w:r w:rsidRPr="002116EA">
              <w:rPr>
                <w:b/>
                <w:szCs w:val="24"/>
              </w:rPr>
              <w:t>Projektų įgyvendinimo planų priedai</w:t>
            </w:r>
          </w:p>
        </w:tc>
        <w:tc>
          <w:tcPr>
            <w:tcW w:w="6028" w:type="dxa"/>
          </w:tcPr>
          <w:p w14:paraId="4E8433FB" w14:textId="33D69DD7" w:rsidR="006A4DB4" w:rsidRPr="002116EA" w:rsidRDefault="006A4DB4" w:rsidP="0059452F">
            <w:pPr>
              <w:pStyle w:val="ListParagraph"/>
              <w:numPr>
                <w:ilvl w:val="0"/>
                <w:numId w:val="1"/>
              </w:numPr>
              <w:jc w:val="both"/>
              <w:rPr>
                <w:iCs/>
                <w:szCs w:val="24"/>
              </w:rPr>
            </w:pPr>
            <w:r w:rsidRPr="002116EA">
              <w:rPr>
                <w:iCs/>
                <w:szCs w:val="24"/>
              </w:rPr>
              <w:t>Informacija apie projektui taikomus aplinkosaugos reikalavimus</w:t>
            </w:r>
            <w:r w:rsidR="0059452F" w:rsidRPr="002116EA">
              <w:rPr>
                <w:iCs/>
                <w:szCs w:val="24"/>
              </w:rPr>
              <w:t>, forma pridedama</w:t>
            </w:r>
            <w:r w:rsidRPr="002116EA">
              <w:rPr>
                <w:iCs/>
                <w:szCs w:val="24"/>
              </w:rPr>
              <w:t xml:space="preserve"> (</w:t>
            </w:r>
            <w:r w:rsidR="002A1490">
              <w:rPr>
                <w:iCs/>
                <w:szCs w:val="24"/>
              </w:rPr>
              <w:t>t</w:t>
            </w:r>
            <w:r w:rsidR="0059452F" w:rsidRPr="002116EA">
              <w:rPr>
                <w:iCs/>
                <w:szCs w:val="24"/>
              </w:rPr>
              <w:t xml:space="preserve">aikoma, jei </w:t>
            </w:r>
            <w:r w:rsidR="0059452F" w:rsidRPr="002116EA">
              <w:rPr>
                <w:szCs w:val="24"/>
                <w:lang w:eastAsia="en-GB"/>
              </w:rPr>
              <w:t>projekto įgyvendinimo plano priedas teikiamas, kai: 1.1. pagal projektą planuojama ūkinė veikla</w:t>
            </w:r>
            <w:r w:rsidR="0059452F" w:rsidRPr="002116EA">
              <w:rPr>
                <w:b/>
                <w:bCs/>
                <w:szCs w:val="24"/>
                <w:lang w:eastAsia="lt-LT"/>
              </w:rPr>
              <w:t xml:space="preserve"> </w:t>
            </w:r>
            <w:r w:rsidR="0059452F" w:rsidRPr="002116EA">
              <w:rPr>
                <w:bCs/>
                <w:szCs w:val="24"/>
                <w:lang w:eastAsia="lt-LT"/>
              </w:rPr>
              <w:t>(</w:t>
            </w:r>
            <w:r w:rsidR="0059452F" w:rsidRPr="002116EA">
              <w:rPr>
                <w:szCs w:val="24"/>
                <w:lang w:eastAsia="lt-LT"/>
              </w:rPr>
              <w:t>pagal</w:t>
            </w:r>
            <w:r w:rsidR="0059452F" w:rsidRPr="002116EA">
              <w:rPr>
                <w:szCs w:val="24"/>
                <w:lang w:eastAsia="en-GB"/>
              </w:rPr>
              <w:t xml:space="preserve"> 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w:t>
            </w:r>
            <w:r w:rsidR="0059452F" w:rsidRPr="002116EA">
              <w:rPr>
                <w:iCs/>
                <w:szCs w:val="24"/>
                <w:lang w:eastAsia="en-GB"/>
              </w:rPr>
              <w:t xml:space="preserve"> </w:t>
            </w:r>
            <w:r w:rsidR="0059452F" w:rsidRPr="002116EA">
              <w:rPr>
                <w:szCs w:val="24"/>
                <w:lang w:eastAsia="en-GB"/>
              </w:rPr>
              <w:t xml:space="preserve">taikymo sritį ir (arba) </w:t>
            </w:r>
            <w:r w:rsidR="0059452F" w:rsidRPr="002116EA">
              <w:rPr>
                <w:szCs w:val="24"/>
                <w:lang w:val="en-US" w:eastAsia="en-GB"/>
              </w:rPr>
              <w:t>1</w:t>
            </w:r>
            <w:r w:rsidR="0059452F" w:rsidRPr="002116EA">
              <w:rPr>
                <w:szCs w:val="24"/>
                <w:lang w:eastAsia="en-GB"/>
              </w:rPr>
              <w:t>.2. projekte planuojama ūkinė veikla susijusi su „</w:t>
            </w:r>
            <w:proofErr w:type="spellStart"/>
            <w:r w:rsidR="0059452F" w:rsidRPr="002116EA">
              <w:rPr>
                <w:szCs w:val="24"/>
                <w:lang w:eastAsia="en-GB"/>
              </w:rPr>
              <w:t>Natura</w:t>
            </w:r>
            <w:proofErr w:type="spellEnd"/>
            <w:r w:rsidR="0059452F" w:rsidRPr="002116EA">
              <w:rPr>
                <w:szCs w:val="24"/>
                <w:lang w:eastAsia="en-GB"/>
              </w:rPr>
              <w:t xml:space="preserve"> 2000“ teritorijomis, ir 1.3. nustatyta ministerijos ar pažangos priemonės koordinatoriaus (jeigu koordinatorius yra paskirtas), kurie pagal kompetenciją atsakingi už bendrai </w:t>
            </w:r>
            <w:r w:rsidR="0059452F" w:rsidRPr="002116EA">
              <w:rPr>
                <w:szCs w:val="24"/>
                <w:lang w:eastAsia="en-GB"/>
              </w:rPr>
              <w:lastRenderedPageBreak/>
              <w:t>finansuojamus iš Europos Sąjungos fondų lėšų ūkio sektorius, patvirtintame Apraše);</w:t>
            </w:r>
          </w:p>
          <w:p w14:paraId="4459A3FD" w14:textId="70758AA1" w:rsidR="006A4DB4" w:rsidRPr="002116EA" w:rsidRDefault="006A4DB4" w:rsidP="0003622F">
            <w:pPr>
              <w:pStyle w:val="ListParagraph"/>
              <w:numPr>
                <w:ilvl w:val="0"/>
                <w:numId w:val="1"/>
              </w:numPr>
              <w:jc w:val="both"/>
              <w:rPr>
                <w:iCs/>
                <w:szCs w:val="24"/>
              </w:rPr>
            </w:pPr>
            <w:r w:rsidRPr="002116EA">
              <w:rPr>
                <w:iCs/>
                <w:szCs w:val="24"/>
              </w:rPr>
              <w:t xml:space="preserve">Informacija apie pareiškėjui (partneriui) suteiktą valstybės pagalbą (išskyrus de </w:t>
            </w:r>
            <w:proofErr w:type="spellStart"/>
            <w:r w:rsidRPr="002116EA">
              <w:rPr>
                <w:iCs/>
                <w:szCs w:val="24"/>
              </w:rPr>
              <w:t>minimis</w:t>
            </w:r>
            <w:proofErr w:type="spellEnd"/>
            <w:r w:rsidRPr="002116EA">
              <w:rPr>
                <w:iCs/>
                <w:szCs w:val="24"/>
              </w:rPr>
              <w:t>)</w:t>
            </w:r>
            <w:r w:rsidR="000E0FF6" w:rsidRPr="002116EA">
              <w:rPr>
                <w:iCs/>
                <w:szCs w:val="24"/>
              </w:rPr>
              <w:t xml:space="preserve">, forma pridedama; </w:t>
            </w:r>
            <w:r w:rsidRPr="002116EA">
              <w:rPr>
                <w:iCs/>
                <w:szCs w:val="24"/>
              </w:rPr>
              <w:t xml:space="preserve"> </w:t>
            </w:r>
          </w:p>
          <w:p w14:paraId="1020CCA1" w14:textId="19160D94" w:rsidR="002B38EA" w:rsidRPr="002A1490" w:rsidRDefault="000E0FF6" w:rsidP="002B38EA">
            <w:pPr>
              <w:pStyle w:val="ListParagraph"/>
              <w:numPr>
                <w:ilvl w:val="0"/>
                <w:numId w:val="1"/>
              </w:numPr>
              <w:jc w:val="both"/>
              <w:rPr>
                <w:iCs/>
                <w:szCs w:val="24"/>
              </w:rPr>
            </w:pPr>
            <w:r w:rsidRPr="002116EA">
              <w:rPr>
                <w:iCs/>
                <w:szCs w:val="24"/>
              </w:rPr>
              <w:t>Pirkimo ir (arba) importo pridėtinės vertės mokesčio tinkamumo finansuoti Europos Sąjungos ir (arba) Lietuvos Respublikos valstybės biudžeto lėšomis klausimynas, forma pridedama (</w:t>
            </w:r>
            <w:r w:rsidR="00A20220" w:rsidRPr="002116EA">
              <w:rPr>
                <w:iCs/>
                <w:szCs w:val="24"/>
              </w:rPr>
              <w:t>t</w:t>
            </w:r>
            <w:r w:rsidR="002A1490">
              <w:rPr>
                <w:iCs/>
                <w:szCs w:val="24"/>
              </w:rPr>
              <w:t>aikoma</w:t>
            </w:r>
            <w:r w:rsidR="00A20220" w:rsidRPr="002116EA">
              <w:rPr>
                <w:iCs/>
                <w:szCs w:val="24"/>
              </w:rPr>
              <w:t xml:space="preserve">, jei projekto vertė viršija 5 mln. eurų, o pareiškėjas arba partneris tvirtina, kad įgyvendinant projektą bus patiriama pirkimo ir (arba) importo pridėtinės vertės mokesčio (toliau – PVM) išlaidų, kurios tinkamos finansuoti </w:t>
            </w:r>
            <w:r w:rsidR="00A20220" w:rsidRPr="002A1490">
              <w:rPr>
                <w:iCs/>
                <w:szCs w:val="24"/>
              </w:rPr>
              <w:t>Europos Sąjungos fondų ir (arba) Lietuvos Respublikos valstybės biudžeto lėšomis</w:t>
            </w:r>
            <w:r w:rsidR="002A6965" w:rsidRPr="002A1490">
              <w:rPr>
                <w:iCs/>
                <w:szCs w:val="24"/>
              </w:rPr>
              <w:t>).</w:t>
            </w:r>
          </w:p>
          <w:p w14:paraId="6545C86C" w14:textId="07FAAF10" w:rsidR="000175A8" w:rsidRPr="002A1490" w:rsidRDefault="002A1490" w:rsidP="000175A8">
            <w:pPr>
              <w:pStyle w:val="ListParagraph"/>
              <w:numPr>
                <w:ilvl w:val="0"/>
                <w:numId w:val="1"/>
              </w:numPr>
              <w:jc w:val="both"/>
              <w:rPr>
                <w:iCs/>
                <w:szCs w:val="24"/>
              </w:rPr>
            </w:pPr>
            <w:r w:rsidRPr="002A1490">
              <w:rPr>
                <w:iCs/>
                <w:szCs w:val="24"/>
              </w:rPr>
              <w:t>Aprašo</w:t>
            </w:r>
            <w:r w:rsidR="002B38EA" w:rsidRPr="002A1490">
              <w:rPr>
                <w:iCs/>
                <w:szCs w:val="24"/>
              </w:rPr>
              <w:t xml:space="preserve"> </w:t>
            </w:r>
            <w:r w:rsidR="002B38EA" w:rsidRPr="002A1490">
              <w:rPr>
                <w:iCs/>
                <w:szCs w:val="24"/>
                <w:lang w:val="en-US"/>
              </w:rPr>
              <w:t xml:space="preserve">2 </w:t>
            </w:r>
            <w:r w:rsidR="002B38EA" w:rsidRPr="002A1490">
              <w:rPr>
                <w:iCs/>
                <w:szCs w:val="24"/>
              </w:rPr>
              <w:t>priede „Informacija, reikalinga projekto (įskaitant jungtinį projektą) atitikčiai horizontaliajam principui „Nedarome reikšmingos žalos“ įvertinti“ nurodyti dokumentai</w:t>
            </w:r>
            <w:r w:rsidR="000817AD" w:rsidRPr="002A1490">
              <w:rPr>
                <w:bCs/>
                <w:iCs/>
                <w:vanish/>
                <w:szCs w:val="24"/>
              </w:rPr>
              <w:t>14.</w:t>
            </w:r>
            <w:r w:rsidR="000817AD" w:rsidRPr="002A1490">
              <w:rPr>
                <w:bCs/>
                <w:iCs/>
                <w:vanish/>
                <w:szCs w:val="24"/>
              </w:rPr>
              <w:tab/>
            </w:r>
            <w:r>
              <w:rPr>
                <w:bCs/>
                <w:iCs/>
                <w:szCs w:val="24"/>
              </w:rPr>
              <w:t>.</w:t>
            </w:r>
          </w:p>
          <w:p w14:paraId="0684E8C9" w14:textId="034C04C5" w:rsidR="00C35FAE" w:rsidRPr="002116EA" w:rsidRDefault="000175A8" w:rsidP="37AD1130">
            <w:pPr>
              <w:pStyle w:val="ListParagraph"/>
              <w:numPr>
                <w:ilvl w:val="0"/>
                <w:numId w:val="1"/>
              </w:numPr>
              <w:jc w:val="both"/>
            </w:pPr>
            <w:r>
              <w:t>Dokumentai, įrodantys, jog iki PĮP pateikimo administruojančiajai institucijai dienos daiktinės pareiškėjo teisės į statinį ir (ar) žemę, kuriame įgyvendinant projektą bus vykdomi statybos darbai arba žemės ir (ar) statinio valdymo formos (nuoma, panauda) yra įregistruotos įstatymų nustatyta tvarka ir galios ne trumpiau nei nustatyta Sinchronizacijos įstatymo 6</w:t>
            </w:r>
            <w:r w:rsidRPr="37AD1130">
              <w:rPr>
                <w:vertAlign w:val="superscript"/>
              </w:rPr>
              <w:t>1</w:t>
            </w:r>
            <w:r>
              <w:t xml:space="preserve"> str. 6 d., t. y. kol visi elektros energijos kaupimo įrenginiai Lietuvos Respublikos energetikos ministerija nustatyta tvarka bus perleisti asmenims, atitinkantiems nacionalinio saugumo interesus.  Jei statinys ar žemės sklypas yra naudojamas pagal panaudos ar nuomos sutartį, panaudos davėjo ar nuomotojo raštiškas sutikimas vykdyti projekto </w:t>
            </w:r>
            <w:r w:rsidR="002A1490">
              <w:t>veiklas.</w:t>
            </w:r>
          </w:p>
          <w:p w14:paraId="23FC65C0" w14:textId="174A8F19" w:rsidR="00C35FAE" w:rsidRPr="002116EA" w:rsidRDefault="000817AD" w:rsidP="00C35FAE">
            <w:pPr>
              <w:pStyle w:val="ListParagraph"/>
              <w:numPr>
                <w:ilvl w:val="0"/>
                <w:numId w:val="6"/>
              </w:numPr>
              <w:jc w:val="both"/>
            </w:pPr>
            <w:r>
              <w:t xml:space="preserve">- </w:t>
            </w:r>
            <w:r>
              <w:t>Elektros energijos kaupimo įrenginių techninė specifikacija ar kiti lygiaverčiai dokumentai, apibrėžiantys elektros energijos kaupimo įrenginių techninius parametrus, reikalavimus</w:t>
            </w:r>
            <w:r w:rsidR="002A1490">
              <w:t>.</w:t>
            </w:r>
          </w:p>
          <w:p w14:paraId="00F08CFD" w14:textId="37C15CBF" w:rsidR="000817AD" w:rsidRPr="002116EA" w:rsidRDefault="000817AD" w:rsidP="00C35FAE">
            <w:pPr>
              <w:pStyle w:val="ListParagraph"/>
              <w:numPr>
                <w:ilvl w:val="0"/>
                <w:numId w:val="6"/>
              </w:numPr>
              <w:jc w:val="both"/>
            </w:pPr>
            <w:r>
              <w:t xml:space="preserve">- </w:t>
            </w:r>
            <w:r>
              <w:t>Investicijų projektas su viena siūloma įgyvendinti projekto alternatyva, parengta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http://www.ppplietuva.lt/ skiltyje „viešųjų investicijų projektų rengimas“ prie „rengimas ir vertinimas“</w:t>
            </w:r>
            <w:r w:rsidR="00E87F8A">
              <w:t>.</w:t>
            </w:r>
            <w:r>
              <w:t xml:space="preserve"> </w:t>
            </w:r>
          </w:p>
          <w:p w14:paraId="31880A1C" w14:textId="77777777" w:rsidR="002A1490" w:rsidRDefault="000817AD" w:rsidP="002A1490">
            <w:pPr>
              <w:pStyle w:val="ListParagraph"/>
              <w:numPr>
                <w:ilvl w:val="0"/>
                <w:numId w:val="1"/>
              </w:numPr>
              <w:jc w:val="both"/>
              <w:rPr>
                <w:iCs/>
                <w:szCs w:val="24"/>
              </w:rPr>
            </w:pPr>
            <w:r w:rsidRPr="002A1490">
              <w:rPr>
                <w:iCs/>
                <w:szCs w:val="24"/>
              </w:rPr>
              <w:t>Dokumentai, pagrindžiantys projekto išlaidų pagrįstumą (sudaryt</w:t>
            </w:r>
            <w:r w:rsidR="00923FA5" w:rsidRPr="002A1490">
              <w:rPr>
                <w:iCs/>
                <w:szCs w:val="24"/>
              </w:rPr>
              <w:t>o</w:t>
            </w:r>
            <w:r w:rsidRPr="002A1490">
              <w:rPr>
                <w:iCs/>
                <w:szCs w:val="24"/>
              </w:rPr>
              <w:t>s sutar</w:t>
            </w:r>
            <w:r w:rsidR="00923FA5" w:rsidRPr="002A1490">
              <w:rPr>
                <w:iCs/>
                <w:szCs w:val="24"/>
              </w:rPr>
              <w:t>ty</w:t>
            </w:r>
            <w:r w:rsidRPr="002A1490">
              <w:rPr>
                <w:iCs/>
                <w:szCs w:val="24"/>
              </w:rPr>
              <w:t>s, komercini</w:t>
            </w:r>
            <w:r w:rsidR="00923FA5" w:rsidRPr="002A1490">
              <w:rPr>
                <w:iCs/>
                <w:szCs w:val="24"/>
              </w:rPr>
              <w:t>ai</w:t>
            </w:r>
            <w:r w:rsidRPr="002A1490">
              <w:rPr>
                <w:iCs/>
                <w:szCs w:val="24"/>
              </w:rPr>
              <w:t>s pasiūlym</w:t>
            </w:r>
            <w:r w:rsidR="00923FA5" w:rsidRPr="002A1490">
              <w:rPr>
                <w:iCs/>
                <w:szCs w:val="24"/>
              </w:rPr>
              <w:t>ai</w:t>
            </w:r>
            <w:r w:rsidRPr="002A1490">
              <w:rPr>
                <w:iCs/>
                <w:szCs w:val="24"/>
              </w:rPr>
              <w:t>, nuorod</w:t>
            </w:r>
            <w:r w:rsidR="00923FA5" w:rsidRPr="002A1490">
              <w:rPr>
                <w:iCs/>
                <w:szCs w:val="24"/>
              </w:rPr>
              <w:t>os</w:t>
            </w:r>
            <w:r w:rsidRPr="002A1490">
              <w:rPr>
                <w:iCs/>
                <w:szCs w:val="24"/>
              </w:rPr>
              <w:t xml:space="preserve"> į rinkoje esančias kainas), išlaidų paskaičiavimai</w:t>
            </w:r>
            <w:r w:rsidR="002A1490">
              <w:rPr>
                <w:iCs/>
                <w:szCs w:val="24"/>
              </w:rPr>
              <w:t>.</w:t>
            </w:r>
          </w:p>
          <w:p w14:paraId="10D06665" w14:textId="77777777" w:rsidR="002A1490" w:rsidRDefault="000817AD" w:rsidP="002A1490">
            <w:pPr>
              <w:pStyle w:val="ListParagraph"/>
              <w:numPr>
                <w:ilvl w:val="0"/>
                <w:numId w:val="1"/>
              </w:numPr>
              <w:jc w:val="both"/>
              <w:rPr>
                <w:iCs/>
                <w:szCs w:val="24"/>
              </w:rPr>
            </w:pPr>
            <w:r w:rsidRPr="002A1490">
              <w:rPr>
                <w:iCs/>
                <w:szCs w:val="24"/>
              </w:rPr>
              <w:lastRenderedPageBreak/>
              <w:t>Įrodym</w:t>
            </w:r>
            <w:r w:rsidR="00923FA5" w:rsidRPr="002A1490">
              <w:rPr>
                <w:iCs/>
                <w:szCs w:val="24"/>
              </w:rPr>
              <w:t>ai</w:t>
            </w:r>
            <w:r w:rsidRPr="002A1490">
              <w:rPr>
                <w:iCs/>
                <w:szCs w:val="24"/>
              </w:rPr>
              <w:t xml:space="preserve"> dėl stabilių ir pakankamų finansų išteklių ir galimybės užtikrinti veiklos tęstinumą per visą projekto įgyvendinimo laikotarpį, padengti netinkamas, tačiau šiam projektui būtinas įgyvendinti išlaidas ir tinkamas finansuoti išlaidas, kurių nepadengia projekto finansavimas bei prisidėti prie projekto finansavimo nuosavomis lėšomis. Nuosavų lėšų finansavimo šaltiniai (pvz., banko paskola, nuosavos lėšos, savininko/steigėjo piniginiai įnašai ir kt.) turi būti aiškiai apibrėžti, patikimi, tinkami, pakankami ir realūs projekto įgyvendinimo plano pateikimo metu. </w:t>
            </w:r>
          </w:p>
          <w:p w14:paraId="69DC2129" w14:textId="67A71B54" w:rsidR="004826EC" w:rsidRPr="002A1490" w:rsidRDefault="000817AD" w:rsidP="002A1490">
            <w:pPr>
              <w:pStyle w:val="ListParagraph"/>
              <w:numPr>
                <w:ilvl w:val="0"/>
                <w:numId w:val="1"/>
              </w:numPr>
              <w:jc w:val="both"/>
              <w:rPr>
                <w:iCs/>
                <w:szCs w:val="24"/>
              </w:rPr>
            </w:pPr>
            <w:r w:rsidRPr="002A1490">
              <w:rPr>
                <w:iCs/>
                <w:szCs w:val="24"/>
              </w:rPr>
              <w:t xml:space="preserve">Iki projekto įgyvendinimo plano pateikimo paskutinių metų Lietuvos Respublikos įstatymų nustatyta tvarka patvirtintos ūkio subjekto metinės finansinės atskaitomybės dokumentų kopijos ir paskutinio ketvirčio iki paraiškos pateikimo tarpinės finansinės atskaitomybės dokumentai, pasirašyti įmonės vadovo </w:t>
            </w:r>
            <w:r w:rsidRPr="002A1490">
              <w:rPr>
                <w:bCs/>
                <w:szCs w:val="24"/>
              </w:rPr>
              <w:t>(jeigu pareiškėjas šių dokumentų nėra pateikęs Juridinių asmenų registrui)</w:t>
            </w:r>
            <w:r w:rsidRPr="002A1490">
              <w:rPr>
                <w:iCs/>
                <w:szCs w:val="24"/>
              </w:rPr>
              <w:t>.</w:t>
            </w:r>
          </w:p>
        </w:tc>
      </w:tr>
      <w:tr w:rsidR="004826EC" w:rsidRPr="002116EA" w14:paraId="308B828E" w14:textId="77777777" w:rsidTr="37AD1130">
        <w:tc>
          <w:tcPr>
            <w:tcW w:w="675" w:type="dxa"/>
          </w:tcPr>
          <w:p w14:paraId="08F2738D" w14:textId="77777777" w:rsidR="004826EC" w:rsidRPr="002116EA" w:rsidRDefault="004826EC">
            <w:pPr>
              <w:rPr>
                <w:szCs w:val="24"/>
              </w:rPr>
            </w:pPr>
          </w:p>
          <w:p w14:paraId="5847A6F0" w14:textId="77777777" w:rsidR="004826EC" w:rsidRPr="002116EA" w:rsidRDefault="00EF0216">
            <w:pPr>
              <w:keepNext/>
              <w:keepLines/>
              <w:ind w:left="576" w:hanging="576"/>
              <w:outlineLvl w:val="1"/>
              <w:rPr>
                <w:color w:val="2E74B5"/>
                <w:szCs w:val="24"/>
              </w:rPr>
            </w:pPr>
            <w:r w:rsidRPr="002116EA">
              <w:rPr>
                <w:b/>
                <w:color w:val="000000"/>
                <w:szCs w:val="24"/>
              </w:rPr>
              <w:t>2.7.</w:t>
            </w:r>
            <w:r w:rsidRPr="002116EA">
              <w:rPr>
                <w:b/>
                <w:color w:val="000000"/>
                <w:szCs w:val="24"/>
              </w:rPr>
              <w:tab/>
            </w:r>
          </w:p>
        </w:tc>
        <w:tc>
          <w:tcPr>
            <w:tcW w:w="3151" w:type="dxa"/>
          </w:tcPr>
          <w:p w14:paraId="4FDC204D" w14:textId="77777777" w:rsidR="004826EC" w:rsidRPr="002116EA" w:rsidRDefault="00EF0216">
            <w:pPr>
              <w:jc w:val="both"/>
              <w:rPr>
                <w:b/>
                <w:szCs w:val="24"/>
              </w:rPr>
            </w:pPr>
            <w:r w:rsidRPr="002116EA">
              <w:rPr>
                <w:b/>
                <w:szCs w:val="24"/>
              </w:rPr>
              <w:t>Kontaktiniai duomenys konsultacijoms</w:t>
            </w:r>
          </w:p>
        </w:tc>
        <w:tc>
          <w:tcPr>
            <w:tcW w:w="6028" w:type="dxa"/>
          </w:tcPr>
          <w:p w14:paraId="5943634B" w14:textId="6E73B5C8" w:rsidR="00705CBC" w:rsidRPr="002116EA" w:rsidRDefault="00EC5E4D">
            <w:pPr>
              <w:jc w:val="both"/>
              <w:rPr>
                <w:bCs/>
                <w:szCs w:val="24"/>
              </w:rPr>
            </w:pPr>
            <w:r w:rsidRPr="002116EA">
              <w:rPr>
                <w:bCs/>
                <w:szCs w:val="24"/>
              </w:rPr>
              <w:t>VšĮ Centrinė</w:t>
            </w:r>
            <w:r w:rsidR="00E87F8A">
              <w:rPr>
                <w:bCs/>
                <w:szCs w:val="24"/>
              </w:rPr>
              <w:t>s</w:t>
            </w:r>
            <w:r w:rsidRPr="002116EA">
              <w:rPr>
                <w:bCs/>
                <w:szCs w:val="24"/>
              </w:rPr>
              <w:t xml:space="preserve"> projektų valdymo agentūr</w:t>
            </w:r>
            <w:r w:rsidR="007818EE" w:rsidRPr="002116EA">
              <w:rPr>
                <w:bCs/>
                <w:szCs w:val="24"/>
              </w:rPr>
              <w:t>os Struktūrinių ir investicijų fondų programos</w:t>
            </w:r>
            <w:r w:rsidR="006226E6" w:rsidRPr="002116EA">
              <w:rPr>
                <w:bCs/>
                <w:szCs w:val="24"/>
              </w:rPr>
              <w:t xml:space="preserve"> </w:t>
            </w:r>
            <w:r w:rsidR="007818EE" w:rsidRPr="002116EA">
              <w:rPr>
                <w:bCs/>
                <w:szCs w:val="24"/>
              </w:rPr>
              <w:t xml:space="preserve">Energetikos ir aplinkos apsaugos projektų skyriaus </w:t>
            </w:r>
            <w:r w:rsidR="00BC5BAD" w:rsidRPr="002116EA">
              <w:rPr>
                <w:bCs/>
                <w:szCs w:val="24"/>
              </w:rPr>
              <w:t xml:space="preserve">vyresnioji projektų </w:t>
            </w:r>
            <w:r w:rsidR="007818EE" w:rsidRPr="002116EA">
              <w:rPr>
                <w:bCs/>
                <w:szCs w:val="24"/>
              </w:rPr>
              <w:t>vadovė</w:t>
            </w:r>
            <w:r w:rsidR="00BC5BAD" w:rsidRPr="002116EA">
              <w:rPr>
                <w:bCs/>
                <w:szCs w:val="24"/>
              </w:rPr>
              <w:t xml:space="preserve"> Kristina Dėjė</w:t>
            </w:r>
            <w:r w:rsidR="001F228C" w:rsidRPr="002116EA">
              <w:rPr>
                <w:bCs/>
                <w:szCs w:val="24"/>
              </w:rPr>
              <w:t>;</w:t>
            </w:r>
          </w:p>
          <w:p w14:paraId="7A130EB9" w14:textId="67CCDDF0" w:rsidR="006226E6" w:rsidRPr="002116EA" w:rsidRDefault="006226E6">
            <w:pPr>
              <w:jc w:val="both"/>
              <w:rPr>
                <w:bCs/>
                <w:szCs w:val="24"/>
              </w:rPr>
            </w:pPr>
            <w:r w:rsidRPr="002116EA">
              <w:rPr>
                <w:bCs/>
                <w:szCs w:val="24"/>
              </w:rPr>
              <w:t xml:space="preserve">Tel. Nr.: </w:t>
            </w:r>
            <w:r w:rsidR="00C95270" w:rsidRPr="002116EA">
              <w:rPr>
                <w:bCs/>
                <w:szCs w:val="24"/>
              </w:rPr>
              <w:t>8</w:t>
            </w:r>
            <w:r w:rsidRPr="002116EA">
              <w:rPr>
                <w:bCs/>
                <w:szCs w:val="24"/>
              </w:rPr>
              <w:t xml:space="preserve"> (6</w:t>
            </w:r>
            <w:r w:rsidR="00BC5BAD" w:rsidRPr="002116EA">
              <w:rPr>
                <w:bCs/>
                <w:szCs w:val="24"/>
                <w:lang w:val="en-US"/>
              </w:rPr>
              <w:t>86</w:t>
            </w:r>
            <w:r w:rsidRPr="002116EA">
              <w:rPr>
                <w:bCs/>
                <w:szCs w:val="24"/>
              </w:rPr>
              <w:t xml:space="preserve">) </w:t>
            </w:r>
            <w:r w:rsidR="00BC5BAD" w:rsidRPr="002116EA">
              <w:rPr>
                <w:bCs/>
                <w:szCs w:val="24"/>
              </w:rPr>
              <w:t>48</w:t>
            </w:r>
            <w:r w:rsidRPr="002116EA">
              <w:rPr>
                <w:bCs/>
                <w:szCs w:val="24"/>
              </w:rPr>
              <w:t xml:space="preserve"> </w:t>
            </w:r>
            <w:r w:rsidR="00BC5BAD" w:rsidRPr="002116EA">
              <w:rPr>
                <w:bCs/>
                <w:szCs w:val="24"/>
              </w:rPr>
              <w:t>779</w:t>
            </w:r>
            <w:r w:rsidRPr="002116EA">
              <w:rPr>
                <w:bCs/>
                <w:szCs w:val="24"/>
              </w:rPr>
              <w:t>;</w:t>
            </w:r>
          </w:p>
          <w:p w14:paraId="4ACFFF04" w14:textId="35D15E83" w:rsidR="00BC5BAD" w:rsidRPr="002116EA" w:rsidRDefault="006226E6" w:rsidP="00BC5BAD">
            <w:pPr>
              <w:jc w:val="both"/>
              <w:rPr>
                <w:bCs/>
                <w:szCs w:val="24"/>
                <w:lang w:val="en-US"/>
              </w:rPr>
            </w:pPr>
            <w:r w:rsidRPr="002116EA">
              <w:rPr>
                <w:bCs/>
                <w:szCs w:val="24"/>
              </w:rPr>
              <w:t xml:space="preserve">El. p.: </w:t>
            </w:r>
            <w:proofErr w:type="spellStart"/>
            <w:r w:rsidR="00BC5BAD" w:rsidRPr="002116EA">
              <w:rPr>
                <w:bCs/>
                <w:szCs w:val="24"/>
              </w:rPr>
              <w:t>K.Deje</w:t>
            </w:r>
            <w:proofErr w:type="spellEnd"/>
            <w:r w:rsidRPr="002116EA">
              <w:rPr>
                <w:bCs/>
                <w:szCs w:val="24"/>
                <w:lang w:val="en-US"/>
              </w:rPr>
              <w:t>@cpva.lt</w:t>
            </w:r>
          </w:p>
          <w:p w14:paraId="1F7A43E6" w14:textId="0197F45E" w:rsidR="004826EC" w:rsidRPr="002116EA" w:rsidRDefault="004826EC">
            <w:pPr>
              <w:jc w:val="both"/>
              <w:rPr>
                <w:i/>
                <w:color w:val="808080"/>
                <w:szCs w:val="24"/>
              </w:rPr>
            </w:pPr>
          </w:p>
        </w:tc>
      </w:tr>
      <w:tr w:rsidR="004826EC" w:rsidRPr="002116EA" w14:paraId="3BF00A86" w14:textId="77777777" w:rsidTr="37AD1130">
        <w:trPr>
          <w:trHeight w:val="457"/>
        </w:trPr>
        <w:tc>
          <w:tcPr>
            <w:tcW w:w="675" w:type="dxa"/>
          </w:tcPr>
          <w:p w14:paraId="731C5DAC" w14:textId="77777777" w:rsidR="004826EC" w:rsidRPr="002116EA" w:rsidRDefault="004826EC">
            <w:pPr>
              <w:rPr>
                <w:szCs w:val="24"/>
              </w:rPr>
            </w:pPr>
          </w:p>
          <w:p w14:paraId="22427264" w14:textId="77777777" w:rsidR="004826EC" w:rsidRPr="002116EA" w:rsidRDefault="00EF0216">
            <w:pPr>
              <w:keepNext/>
              <w:keepLines/>
              <w:ind w:left="576" w:hanging="576"/>
              <w:outlineLvl w:val="1"/>
              <w:rPr>
                <w:color w:val="2E74B5"/>
                <w:szCs w:val="24"/>
              </w:rPr>
            </w:pPr>
            <w:r w:rsidRPr="002116EA">
              <w:rPr>
                <w:b/>
                <w:color w:val="000000"/>
                <w:szCs w:val="24"/>
              </w:rPr>
              <w:t>2.8.</w:t>
            </w:r>
            <w:r w:rsidRPr="002116EA">
              <w:rPr>
                <w:b/>
                <w:color w:val="000000"/>
                <w:szCs w:val="24"/>
              </w:rPr>
              <w:tab/>
            </w:r>
          </w:p>
        </w:tc>
        <w:tc>
          <w:tcPr>
            <w:tcW w:w="3151" w:type="dxa"/>
          </w:tcPr>
          <w:p w14:paraId="6A2B372C" w14:textId="77777777" w:rsidR="004826EC" w:rsidRPr="002116EA" w:rsidRDefault="00EF0216">
            <w:pPr>
              <w:rPr>
                <w:b/>
                <w:szCs w:val="24"/>
              </w:rPr>
            </w:pPr>
            <w:r w:rsidRPr="002116EA">
              <w:rPr>
                <w:b/>
                <w:szCs w:val="24"/>
              </w:rPr>
              <w:t>Kita informacija</w:t>
            </w:r>
          </w:p>
          <w:p w14:paraId="16F092D1" w14:textId="77777777" w:rsidR="004826EC" w:rsidRPr="002116EA" w:rsidRDefault="004826EC">
            <w:pPr>
              <w:rPr>
                <w:szCs w:val="24"/>
              </w:rPr>
            </w:pPr>
          </w:p>
          <w:p w14:paraId="263D0AC2" w14:textId="77777777" w:rsidR="004826EC" w:rsidRPr="002116EA" w:rsidRDefault="004826EC">
            <w:pPr>
              <w:jc w:val="both"/>
              <w:rPr>
                <w:b/>
                <w:szCs w:val="24"/>
              </w:rPr>
            </w:pPr>
          </w:p>
        </w:tc>
        <w:tc>
          <w:tcPr>
            <w:tcW w:w="6028" w:type="dxa"/>
          </w:tcPr>
          <w:p w14:paraId="0ED27C1D" w14:textId="6188688F" w:rsidR="004826EC" w:rsidRPr="002116EA" w:rsidRDefault="007B684C" w:rsidP="37AD1130">
            <w:pPr>
              <w:jc w:val="both"/>
              <w:rPr>
                <w:i/>
                <w:iCs/>
                <w:color w:val="808080"/>
              </w:rPr>
            </w:pPr>
            <w:r>
              <w:rPr>
                <w:i/>
                <w:iCs/>
                <w:color w:val="808080"/>
              </w:rPr>
              <w:t>-</w:t>
            </w:r>
          </w:p>
        </w:tc>
      </w:tr>
    </w:tbl>
    <w:p w14:paraId="02D0940B" w14:textId="77777777" w:rsidR="004826EC" w:rsidRPr="002116EA" w:rsidRDefault="004826EC">
      <w:pPr>
        <w:rPr>
          <w:szCs w:val="24"/>
        </w:rPr>
      </w:pPr>
    </w:p>
    <w:p w14:paraId="16CC29EA" w14:textId="77777777" w:rsidR="004826EC" w:rsidRPr="002116EA" w:rsidRDefault="004826EC">
      <w:pPr>
        <w:keepNext/>
        <w:keepLines/>
        <w:spacing w:line="259" w:lineRule="auto"/>
        <w:ind w:left="720"/>
        <w:outlineLvl w:val="2"/>
        <w:rPr>
          <w:szCs w:val="24"/>
        </w:rPr>
      </w:pPr>
    </w:p>
    <w:p w14:paraId="3170A72A" w14:textId="77777777" w:rsidR="004826EC" w:rsidRPr="002116EA" w:rsidRDefault="004826EC">
      <w:pPr>
        <w:rPr>
          <w:szCs w:val="24"/>
        </w:rPr>
      </w:pPr>
    </w:p>
    <w:p w14:paraId="49C9C6BB" w14:textId="77777777" w:rsidR="004826EC" w:rsidRPr="002116EA" w:rsidRDefault="004826EC">
      <w:pPr>
        <w:keepNext/>
        <w:keepLines/>
        <w:spacing w:line="259" w:lineRule="auto"/>
        <w:outlineLvl w:val="2"/>
        <w:rPr>
          <w:i/>
          <w:color w:val="00000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2209"/>
        <w:gridCol w:w="2868"/>
        <w:gridCol w:w="3803"/>
      </w:tblGrid>
      <w:tr w:rsidR="004826EC" w:rsidRPr="002116EA" w14:paraId="3BE818FC" w14:textId="77777777" w:rsidTr="37AD1130">
        <w:trPr>
          <w:trHeight w:val="516"/>
        </w:trPr>
        <w:tc>
          <w:tcPr>
            <w:tcW w:w="562" w:type="dxa"/>
          </w:tcPr>
          <w:p w14:paraId="5CD9D0EB" w14:textId="77777777" w:rsidR="004826EC" w:rsidRPr="002116EA" w:rsidRDefault="004826EC">
            <w:pPr>
              <w:rPr>
                <w:szCs w:val="24"/>
              </w:rPr>
            </w:pPr>
          </w:p>
          <w:p w14:paraId="2B30B12C" w14:textId="77777777" w:rsidR="004826EC" w:rsidRPr="002116EA" w:rsidRDefault="00EF0216">
            <w:pPr>
              <w:keepNext/>
              <w:keepLines/>
              <w:ind w:left="432" w:hanging="432"/>
              <w:rPr>
                <w:color w:val="2E74B5"/>
                <w:szCs w:val="24"/>
              </w:rPr>
            </w:pPr>
            <w:r w:rsidRPr="002116EA">
              <w:rPr>
                <w:b/>
                <w:color w:val="000000"/>
                <w:szCs w:val="24"/>
              </w:rPr>
              <w:t>3.</w:t>
            </w:r>
            <w:r w:rsidRPr="002116EA">
              <w:rPr>
                <w:b/>
                <w:color w:val="000000"/>
                <w:szCs w:val="24"/>
              </w:rPr>
              <w:tab/>
            </w:r>
          </w:p>
        </w:tc>
        <w:tc>
          <w:tcPr>
            <w:tcW w:w="9327" w:type="dxa"/>
            <w:gridSpan w:val="3"/>
          </w:tcPr>
          <w:p w14:paraId="0609AABF" w14:textId="78D1DB4F" w:rsidR="004826EC" w:rsidRPr="002116EA" w:rsidRDefault="00EF0216">
            <w:pPr>
              <w:jc w:val="both"/>
              <w:rPr>
                <w:i/>
                <w:color w:val="808080"/>
                <w:szCs w:val="24"/>
              </w:rPr>
            </w:pPr>
            <w:r w:rsidRPr="002116EA">
              <w:rPr>
                <w:b/>
                <w:color w:val="000000"/>
                <w:szCs w:val="24"/>
              </w:rPr>
              <w:t>Finansuojamos veiklos (</w:t>
            </w:r>
            <w:proofErr w:type="spellStart"/>
            <w:r w:rsidRPr="002116EA">
              <w:rPr>
                <w:b/>
                <w:color w:val="000000"/>
                <w:szCs w:val="24"/>
              </w:rPr>
              <w:t>poveiklės</w:t>
            </w:r>
            <w:proofErr w:type="spellEnd"/>
            <w:r w:rsidRPr="002116EA">
              <w:rPr>
                <w:b/>
                <w:color w:val="000000"/>
                <w:szCs w:val="24"/>
              </w:rPr>
              <w:t xml:space="preserve">) ir joms keliami reikalavimai </w:t>
            </w:r>
          </w:p>
        </w:tc>
      </w:tr>
      <w:tr w:rsidR="004826EC" w:rsidRPr="002116EA" w14:paraId="17E0876C" w14:textId="77777777" w:rsidTr="37AD1130">
        <w:tc>
          <w:tcPr>
            <w:tcW w:w="562" w:type="dxa"/>
            <w:vMerge w:val="restart"/>
          </w:tcPr>
          <w:p w14:paraId="52134CD8" w14:textId="77777777" w:rsidR="004826EC" w:rsidRPr="002116EA" w:rsidRDefault="004826EC">
            <w:pPr>
              <w:rPr>
                <w:szCs w:val="24"/>
              </w:rPr>
            </w:pPr>
          </w:p>
          <w:p w14:paraId="4977D761" w14:textId="77777777" w:rsidR="004826EC" w:rsidRPr="002116EA" w:rsidRDefault="00EF0216">
            <w:pPr>
              <w:keepNext/>
              <w:keepLines/>
              <w:ind w:left="576" w:hanging="576"/>
              <w:outlineLvl w:val="1"/>
              <w:rPr>
                <w:color w:val="2E74B5"/>
                <w:szCs w:val="24"/>
              </w:rPr>
            </w:pPr>
            <w:r w:rsidRPr="002116EA">
              <w:rPr>
                <w:b/>
                <w:color w:val="000000"/>
                <w:szCs w:val="24"/>
              </w:rPr>
              <w:t>3.1.</w:t>
            </w:r>
            <w:r w:rsidRPr="002116EA">
              <w:rPr>
                <w:b/>
                <w:color w:val="000000"/>
                <w:szCs w:val="24"/>
              </w:rPr>
              <w:tab/>
            </w:r>
          </w:p>
        </w:tc>
        <w:tc>
          <w:tcPr>
            <w:tcW w:w="9327" w:type="dxa"/>
            <w:gridSpan w:val="3"/>
          </w:tcPr>
          <w:p w14:paraId="158E8712" w14:textId="77777777" w:rsidR="004826EC" w:rsidRPr="002116EA" w:rsidRDefault="00EF0216">
            <w:pPr>
              <w:jc w:val="both"/>
              <w:rPr>
                <w:i/>
                <w:color w:val="808080"/>
                <w:szCs w:val="24"/>
              </w:rPr>
            </w:pPr>
            <w:r w:rsidRPr="002116EA">
              <w:rPr>
                <w:b/>
                <w:szCs w:val="24"/>
              </w:rPr>
              <w:t>Finansuojamos projektų veiklos</w:t>
            </w:r>
          </w:p>
        </w:tc>
      </w:tr>
      <w:tr w:rsidR="004826EC" w:rsidRPr="002116EA" w14:paraId="56483D4E" w14:textId="77777777" w:rsidTr="37AD1130">
        <w:tc>
          <w:tcPr>
            <w:tcW w:w="562" w:type="dxa"/>
            <w:vMerge/>
          </w:tcPr>
          <w:p w14:paraId="1BB7F176" w14:textId="77777777" w:rsidR="004826EC" w:rsidRPr="002116EA" w:rsidRDefault="00EF0216">
            <w:pPr>
              <w:ind w:left="357" w:hanging="357"/>
              <w:rPr>
                <w:szCs w:val="24"/>
              </w:rPr>
            </w:pPr>
            <w:r w:rsidRPr="002116EA">
              <w:rPr>
                <w:szCs w:val="24"/>
              </w:rPr>
              <w:t>1.</w:t>
            </w:r>
            <w:r w:rsidRPr="002116EA">
              <w:rPr>
                <w:szCs w:val="24"/>
              </w:rPr>
              <w:tab/>
            </w:r>
          </w:p>
        </w:tc>
        <w:tc>
          <w:tcPr>
            <w:tcW w:w="9327" w:type="dxa"/>
            <w:gridSpan w:val="3"/>
          </w:tcPr>
          <w:p w14:paraId="16F12622" w14:textId="77777777" w:rsidR="00331F53" w:rsidRPr="002116EA" w:rsidRDefault="00331F53">
            <w:pPr>
              <w:jc w:val="both"/>
              <w:rPr>
                <w:iCs/>
                <w:szCs w:val="24"/>
              </w:rPr>
            </w:pPr>
            <w:r w:rsidRPr="002116EA">
              <w:rPr>
                <w:iCs/>
                <w:szCs w:val="24"/>
              </w:rPr>
              <w:t xml:space="preserve">Elektros energijos kaupimo įrenginių įrengimas </w:t>
            </w:r>
          </w:p>
          <w:p w14:paraId="7AB6EA52" w14:textId="25D7533F" w:rsidR="004826EC" w:rsidRPr="002116EA" w:rsidRDefault="004826EC">
            <w:pPr>
              <w:jc w:val="both"/>
              <w:rPr>
                <w:i/>
                <w:color w:val="808080"/>
                <w:szCs w:val="24"/>
              </w:rPr>
            </w:pPr>
          </w:p>
        </w:tc>
      </w:tr>
      <w:tr w:rsidR="004826EC" w:rsidRPr="002116EA" w14:paraId="66D4F6F1" w14:textId="77777777" w:rsidTr="37AD1130">
        <w:tc>
          <w:tcPr>
            <w:tcW w:w="562" w:type="dxa"/>
            <w:vMerge w:val="restart"/>
          </w:tcPr>
          <w:p w14:paraId="2C64BA5F" w14:textId="77777777" w:rsidR="004826EC" w:rsidRPr="002116EA" w:rsidRDefault="004826EC">
            <w:pPr>
              <w:rPr>
                <w:szCs w:val="24"/>
              </w:rPr>
            </w:pPr>
          </w:p>
          <w:p w14:paraId="2F4E8A9B" w14:textId="77777777" w:rsidR="004826EC" w:rsidRPr="002116EA" w:rsidRDefault="00EF0216">
            <w:pPr>
              <w:keepNext/>
              <w:keepLines/>
              <w:ind w:left="576" w:hanging="576"/>
              <w:outlineLvl w:val="1"/>
              <w:rPr>
                <w:color w:val="2E74B5"/>
                <w:szCs w:val="24"/>
              </w:rPr>
            </w:pPr>
            <w:r w:rsidRPr="002116EA">
              <w:rPr>
                <w:b/>
                <w:color w:val="000000"/>
                <w:szCs w:val="24"/>
              </w:rPr>
              <w:t>3.2.</w:t>
            </w:r>
            <w:r w:rsidRPr="002116EA">
              <w:rPr>
                <w:b/>
                <w:color w:val="000000"/>
                <w:szCs w:val="24"/>
              </w:rPr>
              <w:tab/>
            </w:r>
          </w:p>
        </w:tc>
        <w:tc>
          <w:tcPr>
            <w:tcW w:w="9327" w:type="dxa"/>
            <w:gridSpan w:val="3"/>
          </w:tcPr>
          <w:p w14:paraId="732829B5" w14:textId="77777777" w:rsidR="004826EC" w:rsidRPr="002116EA" w:rsidRDefault="00EF0216">
            <w:pPr>
              <w:rPr>
                <w:szCs w:val="24"/>
              </w:rPr>
            </w:pPr>
            <w:r w:rsidRPr="002116EA">
              <w:rPr>
                <w:b/>
                <w:szCs w:val="24"/>
              </w:rPr>
              <w:t>Tikslinės grupės</w:t>
            </w:r>
          </w:p>
        </w:tc>
      </w:tr>
      <w:tr w:rsidR="004826EC" w:rsidRPr="002116EA" w14:paraId="02DE9BB8" w14:textId="77777777" w:rsidTr="37AD1130">
        <w:tc>
          <w:tcPr>
            <w:tcW w:w="562" w:type="dxa"/>
            <w:vMerge/>
          </w:tcPr>
          <w:p w14:paraId="131274DD" w14:textId="77777777" w:rsidR="004826EC" w:rsidRPr="002116EA" w:rsidRDefault="004826EC">
            <w:pPr>
              <w:rPr>
                <w:szCs w:val="24"/>
              </w:rPr>
            </w:pPr>
          </w:p>
          <w:p w14:paraId="4619F8AF" w14:textId="77777777" w:rsidR="004826EC" w:rsidRPr="002116EA" w:rsidRDefault="00EF0216">
            <w:pPr>
              <w:keepNext/>
              <w:keepLines/>
              <w:ind w:left="576" w:hanging="576"/>
              <w:outlineLvl w:val="1"/>
              <w:rPr>
                <w:color w:val="2E74B5"/>
                <w:szCs w:val="24"/>
              </w:rPr>
            </w:pPr>
            <w:r w:rsidRPr="002116EA">
              <w:rPr>
                <w:b/>
                <w:color w:val="000000"/>
                <w:szCs w:val="24"/>
              </w:rPr>
              <w:t>1.1.</w:t>
            </w:r>
            <w:r w:rsidRPr="002116EA">
              <w:rPr>
                <w:b/>
                <w:color w:val="000000"/>
                <w:szCs w:val="24"/>
              </w:rPr>
              <w:tab/>
            </w:r>
          </w:p>
        </w:tc>
        <w:tc>
          <w:tcPr>
            <w:tcW w:w="9327" w:type="dxa"/>
            <w:gridSpan w:val="3"/>
          </w:tcPr>
          <w:p w14:paraId="51ADE214" w14:textId="3F6F0459" w:rsidR="009D7632" w:rsidRPr="002116EA" w:rsidRDefault="00850E81">
            <w:pPr>
              <w:jc w:val="both"/>
              <w:rPr>
                <w:iCs/>
                <w:szCs w:val="24"/>
              </w:rPr>
            </w:pPr>
            <w:r w:rsidRPr="002116EA">
              <w:rPr>
                <w:iCs/>
                <w:szCs w:val="24"/>
              </w:rPr>
              <w:t xml:space="preserve">Lietuvos elektros energijos vartotojai. </w:t>
            </w:r>
          </w:p>
          <w:p w14:paraId="6D662677" w14:textId="537820CF" w:rsidR="004826EC" w:rsidRPr="002116EA" w:rsidRDefault="004826EC">
            <w:pPr>
              <w:jc w:val="both"/>
              <w:rPr>
                <w:i/>
                <w:color w:val="808080"/>
                <w:szCs w:val="24"/>
              </w:rPr>
            </w:pPr>
          </w:p>
        </w:tc>
      </w:tr>
      <w:tr w:rsidR="004826EC" w:rsidRPr="002116EA" w14:paraId="71F5369B" w14:textId="77777777" w:rsidTr="37AD1130">
        <w:tc>
          <w:tcPr>
            <w:tcW w:w="562" w:type="dxa"/>
            <w:vMerge w:val="restart"/>
          </w:tcPr>
          <w:p w14:paraId="31089851" w14:textId="77777777" w:rsidR="004826EC" w:rsidRPr="002116EA" w:rsidRDefault="004826EC">
            <w:pPr>
              <w:rPr>
                <w:szCs w:val="24"/>
              </w:rPr>
            </w:pPr>
          </w:p>
          <w:p w14:paraId="31C8374B" w14:textId="77777777" w:rsidR="004826EC" w:rsidRPr="002116EA" w:rsidRDefault="00EF0216">
            <w:pPr>
              <w:keepNext/>
              <w:keepLines/>
              <w:ind w:left="576" w:hanging="576"/>
              <w:outlineLvl w:val="1"/>
              <w:rPr>
                <w:color w:val="2E74B5"/>
                <w:szCs w:val="24"/>
              </w:rPr>
            </w:pPr>
            <w:r w:rsidRPr="002116EA">
              <w:rPr>
                <w:b/>
                <w:color w:val="000000"/>
                <w:szCs w:val="24"/>
              </w:rPr>
              <w:t>3.3.</w:t>
            </w:r>
            <w:r w:rsidRPr="002116EA">
              <w:rPr>
                <w:b/>
                <w:color w:val="000000"/>
                <w:szCs w:val="24"/>
              </w:rPr>
              <w:tab/>
            </w:r>
          </w:p>
        </w:tc>
        <w:tc>
          <w:tcPr>
            <w:tcW w:w="9327" w:type="dxa"/>
            <w:gridSpan w:val="3"/>
          </w:tcPr>
          <w:p w14:paraId="68FDF6E2" w14:textId="77777777" w:rsidR="004826EC" w:rsidRPr="002116EA" w:rsidRDefault="00EF0216">
            <w:pPr>
              <w:rPr>
                <w:color w:val="808080"/>
                <w:szCs w:val="24"/>
              </w:rPr>
            </w:pPr>
            <w:r w:rsidRPr="002116EA">
              <w:rPr>
                <w:b/>
                <w:bCs/>
                <w:szCs w:val="24"/>
              </w:rPr>
              <w:t>Galimi pareiškėjai</w:t>
            </w:r>
          </w:p>
        </w:tc>
      </w:tr>
      <w:tr w:rsidR="004826EC" w:rsidRPr="002116EA" w14:paraId="3A5AD01E" w14:textId="77777777" w:rsidTr="37AD1130">
        <w:tc>
          <w:tcPr>
            <w:tcW w:w="562" w:type="dxa"/>
            <w:vMerge/>
          </w:tcPr>
          <w:p w14:paraId="673CD7D6" w14:textId="77777777" w:rsidR="004826EC" w:rsidRPr="002116EA" w:rsidRDefault="004826EC">
            <w:pPr>
              <w:rPr>
                <w:szCs w:val="24"/>
              </w:rPr>
            </w:pPr>
          </w:p>
          <w:p w14:paraId="24310C94" w14:textId="77777777" w:rsidR="004826EC" w:rsidRPr="002116EA" w:rsidRDefault="00EF0216">
            <w:pPr>
              <w:keepNext/>
              <w:keepLines/>
              <w:ind w:left="576" w:hanging="576"/>
              <w:outlineLvl w:val="1"/>
              <w:rPr>
                <w:color w:val="2E74B5"/>
                <w:szCs w:val="24"/>
              </w:rPr>
            </w:pPr>
            <w:r w:rsidRPr="002116EA">
              <w:rPr>
                <w:b/>
                <w:color w:val="000000"/>
                <w:szCs w:val="24"/>
              </w:rPr>
              <w:t>1.1.</w:t>
            </w:r>
            <w:r w:rsidRPr="002116EA">
              <w:rPr>
                <w:b/>
                <w:color w:val="000000"/>
                <w:szCs w:val="24"/>
              </w:rPr>
              <w:tab/>
            </w:r>
          </w:p>
        </w:tc>
        <w:tc>
          <w:tcPr>
            <w:tcW w:w="9327" w:type="dxa"/>
            <w:gridSpan w:val="3"/>
          </w:tcPr>
          <w:p w14:paraId="56989C0F" w14:textId="62677768" w:rsidR="00DB047B" w:rsidRPr="002116EA" w:rsidRDefault="00DB047B" w:rsidP="00DB047B">
            <w:pPr>
              <w:tabs>
                <w:tab w:val="left" w:pos="739"/>
              </w:tabs>
              <w:ind w:left="30"/>
              <w:jc w:val="both"/>
              <w:rPr>
                <w:iCs/>
                <w:szCs w:val="24"/>
              </w:rPr>
            </w:pPr>
            <w:r w:rsidRPr="002116EA">
              <w:rPr>
                <w:iCs/>
                <w:szCs w:val="24"/>
              </w:rPr>
              <w:t xml:space="preserve">2021 m. liepos 28 d. Lietuvos Respublikos Vyriausybės nutarimu Nr. 590 „Dėl elektros energijos kaupimo įrenginių sistemos operatoriaus paskyrimo“ paskirtas </w:t>
            </w:r>
            <w:r w:rsidRPr="002116EA">
              <w:rPr>
                <w:szCs w:val="24"/>
              </w:rPr>
              <w:t>elektros energijos kaupimo įrenginių sistemos operatori</w:t>
            </w:r>
            <w:r w:rsidR="00E87F8A">
              <w:rPr>
                <w:szCs w:val="24"/>
              </w:rPr>
              <w:t>us</w:t>
            </w:r>
            <w:r w:rsidRPr="002116EA">
              <w:rPr>
                <w:iCs/>
                <w:szCs w:val="24"/>
              </w:rPr>
              <w:t xml:space="preserve"> - uždaroji akcinė bendrovė „</w:t>
            </w:r>
            <w:proofErr w:type="spellStart"/>
            <w:r w:rsidRPr="002116EA">
              <w:rPr>
                <w:iCs/>
                <w:szCs w:val="24"/>
              </w:rPr>
              <w:t>Energy</w:t>
            </w:r>
            <w:proofErr w:type="spellEnd"/>
            <w:r w:rsidRPr="002116EA">
              <w:rPr>
                <w:iCs/>
                <w:szCs w:val="24"/>
              </w:rPr>
              <w:t xml:space="preserve"> </w:t>
            </w:r>
            <w:proofErr w:type="spellStart"/>
            <w:r w:rsidRPr="002116EA">
              <w:rPr>
                <w:iCs/>
                <w:szCs w:val="24"/>
              </w:rPr>
              <w:t>cells</w:t>
            </w:r>
            <w:proofErr w:type="spellEnd"/>
            <w:r w:rsidRPr="002116EA">
              <w:rPr>
                <w:iCs/>
                <w:szCs w:val="24"/>
              </w:rPr>
              <w:t>“.</w:t>
            </w:r>
          </w:p>
          <w:p w14:paraId="08BC4975" w14:textId="428F98E3" w:rsidR="004826EC" w:rsidRPr="002116EA" w:rsidRDefault="004826EC">
            <w:pPr>
              <w:rPr>
                <w:i/>
                <w:color w:val="808080"/>
                <w:szCs w:val="24"/>
              </w:rPr>
            </w:pPr>
          </w:p>
        </w:tc>
      </w:tr>
      <w:tr w:rsidR="004826EC" w:rsidRPr="002116EA" w14:paraId="27DAC928" w14:textId="77777777" w:rsidTr="37AD1130">
        <w:tc>
          <w:tcPr>
            <w:tcW w:w="562" w:type="dxa"/>
            <w:vMerge w:val="restart"/>
          </w:tcPr>
          <w:p w14:paraId="48EED4BB" w14:textId="77777777" w:rsidR="004826EC" w:rsidRPr="002116EA" w:rsidRDefault="004826EC">
            <w:pPr>
              <w:rPr>
                <w:szCs w:val="24"/>
              </w:rPr>
            </w:pPr>
          </w:p>
          <w:p w14:paraId="0D63EEDE" w14:textId="77777777" w:rsidR="004826EC" w:rsidRPr="002116EA" w:rsidRDefault="00EF0216">
            <w:pPr>
              <w:keepNext/>
              <w:keepLines/>
              <w:ind w:left="576" w:hanging="576"/>
              <w:outlineLvl w:val="1"/>
              <w:rPr>
                <w:color w:val="2E74B5"/>
                <w:szCs w:val="24"/>
              </w:rPr>
            </w:pPr>
            <w:r w:rsidRPr="002116EA">
              <w:rPr>
                <w:b/>
                <w:color w:val="000000"/>
                <w:szCs w:val="24"/>
              </w:rPr>
              <w:t>3.4.</w:t>
            </w:r>
            <w:r w:rsidRPr="002116EA">
              <w:rPr>
                <w:b/>
                <w:color w:val="000000"/>
                <w:szCs w:val="24"/>
              </w:rPr>
              <w:tab/>
            </w:r>
          </w:p>
        </w:tc>
        <w:tc>
          <w:tcPr>
            <w:tcW w:w="9327" w:type="dxa"/>
            <w:gridSpan w:val="3"/>
          </w:tcPr>
          <w:p w14:paraId="4DCF6176" w14:textId="77777777" w:rsidR="004826EC" w:rsidRPr="002116EA" w:rsidRDefault="00EF0216">
            <w:pPr>
              <w:rPr>
                <w:color w:val="808080"/>
                <w:szCs w:val="24"/>
              </w:rPr>
            </w:pPr>
            <w:r w:rsidRPr="002116EA">
              <w:rPr>
                <w:b/>
                <w:bCs/>
                <w:szCs w:val="24"/>
              </w:rPr>
              <w:t>Galimi partneriai</w:t>
            </w:r>
          </w:p>
        </w:tc>
      </w:tr>
      <w:tr w:rsidR="004826EC" w:rsidRPr="002116EA" w14:paraId="0FCDE977" w14:textId="77777777" w:rsidTr="37AD1130">
        <w:tc>
          <w:tcPr>
            <w:tcW w:w="562" w:type="dxa"/>
            <w:vMerge/>
          </w:tcPr>
          <w:p w14:paraId="0F63BC7B" w14:textId="77777777" w:rsidR="004826EC" w:rsidRPr="002116EA" w:rsidRDefault="00EF0216">
            <w:pPr>
              <w:ind w:left="357" w:hanging="357"/>
              <w:rPr>
                <w:szCs w:val="24"/>
              </w:rPr>
            </w:pPr>
            <w:r w:rsidRPr="002116EA">
              <w:rPr>
                <w:szCs w:val="24"/>
              </w:rPr>
              <w:t>1.</w:t>
            </w:r>
            <w:r w:rsidRPr="002116EA">
              <w:rPr>
                <w:szCs w:val="24"/>
              </w:rPr>
              <w:tab/>
            </w:r>
          </w:p>
        </w:tc>
        <w:tc>
          <w:tcPr>
            <w:tcW w:w="9327" w:type="dxa"/>
            <w:gridSpan w:val="3"/>
          </w:tcPr>
          <w:p w14:paraId="3F2CFE7F" w14:textId="3C2C1DF0" w:rsidR="00775E78" w:rsidRPr="002116EA" w:rsidRDefault="00775E78">
            <w:pPr>
              <w:rPr>
                <w:i/>
                <w:color w:val="808080"/>
                <w:szCs w:val="24"/>
              </w:rPr>
            </w:pPr>
            <w:r w:rsidRPr="002116EA">
              <w:rPr>
                <w:i/>
                <w:color w:val="808080"/>
                <w:szCs w:val="24"/>
              </w:rPr>
              <w:t>-</w:t>
            </w:r>
          </w:p>
          <w:p w14:paraId="00426FF6" w14:textId="19E927B1" w:rsidR="004826EC" w:rsidRPr="002116EA" w:rsidRDefault="004826EC">
            <w:pPr>
              <w:rPr>
                <w:i/>
                <w:color w:val="808080"/>
                <w:szCs w:val="24"/>
              </w:rPr>
            </w:pPr>
          </w:p>
        </w:tc>
      </w:tr>
      <w:tr w:rsidR="004826EC" w:rsidRPr="002116EA" w14:paraId="447BFDA3" w14:textId="77777777" w:rsidTr="37AD1130">
        <w:tc>
          <w:tcPr>
            <w:tcW w:w="9889" w:type="dxa"/>
            <w:gridSpan w:val="4"/>
          </w:tcPr>
          <w:p w14:paraId="69823D71" w14:textId="77777777" w:rsidR="004826EC" w:rsidRPr="002116EA" w:rsidRDefault="00EF0216">
            <w:pPr>
              <w:rPr>
                <w:b/>
                <w:szCs w:val="24"/>
              </w:rPr>
            </w:pPr>
            <w:r w:rsidRPr="002116EA">
              <w:rPr>
                <w:b/>
                <w:szCs w:val="24"/>
              </w:rPr>
              <w:t>FINANSAVIMO ŠALTINIAI IR SUMOS</w:t>
            </w:r>
          </w:p>
        </w:tc>
      </w:tr>
      <w:tr w:rsidR="004826EC" w:rsidRPr="002116EA" w14:paraId="1AF92074" w14:textId="77777777" w:rsidTr="37AD1130">
        <w:tc>
          <w:tcPr>
            <w:tcW w:w="562" w:type="dxa"/>
            <w:vMerge w:val="restart"/>
          </w:tcPr>
          <w:p w14:paraId="63BE1D3F" w14:textId="77777777" w:rsidR="004826EC" w:rsidRPr="002116EA" w:rsidRDefault="004826EC">
            <w:pPr>
              <w:rPr>
                <w:szCs w:val="24"/>
              </w:rPr>
            </w:pPr>
          </w:p>
          <w:p w14:paraId="0F74DB39" w14:textId="77777777" w:rsidR="004826EC" w:rsidRPr="002116EA" w:rsidRDefault="00EF0216">
            <w:pPr>
              <w:keepNext/>
              <w:keepLines/>
              <w:ind w:left="576" w:hanging="576"/>
              <w:outlineLvl w:val="1"/>
              <w:rPr>
                <w:color w:val="2E74B5"/>
                <w:szCs w:val="24"/>
              </w:rPr>
            </w:pPr>
            <w:r w:rsidRPr="002116EA">
              <w:rPr>
                <w:b/>
                <w:color w:val="000000"/>
                <w:szCs w:val="24"/>
              </w:rPr>
              <w:t>3.5.</w:t>
            </w:r>
            <w:r w:rsidRPr="002116EA">
              <w:rPr>
                <w:b/>
                <w:color w:val="000000"/>
                <w:szCs w:val="24"/>
              </w:rPr>
              <w:tab/>
            </w:r>
          </w:p>
        </w:tc>
        <w:tc>
          <w:tcPr>
            <w:tcW w:w="2268" w:type="dxa"/>
          </w:tcPr>
          <w:p w14:paraId="110ACB50" w14:textId="77777777" w:rsidR="004826EC" w:rsidRPr="002116EA" w:rsidRDefault="00EF0216">
            <w:pPr>
              <w:rPr>
                <w:b/>
                <w:szCs w:val="24"/>
              </w:rPr>
            </w:pPr>
            <w:r w:rsidRPr="002116EA">
              <w:rPr>
                <w:b/>
                <w:szCs w:val="24"/>
              </w:rPr>
              <w:t>Finansavimo šaltinis ir fondas</w:t>
            </w:r>
          </w:p>
        </w:tc>
        <w:tc>
          <w:tcPr>
            <w:tcW w:w="2977" w:type="dxa"/>
          </w:tcPr>
          <w:p w14:paraId="662678FA" w14:textId="77777777" w:rsidR="004826EC" w:rsidRPr="002116EA" w:rsidRDefault="00EF0216">
            <w:pPr>
              <w:rPr>
                <w:i/>
                <w:szCs w:val="24"/>
              </w:rPr>
            </w:pPr>
            <w:r w:rsidRPr="002116EA">
              <w:rPr>
                <w:b/>
                <w:szCs w:val="24"/>
              </w:rPr>
              <w:t>Skiriama finansavimo suma</w:t>
            </w:r>
          </w:p>
        </w:tc>
        <w:tc>
          <w:tcPr>
            <w:tcW w:w="4082" w:type="dxa"/>
          </w:tcPr>
          <w:p w14:paraId="6CFC0282" w14:textId="77777777" w:rsidR="004826EC" w:rsidRPr="002116EA" w:rsidRDefault="00EF0216">
            <w:pPr>
              <w:rPr>
                <w:i/>
                <w:szCs w:val="24"/>
              </w:rPr>
            </w:pPr>
            <w:r w:rsidRPr="002116EA">
              <w:rPr>
                <w:b/>
                <w:szCs w:val="24"/>
              </w:rPr>
              <w:t>Pareiškėjo nuosavo įnašo dydis (jei taikoma)</w:t>
            </w:r>
          </w:p>
        </w:tc>
      </w:tr>
      <w:tr w:rsidR="004826EC" w:rsidRPr="002116EA" w14:paraId="6EDADD67" w14:textId="77777777" w:rsidTr="37AD1130">
        <w:tc>
          <w:tcPr>
            <w:tcW w:w="562" w:type="dxa"/>
            <w:vMerge/>
          </w:tcPr>
          <w:p w14:paraId="625EB2EB" w14:textId="77777777" w:rsidR="004826EC" w:rsidRPr="002116EA" w:rsidRDefault="004826EC">
            <w:pPr>
              <w:rPr>
                <w:szCs w:val="24"/>
              </w:rPr>
            </w:pPr>
          </w:p>
        </w:tc>
        <w:tc>
          <w:tcPr>
            <w:tcW w:w="2268" w:type="dxa"/>
          </w:tcPr>
          <w:p w14:paraId="6602C4B9" w14:textId="320A82AA" w:rsidR="004826EC" w:rsidRPr="002116EA" w:rsidRDefault="00AB27CD">
            <w:pPr>
              <w:rPr>
                <w:i/>
                <w:color w:val="808080"/>
                <w:szCs w:val="24"/>
              </w:rPr>
            </w:pPr>
            <w:r w:rsidRPr="002116EA">
              <w:rPr>
                <w:szCs w:val="24"/>
              </w:rPr>
              <w:t>Ekonomikos gaivinimo ir  atsparumo didinimo plano „Naujos kartos Lietuva“</w:t>
            </w:r>
            <w:r w:rsidR="0070714D" w:rsidRPr="002116EA">
              <w:rPr>
                <w:szCs w:val="24"/>
              </w:rPr>
              <w:t xml:space="preserve"> fondas</w:t>
            </w:r>
          </w:p>
        </w:tc>
        <w:tc>
          <w:tcPr>
            <w:tcW w:w="2977" w:type="dxa"/>
          </w:tcPr>
          <w:p w14:paraId="4B503F24" w14:textId="23D01A6E" w:rsidR="005A6D2E" w:rsidRPr="002116EA" w:rsidRDefault="00E6762D">
            <w:pPr>
              <w:rPr>
                <w:iCs/>
                <w:szCs w:val="24"/>
              </w:rPr>
            </w:pPr>
            <w:r w:rsidRPr="002116EA">
              <w:rPr>
                <w:iCs/>
                <w:szCs w:val="24"/>
              </w:rPr>
              <w:t xml:space="preserve">Iki </w:t>
            </w:r>
            <w:r w:rsidR="005A6D2E" w:rsidRPr="002116EA">
              <w:rPr>
                <w:iCs/>
                <w:szCs w:val="24"/>
              </w:rPr>
              <w:t>100.000.000,00 eurų.</w:t>
            </w:r>
          </w:p>
          <w:p w14:paraId="1341E7DE" w14:textId="63CD7F2D" w:rsidR="004826EC" w:rsidRPr="002116EA" w:rsidRDefault="004826EC">
            <w:pPr>
              <w:rPr>
                <w:i/>
                <w:color w:val="808080"/>
                <w:szCs w:val="24"/>
              </w:rPr>
            </w:pPr>
          </w:p>
        </w:tc>
        <w:tc>
          <w:tcPr>
            <w:tcW w:w="4082" w:type="dxa"/>
          </w:tcPr>
          <w:p w14:paraId="0B7DE2C9" w14:textId="5D7EB7F7" w:rsidR="005A6D2E" w:rsidRPr="002116EA" w:rsidRDefault="00E6762D">
            <w:pPr>
              <w:rPr>
                <w:iCs/>
                <w:szCs w:val="24"/>
              </w:rPr>
            </w:pPr>
            <w:r w:rsidRPr="002116EA">
              <w:rPr>
                <w:iCs/>
                <w:szCs w:val="24"/>
              </w:rPr>
              <w:t xml:space="preserve">Ne mažiau nei </w:t>
            </w:r>
            <w:r w:rsidR="005A6D2E" w:rsidRPr="002116EA">
              <w:rPr>
                <w:iCs/>
                <w:szCs w:val="24"/>
              </w:rPr>
              <w:t>16,7 proc.</w:t>
            </w:r>
            <w:r w:rsidR="0060358B" w:rsidRPr="002116EA">
              <w:rPr>
                <w:iCs/>
                <w:szCs w:val="24"/>
              </w:rPr>
              <w:t xml:space="preserve"> visų tinkamų finansuoti išlaidų sumos</w:t>
            </w:r>
          </w:p>
          <w:p w14:paraId="6268F062" w14:textId="18D2A340" w:rsidR="004826EC" w:rsidRPr="002116EA" w:rsidRDefault="004826EC">
            <w:pPr>
              <w:rPr>
                <w:i/>
                <w:color w:val="808080"/>
                <w:szCs w:val="24"/>
              </w:rPr>
            </w:pPr>
          </w:p>
        </w:tc>
      </w:tr>
      <w:tr w:rsidR="004826EC" w:rsidRPr="002116EA" w14:paraId="2ECE1F44" w14:textId="77777777" w:rsidTr="37AD1130">
        <w:tc>
          <w:tcPr>
            <w:tcW w:w="9889" w:type="dxa"/>
            <w:gridSpan w:val="4"/>
          </w:tcPr>
          <w:p w14:paraId="5D6CB7A5" w14:textId="77777777" w:rsidR="004826EC" w:rsidRPr="002116EA" w:rsidRDefault="00EF0216">
            <w:pPr>
              <w:rPr>
                <w:b/>
                <w:szCs w:val="24"/>
              </w:rPr>
            </w:pPr>
            <w:r w:rsidRPr="002116EA">
              <w:rPr>
                <w:b/>
                <w:szCs w:val="24"/>
              </w:rPr>
              <w:t>SIEKIAMI STEBĖSENOS RODIKLIAI</w:t>
            </w:r>
          </w:p>
        </w:tc>
      </w:tr>
      <w:tr w:rsidR="004826EC" w:rsidRPr="002116EA" w14:paraId="7DB21BE7" w14:textId="77777777" w:rsidTr="37AD1130">
        <w:tc>
          <w:tcPr>
            <w:tcW w:w="562" w:type="dxa"/>
            <w:vMerge w:val="restart"/>
          </w:tcPr>
          <w:p w14:paraId="349243E1" w14:textId="77777777" w:rsidR="004826EC" w:rsidRPr="002116EA" w:rsidRDefault="004826EC">
            <w:pPr>
              <w:rPr>
                <w:szCs w:val="24"/>
              </w:rPr>
            </w:pPr>
          </w:p>
          <w:p w14:paraId="6A42CFD9" w14:textId="77777777" w:rsidR="004826EC" w:rsidRPr="002116EA" w:rsidRDefault="00EF0216">
            <w:pPr>
              <w:keepNext/>
              <w:keepLines/>
              <w:ind w:left="576" w:hanging="576"/>
              <w:outlineLvl w:val="1"/>
              <w:rPr>
                <w:color w:val="2E74B5"/>
                <w:szCs w:val="24"/>
              </w:rPr>
            </w:pPr>
            <w:r w:rsidRPr="002116EA">
              <w:rPr>
                <w:b/>
                <w:color w:val="000000"/>
                <w:szCs w:val="24"/>
              </w:rPr>
              <w:t>3.6.</w:t>
            </w:r>
            <w:r w:rsidRPr="002116EA">
              <w:rPr>
                <w:b/>
                <w:color w:val="000000"/>
                <w:szCs w:val="24"/>
              </w:rPr>
              <w:tab/>
            </w:r>
          </w:p>
        </w:tc>
        <w:tc>
          <w:tcPr>
            <w:tcW w:w="2268" w:type="dxa"/>
          </w:tcPr>
          <w:p w14:paraId="202CB21E" w14:textId="77777777" w:rsidR="004826EC" w:rsidRPr="002116EA" w:rsidRDefault="00EF0216">
            <w:pPr>
              <w:rPr>
                <w:b/>
                <w:bCs/>
                <w:szCs w:val="24"/>
                <w:highlight w:val="yellow"/>
              </w:rPr>
            </w:pPr>
            <w:r w:rsidRPr="002116EA">
              <w:rPr>
                <w:b/>
                <w:szCs w:val="24"/>
              </w:rPr>
              <w:t xml:space="preserve">Rodiklio pavadinimas </w:t>
            </w:r>
          </w:p>
        </w:tc>
        <w:tc>
          <w:tcPr>
            <w:tcW w:w="2977" w:type="dxa"/>
          </w:tcPr>
          <w:p w14:paraId="6DB9ED28" w14:textId="77777777" w:rsidR="004826EC" w:rsidRPr="002116EA" w:rsidRDefault="00EF0216">
            <w:pPr>
              <w:rPr>
                <w:i/>
                <w:szCs w:val="24"/>
              </w:rPr>
            </w:pPr>
            <w:r w:rsidRPr="002116EA">
              <w:rPr>
                <w:b/>
                <w:szCs w:val="24"/>
              </w:rPr>
              <w:t>Matavimo vienetai</w:t>
            </w:r>
          </w:p>
        </w:tc>
        <w:tc>
          <w:tcPr>
            <w:tcW w:w="4082" w:type="dxa"/>
          </w:tcPr>
          <w:p w14:paraId="10CC0395" w14:textId="77777777" w:rsidR="004826EC" w:rsidRPr="002116EA" w:rsidRDefault="00EF0216">
            <w:pPr>
              <w:rPr>
                <w:b/>
                <w:szCs w:val="24"/>
              </w:rPr>
            </w:pPr>
            <w:r w:rsidRPr="002116EA">
              <w:rPr>
                <w:b/>
                <w:szCs w:val="24"/>
              </w:rPr>
              <w:t>Siektina reikšmė</w:t>
            </w:r>
          </w:p>
        </w:tc>
      </w:tr>
      <w:tr w:rsidR="004826EC" w:rsidRPr="002116EA" w14:paraId="0A4D565A" w14:textId="77777777" w:rsidTr="37AD1130">
        <w:tc>
          <w:tcPr>
            <w:tcW w:w="562" w:type="dxa"/>
            <w:vMerge/>
          </w:tcPr>
          <w:p w14:paraId="34E576A3" w14:textId="77777777" w:rsidR="004826EC" w:rsidRPr="002116EA" w:rsidRDefault="004826EC">
            <w:pPr>
              <w:rPr>
                <w:szCs w:val="24"/>
              </w:rPr>
            </w:pPr>
          </w:p>
        </w:tc>
        <w:tc>
          <w:tcPr>
            <w:tcW w:w="2268" w:type="dxa"/>
          </w:tcPr>
          <w:p w14:paraId="62051FA8" w14:textId="5D94D2A3" w:rsidR="004826EC" w:rsidRPr="002116EA" w:rsidRDefault="006C5B97">
            <w:pPr>
              <w:rPr>
                <w:i/>
                <w:color w:val="808080"/>
                <w:szCs w:val="24"/>
              </w:rPr>
            </w:pPr>
            <w:r w:rsidRPr="002116EA">
              <w:rPr>
                <w:iCs/>
                <w:szCs w:val="24"/>
              </w:rPr>
              <w:t xml:space="preserve">Įrengtų naujų elektros energijos kaupimo įrenginių galia </w:t>
            </w:r>
          </w:p>
        </w:tc>
        <w:tc>
          <w:tcPr>
            <w:tcW w:w="2977" w:type="dxa"/>
          </w:tcPr>
          <w:p w14:paraId="1A952849" w14:textId="4C2695B8" w:rsidR="006C5B97" w:rsidRPr="002116EA" w:rsidRDefault="006C5B97">
            <w:pPr>
              <w:rPr>
                <w:iCs/>
                <w:szCs w:val="24"/>
              </w:rPr>
            </w:pPr>
            <w:r w:rsidRPr="002116EA">
              <w:rPr>
                <w:iCs/>
                <w:szCs w:val="24"/>
              </w:rPr>
              <w:t>MW</w:t>
            </w:r>
          </w:p>
          <w:p w14:paraId="799C6511" w14:textId="3161A9A2" w:rsidR="004826EC" w:rsidRPr="002116EA" w:rsidRDefault="004826EC">
            <w:pPr>
              <w:rPr>
                <w:i/>
                <w:color w:val="808080"/>
                <w:szCs w:val="24"/>
              </w:rPr>
            </w:pPr>
          </w:p>
        </w:tc>
        <w:tc>
          <w:tcPr>
            <w:tcW w:w="4082" w:type="dxa"/>
          </w:tcPr>
          <w:p w14:paraId="151CEF2C" w14:textId="77777777" w:rsidR="006C5B97" w:rsidRPr="002116EA" w:rsidRDefault="006C5B97">
            <w:pPr>
              <w:rPr>
                <w:iCs/>
                <w:szCs w:val="24"/>
              </w:rPr>
            </w:pPr>
            <w:r w:rsidRPr="002116EA">
              <w:rPr>
                <w:iCs/>
                <w:szCs w:val="24"/>
              </w:rPr>
              <w:t>200</w:t>
            </w:r>
          </w:p>
          <w:p w14:paraId="7FDE32BC" w14:textId="5BC7345F" w:rsidR="004826EC" w:rsidRPr="002116EA" w:rsidRDefault="004826EC">
            <w:pPr>
              <w:rPr>
                <w:i/>
                <w:color w:val="808080"/>
                <w:szCs w:val="24"/>
              </w:rPr>
            </w:pPr>
          </w:p>
        </w:tc>
      </w:tr>
      <w:tr w:rsidR="004826EC" w:rsidRPr="002116EA" w14:paraId="32600377" w14:textId="77777777" w:rsidTr="37AD1130">
        <w:tc>
          <w:tcPr>
            <w:tcW w:w="9889" w:type="dxa"/>
            <w:gridSpan w:val="4"/>
          </w:tcPr>
          <w:p w14:paraId="53F67E81" w14:textId="77777777" w:rsidR="004826EC" w:rsidRPr="002116EA" w:rsidRDefault="00EF0216">
            <w:pPr>
              <w:rPr>
                <w:b/>
                <w:szCs w:val="24"/>
              </w:rPr>
            </w:pPr>
            <w:r w:rsidRPr="002116EA">
              <w:rPr>
                <w:b/>
                <w:szCs w:val="24"/>
              </w:rPr>
              <w:t>IŠLAIDŲ TINKAMUMO FINANSUOTI REIKALAVIMAI</w:t>
            </w:r>
          </w:p>
        </w:tc>
      </w:tr>
      <w:tr w:rsidR="004826EC" w:rsidRPr="002116EA" w14:paraId="46653D58" w14:textId="77777777" w:rsidTr="37AD1130">
        <w:tc>
          <w:tcPr>
            <w:tcW w:w="562" w:type="dxa"/>
            <w:vMerge w:val="restart"/>
          </w:tcPr>
          <w:p w14:paraId="2871B596" w14:textId="77777777" w:rsidR="004826EC" w:rsidRPr="002116EA" w:rsidRDefault="004826EC">
            <w:pPr>
              <w:rPr>
                <w:szCs w:val="24"/>
              </w:rPr>
            </w:pPr>
          </w:p>
          <w:p w14:paraId="2D500EAA" w14:textId="77777777" w:rsidR="004826EC" w:rsidRPr="002116EA" w:rsidRDefault="00EF0216">
            <w:pPr>
              <w:keepNext/>
              <w:keepLines/>
              <w:ind w:left="576" w:hanging="576"/>
              <w:outlineLvl w:val="1"/>
              <w:rPr>
                <w:color w:val="2E74B5"/>
                <w:szCs w:val="24"/>
              </w:rPr>
            </w:pPr>
            <w:r w:rsidRPr="002116EA">
              <w:rPr>
                <w:b/>
                <w:color w:val="000000"/>
                <w:szCs w:val="24"/>
              </w:rPr>
              <w:t>3.7.</w:t>
            </w:r>
            <w:r w:rsidRPr="002116EA">
              <w:rPr>
                <w:b/>
                <w:color w:val="000000"/>
                <w:szCs w:val="24"/>
              </w:rPr>
              <w:tab/>
            </w:r>
          </w:p>
        </w:tc>
        <w:tc>
          <w:tcPr>
            <w:tcW w:w="9327" w:type="dxa"/>
            <w:gridSpan w:val="3"/>
          </w:tcPr>
          <w:p w14:paraId="734F5B0F" w14:textId="77777777" w:rsidR="004826EC" w:rsidRPr="002116EA" w:rsidRDefault="00EF0216">
            <w:pPr>
              <w:jc w:val="both"/>
              <w:rPr>
                <w:b/>
                <w:szCs w:val="24"/>
              </w:rPr>
            </w:pPr>
            <w:r w:rsidRPr="002116EA">
              <w:rPr>
                <w:b/>
                <w:szCs w:val="24"/>
              </w:rPr>
              <w:t>Išlaidų tinkamumo finansuoti reikalavimai</w:t>
            </w:r>
          </w:p>
        </w:tc>
      </w:tr>
      <w:tr w:rsidR="004826EC" w:rsidRPr="002116EA" w14:paraId="30EC5FCD" w14:textId="77777777" w:rsidTr="37AD1130">
        <w:tc>
          <w:tcPr>
            <w:tcW w:w="562" w:type="dxa"/>
            <w:vMerge/>
          </w:tcPr>
          <w:p w14:paraId="34EF2C37" w14:textId="77777777" w:rsidR="004826EC" w:rsidRPr="002116EA" w:rsidRDefault="004826EC">
            <w:pPr>
              <w:rPr>
                <w:szCs w:val="24"/>
              </w:rPr>
            </w:pPr>
          </w:p>
          <w:p w14:paraId="56800C40" w14:textId="77777777" w:rsidR="004826EC" w:rsidRPr="002116EA" w:rsidRDefault="00EF0216">
            <w:pPr>
              <w:keepNext/>
              <w:keepLines/>
              <w:ind w:left="576" w:hanging="576"/>
              <w:outlineLvl w:val="1"/>
              <w:rPr>
                <w:color w:val="2E74B5"/>
                <w:szCs w:val="24"/>
              </w:rPr>
            </w:pPr>
            <w:r w:rsidRPr="002116EA">
              <w:rPr>
                <w:b/>
                <w:color w:val="000000"/>
                <w:szCs w:val="24"/>
              </w:rPr>
              <w:t>1.1.</w:t>
            </w:r>
            <w:r w:rsidRPr="002116EA">
              <w:rPr>
                <w:b/>
                <w:color w:val="000000"/>
                <w:szCs w:val="24"/>
              </w:rPr>
              <w:tab/>
            </w:r>
          </w:p>
        </w:tc>
        <w:tc>
          <w:tcPr>
            <w:tcW w:w="9327" w:type="dxa"/>
            <w:gridSpan w:val="3"/>
          </w:tcPr>
          <w:p w14:paraId="10304D92" w14:textId="77777777" w:rsidR="009E37C6" w:rsidRPr="002116EA" w:rsidRDefault="009E37C6" w:rsidP="009E37C6">
            <w:pPr>
              <w:tabs>
                <w:tab w:val="left" w:pos="360"/>
              </w:tabs>
              <w:ind w:left="34" w:hanging="12"/>
              <w:jc w:val="both"/>
              <w:rPr>
                <w:szCs w:val="24"/>
              </w:rPr>
            </w:pPr>
            <w:r w:rsidRPr="002116EA">
              <w:rPr>
                <w:szCs w:val="24"/>
              </w:rPr>
              <w:t>1. Projekto išlaidos turi atitikti Laikinosios tvarkos 2 priede išdėstytus projekto išlaidoms taikomus reikalavimus.</w:t>
            </w:r>
          </w:p>
          <w:p w14:paraId="02386228" w14:textId="281C9768" w:rsidR="009E37C6" w:rsidRPr="002116EA" w:rsidRDefault="009E37C6" w:rsidP="009E37C6">
            <w:pPr>
              <w:tabs>
                <w:tab w:val="left" w:pos="360"/>
              </w:tabs>
              <w:ind w:left="34" w:hanging="12"/>
              <w:jc w:val="both"/>
              <w:rPr>
                <w:szCs w:val="24"/>
              </w:rPr>
            </w:pPr>
            <w:r w:rsidRPr="002116EA">
              <w:rPr>
                <w:szCs w:val="24"/>
              </w:rPr>
              <w:t>2. Netinkamos finansuoti projekto lėšos:</w:t>
            </w:r>
          </w:p>
          <w:p w14:paraId="481A444A" w14:textId="6BE9418D" w:rsidR="009E37C6" w:rsidRPr="002116EA" w:rsidRDefault="009E37C6" w:rsidP="009E37C6">
            <w:pPr>
              <w:tabs>
                <w:tab w:val="left" w:pos="589"/>
              </w:tabs>
              <w:ind w:firstLine="306"/>
              <w:jc w:val="both"/>
              <w:rPr>
                <w:szCs w:val="24"/>
              </w:rPr>
            </w:pPr>
            <w:r w:rsidRPr="002116EA">
              <w:rPr>
                <w:szCs w:val="24"/>
              </w:rPr>
              <w:t>2.1. pridėtinės vertės mokestis;</w:t>
            </w:r>
          </w:p>
          <w:p w14:paraId="32BAA7B9" w14:textId="6E84B714" w:rsidR="009E37C6" w:rsidRPr="002116EA" w:rsidRDefault="009E37C6" w:rsidP="009E37C6">
            <w:pPr>
              <w:tabs>
                <w:tab w:val="left" w:pos="589"/>
              </w:tabs>
              <w:ind w:firstLine="306"/>
              <w:jc w:val="both"/>
              <w:rPr>
                <w:szCs w:val="24"/>
              </w:rPr>
            </w:pPr>
            <w:r w:rsidRPr="002116EA">
              <w:rPr>
                <w:szCs w:val="24"/>
              </w:rPr>
              <w:t>2.2. įgyvendinant projektą naudojamo ilgalaikio turto nusidėvėjimo (amortizacijos) sąnaudos;</w:t>
            </w:r>
          </w:p>
          <w:p w14:paraId="3DC130B6" w14:textId="74707A04" w:rsidR="009E37C6" w:rsidRPr="002116EA" w:rsidRDefault="009E37C6" w:rsidP="009E37C6">
            <w:pPr>
              <w:tabs>
                <w:tab w:val="left" w:pos="589"/>
              </w:tabs>
              <w:ind w:firstLine="306"/>
              <w:jc w:val="both"/>
              <w:rPr>
                <w:szCs w:val="24"/>
              </w:rPr>
            </w:pPr>
            <w:r w:rsidRPr="002116EA">
              <w:rPr>
                <w:szCs w:val="24"/>
              </w:rPr>
              <w:t>2.3. transporto priemonių pirkimo, lizingo (finansinės nuomos), eksploatavimo ir susijusios išlaidos;</w:t>
            </w:r>
          </w:p>
          <w:p w14:paraId="37767B0D" w14:textId="1A05E01E" w:rsidR="009E37C6" w:rsidRPr="002116EA" w:rsidRDefault="009E37C6" w:rsidP="009E37C6">
            <w:pPr>
              <w:tabs>
                <w:tab w:val="left" w:pos="589"/>
              </w:tabs>
              <w:ind w:firstLine="306"/>
              <w:jc w:val="both"/>
              <w:rPr>
                <w:szCs w:val="24"/>
              </w:rPr>
            </w:pPr>
            <w:r w:rsidRPr="002116EA">
              <w:rPr>
                <w:szCs w:val="24"/>
              </w:rPr>
              <w:t>2.4. žemės pirkimo išlaidos;</w:t>
            </w:r>
          </w:p>
          <w:p w14:paraId="575B7FC2" w14:textId="6E73B1B1" w:rsidR="009E37C6" w:rsidRPr="002116EA" w:rsidRDefault="009E37C6" w:rsidP="009E37C6">
            <w:pPr>
              <w:tabs>
                <w:tab w:val="left" w:pos="589"/>
              </w:tabs>
              <w:ind w:firstLine="306"/>
              <w:jc w:val="both"/>
              <w:rPr>
                <w:szCs w:val="24"/>
              </w:rPr>
            </w:pPr>
            <w:r w:rsidRPr="002116EA">
              <w:rPr>
                <w:szCs w:val="24"/>
              </w:rPr>
              <w:t>2.5. projektą vykdančių ir (ar) projekto veiklose dalyvaujančių asmenų komandiruočių ir kelionių išlaidos.</w:t>
            </w:r>
          </w:p>
          <w:p w14:paraId="16B90AD1" w14:textId="50850C3B" w:rsidR="009E37C6" w:rsidRPr="002116EA" w:rsidRDefault="009E37C6" w:rsidP="009E37C6">
            <w:pPr>
              <w:tabs>
                <w:tab w:val="left" w:pos="739"/>
              </w:tabs>
              <w:ind w:hanging="12"/>
              <w:jc w:val="both"/>
              <w:rPr>
                <w:szCs w:val="24"/>
              </w:rPr>
            </w:pPr>
            <w:r w:rsidRPr="002116EA">
              <w:rPr>
                <w:szCs w:val="24"/>
              </w:rPr>
              <w:t>3. Projekto vykdytojo prašymu, išankstiniai (avansiniai) mokėjimai gali būti atliekami Laikinojoje tvarkoje numatyta tvarka ir EK sprendimo 21 dalyje.</w:t>
            </w:r>
          </w:p>
          <w:p w14:paraId="7BB83FCC" w14:textId="332F2924" w:rsidR="0070714D" w:rsidRPr="002116EA" w:rsidRDefault="5A86B50B" w:rsidP="37AD1130">
            <w:pPr>
              <w:tabs>
                <w:tab w:val="left" w:pos="739"/>
              </w:tabs>
              <w:ind w:hanging="12"/>
              <w:jc w:val="both"/>
            </w:pPr>
            <w:r>
              <w:t>4. Galutinis mokėjimo prašymas teikiamas iki projekto sutartyje nustatyto termino, kuris negali būti trumpesnis kaip 30 dienų nuo projekto veiklų įgyvendinimo pabaigos. Kartu su galutiniu mokėjimo prašymu teikiama galutinė veiklos ataskaita.</w:t>
            </w:r>
          </w:p>
          <w:p w14:paraId="0962DE07" w14:textId="58437CBD" w:rsidR="004826EC" w:rsidRPr="002116EA" w:rsidRDefault="004826EC">
            <w:pPr>
              <w:jc w:val="both"/>
              <w:rPr>
                <w:i/>
                <w:iCs/>
                <w:color w:val="808080"/>
                <w:szCs w:val="24"/>
              </w:rPr>
            </w:pPr>
          </w:p>
        </w:tc>
      </w:tr>
      <w:tr w:rsidR="004826EC" w:rsidRPr="002116EA" w14:paraId="435F87E5" w14:textId="77777777" w:rsidTr="37AD1130">
        <w:tc>
          <w:tcPr>
            <w:tcW w:w="562" w:type="dxa"/>
            <w:vMerge w:val="restart"/>
          </w:tcPr>
          <w:p w14:paraId="77240A38" w14:textId="77777777" w:rsidR="004826EC" w:rsidRPr="002116EA" w:rsidRDefault="004826EC">
            <w:pPr>
              <w:rPr>
                <w:szCs w:val="24"/>
              </w:rPr>
            </w:pPr>
          </w:p>
          <w:p w14:paraId="3CA902E0" w14:textId="77777777" w:rsidR="004826EC" w:rsidRPr="002116EA" w:rsidRDefault="00EF0216">
            <w:pPr>
              <w:keepNext/>
              <w:keepLines/>
              <w:ind w:left="576" w:hanging="576"/>
              <w:outlineLvl w:val="1"/>
              <w:rPr>
                <w:color w:val="2E74B5"/>
                <w:szCs w:val="24"/>
              </w:rPr>
            </w:pPr>
            <w:r w:rsidRPr="002116EA">
              <w:rPr>
                <w:b/>
                <w:color w:val="000000"/>
                <w:szCs w:val="24"/>
              </w:rPr>
              <w:t>3.8.</w:t>
            </w:r>
            <w:r w:rsidRPr="002116EA">
              <w:rPr>
                <w:b/>
                <w:color w:val="000000"/>
                <w:szCs w:val="24"/>
              </w:rPr>
              <w:tab/>
            </w:r>
          </w:p>
        </w:tc>
        <w:tc>
          <w:tcPr>
            <w:tcW w:w="9327" w:type="dxa"/>
            <w:gridSpan w:val="3"/>
          </w:tcPr>
          <w:p w14:paraId="3AE02105" w14:textId="77777777" w:rsidR="004826EC" w:rsidRPr="002116EA" w:rsidRDefault="00EF0216">
            <w:pPr>
              <w:jc w:val="both"/>
              <w:rPr>
                <w:i/>
                <w:iCs/>
                <w:color w:val="808080"/>
                <w:szCs w:val="24"/>
              </w:rPr>
            </w:pPr>
            <w:r w:rsidRPr="002116EA">
              <w:rPr>
                <w:b/>
                <w:szCs w:val="24"/>
              </w:rPr>
              <w:t>Kryžminis finansavimas</w:t>
            </w:r>
          </w:p>
        </w:tc>
      </w:tr>
      <w:tr w:rsidR="004826EC" w:rsidRPr="002116EA" w14:paraId="66362A29" w14:textId="77777777" w:rsidTr="37AD1130">
        <w:tc>
          <w:tcPr>
            <w:tcW w:w="562" w:type="dxa"/>
            <w:vMerge/>
          </w:tcPr>
          <w:p w14:paraId="42ED362E" w14:textId="77777777" w:rsidR="004826EC" w:rsidRPr="002116EA" w:rsidRDefault="004826EC">
            <w:pPr>
              <w:rPr>
                <w:szCs w:val="24"/>
              </w:rPr>
            </w:pPr>
          </w:p>
          <w:p w14:paraId="21446252" w14:textId="77777777" w:rsidR="004826EC" w:rsidRPr="002116EA" w:rsidRDefault="00EF0216">
            <w:pPr>
              <w:keepNext/>
              <w:keepLines/>
              <w:ind w:left="576" w:hanging="576"/>
              <w:outlineLvl w:val="1"/>
              <w:rPr>
                <w:color w:val="2E74B5"/>
                <w:szCs w:val="24"/>
              </w:rPr>
            </w:pPr>
            <w:r w:rsidRPr="002116EA">
              <w:rPr>
                <w:b/>
                <w:color w:val="000000"/>
                <w:szCs w:val="24"/>
              </w:rPr>
              <w:t>1.1.</w:t>
            </w:r>
            <w:r w:rsidRPr="002116EA">
              <w:rPr>
                <w:b/>
                <w:color w:val="000000"/>
                <w:szCs w:val="24"/>
              </w:rPr>
              <w:tab/>
            </w:r>
          </w:p>
        </w:tc>
        <w:tc>
          <w:tcPr>
            <w:tcW w:w="9327" w:type="dxa"/>
            <w:gridSpan w:val="3"/>
          </w:tcPr>
          <w:p w14:paraId="577CB4EF" w14:textId="3A79AC46" w:rsidR="004826EC" w:rsidRPr="002116EA" w:rsidRDefault="006876D0">
            <w:pPr>
              <w:jc w:val="both"/>
              <w:rPr>
                <w:szCs w:val="24"/>
              </w:rPr>
            </w:pPr>
            <w:r w:rsidRPr="002116EA">
              <w:rPr>
                <w:szCs w:val="24"/>
              </w:rPr>
              <w:t>Netaikomas</w:t>
            </w:r>
          </w:p>
        </w:tc>
      </w:tr>
      <w:tr w:rsidR="004826EC" w:rsidRPr="002116EA" w14:paraId="6D316DE8" w14:textId="77777777" w:rsidTr="37AD1130">
        <w:tc>
          <w:tcPr>
            <w:tcW w:w="562" w:type="dxa"/>
            <w:vMerge w:val="restart"/>
          </w:tcPr>
          <w:p w14:paraId="46FC51F8" w14:textId="77777777" w:rsidR="004826EC" w:rsidRPr="002116EA" w:rsidRDefault="004826EC">
            <w:pPr>
              <w:rPr>
                <w:szCs w:val="24"/>
              </w:rPr>
            </w:pPr>
          </w:p>
          <w:p w14:paraId="58E16039" w14:textId="77777777" w:rsidR="004826EC" w:rsidRPr="002116EA" w:rsidRDefault="00EF0216">
            <w:pPr>
              <w:keepNext/>
              <w:keepLines/>
              <w:ind w:left="576" w:hanging="576"/>
              <w:outlineLvl w:val="1"/>
              <w:rPr>
                <w:color w:val="2E74B5"/>
                <w:szCs w:val="24"/>
              </w:rPr>
            </w:pPr>
            <w:r w:rsidRPr="002116EA">
              <w:rPr>
                <w:b/>
                <w:color w:val="000000"/>
                <w:szCs w:val="24"/>
              </w:rPr>
              <w:t>3.9.</w:t>
            </w:r>
            <w:r w:rsidRPr="002116EA">
              <w:rPr>
                <w:b/>
                <w:color w:val="000000"/>
                <w:szCs w:val="24"/>
              </w:rPr>
              <w:tab/>
            </w:r>
          </w:p>
        </w:tc>
        <w:tc>
          <w:tcPr>
            <w:tcW w:w="9327" w:type="dxa"/>
            <w:gridSpan w:val="3"/>
          </w:tcPr>
          <w:p w14:paraId="59354F56" w14:textId="77777777" w:rsidR="004826EC" w:rsidRPr="002116EA" w:rsidRDefault="00EF0216">
            <w:pPr>
              <w:rPr>
                <w:szCs w:val="24"/>
              </w:rPr>
            </w:pPr>
            <w:r w:rsidRPr="002116EA">
              <w:rPr>
                <w:b/>
                <w:szCs w:val="24"/>
              </w:rPr>
              <w:t>Projektų veiklų įgyvendinimui taikomi supaprastintai apmokamų išlaidų dydžiai</w:t>
            </w:r>
          </w:p>
        </w:tc>
      </w:tr>
      <w:tr w:rsidR="004826EC" w:rsidRPr="002116EA" w14:paraId="5CF74708" w14:textId="77777777" w:rsidTr="37AD1130">
        <w:tc>
          <w:tcPr>
            <w:tcW w:w="562" w:type="dxa"/>
            <w:vMerge/>
          </w:tcPr>
          <w:p w14:paraId="1C524B0E" w14:textId="77777777" w:rsidR="004826EC" w:rsidRPr="002116EA" w:rsidRDefault="004826EC">
            <w:pPr>
              <w:rPr>
                <w:szCs w:val="24"/>
              </w:rPr>
            </w:pPr>
          </w:p>
        </w:tc>
        <w:tc>
          <w:tcPr>
            <w:tcW w:w="2268" w:type="dxa"/>
          </w:tcPr>
          <w:p w14:paraId="1C160F9C" w14:textId="77777777" w:rsidR="004826EC" w:rsidRPr="002116EA" w:rsidRDefault="00EF0216">
            <w:pPr>
              <w:rPr>
                <w:b/>
                <w:szCs w:val="24"/>
              </w:rPr>
            </w:pPr>
            <w:r w:rsidRPr="002116EA">
              <w:rPr>
                <w:b/>
                <w:szCs w:val="24"/>
              </w:rPr>
              <w:t>Fiksuotojo dydžio pavadinimas ir kodas</w:t>
            </w:r>
          </w:p>
        </w:tc>
        <w:tc>
          <w:tcPr>
            <w:tcW w:w="7059" w:type="dxa"/>
            <w:gridSpan w:val="2"/>
          </w:tcPr>
          <w:p w14:paraId="15619E01" w14:textId="77777777" w:rsidR="004826EC" w:rsidRPr="002116EA" w:rsidRDefault="00EF0216">
            <w:pPr>
              <w:rPr>
                <w:b/>
                <w:szCs w:val="24"/>
              </w:rPr>
            </w:pPr>
            <w:r w:rsidRPr="002116EA">
              <w:rPr>
                <w:b/>
                <w:szCs w:val="24"/>
              </w:rPr>
              <w:t xml:space="preserve">Fiksuotojo dydžio aprašymas </w:t>
            </w:r>
          </w:p>
        </w:tc>
      </w:tr>
      <w:tr w:rsidR="004826EC" w:rsidRPr="002116EA" w14:paraId="0B8FB1A7" w14:textId="77777777" w:rsidTr="37AD1130">
        <w:trPr>
          <w:trHeight w:val="451"/>
        </w:trPr>
        <w:tc>
          <w:tcPr>
            <w:tcW w:w="562" w:type="dxa"/>
            <w:vMerge/>
          </w:tcPr>
          <w:p w14:paraId="156CE05D" w14:textId="77777777" w:rsidR="004826EC" w:rsidRPr="002116EA" w:rsidRDefault="004826EC">
            <w:pPr>
              <w:rPr>
                <w:szCs w:val="24"/>
              </w:rPr>
            </w:pPr>
          </w:p>
        </w:tc>
        <w:tc>
          <w:tcPr>
            <w:tcW w:w="2268" w:type="dxa"/>
          </w:tcPr>
          <w:p w14:paraId="6DC07FFE" w14:textId="7153C028" w:rsidR="001E5E41" w:rsidRPr="002116EA" w:rsidRDefault="001E5E41" w:rsidP="0044282E">
            <w:pPr>
              <w:rPr>
                <w:szCs w:val="24"/>
              </w:rPr>
            </w:pPr>
            <w:r w:rsidRPr="002116EA">
              <w:rPr>
                <w:szCs w:val="24"/>
              </w:rPr>
              <w:t>7 proc. netiesioginių išlaidų fiksuotoji norma, FN-01</w:t>
            </w:r>
          </w:p>
          <w:p w14:paraId="6072CED9" w14:textId="29DDDAFA" w:rsidR="0044282E" w:rsidRPr="002116EA" w:rsidRDefault="0044282E">
            <w:pPr>
              <w:rPr>
                <w:szCs w:val="24"/>
              </w:rPr>
            </w:pPr>
          </w:p>
          <w:p w14:paraId="3F2680DD" w14:textId="77777777" w:rsidR="00FA4274" w:rsidRPr="002116EA" w:rsidRDefault="00FA4274">
            <w:pPr>
              <w:rPr>
                <w:szCs w:val="24"/>
              </w:rPr>
            </w:pPr>
          </w:p>
          <w:p w14:paraId="64741007" w14:textId="4A35B224" w:rsidR="00FA4274" w:rsidRPr="00B05ACF" w:rsidRDefault="32C0A6AC" w:rsidP="37AD1130">
            <w:pPr>
              <w:tabs>
                <w:tab w:val="left" w:pos="810"/>
              </w:tabs>
              <w:ind w:left="22" w:hanging="22"/>
              <w:jc w:val="both"/>
              <w:rPr>
                <w:highlight w:val="yellow"/>
              </w:rPr>
            </w:pPr>
            <w:r>
              <w:t xml:space="preserve">Privalomoms projektų matomumo ir informavimo apie projektus priemonėms pagal Laikinosios tvarkos 5 priedo 4.1–4.4 </w:t>
            </w:r>
            <w:r>
              <w:lastRenderedPageBreak/>
              <w:t xml:space="preserve">papunkčius taikoma fiksuotoji suma (toliau – FS) </w:t>
            </w:r>
          </w:p>
          <w:p w14:paraId="0CE81D31" w14:textId="6DB0EBB6" w:rsidR="004826EC" w:rsidRPr="002116EA" w:rsidRDefault="004826EC">
            <w:pPr>
              <w:rPr>
                <w:color w:val="808080"/>
                <w:szCs w:val="24"/>
              </w:rPr>
            </w:pPr>
          </w:p>
        </w:tc>
        <w:tc>
          <w:tcPr>
            <w:tcW w:w="7059" w:type="dxa"/>
            <w:gridSpan w:val="2"/>
          </w:tcPr>
          <w:p w14:paraId="5D8BA60C" w14:textId="77777777" w:rsidR="004826EC" w:rsidRDefault="00EF0216">
            <w:pPr>
              <w:rPr>
                <w:szCs w:val="24"/>
              </w:rPr>
            </w:pPr>
            <w:r w:rsidRPr="002116EA">
              <w:rPr>
                <w:szCs w:val="24"/>
              </w:rPr>
              <w:lastRenderedPageBreak/>
              <w:t>Aprašymas pateikiamas Europos socialinio fondo agentūros svetainės Metodinės pagalbos centro skiltyje adresu</w:t>
            </w:r>
            <w:r w:rsidR="001401EF" w:rsidRPr="002116EA">
              <w:rPr>
                <w:szCs w:val="24"/>
              </w:rPr>
              <w:t xml:space="preserve">: </w:t>
            </w:r>
            <w:hyperlink r:id="rId14" w:history="1">
              <w:r w:rsidR="001401EF" w:rsidRPr="002116EA">
                <w:rPr>
                  <w:rStyle w:val="Hyperlink"/>
                  <w:szCs w:val="24"/>
                </w:rPr>
                <w:t>https://www.esf.lt/lt/dokumentai-ir-leidiniai/metodines-pagalbos-centras/803</w:t>
              </w:r>
            </w:hyperlink>
            <w:r w:rsidRPr="002116EA">
              <w:rPr>
                <w:szCs w:val="24"/>
              </w:rPr>
              <w:t xml:space="preserve"> </w:t>
            </w:r>
          </w:p>
          <w:p w14:paraId="072C016E" w14:textId="77777777" w:rsidR="007B684C" w:rsidRDefault="007B684C">
            <w:pPr>
              <w:rPr>
                <w:szCs w:val="24"/>
              </w:rPr>
            </w:pPr>
          </w:p>
          <w:p w14:paraId="3FB48644" w14:textId="3E3F85EB" w:rsidR="007B684C" w:rsidRPr="002116EA" w:rsidRDefault="007B684C">
            <w:pPr>
              <w:rPr>
                <w:color w:val="808080"/>
                <w:szCs w:val="24"/>
              </w:rPr>
            </w:pPr>
            <w:r w:rsidRPr="007B684C">
              <w:t>1121,56 Eur (pagal Supaprastintai apmokamų išlaidų dydžių registrą taikomas išlaidų dydis, kodas FS-01-03). FS nebus indeksuojama.</w:t>
            </w:r>
          </w:p>
        </w:tc>
      </w:tr>
      <w:tr w:rsidR="004826EC" w:rsidRPr="002116EA" w14:paraId="60FC7F3B" w14:textId="77777777" w:rsidTr="37AD1130">
        <w:trPr>
          <w:trHeight w:val="451"/>
        </w:trPr>
        <w:tc>
          <w:tcPr>
            <w:tcW w:w="562" w:type="dxa"/>
          </w:tcPr>
          <w:p w14:paraId="229F0A11" w14:textId="77777777" w:rsidR="004826EC" w:rsidRPr="002116EA" w:rsidRDefault="00EF0216">
            <w:pPr>
              <w:rPr>
                <w:b/>
                <w:szCs w:val="24"/>
              </w:rPr>
            </w:pPr>
            <w:r w:rsidRPr="002116EA">
              <w:rPr>
                <w:b/>
                <w:szCs w:val="24"/>
              </w:rPr>
              <w:t>4.</w:t>
            </w:r>
          </w:p>
        </w:tc>
        <w:tc>
          <w:tcPr>
            <w:tcW w:w="2268" w:type="dxa"/>
          </w:tcPr>
          <w:p w14:paraId="4A520312" w14:textId="77777777" w:rsidR="004826EC" w:rsidRPr="002116EA" w:rsidRDefault="00EF0216">
            <w:pPr>
              <w:rPr>
                <w:b/>
                <w:iCs/>
                <w:color w:val="808080"/>
                <w:szCs w:val="24"/>
              </w:rPr>
            </w:pPr>
            <w:r w:rsidRPr="002116EA">
              <w:rPr>
                <w:b/>
                <w:iCs/>
                <w:szCs w:val="24"/>
              </w:rPr>
              <w:t>PRIDEDAMA</w:t>
            </w:r>
          </w:p>
        </w:tc>
        <w:tc>
          <w:tcPr>
            <w:tcW w:w="7059" w:type="dxa"/>
            <w:gridSpan w:val="2"/>
          </w:tcPr>
          <w:p w14:paraId="2CC029AE" w14:textId="6DE77D53" w:rsidR="004826EC" w:rsidRDefault="00EF0216" w:rsidP="00F31395">
            <w:pPr>
              <w:jc w:val="both"/>
              <w:rPr>
                <w:szCs w:val="24"/>
              </w:rPr>
            </w:pPr>
            <w:r w:rsidRPr="002116EA">
              <w:rPr>
                <w:szCs w:val="24"/>
              </w:rPr>
              <w:t xml:space="preserve">Projekto tinkamumo finansuoti patikros lapas, </w:t>
            </w:r>
            <w:r w:rsidR="00D104D1">
              <w:rPr>
                <w:szCs w:val="24"/>
              </w:rPr>
              <w:t>8 lapai;</w:t>
            </w:r>
          </w:p>
          <w:p w14:paraId="64BFCBF1" w14:textId="2B34DBA4" w:rsidR="00D104D1" w:rsidRDefault="00D104D1" w:rsidP="00F31395">
            <w:pPr>
              <w:jc w:val="both"/>
              <w:rPr>
                <w:szCs w:val="24"/>
              </w:rPr>
            </w:pPr>
            <w:r w:rsidRPr="00D104D1">
              <w:rPr>
                <w:szCs w:val="24"/>
              </w:rPr>
              <w:t>Projekto įgyvendinimo plano forma, 29 lapai;</w:t>
            </w:r>
          </w:p>
          <w:p w14:paraId="68407856" w14:textId="77777777" w:rsidR="00826BE5" w:rsidRDefault="00D104D1" w:rsidP="00F31395">
            <w:pPr>
              <w:jc w:val="both"/>
              <w:rPr>
                <w:iCs/>
                <w:szCs w:val="24"/>
              </w:rPr>
            </w:pPr>
            <w:r w:rsidRPr="002116EA">
              <w:rPr>
                <w:iCs/>
                <w:szCs w:val="24"/>
              </w:rPr>
              <w:t xml:space="preserve">Informacija apie projektui taikomus aplinkosaugos reikalavimus, </w:t>
            </w:r>
            <w:r w:rsidR="00826BE5">
              <w:rPr>
                <w:iCs/>
                <w:szCs w:val="24"/>
              </w:rPr>
              <w:t>9 lapai;</w:t>
            </w:r>
          </w:p>
          <w:p w14:paraId="185FD5E4" w14:textId="77777777" w:rsidR="00826BE5" w:rsidRDefault="00D104D1" w:rsidP="00F31395">
            <w:pPr>
              <w:jc w:val="both"/>
              <w:rPr>
                <w:iCs/>
                <w:szCs w:val="24"/>
              </w:rPr>
            </w:pPr>
            <w:r w:rsidRPr="00826BE5">
              <w:rPr>
                <w:iCs/>
                <w:szCs w:val="24"/>
              </w:rPr>
              <w:t xml:space="preserve">Informacija apie pareiškėjui (partneriui) suteiktą valstybės pagalbą (išskyrus de </w:t>
            </w:r>
            <w:proofErr w:type="spellStart"/>
            <w:r w:rsidRPr="00826BE5">
              <w:rPr>
                <w:iCs/>
                <w:szCs w:val="24"/>
              </w:rPr>
              <w:t>minimis</w:t>
            </w:r>
            <w:proofErr w:type="spellEnd"/>
            <w:r w:rsidRPr="00826BE5">
              <w:rPr>
                <w:iCs/>
                <w:szCs w:val="24"/>
              </w:rPr>
              <w:t xml:space="preserve">), </w:t>
            </w:r>
            <w:r w:rsidR="00826BE5">
              <w:rPr>
                <w:iCs/>
                <w:szCs w:val="24"/>
              </w:rPr>
              <w:t xml:space="preserve">2 lapai; </w:t>
            </w:r>
          </w:p>
          <w:p w14:paraId="2557EFCD" w14:textId="38808385" w:rsidR="00D104D1" w:rsidRPr="00826BE5" w:rsidRDefault="00D104D1" w:rsidP="00F31395">
            <w:pPr>
              <w:jc w:val="both"/>
              <w:rPr>
                <w:iCs/>
                <w:szCs w:val="24"/>
              </w:rPr>
            </w:pPr>
            <w:r w:rsidRPr="00826BE5">
              <w:rPr>
                <w:iCs/>
                <w:szCs w:val="24"/>
              </w:rPr>
              <w:t xml:space="preserve">Pirkimo ir (arba) importo pridėtinės vertės mokesčio tinkamumo finansuoti Europos Sąjungos ir (arba) Lietuvos Respublikos valstybės biudžeto lėšomis klausimynas, </w:t>
            </w:r>
            <w:r w:rsidR="00826BE5">
              <w:rPr>
                <w:iCs/>
                <w:szCs w:val="24"/>
              </w:rPr>
              <w:t>3 lapai.</w:t>
            </w:r>
          </w:p>
          <w:p w14:paraId="474C9BA9" w14:textId="5FAA8BC0" w:rsidR="00D104D1" w:rsidRPr="002116EA" w:rsidRDefault="00D104D1">
            <w:pPr>
              <w:rPr>
                <w:szCs w:val="24"/>
              </w:rPr>
            </w:pPr>
          </w:p>
        </w:tc>
      </w:tr>
    </w:tbl>
    <w:p w14:paraId="51A9D64C" w14:textId="77777777" w:rsidR="004826EC" w:rsidRPr="002116EA" w:rsidRDefault="004826EC">
      <w:pPr>
        <w:spacing w:line="259" w:lineRule="auto"/>
        <w:rPr>
          <w:szCs w:val="24"/>
        </w:rPr>
      </w:pPr>
    </w:p>
    <w:p w14:paraId="7B8EEF9B" w14:textId="77777777" w:rsidR="004826EC" w:rsidRPr="002116EA" w:rsidRDefault="004826EC">
      <w:pPr>
        <w:rPr>
          <w:szCs w:val="24"/>
        </w:rPr>
      </w:pPr>
    </w:p>
    <w:p w14:paraId="358B10E2" w14:textId="77777777" w:rsidR="004826EC" w:rsidRPr="002116EA" w:rsidRDefault="00EF0216">
      <w:pPr>
        <w:spacing w:line="259" w:lineRule="auto"/>
        <w:jc w:val="center"/>
        <w:rPr>
          <w:szCs w:val="24"/>
        </w:rPr>
      </w:pPr>
      <w:r w:rsidRPr="002116EA">
        <w:rPr>
          <w:szCs w:val="24"/>
        </w:rPr>
        <w:t>____________________</w:t>
      </w:r>
    </w:p>
    <w:sectPr w:rsidR="004826EC" w:rsidRPr="002116EA">
      <w:headerReference w:type="default" r:id="rId15"/>
      <w:foot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76EA" w14:textId="77777777" w:rsidR="0042090B" w:rsidRDefault="0042090B">
      <w:pPr>
        <w:rPr>
          <w:sz w:val="22"/>
          <w:szCs w:val="22"/>
        </w:rPr>
      </w:pPr>
      <w:r>
        <w:rPr>
          <w:sz w:val="22"/>
          <w:szCs w:val="22"/>
        </w:rPr>
        <w:separator/>
      </w:r>
    </w:p>
  </w:endnote>
  <w:endnote w:type="continuationSeparator" w:id="0">
    <w:p w14:paraId="0FAF5BD9" w14:textId="77777777" w:rsidR="0042090B" w:rsidRDefault="0042090B">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46AEE4E7" w14:paraId="15455472" w14:textId="77777777" w:rsidTr="46AEE4E7">
      <w:tc>
        <w:tcPr>
          <w:tcW w:w="3210" w:type="dxa"/>
        </w:tcPr>
        <w:p w14:paraId="086D7FEA" w14:textId="7632A9D6" w:rsidR="46AEE4E7" w:rsidRDefault="46AEE4E7" w:rsidP="46AEE4E7">
          <w:pPr>
            <w:pStyle w:val="Header"/>
            <w:ind w:left="-115"/>
          </w:pPr>
        </w:p>
      </w:tc>
      <w:tc>
        <w:tcPr>
          <w:tcW w:w="3210" w:type="dxa"/>
        </w:tcPr>
        <w:p w14:paraId="4972EFE5" w14:textId="63F687CE" w:rsidR="46AEE4E7" w:rsidRDefault="46AEE4E7" w:rsidP="46AEE4E7">
          <w:pPr>
            <w:pStyle w:val="Header"/>
            <w:jc w:val="center"/>
          </w:pPr>
        </w:p>
      </w:tc>
      <w:tc>
        <w:tcPr>
          <w:tcW w:w="3210" w:type="dxa"/>
        </w:tcPr>
        <w:p w14:paraId="24ABF0B9" w14:textId="5F17CBC1" w:rsidR="46AEE4E7" w:rsidRDefault="46AEE4E7" w:rsidP="46AEE4E7">
          <w:pPr>
            <w:pStyle w:val="Header"/>
            <w:ind w:right="-115"/>
            <w:jc w:val="right"/>
          </w:pPr>
        </w:p>
      </w:tc>
    </w:tr>
  </w:tbl>
  <w:p w14:paraId="47D796A1" w14:textId="3A33E06C" w:rsidR="46AEE4E7" w:rsidRDefault="46AEE4E7" w:rsidP="46AEE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88DE" w14:textId="77777777" w:rsidR="0042090B" w:rsidRDefault="0042090B">
      <w:pPr>
        <w:rPr>
          <w:sz w:val="22"/>
          <w:szCs w:val="22"/>
        </w:rPr>
      </w:pPr>
      <w:r>
        <w:rPr>
          <w:sz w:val="22"/>
          <w:szCs w:val="22"/>
        </w:rPr>
        <w:separator/>
      </w:r>
    </w:p>
  </w:footnote>
  <w:footnote w:type="continuationSeparator" w:id="0">
    <w:p w14:paraId="10169519" w14:textId="77777777" w:rsidR="0042090B" w:rsidRDefault="0042090B">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86E8" w14:textId="77777777" w:rsidR="004826EC" w:rsidRDefault="004826EC">
    <w:pPr>
      <w:spacing w:after="160" w:line="259" w:lineRule="auto"/>
      <w:ind w:left="5103"/>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A9F"/>
    <w:multiLevelType w:val="hybridMultilevel"/>
    <w:tmpl w:val="9E42C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A1BF8"/>
    <w:multiLevelType w:val="hybridMultilevel"/>
    <w:tmpl w:val="34C6D974"/>
    <w:lvl w:ilvl="0" w:tplc="7CF2D502">
      <w:start w:val="4"/>
      <w:numFmt w:val="bullet"/>
      <w:lvlText w:val="-"/>
      <w:lvlJc w:val="left"/>
      <w:pPr>
        <w:ind w:left="720" w:hanging="360"/>
      </w:pPr>
      <w:rPr>
        <w:rFonts w:ascii="Segoe UI" w:eastAsia="Times New Roman" w:hAnsi="Segoe UI" w:cs="Segoe UI" w:hint="default"/>
        <w:sz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FF4EE6"/>
    <w:multiLevelType w:val="hybridMultilevel"/>
    <w:tmpl w:val="BE5699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E427F9"/>
    <w:multiLevelType w:val="multilevel"/>
    <w:tmpl w:val="6394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074F1"/>
    <w:multiLevelType w:val="hybridMultilevel"/>
    <w:tmpl w:val="12E09984"/>
    <w:lvl w:ilvl="0" w:tplc="6444E894">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2A06DD"/>
    <w:multiLevelType w:val="hybridMultilevel"/>
    <w:tmpl w:val="C1FA09EA"/>
    <w:lvl w:ilvl="0" w:tplc="C24EC0F4">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A63326"/>
    <w:multiLevelType w:val="hybridMultilevel"/>
    <w:tmpl w:val="39BA1596"/>
    <w:lvl w:ilvl="0" w:tplc="3AE4A7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1569"/>
    <w:rsid w:val="000146FB"/>
    <w:rsid w:val="000175A8"/>
    <w:rsid w:val="000239FB"/>
    <w:rsid w:val="0003622F"/>
    <w:rsid w:val="00044966"/>
    <w:rsid w:val="00053D57"/>
    <w:rsid w:val="00067C68"/>
    <w:rsid w:val="000817AD"/>
    <w:rsid w:val="000866D7"/>
    <w:rsid w:val="000971A9"/>
    <w:rsid w:val="000B4E1A"/>
    <w:rsid w:val="000B760C"/>
    <w:rsid w:val="000E0FF6"/>
    <w:rsid w:val="000F5CD5"/>
    <w:rsid w:val="00126CD8"/>
    <w:rsid w:val="00133D04"/>
    <w:rsid w:val="001401EF"/>
    <w:rsid w:val="00162E80"/>
    <w:rsid w:val="001663BF"/>
    <w:rsid w:val="00166630"/>
    <w:rsid w:val="001941E3"/>
    <w:rsid w:val="001A64B7"/>
    <w:rsid w:val="001A67A7"/>
    <w:rsid w:val="001C02A3"/>
    <w:rsid w:val="001C3F1A"/>
    <w:rsid w:val="001E1AFF"/>
    <w:rsid w:val="001E5E41"/>
    <w:rsid w:val="001F228C"/>
    <w:rsid w:val="002116EA"/>
    <w:rsid w:val="002264B6"/>
    <w:rsid w:val="00280FBE"/>
    <w:rsid w:val="00290B60"/>
    <w:rsid w:val="002A1490"/>
    <w:rsid w:val="002A43F3"/>
    <w:rsid w:val="002A6965"/>
    <w:rsid w:val="002B21C1"/>
    <w:rsid w:val="002B38EA"/>
    <w:rsid w:val="002B5657"/>
    <w:rsid w:val="002B7659"/>
    <w:rsid w:val="002B77A2"/>
    <w:rsid w:val="002C66E4"/>
    <w:rsid w:val="00312B6D"/>
    <w:rsid w:val="00313517"/>
    <w:rsid w:val="00316099"/>
    <w:rsid w:val="003219B3"/>
    <w:rsid w:val="00331F53"/>
    <w:rsid w:val="0033791D"/>
    <w:rsid w:val="0034625B"/>
    <w:rsid w:val="00380246"/>
    <w:rsid w:val="00380AB6"/>
    <w:rsid w:val="003834A9"/>
    <w:rsid w:val="0039087C"/>
    <w:rsid w:val="003A4A50"/>
    <w:rsid w:val="003D5ED1"/>
    <w:rsid w:val="003E5A65"/>
    <w:rsid w:val="003F130E"/>
    <w:rsid w:val="00401103"/>
    <w:rsid w:val="0042090B"/>
    <w:rsid w:val="0042705C"/>
    <w:rsid w:val="0044282E"/>
    <w:rsid w:val="00444D3D"/>
    <w:rsid w:val="00466380"/>
    <w:rsid w:val="00474F25"/>
    <w:rsid w:val="004826EC"/>
    <w:rsid w:val="0049352C"/>
    <w:rsid w:val="0049531F"/>
    <w:rsid w:val="004C2056"/>
    <w:rsid w:val="004C5251"/>
    <w:rsid w:val="004F1179"/>
    <w:rsid w:val="004F5645"/>
    <w:rsid w:val="00514D41"/>
    <w:rsid w:val="00527435"/>
    <w:rsid w:val="00533306"/>
    <w:rsid w:val="005341C6"/>
    <w:rsid w:val="00536B93"/>
    <w:rsid w:val="005526EA"/>
    <w:rsid w:val="00572F29"/>
    <w:rsid w:val="005745E3"/>
    <w:rsid w:val="0059452F"/>
    <w:rsid w:val="00596CD9"/>
    <w:rsid w:val="005A2604"/>
    <w:rsid w:val="005A4CA8"/>
    <w:rsid w:val="005A6D2E"/>
    <w:rsid w:val="005B3DE6"/>
    <w:rsid w:val="005C64B9"/>
    <w:rsid w:val="005D359E"/>
    <w:rsid w:val="005F09B5"/>
    <w:rsid w:val="0060358B"/>
    <w:rsid w:val="00620838"/>
    <w:rsid w:val="006226E6"/>
    <w:rsid w:val="00630312"/>
    <w:rsid w:val="00647E27"/>
    <w:rsid w:val="00652C26"/>
    <w:rsid w:val="0065431C"/>
    <w:rsid w:val="0065491C"/>
    <w:rsid w:val="006727D6"/>
    <w:rsid w:val="00676DD7"/>
    <w:rsid w:val="006876D0"/>
    <w:rsid w:val="0069609D"/>
    <w:rsid w:val="006A4DB4"/>
    <w:rsid w:val="006B21DC"/>
    <w:rsid w:val="006C5B97"/>
    <w:rsid w:val="006E5F46"/>
    <w:rsid w:val="006F6477"/>
    <w:rsid w:val="00701DCB"/>
    <w:rsid w:val="00705CBC"/>
    <w:rsid w:val="0070714D"/>
    <w:rsid w:val="00723A68"/>
    <w:rsid w:val="00743F48"/>
    <w:rsid w:val="0074510C"/>
    <w:rsid w:val="00746352"/>
    <w:rsid w:val="00766160"/>
    <w:rsid w:val="00767108"/>
    <w:rsid w:val="00775E78"/>
    <w:rsid w:val="007818EE"/>
    <w:rsid w:val="007823D6"/>
    <w:rsid w:val="00784818"/>
    <w:rsid w:val="00787DEE"/>
    <w:rsid w:val="00793699"/>
    <w:rsid w:val="007A5CAF"/>
    <w:rsid w:val="007B684C"/>
    <w:rsid w:val="007D1C6C"/>
    <w:rsid w:val="007D5A00"/>
    <w:rsid w:val="007D7FAC"/>
    <w:rsid w:val="00815117"/>
    <w:rsid w:val="00820ABB"/>
    <w:rsid w:val="00826BE5"/>
    <w:rsid w:val="008376B6"/>
    <w:rsid w:val="008456D8"/>
    <w:rsid w:val="00850E81"/>
    <w:rsid w:val="008A0089"/>
    <w:rsid w:val="008A528A"/>
    <w:rsid w:val="008B5628"/>
    <w:rsid w:val="008C5923"/>
    <w:rsid w:val="008E1CF1"/>
    <w:rsid w:val="008E5DD0"/>
    <w:rsid w:val="008E62FF"/>
    <w:rsid w:val="008F06AE"/>
    <w:rsid w:val="008F1C88"/>
    <w:rsid w:val="00913C7E"/>
    <w:rsid w:val="00923FA5"/>
    <w:rsid w:val="009267F0"/>
    <w:rsid w:val="0093363B"/>
    <w:rsid w:val="0093673F"/>
    <w:rsid w:val="00950FDE"/>
    <w:rsid w:val="0095166A"/>
    <w:rsid w:val="00952903"/>
    <w:rsid w:val="00984F82"/>
    <w:rsid w:val="009907C0"/>
    <w:rsid w:val="00994A40"/>
    <w:rsid w:val="00997872"/>
    <w:rsid w:val="009B4BC6"/>
    <w:rsid w:val="009B7195"/>
    <w:rsid w:val="009C0C33"/>
    <w:rsid w:val="009C6DD4"/>
    <w:rsid w:val="009D7632"/>
    <w:rsid w:val="009E37C6"/>
    <w:rsid w:val="00A20220"/>
    <w:rsid w:val="00A66955"/>
    <w:rsid w:val="00A81547"/>
    <w:rsid w:val="00AA1F54"/>
    <w:rsid w:val="00AA65A7"/>
    <w:rsid w:val="00AB2468"/>
    <w:rsid w:val="00AB27CD"/>
    <w:rsid w:val="00AD50DE"/>
    <w:rsid w:val="00AE4806"/>
    <w:rsid w:val="00B01B38"/>
    <w:rsid w:val="00B04EB4"/>
    <w:rsid w:val="00B05ACF"/>
    <w:rsid w:val="00B07535"/>
    <w:rsid w:val="00B321AE"/>
    <w:rsid w:val="00B34F83"/>
    <w:rsid w:val="00B35698"/>
    <w:rsid w:val="00B364E7"/>
    <w:rsid w:val="00B36BB9"/>
    <w:rsid w:val="00B37315"/>
    <w:rsid w:val="00B45E4E"/>
    <w:rsid w:val="00B56035"/>
    <w:rsid w:val="00B57911"/>
    <w:rsid w:val="00B77B76"/>
    <w:rsid w:val="00B8062D"/>
    <w:rsid w:val="00BA1714"/>
    <w:rsid w:val="00BC5BAD"/>
    <w:rsid w:val="00BC6FED"/>
    <w:rsid w:val="00BC7D76"/>
    <w:rsid w:val="00C03DD4"/>
    <w:rsid w:val="00C050B4"/>
    <w:rsid w:val="00C116C9"/>
    <w:rsid w:val="00C15E64"/>
    <w:rsid w:val="00C17D7C"/>
    <w:rsid w:val="00C35540"/>
    <w:rsid w:val="00C35FAE"/>
    <w:rsid w:val="00C46655"/>
    <w:rsid w:val="00C47E86"/>
    <w:rsid w:val="00C84F16"/>
    <w:rsid w:val="00C95270"/>
    <w:rsid w:val="00C95BB4"/>
    <w:rsid w:val="00CA07FA"/>
    <w:rsid w:val="00CA2E16"/>
    <w:rsid w:val="00CD3550"/>
    <w:rsid w:val="00CE196F"/>
    <w:rsid w:val="00CF0B6C"/>
    <w:rsid w:val="00D02415"/>
    <w:rsid w:val="00D02F08"/>
    <w:rsid w:val="00D104D1"/>
    <w:rsid w:val="00D23707"/>
    <w:rsid w:val="00D35413"/>
    <w:rsid w:val="00D41DE2"/>
    <w:rsid w:val="00D43D89"/>
    <w:rsid w:val="00D454E4"/>
    <w:rsid w:val="00D62AF5"/>
    <w:rsid w:val="00DA4BD0"/>
    <w:rsid w:val="00DB047B"/>
    <w:rsid w:val="00DD2FD6"/>
    <w:rsid w:val="00E044D8"/>
    <w:rsid w:val="00E04937"/>
    <w:rsid w:val="00E169B4"/>
    <w:rsid w:val="00E33010"/>
    <w:rsid w:val="00E34BAA"/>
    <w:rsid w:val="00E51300"/>
    <w:rsid w:val="00E6762D"/>
    <w:rsid w:val="00E74A9B"/>
    <w:rsid w:val="00E87F8A"/>
    <w:rsid w:val="00EB57C2"/>
    <w:rsid w:val="00EC57FA"/>
    <w:rsid w:val="00EC5E4D"/>
    <w:rsid w:val="00EF0216"/>
    <w:rsid w:val="00F01BED"/>
    <w:rsid w:val="00F12475"/>
    <w:rsid w:val="00F14C87"/>
    <w:rsid w:val="00F21CA0"/>
    <w:rsid w:val="00F31395"/>
    <w:rsid w:val="00F37CEE"/>
    <w:rsid w:val="00F432A7"/>
    <w:rsid w:val="00F4783A"/>
    <w:rsid w:val="00F76806"/>
    <w:rsid w:val="00F97067"/>
    <w:rsid w:val="00FA4274"/>
    <w:rsid w:val="00FC49D8"/>
    <w:rsid w:val="00FC4B42"/>
    <w:rsid w:val="00FE4CCB"/>
    <w:rsid w:val="05F4183E"/>
    <w:rsid w:val="09CF0111"/>
    <w:rsid w:val="15622E9A"/>
    <w:rsid w:val="24A0521C"/>
    <w:rsid w:val="28CA86E1"/>
    <w:rsid w:val="2946C5BD"/>
    <w:rsid w:val="32C0A6AC"/>
    <w:rsid w:val="37AD1130"/>
    <w:rsid w:val="422013F6"/>
    <w:rsid w:val="46AEE4E7"/>
    <w:rsid w:val="54A58BD8"/>
    <w:rsid w:val="589E2F94"/>
    <w:rsid w:val="5A86B50B"/>
    <w:rsid w:val="5CDF570F"/>
    <w:rsid w:val="5D483005"/>
    <w:rsid w:val="628E91B8"/>
    <w:rsid w:val="633B6483"/>
    <w:rsid w:val="6A0D8AB0"/>
    <w:rsid w:val="6F71DA1D"/>
    <w:rsid w:val="71CBB91B"/>
    <w:rsid w:val="74E9FFAA"/>
    <w:rsid w:val="75EC4D9A"/>
    <w:rsid w:val="784DA1CF"/>
    <w:rsid w:val="7D48E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BC946"/>
  <w15:docId w15:val="{69E65182-EFA4-4BFE-84F6-919811D5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77A2"/>
    <w:rPr>
      <w:sz w:val="16"/>
      <w:szCs w:val="16"/>
    </w:rPr>
  </w:style>
  <w:style w:type="paragraph" w:styleId="CommentText">
    <w:name w:val="annotation text"/>
    <w:basedOn w:val="Normal"/>
    <w:link w:val="CommentTextChar"/>
    <w:unhideWhenUsed/>
    <w:rsid w:val="002B77A2"/>
    <w:rPr>
      <w:sz w:val="20"/>
    </w:rPr>
  </w:style>
  <w:style w:type="character" w:customStyle="1" w:styleId="CommentTextChar">
    <w:name w:val="Comment Text Char"/>
    <w:basedOn w:val="DefaultParagraphFont"/>
    <w:link w:val="CommentText"/>
    <w:rsid w:val="002B77A2"/>
    <w:rPr>
      <w:sz w:val="20"/>
    </w:rPr>
  </w:style>
  <w:style w:type="paragraph" w:styleId="CommentSubject">
    <w:name w:val="annotation subject"/>
    <w:basedOn w:val="CommentText"/>
    <w:next w:val="CommentText"/>
    <w:link w:val="CommentSubjectChar"/>
    <w:semiHidden/>
    <w:unhideWhenUsed/>
    <w:rsid w:val="002B77A2"/>
    <w:rPr>
      <w:b/>
      <w:bCs/>
    </w:rPr>
  </w:style>
  <w:style w:type="character" w:customStyle="1" w:styleId="CommentSubjectChar">
    <w:name w:val="Comment Subject Char"/>
    <w:basedOn w:val="CommentTextChar"/>
    <w:link w:val="CommentSubject"/>
    <w:semiHidden/>
    <w:rsid w:val="002B77A2"/>
    <w:rPr>
      <w:b/>
      <w:bCs/>
      <w:sz w:val="20"/>
    </w:rPr>
  </w:style>
  <w:style w:type="character" w:styleId="Hyperlink">
    <w:name w:val="Hyperlink"/>
    <w:basedOn w:val="DefaultParagraphFont"/>
    <w:uiPriority w:val="99"/>
    <w:unhideWhenUsed/>
    <w:rsid w:val="002264B6"/>
    <w:rPr>
      <w:color w:val="0563C1" w:themeColor="hyperlink"/>
      <w:u w:val="singl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2264B6"/>
    <w:pPr>
      <w:ind w:left="720"/>
      <w:contextualSpacing/>
    </w:pPr>
  </w:style>
  <w:style w:type="character" w:styleId="UnresolvedMention">
    <w:name w:val="Unresolved Mention"/>
    <w:basedOn w:val="DefaultParagraphFont"/>
    <w:uiPriority w:val="99"/>
    <w:semiHidden/>
    <w:unhideWhenUsed/>
    <w:rsid w:val="002264B6"/>
    <w:rPr>
      <w:color w:val="605E5C"/>
      <w:shd w:val="clear" w:color="auto" w:fill="E1DFDD"/>
    </w:rPr>
  </w:style>
  <w:style w:type="character" w:customStyle="1" w:styleId="normaltextrun">
    <w:name w:val="normaltextrun"/>
    <w:basedOn w:val="DefaultParagraphFont"/>
    <w:rsid w:val="000146F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locked/>
    <w:rsid w:val="000146FB"/>
  </w:style>
  <w:style w:type="paragraph" w:customStyle="1" w:styleId="pf1">
    <w:name w:val="pf1"/>
    <w:basedOn w:val="Normal"/>
    <w:rsid w:val="003A4A50"/>
    <w:pPr>
      <w:spacing w:before="100" w:beforeAutospacing="1" w:after="100" w:afterAutospacing="1"/>
    </w:pPr>
    <w:rPr>
      <w:szCs w:val="24"/>
      <w:lang w:eastAsia="lt-LT"/>
    </w:rPr>
  </w:style>
  <w:style w:type="paragraph" w:customStyle="1" w:styleId="pf0">
    <w:name w:val="pf0"/>
    <w:basedOn w:val="Normal"/>
    <w:rsid w:val="003A4A50"/>
    <w:pPr>
      <w:spacing w:before="100" w:beforeAutospacing="1" w:after="100" w:afterAutospacing="1"/>
    </w:pPr>
    <w:rPr>
      <w:szCs w:val="24"/>
      <w:lang w:eastAsia="lt-LT"/>
    </w:rPr>
  </w:style>
  <w:style w:type="character" w:customStyle="1" w:styleId="cf01">
    <w:name w:val="cf01"/>
    <w:basedOn w:val="DefaultParagraphFont"/>
    <w:rsid w:val="003A4A50"/>
    <w:rPr>
      <w:rFonts w:ascii="Segoe UI" w:hAnsi="Segoe UI" w:cs="Segoe UI" w:hint="default"/>
      <w:sz w:val="18"/>
      <w:szCs w:val="18"/>
    </w:rPr>
  </w:style>
  <w:style w:type="character" w:customStyle="1" w:styleId="cf21">
    <w:name w:val="cf21"/>
    <w:basedOn w:val="DefaultParagraphFont"/>
    <w:rsid w:val="003A4A50"/>
    <w:rPr>
      <w:rFonts w:ascii="Segoe UI" w:hAnsi="Segoe UI" w:cs="Segoe UI" w:hint="default"/>
      <w:sz w:val="18"/>
      <w:szCs w:val="18"/>
    </w:rPr>
  </w:style>
  <w:style w:type="character" w:customStyle="1" w:styleId="cf31">
    <w:name w:val="cf31"/>
    <w:basedOn w:val="DefaultParagraphFont"/>
    <w:rsid w:val="003A4A50"/>
    <w:rPr>
      <w:rFonts w:ascii="Segoe UI" w:hAnsi="Segoe UI" w:cs="Segoe UI" w:hint="default"/>
      <w:sz w:val="18"/>
      <w:szCs w:val="18"/>
      <w:shd w:val="clear" w:color="auto" w:fill="00FFFF"/>
    </w:rPr>
  </w:style>
  <w:style w:type="character" w:styleId="Emphasis">
    <w:name w:val="Emphasis"/>
    <w:basedOn w:val="DefaultParagraphFont"/>
    <w:uiPriority w:val="20"/>
    <w:qFormat/>
    <w:rsid w:val="00FE4CCB"/>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0904">
      <w:bodyDiv w:val="1"/>
      <w:marLeft w:val="0"/>
      <w:marRight w:val="0"/>
      <w:marTop w:val="0"/>
      <w:marBottom w:val="0"/>
      <w:divBdr>
        <w:top w:val="none" w:sz="0" w:space="0" w:color="auto"/>
        <w:left w:val="none" w:sz="0" w:space="0" w:color="auto"/>
        <w:bottom w:val="none" w:sz="0" w:space="0" w:color="auto"/>
        <w:right w:val="none" w:sz="0" w:space="0" w:color="auto"/>
      </w:divBdr>
    </w:div>
    <w:div w:id="193033200">
      <w:bodyDiv w:val="1"/>
      <w:marLeft w:val="0"/>
      <w:marRight w:val="0"/>
      <w:marTop w:val="0"/>
      <w:marBottom w:val="0"/>
      <w:divBdr>
        <w:top w:val="none" w:sz="0" w:space="0" w:color="auto"/>
        <w:left w:val="none" w:sz="0" w:space="0" w:color="auto"/>
        <w:bottom w:val="none" w:sz="0" w:space="0" w:color="auto"/>
        <w:right w:val="none" w:sz="0" w:space="0" w:color="auto"/>
      </w:divBdr>
    </w:div>
    <w:div w:id="315719140">
      <w:bodyDiv w:val="1"/>
      <w:marLeft w:val="0"/>
      <w:marRight w:val="0"/>
      <w:marTop w:val="0"/>
      <w:marBottom w:val="0"/>
      <w:divBdr>
        <w:top w:val="none" w:sz="0" w:space="0" w:color="auto"/>
        <w:left w:val="none" w:sz="0" w:space="0" w:color="auto"/>
        <w:bottom w:val="none" w:sz="0" w:space="0" w:color="auto"/>
        <w:right w:val="none" w:sz="0" w:space="0" w:color="auto"/>
      </w:divBdr>
    </w:div>
    <w:div w:id="359668384">
      <w:bodyDiv w:val="1"/>
      <w:marLeft w:val="0"/>
      <w:marRight w:val="0"/>
      <w:marTop w:val="0"/>
      <w:marBottom w:val="0"/>
      <w:divBdr>
        <w:top w:val="none" w:sz="0" w:space="0" w:color="auto"/>
        <w:left w:val="none" w:sz="0" w:space="0" w:color="auto"/>
        <w:bottom w:val="none" w:sz="0" w:space="0" w:color="auto"/>
        <w:right w:val="none" w:sz="0" w:space="0" w:color="auto"/>
      </w:divBdr>
    </w:div>
    <w:div w:id="387995220">
      <w:bodyDiv w:val="1"/>
      <w:marLeft w:val="0"/>
      <w:marRight w:val="0"/>
      <w:marTop w:val="0"/>
      <w:marBottom w:val="0"/>
      <w:divBdr>
        <w:top w:val="none" w:sz="0" w:space="0" w:color="auto"/>
        <w:left w:val="none" w:sz="0" w:space="0" w:color="auto"/>
        <w:bottom w:val="none" w:sz="0" w:space="0" w:color="auto"/>
        <w:right w:val="none" w:sz="0" w:space="0" w:color="auto"/>
      </w:divBdr>
    </w:div>
    <w:div w:id="529729188">
      <w:bodyDiv w:val="1"/>
      <w:marLeft w:val="0"/>
      <w:marRight w:val="0"/>
      <w:marTop w:val="0"/>
      <w:marBottom w:val="0"/>
      <w:divBdr>
        <w:top w:val="none" w:sz="0" w:space="0" w:color="auto"/>
        <w:left w:val="none" w:sz="0" w:space="0" w:color="auto"/>
        <w:bottom w:val="none" w:sz="0" w:space="0" w:color="auto"/>
        <w:right w:val="none" w:sz="0" w:space="0" w:color="auto"/>
      </w:divBdr>
    </w:div>
    <w:div w:id="722095111">
      <w:bodyDiv w:val="1"/>
      <w:marLeft w:val="0"/>
      <w:marRight w:val="0"/>
      <w:marTop w:val="0"/>
      <w:marBottom w:val="0"/>
      <w:divBdr>
        <w:top w:val="none" w:sz="0" w:space="0" w:color="auto"/>
        <w:left w:val="none" w:sz="0" w:space="0" w:color="auto"/>
        <w:bottom w:val="none" w:sz="0" w:space="0" w:color="auto"/>
        <w:right w:val="none" w:sz="0" w:space="0" w:color="auto"/>
      </w:divBdr>
    </w:div>
    <w:div w:id="734204366">
      <w:bodyDiv w:val="1"/>
      <w:marLeft w:val="0"/>
      <w:marRight w:val="0"/>
      <w:marTop w:val="0"/>
      <w:marBottom w:val="0"/>
      <w:divBdr>
        <w:top w:val="none" w:sz="0" w:space="0" w:color="auto"/>
        <w:left w:val="none" w:sz="0" w:space="0" w:color="auto"/>
        <w:bottom w:val="none" w:sz="0" w:space="0" w:color="auto"/>
        <w:right w:val="none" w:sz="0" w:space="0" w:color="auto"/>
      </w:divBdr>
    </w:div>
    <w:div w:id="773134815">
      <w:bodyDiv w:val="1"/>
      <w:marLeft w:val="0"/>
      <w:marRight w:val="0"/>
      <w:marTop w:val="0"/>
      <w:marBottom w:val="0"/>
      <w:divBdr>
        <w:top w:val="none" w:sz="0" w:space="0" w:color="auto"/>
        <w:left w:val="none" w:sz="0" w:space="0" w:color="auto"/>
        <w:bottom w:val="none" w:sz="0" w:space="0" w:color="auto"/>
        <w:right w:val="none" w:sz="0" w:space="0" w:color="auto"/>
      </w:divBdr>
    </w:div>
    <w:div w:id="799345706">
      <w:bodyDiv w:val="1"/>
      <w:marLeft w:val="0"/>
      <w:marRight w:val="0"/>
      <w:marTop w:val="0"/>
      <w:marBottom w:val="0"/>
      <w:divBdr>
        <w:top w:val="none" w:sz="0" w:space="0" w:color="auto"/>
        <w:left w:val="none" w:sz="0" w:space="0" w:color="auto"/>
        <w:bottom w:val="none" w:sz="0" w:space="0" w:color="auto"/>
        <w:right w:val="none" w:sz="0" w:space="0" w:color="auto"/>
      </w:divBdr>
    </w:div>
    <w:div w:id="930044753">
      <w:bodyDiv w:val="1"/>
      <w:marLeft w:val="0"/>
      <w:marRight w:val="0"/>
      <w:marTop w:val="0"/>
      <w:marBottom w:val="0"/>
      <w:divBdr>
        <w:top w:val="none" w:sz="0" w:space="0" w:color="auto"/>
        <w:left w:val="none" w:sz="0" w:space="0" w:color="auto"/>
        <w:bottom w:val="none" w:sz="0" w:space="0" w:color="auto"/>
        <w:right w:val="none" w:sz="0" w:space="0" w:color="auto"/>
      </w:divBdr>
    </w:div>
    <w:div w:id="977226588">
      <w:bodyDiv w:val="1"/>
      <w:marLeft w:val="0"/>
      <w:marRight w:val="0"/>
      <w:marTop w:val="0"/>
      <w:marBottom w:val="0"/>
      <w:divBdr>
        <w:top w:val="none" w:sz="0" w:space="0" w:color="auto"/>
        <w:left w:val="none" w:sz="0" w:space="0" w:color="auto"/>
        <w:bottom w:val="none" w:sz="0" w:space="0" w:color="auto"/>
        <w:right w:val="none" w:sz="0" w:space="0" w:color="auto"/>
      </w:divBdr>
    </w:div>
    <w:div w:id="997881545">
      <w:bodyDiv w:val="1"/>
      <w:marLeft w:val="0"/>
      <w:marRight w:val="0"/>
      <w:marTop w:val="0"/>
      <w:marBottom w:val="0"/>
      <w:divBdr>
        <w:top w:val="none" w:sz="0" w:space="0" w:color="auto"/>
        <w:left w:val="none" w:sz="0" w:space="0" w:color="auto"/>
        <w:bottom w:val="none" w:sz="0" w:space="0" w:color="auto"/>
        <w:right w:val="none" w:sz="0" w:space="0" w:color="auto"/>
      </w:divBdr>
    </w:div>
    <w:div w:id="1049375433">
      <w:bodyDiv w:val="1"/>
      <w:marLeft w:val="0"/>
      <w:marRight w:val="0"/>
      <w:marTop w:val="0"/>
      <w:marBottom w:val="0"/>
      <w:divBdr>
        <w:top w:val="none" w:sz="0" w:space="0" w:color="auto"/>
        <w:left w:val="none" w:sz="0" w:space="0" w:color="auto"/>
        <w:bottom w:val="none" w:sz="0" w:space="0" w:color="auto"/>
        <w:right w:val="none" w:sz="0" w:space="0" w:color="auto"/>
      </w:divBdr>
    </w:div>
    <w:div w:id="108515429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1460474">
      <w:bodyDiv w:val="1"/>
      <w:marLeft w:val="0"/>
      <w:marRight w:val="0"/>
      <w:marTop w:val="0"/>
      <w:marBottom w:val="0"/>
      <w:divBdr>
        <w:top w:val="none" w:sz="0" w:space="0" w:color="auto"/>
        <w:left w:val="none" w:sz="0" w:space="0" w:color="auto"/>
        <w:bottom w:val="none" w:sz="0" w:space="0" w:color="auto"/>
        <w:right w:val="none" w:sz="0" w:space="0" w:color="auto"/>
      </w:divBdr>
    </w:div>
    <w:div w:id="1350522635">
      <w:bodyDiv w:val="1"/>
      <w:marLeft w:val="0"/>
      <w:marRight w:val="0"/>
      <w:marTop w:val="0"/>
      <w:marBottom w:val="0"/>
      <w:divBdr>
        <w:top w:val="none" w:sz="0" w:space="0" w:color="auto"/>
        <w:left w:val="none" w:sz="0" w:space="0" w:color="auto"/>
        <w:bottom w:val="none" w:sz="0" w:space="0" w:color="auto"/>
        <w:right w:val="none" w:sz="0" w:space="0" w:color="auto"/>
      </w:divBdr>
    </w:div>
    <w:div w:id="1436169771">
      <w:bodyDiv w:val="1"/>
      <w:marLeft w:val="0"/>
      <w:marRight w:val="0"/>
      <w:marTop w:val="0"/>
      <w:marBottom w:val="0"/>
      <w:divBdr>
        <w:top w:val="none" w:sz="0" w:space="0" w:color="auto"/>
        <w:left w:val="none" w:sz="0" w:space="0" w:color="auto"/>
        <w:bottom w:val="none" w:sz="0" w:space="0" w:color="auto"/>
        <w:right w:val="none" w:sz="0" w:space="0" w:color="auto"/>
      </w:divBdr>
    </w:div>
    <w:div w:id="1503855761">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2626895">
      <w:bodyDiv w:val="1"/>
      <w:marLeft w:val="0"/>
      <w:marRight w:val="0"/>
      <w:marTop w:val="0"/>
      <w:marBottom w:val="0"/>
      <w:divBdr>
        <w:top w:val="none" w:sz="0" w:space="0" w:color="auto"/>
        <w:left w:val="none" w:sz="0" w:space="0" w:color="auto"/>
        <w:bottom w:val="none" w:sz="0" w:space="0" w:color="auto"/>
        <w:right w:val="none" w:sz="0" w:space="0" w:color="auto"/>
      </w:divBdr>
    </w:div>
    <w:div w:id="1604337794">
      <w:bodyDiv w:val="1"/>
      <w:marLeft w:val="0"/>
      <w:marRight w:val="0"/>
      <w:marTop w:val="0"/>
      <w:marBottom w:val="0"/>
      <w:divBdr>
        <w:top w:val="none" w:sz="0" w:space="0" w:color="auto"/>
        <w:left w:val="none" w:sz="0" w:space="0" w:color="auto"/>
        <w:bottom w:val="none" w:sz="0" w:space="0" w:color="auto"/>
        <w:right w:val="none" w:sz="0" w:space="0" w:color="auto"/>
      </w:divBdr>
    </w:div>
    <w:div w:id="1648124169">
      <w:bodyDiv w:val="1"/>
      <w:marLeft w:val="0"/>
      <w:marRight w:val="0"/>
      <w:marTop w:val="0"/>
      <w:marBottom w:val="0"/>
      <w:divBdr>
        <w:top w:val="none" w:sz="0" w:space="0" w:color="auto"/>
        <w:left w:val="none" w:sz="0" w:space="0" w:color="auto"/>
        <w:bottom w:val="none" w:sz="0" w:space="0" w:color="auto"/>
        <w:right w:val="none" w:sz="0" w:space="0" w:color="auto"/>
      </w:divBdr>
    </w:div>
    <w:div w:id="1976371033">
      <w:bodyDiv w:val="1"/>
      <w:marLeft w:val="0"/>
      <w:marRight w:val="0"/>
      <w:marTop w:val="0"/>
      <w:marBottom w:val="0"/>
      <w:divBdr>
        <w:top w:val="none" w:sz="0" w:space="0" w:color="auto"/>
        <w:left w:val="none" w:sz="0" w:space="0" w:color="auto"/>
        <w:bottom w:val="none" w:sz="0" w:space="0" w:color="auto"/>
        <w:right w:val="none" w:sz="0" w:space="0" w:color="auto"/>
      </w:divBdr>
    </w:div>
    <w:div w:id="204440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6d56f0099f611ec8d04d3fbbc91171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lt/dokumentai-ir-leidiniai/metodines-pagalbos-centras/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2028c00f747d3077d0dd2ecee24b0488">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e09bcb396e9187076a840f42360818d7"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1F361-6193-4E61-8C12-4208031FA500}"/>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7EBBB952-9266-4DE9-B304-1F7705ACD929}"/>
</file>

<file path=docProps/app.xml><?xml version="1.0" encoding="utf-8"?>
<Properties xmlns="http://schemas.openxmlformats.org/officeDocument/2006/extended-properties" xmlns:vt="http://schemas.openxmlformats.org/officeDocument/2006/docPropsVTypes">
  <Template>Normal</Template>
  <TotalTime>976</TotalTime>
  <Pages>9</Pages>
  <Words>13236</Words>
  <Characters>7545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 galutinis</dc:title>
  <dc:creator>Virginija Levinskienė</dc:creator>
  <cp:lastModifiedBy>Kristina Dėjė</cp:lastModifiedBy>
  <cp:revision>18</cp:revision>
  <dcterms:created xsi:type="dcterms:W3CDTF">2022-03-07T12:58:00Z</dcterms:created>
  <dcterms:modified xsi:type="dcterms:W3CDTF">2022-03-08T07:00:00Z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3680;#Energetikos ir aplinkos apsaugos projektų skyrius|66914be9-8437-476f-ab9d-874648d15705;#49;#Vadovybė|58a5a61f-fccb-4f74-9a6b-098be634181c</vt:lpwstr>
  </property>
  <property fmtid="{D5CDD505-2E9C-101B-9397-08002B2CF9AE}" pid="5" name="DmsPermissionsUsers">
    <vt:lpwstr>1113;#Kristina Dėjė;#233;#Jūratė Lepardinienė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