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C4FF" w14:textId="77777777" w:rsidR="005E09BB" w:rsidRDefault="0070748E">
      <w:pPr>
        <w:ind w:left="7776" w:firstLine="3848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Projekto įgyvendinimo plano</w:t>
      </w:r>
    </w:p>
    <w:p w14:paraId="2F744F44" w14:textId="77777777" w:rsidR="005E09BB" w:rsidRDefault="0070748E">
      <w:pPr>
        <w:ind w:left="7776" w:firstLine="3848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5 priedas</w:t>
      </w:r>
    </w:p>
    <w:p w14:paraId="1C11BB5F" w14:textId="77777777" w:rsidR="005E09BB" w:rsidRDefault="005E09BB">
      <w:pPr>
        <w:ind w:left="7776" w:firstLine="3848"/>
        <w:rPr>
          <w:sz w:val="22"/>
          <w:szCs w:val="22"/>
          <w:lang w:eastAsia="lt-LT"/>
        </w:rPr>
      </w:pPr>
    </w:p>
    <w:p w14:paraId="6F4DF2EA" w14:textId="77777777" w:rsidR="005E09BB" w:rsidRDefault="0070748E">
      <w:pPr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(Pirkimo ir (arba) importo pridėtinės vertės mokesčio tinkamumo finansuoti Europos Sąjungos fondų ir (arba) Lietuvos Respublikos valstybės biudžeto lėšomis klausimyno forma)</w:t>
      </w:r>
    </w:p>
    <w:p w14:paraId="1C6CFF2F" w14:textId="77777777" w:rsidR="005E09BB" w:rsidRDefault="005E09BB">
      <w:pPr>
        <w:ind w:left="7776" w:firstLine="3848"/>
        <w:rPr>
          <w:sz w:val="22"/>
          <w:szCs w:val="22"/>
          <w:lang w:eastAsia="lt-LT"/>
        </w:rPr>
      </w:pPr>
    </w:p>
    <w:p w14:paraId="1C867170" w14:textId="77777777" w:rsidR="005E09BB" w:rsidRDefault="0070748E">
      <w:pPr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_____________________________________</w:t>
      </w:r>
    </w:p>
    <w:p w14:paraId="6CBA947A" w14:textId="77777777" w:rsidR="005E09BB" w:rsidRDefault="0070748E">
      <w:pPr>
        <w:jc w:val="center"/>
        <w:rPr>
          <w:b/>
          <w:sz w:val="22"/>
          <w:szCs w:val="22"/>
          <w:lang w:eastAsia="lt-LT"/>
        </w:rPr>
      </w:pPr>
      <w:r>
        <w:rPr>
          <w:bCs/>
          <w:sz w:val="22"/>
          <w:szCs w:val="22"/>
          <w:lang w:eastAsia="lt-LT"/>
        </w:rPr>
        <w:t xml:space="preserve">(pareiškėjo </w:t>
      </w:r>
      <w:r>
        <w:rPr>
          <w:sz w:val="22"/>
          <w:szCs w:val="22"/>
          <w:lang w:eastAsia="lt-LT"/>
        </w:rPr>
        <w:t>pavadinimas)</w:t>
      </w:r>
      <w:r>
        <w:rPr>
          <w:b/>
          <w:sz w:val="22"/>
          <w:szCs w:val="22"/>
          <w:lang w:eastAsia="lt-LT"/>
        </w:rPr>
        <w:t xml:space="preserve"> </w:t>
      </w:r>
    </w:p>
    <w:p w14:paraId="4CDEEE67" w14:textId="77777777" w:rsidR="005E09BB" w:rsidRDefault="005E09BB">
      <w:pPr>
        <w:ind w:left="7776" w:firstLine="1296"/>
        <w:jc w:val="center"/>
        <w:rPr>
          <w:b/>
          <w:sz w:val="22"/>
          <w:szCs w:val="22"/>
          <w:lang w:eastAsia="lt-LT"/>
        </w:rPr>
      </w:pPr>
    </w:p>
    <w:p w14:paraId="1F6CB66B" w14:textId="77777777" w:rsidR="005E09BB" w:rsidRDefault="0070748E">
      <w:pPr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PIRKIMO IR (ARBA) IMPORTO PRIDĖTINĖS VERTĖS MOKESČIO TINKAMUMO FINANSUOTI EUROPOS SĄJUNGOS FONDŲ IR (ARBA) LIETUVOS RESPUBLIKOS VALSTYBĖS BIUDŽETO LĖŠOMIS KLAUSIMYNAS</w:t>
      </w:r>
    </w:p>
    <w:p w14:paraId="289EE7E9" w14:textId="77777777" w:rsidR="005E09BB" w:rsidRDefault="005E09BB">
      <w:pPr>
        <w:jc w:val="center"/>
        <w:rPr>
          <w:lang w:eastAsia="lt-LT"/>
        </w:rPr>
      </w:pPr>
    </w:p>
    <w:p w14:paraId="7333A298" w14:textId="77777777" w:rsidR="005E09BB" w:rsidRDefault="0070748E">
      <w:pPr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</w:t>
      </w:r>
      <w:r>
        <w:rPr>
          <w:sz w:val="22"/>
          <w:szCs w:val="22"/>
          <w:u w:val="single"/>
          <w:lang w:eastAsia="lt-LT"/>
        </w:rPr>
        <w:tab/>
      </w:r>
      <w:r>
        <w:rPr>
          <w:sz w:val="22"/>
          <w:szCs w:val="22"/>
          <w:lang w:eastAsia="lt-LT"/>
        </w:rPr>
        <w:t>_________</w:t>
      </w:r>
    </w:p>
    <w:p w14:paraId="1EF18FF7" w14:textId="77777777" w:rsidR="005E09BB" w:rsidRDefault="0070748E">
      <w:pPr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(data)</w:t>
      </w:r>
    </w:p>
    <w:p w14:paraId="342CBC31" w14:textId="77777777" w:rsidR="005E09BB" w:rsidRDefault="005E09BB">
      <w:pPr>
        <w:jc w:val="center"/>
        <w:rPr>
          <w:sz w:val="22"/>
          <w:szCs w:val="22"/>
          <w:lang w:eastAsia="lt-LT"/>
        </w:rPr>
      </w:pPr>
    </w:p>
    <w:p w14:paraId="333C65E3" w14:textId="77777777" w:rsidR="005E09BB" w:rsidRDefault="0070748E">
      <w:pPr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</w:t>
      </w:r>
      <w:r>
        <w:rPr>
          <w:sz w:val="22"/>
          <w:szCs w:val="22"/>
          <w:lang w:eastAsia="lt-LT"/>
        </w:rPr>
        <w:t>___</w:t>
      </w:r>
      <w:r>
        <w:rPr>
          <w:sz w:val="22"/>
          <w:szCs w:val="22"/>
          <w:u w:val="single"/>
          <w:lang w:eastAsia="lt-LT"/>
        </w:rPr>
        <w:tab/>
      </w:r>
      <w:r>
        <w:rPr>
          <w:sz w:val="22"/>
          <w:szCs w:val="22"/>
          <w:u w:val="single"/>
          <w:lang w:eastAsia="lt-LT"/>
        </w:rPr>
        <w:tab/>
      </w:r>
      <w:r>
        <w:rPr>
          <w:sz w:val="22"/>
          <w:szCs w:val="22"/>
          <w:lang w:eastAsia="lt-LT"/>
        </w:rPr>
        <w:t>____</w:t>
      </w:r>
    </w:p>
    <w:p w14:paraId="2F1D973F" w14:textId="77777777" w:rsidR="005E09BB" w:rsidRDefault="0070748E">
      <w:pPr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(sudarymo vieta)</w:t>
      </w:r>
    </w:p>
    <w:p w14:paraId="1D40274D" w14:textId="77777777" w:rsidR="005E09BB" w:rsidRDefault="005E09BB">
      <w:pPr>
        <w:jc w:val="center"/>
        <w:rPr>
          <w:sz w:val="22"/>
          <w:szCs w:val="22"/>
          <w:lang w:eastAsia="lt-LT"/>
        </w:rPr>
      </w:pPr>
    </w:p>
    <w:p w14:paraId="41307F87" w14:textId="77777777" w:rsidR="005E09BB" w:rsidRDefault="0070748E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Šis projekto įgyvendinimo plano priedas teikiamas, jei projekto vertė viršija 5 mln. eurų, o pareiškėjas arba partneris tvirtina, kad įgyvendinant projektą bus patiriama pirkimo ir (arba) importo pridėtinės vertės mokesčio (toliau – PVM) išlaidų, kurios </w:t>
      </w:r>
      <w:r>
        <w:rPr>
          <w:i/>
          <w:iCs/>
          <w:sz w:val="20"/>
          <w:u w:val="single"/>
        </w:rPr>
        <w:t>ti</w:t>
      </w:r>
      <w:r>
        <w:rPr>
          <w:i/>
          <w:iCs/>
          <w:sz w:val="20"/>
          <w:u w:val="single"/>
        </w:rPr>
        <w:t>nkamos finansuoti</w:t>
      </w:r>
      <w:r>
        <w:rPr>
          <w:i/>
          <w:iCs/>
          <w:sz w:val="20"/>
        </w:rPr>
        <w:t xml:space="preserve"> Europos Sąjungos fondų ir (arba) Lietuvos Respublikos valstybės biudžeto lėšomis. Jeigu pareiškėjas turi partnerį (-</w:t>
      </w:r>
      <w:proofErr w:type="spellStart"/>
      <w:r>
        <w:rPr>
          <w:i/>
          <w:iCs/>
          <w:sz w:val="20"/>
        </w:rPr>
        <w:t>ių</w:t>
      </w:r>
      <w:proofErr w:type="spellEnd"/>
      <w:r>
        <w:rPr>
          <w:i/>
          <w:iCs/>
          <w:sz w:val="20"/>
        </w:rPr>
        <w:t>), kuris (-</w:t>
      </w:r>
      <w:proofErr w:type="spellStart"/>
      <w:r>
        <w:rPr>
          <w:i/>
          <w:iCs/>
          <w:sz w:val="20"/>
        </w:rPr>
        <w:t>ie</w:t>
      </w:r>
      <w:proofErr w:type="spellEnd"/>
      <w:r>
        <w:rPr>
          <w:i/>
          <w:iCs/>
          <w:sz w:val="20"/>
        </w:rPr>
        <w:t>) vykdys su projekto įgyvendinimu susijusias veiklas, pareiškėjas atsako į klausimus lentelėje už kiekvieną</w:t>
      </w:r>
      <w:r>
        <w:rPr>
          <w:i/>
          <w:iCs/>
          <w:sz w:val="20"/>
        </w:rPr>
        <w:t xml:space="preserve"> partnerį atskirai. Laukeliuose pažymimi tik teisingi atsakymai.</w:t>
      </w:r>
    </w:p>
    <w:p w14:paraId="7C992D9D" w14:textId="77777777" w:rsidR="005E09BB" w:rsidRDefault="005E09BB">
      <w:pPr>
        <w:rPr>
          <w:sz w:val="20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46"/>
        <w:gridCol w:w="1843"/>
        <w:gridCol w:w="2693"/>
        <w:gridCol w:w="3119"/>
        <w:gridCol w:w="2410"/>
        <w:gridCol w:w="1701"/>
        <w:gridCol w:w="1417"/>
      </w:tblGrid>
      <w:tr w:rsidR="005E09BB" w14:paraId="415AAE3A" w14:textId="77777777">
        <w:trPr>
          <w:trHeight w:val="1335"/>
        </w:trPr>
        <w:tc>
          <w:tcPr>
            <w:tcW w:w="817" w:type="dxa"/>
          </w:tcPr>
          <w:p w14:paraId="1B77DC7E" w14:textId="77777777" w:rsidR="005E09BB" w:rsidRDefault="007074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Eil. Nr.</w:t>
            </w:r>
          </w:p>
        </w:tc>
        <w:tc>
          <w:tcPr>
            <w:tcW w:w="1446" w:type="dxa"/>
          </w:tcPr>
          <w:p w14:paraId="60529C5F" w14:textId="77777777" w:rsidR="005E09BB" w:rsidRDefault="0070748E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Projekto </w:t>
            </w:r>
            <w:proofErr w:type="spellStart"/>
            <w:r>
              <w:rPr>
                <w:b/>
                <w:sz w:val="20"/>
                <w:szCs w:val="22"/>
              </w:rPr>
              <w:t>poveiklės</w:t>
            </w:r>
            <w:proofErr w:type="spellEnd"/>
            <w:r>
              <w:rPr>
                <w:b/>
                <w:sz w:val="20"/>
                <w:szCs w:val="22"/>
              </w:rPr>
              <w:t xml:space="preserve"> pavadinimas</w:t>
            </w:r>
          </w:p>
        </w:tc>
        <w:tc>
          <w:tcPr>
            <w:tcW w:w="1843" w:type="dxa"/>
          </w:tcPr>
          <w:p w14:paraId="5C45D71B" w14:textId="77777777" w:rsidR="005E09BB" w:rsidRDefault="0070748E">
            <w:pPr>
              <w:ind w:left="-57" w:right="-57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Pareiškėjo / partnerio pavadinimas</w:t>
            </w:r>
          </w:p>
        </w:tc>
        <w:tc>
          <w:tcPr>
            <w:tcW w:w="2693" w:type="dxa"/>
          </w:tcPr>
          <w:p w14:paraId="7E5A048A" w14:textId="77777777" w:rsidR="005E09BB" w:rsidRDefault="0070748E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Numatomų įsigyti darbų, prekių ar paslaugų panaudojimo detalizavimas</w:t>
            </w:r>
          </w:p>
        </w:tc>
        <w:tc>
          <w:tcPr>
            <w:tcW w:w="3119" w:type="dxa"/>
          </w:tcPr>
          <w:p w14:paraId="5E6D2B40" w14:textId="77777777" w:rsidR="005E09BB" w:rsidRDefault="0070748E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Numatomi įsigyti darbai, prekės, ar paslaugos, skirti pareiškėjo arba partnerio PVM neapmokestinamai (neekonominei) veiklai vykdyti </w:t>
            </w:r>
          </w:p>
        </w:tc>
        <w:tc>
          <w:tcPr>
            <w:tcW w:w="2410" w:type="dxa"/>
          </w:tcPr>
          <w:p w14:paraId="1D211FAD" w14:textId="77777777" w:rsidR="005E09BB" w:rsidRDefault="0070748E">
            <w:pPr>
              <w:ind w:left="-57" w:right="-57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Lietuvos Respublikos pridėtinės vertės mokesčio įstatymo (toliau – PVM įstatymas) straipsnis</w:t>
            </w:r>
          </w:p>
        </w:tc>
        <w:tc>
          <w:tcPr>
            <w:tcW w:w="1701" w:type="dxa"/>
          </w:tcPr>
          <w:p w14:paraId="1AC8F921" w14:textId="77777777" w:rsidR="005E09BB" w:rsidRDefault="0070748E">
            <w:pPr>
              <w:ind w:left="-57" w:right="-57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Ar prašoma mišrios veiklos PVM</w:t>
            </w:r>
            <w:r>
              <w:rPr>
                <w:b/>
                <w:sz w:val="20"/>
                <w:szCs w:val="22"/>
              </w:rPr>
              <w:t xml:space="preserve"> finansuoti Lietuvos Respublikos valstybės biudžeto lėšomis?</w:t>
            </w:r>
          </w:p>
        </w:tc>
        <w:tc>
          <w:tcPr>
            <w:tcW w:w="1417" w:type="dxa"/>
          </w:tcPr>
          <w:p w14:paraId="2B0A3331" w14:textId="77777777" w:rsidR="005E09BB" w:rsidRDefault="0070748E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Pastabos</w:t>
            </w:r>
          </w:p>
        </w:tc>
      </w:tr>
      <w:tr w:rsidR="005E09BB" w14:paraId="6ABFD6AB" w14:textId="77777777">
        <w:trPr>
          <w:trHeight w:val="251"/>
        </w:trPr>
        <w:tc>
          <w:tcPr>
            <w:tcW w:w="817" w:type="dxa"/>
            <w:shd w:val="clear" w:color="auto" w:fill="F2F2F2" w:themeFill="background1" w:themeFillShade="F2"/>
          </w:tcPr>
          <w:p w14:paraId="4EDAAF3A" w14:textId="77777777" w:rsidR="005E09BB" w:rsidRDefault="0070748E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1</w:t>
            </w:r>
          </w:p>
        </w:tc>
        <w:tc>
          <w:tcPr>
            <w:tcW w:w="1446" w:type="dxa"/>
            <w:shd w:val="clear" w:color="auto" w:fill="F2F2F2" w:themeFill="background1" w:themeFillShade="F2"/>
          </w:tcPr>
          <w:p w14:paraId="36811AD7" w14:textId="77777777" w:rsidR="005E09BB" w:rsidRDefault="0070748E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2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EF6A9F" w14:textId="77777777" w:rsidR="005E09BB" w:rsidRDefault="0070748E">
            <w:pPr>
              <w:ind w:left="-57" w:right="-57"/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3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8DA184D" w14:textId="77777777" w:rsidR="005E09BB" w:rsidRDefault="0070748E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4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51E300D6" w14:textId="77777777" w:rsidR="005E09BB" w:rsidRDefault="0070748E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5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CA3FACC" w14:textId="77777777" w:rsidR="005E09BB" w:rsidRDefault="0070748E">
            <w:pPr>
              <w:ind w:left="-57" w:right="-57"/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9D90A8D" w14:textId="77777777" w:rsidR="005E09BB" w:rsidRDefault="0070748E">
            <w:pPr>
              <w:ind w:left="-57" w:right="-57"/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7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6767DAA" w14:textId="77777777" w:rsidR="005E09BB" w:rsidRDefault="0070748E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8</w:t>
            </w:r>
          </w:p>
        </w:tc>
      </w:tr>
      <w:tr w:rsidR="005E09BB" w14:paraId="2FD15904" w14:textId="77777777">
        <w:trPr>
          <w:trHeight w:val="2864"/>
        </w:trPr>
        <w:tc>
          <w:tcPr>
            <w:tcW w:w="817" w:type="dxa"/>
          </w:tcPr>
          <w:p w14:paraId="5C9B5E3F" w14:textId="77777777" w:rsidR="005E09BB" w:rsidRDefault="0070748E">
            <w:pPr>
              <w:ind w:left="-57" w:right="-5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Nurodo-</w:t>
            </w:r>
            <w:proofErr w:type="spellStart"/>
            <w:r>
              <w:rPr>
                <w:i/>
                <w:sz w:val="20"/>
              </w:rPr>
              <w:t>mas</w:t>
            </w:r>
            <w:proofErr w:type="spellEnd"/>
            <w:r>
              <w:rPr>
                <w:i/>
                <w:sz w:val="20"/>
              </w:rPr>
              <w:t xml:space="preserve"> projekto </w:t>
            </w:r>
            <w:proofErr w:type="spellStart"/>
            <w:r>
              <w:rPr>
                <w:i/>
                <w:sz w:val="20"/>
              </w:rPr>
              <w:t>poveik</w:t>
            </w:r>
            <w:proofErr w:type="spellEnd"/>
            <w:r>
              <w:rPr>
                <w:i/>
                <w:sz w:val="20"/>
              </w:rPr>
              <w:t xml:space="preserve">-lės numeris. Galimas simbolių skaičius – 10. Nurodyti </w:t>
            </w:r>
            <w:proofErr w:type="spellStart"/>
            <w:r>
              <w:rPr>
                <w:i/>
                <w:sz w:val="20"/>
              </w:rPr>
              <w:t>priva</w:t>
            </w:r>
            <w:proofErr w:type="spellEnd"/>
            <w:r>
              <w:rPr>
                <w:i/>
                <w:sz w:val="20"/>
              </w:rPr>
              <w:t>-loma.</w:t>
            </w:r>
          </w:p>
        </w:tc>
        <w:tc>
          <w:tcPr>
            <w:tcW w:w="1446" w:type="dxa"/>
          </w:tcPr>
          <w:p w14:paraId="4F7B87F4" w14:textId="77777777" w:rsidR="005E09BB" w:rsidRDefault="0070748E">
            <w:pPr>
              <w:ind w:left="-57" w:right="-57"/>
              <w:jc w:val="center"/>
              <w:rPr>
                <w:i/>
                <w:sz w:val="20"/>
                <w:lang w:val="en-GB"/>
              </w:rPr>
            </w:pPr>
            <w:r>
              <w:rPr>
                <w:i/>
                <w:sz w:val="20"/>
              </w:rPr>
              <w:t xml:space="preserve">Nurodomas projekto </w:t>
            </w:r>
            <w:proofErr w:type="spellStart"/>
            <w:r>
              <w:rPr>
                <w:i/>
                <w:sz w:val="20"/>
              </w:rPr>
              <w:t>poveiklės</w:t>
            </w:r>
            <w:proofErr w:type="spellEnd"/>
            <w:r>
              <w:rPr>
                <w:i/>
                <w:sz w:val="20"/>
              </w:rPr>
              <w:t xml:space="preserve"> pavadinimas. Jei pildoma Iš Europos </w:t>
            </w:r>
            <w:r>
              <w:rPr>
                <w:i/>
                <w:sz w:val="20"/>
              </w:rPr>
              <w:t>Sąjungos fondų investicijų bendrai finansuojamų projektų duomenų mainų svetainėje, automatiškai perkeliama informacija iš projekto įgyvendinimo plano. Galimas simbolių skaičius – 300.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i/>
                <w:sz w:val="20"/>
              </w:rPr>
              <w:t>Nurodyti privaloma.</w:t>
            </w:r>
          </w:p>
        </w:tc>
        <w:tc>
          <w:tcPr>
            <w:tcW w:w="1843" w:type="dxa"/>
          </w:tcPr>
          <w:p w14:paraId="511B7927" w14:textId="77777777" w:rsidR="005E09BB" w:rsidRDefault="0070748E">
            <w:pPr>
              <w:ind w:left="-57" w:right="-57"/>
              <w:jc w:val="center"/>
              <w:rPr>
                <w:i/>
                <w:sz w:val="20"/>
                <w:lang w:eastAsia="lt-LT"/>
              </w:rPr>
            </w:pPr>
            <w:r>
              <w:rPr>
                <w:i/>
                <w:iCs/>
                <w:sz w:val="20"/>
                <w:lang w:eastAsia="lt-LT"/>
              </w:rPr>
              <w:t xml:space="preserve">Nurodomas pareiškėjo ar </w:t>
            </w:r>
            <w:r>
              <w:rPr>
                <w:i/>
                <w:sz w:val="20"/>
                <w:lang w:eastAsia="lt-LT"/>
              </w:rPr>
              <w:t>partnerio pavadinimas. Galim</w:t>
            </w:r>
            <w:r>
              <w:rPr>
                <w:i/>
                <w:sz w:val="20"/>
                <w:lang w:eastAsia="lt-LT"/>
              </w:rPr>
              <w:t>as simbolių skaičius – 150.</w:t>
            </w:r>
          </w:p>
          <w:p w14:paraId="26039B05" w14:textId="77777777" w:rsidR="005E09BB" w:rsidRDefault="0070748E">
            <w:pPr>
              <w:ind w:left="-57" w:right="-5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Nurodyti privaloma.</w:t>
            </w:r>
          </w:p>
        </w:tc>
        <w:tc>
          <w:tcPr>
            <w:tcW w:w="2693" w:type="dxa"/>
          </w:tcPr>
          <w:p w14:paraId="735EDE16" w14:textId="77777777" w:rsidR="005E09BB" w:rsidRDefault="0070748E">
            <w:pPr>
              <w:ind w:left="-57" w:right="-57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Nurodoma, kokiai pareiškėjo arba partnerio vykdomai arba planuojamai vykdyti veiklai ar veiksmui bus skirti projekte numatomi įsigyti darbai, prekės ar paslaugos. Būtina nurodyti veiklas, už kurias bus gaunam</w:t>
            </w:r>
            <w:r>
              <w:rPr>
                <w:i/>
                <w:iCs/>
                <w:sz w:val="20"/>
              </w:rPr>
              <w:t xml:space="preserve">os pajamos (pvz., patalpų nuoma, teikiamos apmokamos paslaugos, rinkliavos ir pan.). </w:t>
            </w:r>
          </w:p>
          <w:p w14:paraId="197AF8F1" w14:textId="77777777" w:rsidR="005E09BB" w:rsidRDefault="0070748E">
            <w:pPr>
              <w:ind w:left="-57" w:right="-5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Galimas simbolių skaičius – 1 000.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i/>
                <w:sz w:val="20"/>
              </w:rPr>
              <w:t>Nurodyti privaloma.</w:t>
            </w:r>
          </w:p>
        </w:tc>
        <w:tc>
          <w:tcPr>
            <w:tcW w:w="3119" w:type="dxa"/>
          </w:tcPr>
          <w:p w14:paraId="1DACEE46" w14:textId="77777777" w:rsidR="005E09BB" w:rsidRDefault="0070748E">
            <w:pPr>
              <w:ind w:left="-57" w:right="-57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Iš sąrašo pasirenkamas atsakymas:</w:t>
            </w:r>
          </w:p>
          <w:p w14:paraId="0E3DBA2A" w14:textId="77777777" w:rsidR="005E09BB" w:rsidRDefault="0070748E">
            <w:pPr>
              <w:ind w:left="-57" w:right="-57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-„Taip“, jei bus skirta PVM neapmokestinamai (neekonominei) veiklai vykdyti;</w:t>
            </w:r>
          </w:p>
          <w:p w14:paraId="711BA2B7" w14:textId="77777777" w:rsidR="005E09BB" w:rsidRDefault="0070748E">
            <w:pPr>
              <w:ind w:left="-57" w:right="-57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- „Ne“, jei bus skirta PVM apmokestinamai veiklai vykdyti; </w:t>
            </w:r>
          </w:p>
          <w:p w14:paraId="4C3E2EEE" w14:textId="77777777" w:rsidR="005E09BB" w:rsidRDefault="0070748E">
            <w:pPr>
              <w:ind w:left="-57" w:right="-57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„Mišru“, jei bus skirta mišriai veiklai vykdyti.</w:t>
            </w:r>
          </w:p>
          <w:p w14:paraId="089B4265" w14:textId="77777777" w:rsidR="005E09BB" w:rsidRDefault="0070748E">
            <w:pPr>
              <w:ind w:left="-57" w:right="-57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Nurodyti privaloma.</w:t>
            </w:r>
          </w:p>
        </w:tc>
        <w:tc>
          <w:tcPr>
            <w:tcW w:w="2410" w:type="dxa"/>
          </w:tcPr>
          <w:p w14:paraId="474EDFAD" w14:textId="77777777" w:rsidR="005E09BB" w:rsidRDefault="0070748E">
            <w:pPr>
              <w:ind w:left="-57" w:right="-5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Laukas pildomas, jei 5 stulpelyje pasirinkta „Taip“.</w:t>
            </w:r>
          </w:p>
          <w:p w14:paraId="37E7D886" w14:textId="77777777" w:rsidR="005E09BB" w:rsidRDefault="0070748E">
            <w:pPr>
              <w:ind w:left="-57" w:right="-57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Iš sąrašo nurodomas vienas ar keli PVM įstatymo straipsniai, pagal kuriu</w:t>
            </w:r>
            <w:r>
              <w:rPr>
                <w:i/>
                <w:iCs/>
                <w:sz w:val="20"/>
              </w:rPr>
              <w:t>os projekte numatyti įsigyti darbai, prekės ar paslaugos priskiriami pareiškėjo arba partnerio PVM neapmokestinamai veiklai vykdyti. PVM įstatymo straipsnių detalizavimas pateikiamas po lentele.</w:t>
            </w:r>
          </w:p>
          <w:p w14:paraId="546A5D00" w14:textId="77777777" w:rsidR="005E09BB" w:rsidRDefault="0070748E">
            <w:pPr>
              <w:ind w:left="-57" w:right="-57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Pasirinkus 18 punktą, privaloma pastabose nurodyti PVM įstaty</w:t>
            </w:r>
            <w:r>
              <w:rPr>
                <w:i/>
                <w:iCs/>
                <w:sz w:val="20"/>
              </w:rPr>
              <w:t>mo punktą (-</w:t>
            </w:r>
            <w:proofErr w:type="spellStart"/>
            <w:r>
              <w:rPr>
                <w:i/>
                <w:iCs/>
                <w:sz w:val="20"/>
              </w:rPr>
              <w:t>us</w:t>
            </w:r>
            <w:proofErr w:type="spellEnd"/>
            <w:r>
              <w:rPr>
                <w:i/>
                <w:iCs/>
                <w:sz w:val="20"/>
              </w:rPr>
              <w:t>).</w:t>
            </w:r>
          </w:p>
          <w:p w14:paraId="0F7EBE6A" w14:textId="77777777" w:rsidR="005E09BB" w:rsidRDefault="0070748E">
            <w:pPr>
              <w:ind w:left="-57" w:right="-57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Nurodyti privaloma.</w:t>
            </w:r>
          </w:p>
        </w:tc>
        <w:tc>
          <w:tcPr>
            <w:tcW w:w="1701" w:type="dxa"/>
          </w:tcPr>
          <w:p w14:paraId="0C5BB430" w14:textId="77777777" w:rsidR="005E09BB" w:rsidRDefault="0070748E">
            <w:pPr>
              <w:ind w:left="-57" w:right="-5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Laukas pildomas, jei 5 stulpelyje pasirinkta „Mišru“. </w:t>
            </w:r>
          </w:p>
          <w:p w14:paraId="351C5A73" w14:textId="77777777" w:rsidR="005E09BB" w:rsidRDefault="0070748E">
            <w:pPr>
              <w:ind w:left="-57" w:right="-5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Pasirenkama iš variantų „Taip“ arba „Ne“.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i/>
                <w:sz w:val="20"/>
              </w:rPr>
              <w:t>Nurodyti privaloma.</w:t>
            </w:r>
          </w:p>
        </w:tc>
        <w:tc>
          <w:tcPr>
            <w:tcW w:w="1417" w:type="dxa"/>
          </w:tcPr>
          <w:p w14:paraId="1BC6AC6C" w14:textId="77777777" w:rsidR="005E09BB" w:rsidRDefault="0070748E">
            <w:pPr>
              <w:ind w:left="-57" w:right="-57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Pateikiama papildoma aktuali informacija.</w:t>
            </w:r>
          </w:p>
        </w:tc>
      </w:tr>
      <w:tr w:rsidR="005E09BB" w14:paraId="383A5C55" w14:textId="77777777">
        <w:trPr>
          <w:trHeight w:val="414"/>
        </w:trPr>
        <w:tc>
          <w:tcPr>
            <w:tcW w:w="817" w:type="dxa"/>
          </w:tcPr>
          <w:p w14:paraId="0D50C79F" w14:textId="77777777" w:rsidR="005E09BB" w:rsidRDefault="0070748E">
            <w:pPr>
              <w:widowControl w:val="0"/>
              <w:jc w:val="center"/>
              <w:rPr>
                <w:rFonts w:cs="Arial"/>
                <w:sz w:val="16"/>
                <w:szCs w:val="16"/>
                <w:lang w:eastAsia="lt-LT"/>
              </w:rPr>
            </w:pPr>
            <w:r>
              <w:rPr>
                <w:rFonts w:cs="Arial"/>
                <w:sz w:val="16"/>
                <w:szCs w:val="16"/>
                <w:lang w:eastAsia="lt-LT"/>
              </w:rPr>
              <w:t>(...)</w:t>
            </w:r>
          </w:p>
          <w:p w14:paraId="6F06D814" w14:textId="77777777" w:rsidR="005E09BB" w:rsidRDefault="005E09BB">
            <w:pPr>
              <w:widowControl w:val="0"/>
              <w:shd w:val="clear" w:color="auto" w:fill="FFFFFF"/>
              <w:jc w:val="center"/>
              <w:rPr>
                <w:rFonts w:cs="Arial"/>
                <w:sz w:val="16"/>
                <w:szCs w:val="16"/>
                <w:lang w:eastAsia="lt-LT"/>
              </w:rPr>
            </w:pPr>
          </w:p>
        </w:tc>
        <w:tc>
          <w:tcPr>
            <w:tcW w:w="1446" w:type="dxa"/>
          </w:tcPr>
          <w:p w14:paraId="749C75BE" w14:textId="77777777" w:rsidR="005E09BB" w:rsidRDefault="0070748E">
            <w:pPr>
              <w:widowControl w:val="0"/>
              <w:shd w:val="clear" w:color="auto" w:fill="FFFFFF"/>
              <w:jc w:val="center"/>
              <w:rPr>
                <w:rFonts w:cs="Arial"/>
                <w:sz w:val="16"/>
                <w:szCs w:val="16"/>
                <w:lang w:eastAsia="lt-LT"/>
              </w:rPr>
            </w:pPr>
            <w:r>
              <w:rPr>
                <w:rFonts w:cs="Arial"/>
                <w:sz w:val="16"/>
                <w:szCs w:val="16"/>
                <w:lang w:eastAsia="lt-LT"/>
              </w:rPr>
              <w:t>(...)</w:t>
            </w:r>
          </w:p>
        </w:tc>
        <w:tc>
          <w:tcPr>
            <w:tcW w:w="1843" w:type="dxa"/>
          </w:tcPr>
          <w:p w14:paraId="315DEB3E" w14:textId="77777777" w:rsidR="005E09BB" w:rsidRDefault="0070748E">
            <w:pPr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rFonts w:cs="Arial"/>
                <w:sz w:val="16"/>
                <w:szCs w:val="16"/>
                <w:lang w:eastAsia="lt-LT"/>
              </w:rPr>
              <w:t>(...)</w:t>
            </w:r>
          </w:p>
        </w:tc>
        <w:tc>
          <w:tcPr>
            <w:tcW w:w="2693" w:type="dxa"/>
          </w:tcPr>
          <w:p w14:paraId="7B166EAE" w14:textId="77777777" w:rsidR="005E09BB" w:rsidRDefault="0070748E">
            <w:pPr>
              <w:jc w:val="center"/>
              <w:rPr>
                <w:rFonts w:cs="Arial"/>
                <w:sz w:val="16"/>
                <w:szCs w:val="16"/>
                <w:lang w:eastAsia="lt-LT"/>
              </w:rPr>
            </w:pPr>
            <w:r>
              <w:rPr>
                <w:rFonts w:cs="Arial"/>
                <w:sz w:val="16"/>
                <w:szCs w:val="16"/>
                <w:lang w:eastAsia="lt-LT"/>
              </w:rPr>
              <w:t>(...)</w:t>
            </w:r>
          </w:p>
        </w:tc>
        <w:tc>
          <w:tcPr>
            <w:tcW w:w="3119" w:type="dxa"/>
          </w:tcPr>
          <w:p w14:paraId="26A0FC27" w14:textId="77777777" w:rsidR="005E09BB" w:rsidRDefault="0070748E">
            <w:pPr>
              <w:jc w:val="center"/>
              <w:rPr>
                <w:rFonts w:cs="Arial"/>
                <w:sz w:val="16"/>
                <w:szCs w:val="16"/>
                <w:lang w:eastAsia="lt-LT"/>
              </w:rPr>
            </w:pPr>
            <w:r>
              <w:rPr>
                <w:rFonts w:cs="Arial"/>
                <w:sz w:val="16"/>
                <w:szCs w:val="16"/>
                <w:lang w:eastAsia="lt-LT"/>
              </w:rPr>
              <w:t>(...)</w:t>
            </w:r>
          </w:p>
        </w:tc>
        <w:tc>
          <w:tcPr>
            <w:tcW w:w="2410" w:type="dxa"/>
          </w:tcPr>
          <w:p w14:paraId="08F63039" w14:textId="77777777" w:rsidR="005E09BB" w:rsidRDefault="0070748E">
            <w:pPr>
              <w:jc w:val="center"/>
              <w:rPr>
                <w:rFonts w:cs="Arial"/>
                <w:sz w:val="16"/>
                <w:szCs w:val="16"/>
                <w:lang w:eastAsia="lt-LT"/>
              </w:rPr>
            </w:pPr>
            <w:r>
              <w:rPr>
                <w:rFonts w:cs="Arial"/>
                <w:sz w:val="16"/>
                <w:szCs w:val="16"/>
                <w:lang w:eastAsia="lt-LT"/>
              </w:rPr>
              <w:t>(...)</w:t>
            </w:r>
          </w:p>
        </w:tc>
        <w:tc>
          <w:tcPr>
            <w:tcW w:w="1701" w:type="dxa"/>
          </w:tcPr>
          <w:p w14:paraId="67A4BC31" w14:textId="77777777" w:rsidR="005E09BB" w:rsidRDefault="0070748E">
            <w:pPr>
              <w:jc w:val="center"/>
              <w:rPr>
                <w:rFonts w:cs="Arial"/>
                <w:sz w:val="16"/>
                <w:szCs w:val="16"/>
                <w:lang w:eastAsia="lt-LT"/>
              </w:rPr>
            </w:pPr>
            <w:r>
              <w:rPr>
                <w:rFonts w:cs="Arial"/>
                <w:sz w:val="16"/>
                <w:szCs w:val="16"/>
                <w:lang w:eastAsia="lt-LT"/>
              </w:rPr>
              <w:t>(...)</w:t>
            </w:r>
          </w:p>
        </w:tc>
        <w:tc>
          <w:tcPr>
            <w:tcW w:w="1417" w:type="dxa"/>
          </w:tcPr>
          <w:p w14:paraId="35D49A90" w14:textId="77777777" w:rsidR="005E09BB" w:rsidRDefault="0070748E">
            <w:pPr>
              <w:jc w:val="center"/>
              <w:rPr>
                <w:rFonts w:cs="Arial"/>
                <w:sz w:val="16"/>
                <w:szCs w:val="16"/>
                <w:lang w:eastAsia="lt-LT"/>
              </w:rPr>
            </w:pPr>
            <w:r>
              <w:rPr>
                <w:rFonts w:cs="Arial"/>
                <w:sz w:val="16"/>
                <w:szCs w:val="16"/>
                <w:lang w:eastAsia="lt-LT"/>
              </w:rPr>
              <w:t>(...)</w:t>
            </w:r>
          </w:p>
        </w:tc>
      </w:tr>
    </w:tbl>
    <w:p w14:paraId="31F4F070" w14:textId="77777777" w:rsidR="005E09BB" w:rsidRDefault="005E09BB">
      <w:pPr>
        <w:ind w:firstLine="57"/>
        <w:jc w:val="both"/>
        <w:rPr>
          <w:i/>
          <w:sz w:val="22"/>
          <w:szCs w:val="22"/>
        </w:rPr>
      </w:pPr>
    </w:p>
    <w:p w14:paraId="1CB8BE13" w14:textId="77777777" w:rsidR="005E09BB" w:rsidRDefault="0070748E">
      <w:pPr>
        <w:jc w:val="both"/>
        <w:rPr>
          <w:i/>
          <w:sz w:val="20"/>
        </w:rPr>
      </w:pPr>
      <w:r>
        <w:rPr>
          <w:sz w:val="20"/>
        </w:rPr>
        <w:t xml:space="preserve">PVM </w:t>
      </w:r>
      <w:r>
        <w:rPr>
          <w:sz w:val="20"/>
        </w:rPr>
        <w:t>įstatymo straipsnių detalizavimas</w:t>
      </w:r>
      <w:r>
        <w:rPr>
          <w:i/>
          <w:sz w:val="20"/>
        </w:rPr>
        <w:t>:</w:t>
      </w:r>
    </w:p>
    <w:p w14:paraId="76609A05" w14:textId="77777777" w:rsidR="005E09BB" w:rsidRDefault="0070748E">
      <w:pPr>
        <w:jc w:val="both"/>
        <w:rPr>
          <w:sz w:val="20"/>
          <w:lang w:eastAsia="en-GB"/>
        </w:rPr>
      </w:pPr>
      <w:r>
        <w:rPr>
          <w:sz w:val="20"/>
        </w:rPr>
        <w:t>1.</w:t>
      </w:r>
      <w:r>
        <w:rPr>
          <w:i/>
          <w:iCs/>
          <w:sz w:val="20"/>
        </w:rPr>
        <w:t xml:space="preserve"> </w:t>
      </w:r>
      <w:r>
        <w:rPr>
          <w:iCs/>
          <w:sz w:val="20"/>
        </w:rPr>
        <w:t>S</w:t>
      </w:r>
      <w:r>
        <w:rPr>
          <w:sz w:val="20"/>
          <w:lang w:eastAsia="en-GB"/>
        </w:rPr>
        <w:t>u sveikatos priežiūra susijusios prekės ir paslaugos (PVM įstatymo 20 straipsnis).</w:t>
      </w:r>
    </w:p>
    <w:p w14:paraId="730197B7" w14:textId="77777777" w:rsidR="005E09BB" w:rsidRDefault="0070748E">
      <w:pPr>
        <w:jc w:val="both"/>
        <w:rPr>
          <w:sz w:val="20"/>
          <w:lang w:eastAsia="en-GB"/>
        </w:rPr>
      </w:pPr>
      <w:r>
        <w:rPr>
          <w:sz w:val="20"/>
          <w:lang w:eastAsia="en-GB"/>
        </w:rPr>
        <w:t>2. Socialinės paslaugos ir susijusios prekės (PVM įstatymo 21 straipsnis).</w:t>
      </w:r>
    </w:p>
    <w:p w14:paraId="1F2648E2" w14:textId="77777777" w:rsidR="005E09BB" w:rsidRDefault="0070748E">
      <w:pPr>
        <w:jc w:val="both"/>
        <w:rPr>
          <w:sz w:val="20"/>
          <w:lang w:eastAsia="en-GB"/>
        </w:rPr>
      </w:pPr>
      <w:r>
        <w:rPr>
          <w:sz w:val="20"/>
          <w:lang w:eastAsia="en-GB"/>
        </w:rPr>
        <w:t xml:space="preserve">3. Švietimo ir mokymo paslaugos (PVM įstatymo 22 </w:t>
      </w:r>
      <w:r>
        <w:rPr>
          <w:sz w:val="20"/>
          <w:lang w:eastAsia="en-GB"/>
        </w:rPr>
        <w:t>straipsnis).</w:t>
      </w:r>
    </w:p>
    <w:p w14:paraId="1AC6D441" w14:textId="77777777" w:rsidR="005E09BB" w:rsidRDefault="0070748E">
      <w:pPr>
        <w:jc w:val="both"/>
        <w:rPr>
          <w:sz w:val="20"/>
          <w:lang w:eastAsia="en-GB"/>
        </w:rPr>
      </w:pPr>
      <w:r>
        <w:rPr>
          <w:sz w:val="20"/>
          <w:lang w:eastAsia="en-GB"/>
        </w:rPr>
        <w:t>4. Kultūros ir sporto paslaugos (PVM įstatymo 23 straipsnis).</w:t>
      </w:r>
    </w:p>
    <w:p w14:paraId="58C98665" w14:textId="77777777" w:rsidR="005E09BB" w:rsidRDefault="0070748E">
      <w:pPr>
        <w:jc w:val="both"/>
        <w:rPr>
          <w:sz w:val="20"/>
          <w:lang w:eastAsia="en-GB"/>
        </w:rPr>
      </w:pPr>
      <w:r>
        <w:rPr>
          <w:sz w:val="20"/>
          <w:lang w:eastAsia="en-GB"/>
        </w:rPr>
        <w:t>5. Politinių partijų, profesinių sąjungų ir kitų įsteigtų ir veikiančių narystės pagrindu pelno nesiekiančių juridinių asmenų savo nariams teikiamos paslaugos bei tiekiamos prekės (</w:t>
      </w:r>
      <w:r>
        <w:rPr>
          <w:sz w:val="20"/>
          <w:lang w:eastAsia="en-GB"/>
        </w:rPr>
        <w:t>PVM įstatymo 24 straipsnio 1 dalis).</w:t>
      </w:r>
    </w:p>
    <w:p w14:paraId="4635C727" w14:textId="77777777" w:rsidR="005E09BB" w:rsidRDefault="0070748E">
      <w:pPr>
        <w:jc w:val="both"/>
        <w:rPr>
          <w:sz w:val="20"/>
          <w:lang w:eastAsia="en-GB"/>
        </w:rPr>
      </w:pPr>
      <w:r>
        <w:rPr>
          <w:sz w:val="20"/>
          <w:lang w:eastAsia="en-GB"/>
        </w:rPr>
        <w:t>6. Religinių bendruomenių, bendrijų ir centrų savo nariams teikiamos paslaugos, tiekiamos prekės bei kai šie asmenys kitą asmenį aprūpina personalu (PVM įstatymo 24 straipsnio 2 ir 3 dalis).</w:t>
      </w:r>
    </w:p>
    <w:p w14:paraId="182603AE" w14:textId="77777777" w:rsidR="005E09BB" w:rsidRDefault="0070748E">
      <w:pPr>
        <w:jc w:val="both"/>
        <w:rPr>
          <w:sz w:val="20"/>
          <w:lang w:eastAsia="en-GB"/>
        </w:rPr>
      </w:pPr>
      <w:r>
        <w:rPr>
          <w:sz w:val="20"/>
          <w:lang w:eastAsia="en-GB"/>
        </w:rPr>
        <w:t>7. Pelno nesiekiančių juridi</w:t>
      </w:r>
      <w:r>
        <w:rPr>
          <w:sz w:val="20"/>
          <w:lang w:eastAsia="en-GB"/>
        </w:rPr>
        <w:t>nių asmenų organizuojamų labdaros ir paramos renginių metu šių asmenų tiekiamos prekės ir (arba) teikiamos paslaugos (PVM įstatymo 24 straipsnio 4 dalis).</w:t>
      </w:r>
    </w:p>
    <w:p w14:paraId="0567DBE4" w14:textId="77777777" w:rsidR="005E09BB" w:rsidRDefault="0070748E">
      <w:pPr>
        <w:jc w:val="both"/>
        <w:rPr>
          <w:color w:val="000000"/>
          <w:sz w:val="20"/>
        </w:rPr>
      </w:pPr>
      <w:r>
        <w:rPr>
          <w:sz w:val="20"/>
          <w:lang w:eastAsia="en-GB"/>
        </w:rPr>
        <w:t>8. P</w:t>
      </w:r>
      <w:r>
        <w:rPr>
          <w:color w:val="000000"/>
          <w:sz w:val="20"/>
        </w:rPr>
        <w:t>aslaugos, tiesiogiai susijusios su vaiko teisių apsauga, taip pat su šių paslaugų teikimu tiesiog</w:t>
      </w:r>
      <w:r>
        <w:rPr>
          <w:color w:val="000000"/>
          <w:sz w:val="20"/>
        </w:rPr>
        <w:t>iai susijusios tiekiamos prekės, kurias tiekia ir (arba) teikia pelno nesiekiantys juridiniai asmenys (PVM įstatymo 24 straipsnio 6 dalis).</w:t>
      </w:r>
    </w:p>
    <w:p w14:paraId="7C6B7DB6" w14:textId="77777777" w:rsidR="005E09BB" w:rsidRDefault="0070748E">
      <w:pPr>
        <w:jc w:val="both"/>
        <w:rPr>
          <w:sz w:val="20"/>
          <w:lang w:eastAsia="en-GB"/>
        </w:rPr>
      </w:pPr>
      <w:r>
        <w:rPr>
          <w:sz w:val="20"/>
          <w:lang w:eastAsia="en-GB"/>
        </w:rPr>
        <w:t>9. Pašto paslaugos (PVM įstatymo 25 straipsnis).</w:t>
      </w:r>
    </w:p>
    <w:p w14:paraId="42C29EB0" w14:textId="77777777" w:rsidR="005E09BB" w:rsidRDefault="0070748E">
      <w:pPr>
        <w:jc w:val="both"/>
        <w:rPr>
          <w:sz w:val="20"/>
          <w:lang w:eastAsia="en-GB"/>
        </w:rPr>
      </w:pPr>
      <w:r>
        <w:rPr>
          <w:sz w:val="20"/>
          <w:lang w:eastAsia="en-GB"/>
        </w:rPr>
        <w:t>10. Radijas ir televizija (PVM įstatymo 26 straipsnis).</w:t>
      </w:r>
    </w:p>
    <w:p w14:paraId="3F4E8B3F" w14:textId="77777777" w:rsidR="005E09BB" w:rsidRDefault="0070748E">
      <w:pPr>
        <w:jc w:val="both"/>
        <w:rPr>
          <w:sz w:val="20"/>
          <w:lang w:eastAsia="en-GB"/>
        </w:rPr>
      </w:pPr>
      <w:r>
        <w:rPr>
          <w:sz w:val="20"/>
          <w:lang w:eastAsia="en-GB"/>
        </w:rPr>
        <w:t xml:space="preserve">11. </w:t>
      </w:r>
      <w:r>
        <w:rPr>
          <w:sz w:val="20"/>
          <w:lang w:eastAsia="en-GB"/>
        </w:rPr>
        <w:t>Nepriklausomų grupių veikla (PVM įstatymo 26</w:t>
      </w:r>
      <w:r>
        <w:rPr>
          <w:sz w:val="20"/>
          <w:vertAlign w:val="superscript"/>
          <w:lang w:eastAsia="en-GB"/>
        </w:rPr>
        <w:t>1</w:t>
      </w:r>
      <w:r>
        <w:rPr>
          <w:sz w:val="20"/>
          <w:lang w:eastAsia="en-GB"/>
        </w:rPr>
        <w:t xml:space="preserve"> straipsnis).</w:t>
      </w:r>
    </w:p>
    <w:p w14:paraId="4340CA66" w14:textId="77777777" w:rsidR="005E09BB" w:rsidRDefault="0070748E">
      <w:pPr>
        <w:jc w:val="both"/>
        <w:rPr>
          <w:sz w:val="20"/>
          <w:lang w:eastAsia="en-GB"/>
        </w:rPr>
      </w:pPr>
      <w:r>
        <w:rPr>
          <w:sz w:val="20"/>
          <w:lang w:eastAsia="en-GB"/>
        </w:rPr>
        <w:t>12. Draudimo paslaugos (PVM įstatymo 27 straipsnis).</w:t>
      </w:r>
    </w:p>
    <w:p w14:paraId="27A19514" w14:textId="77777777" w:rsidR="005E09BB" w:rsidRDefault="0070748E">
      <w:pPr>
        <w:jc w:val="both"/>
        <w:rPr>
          <w:sz w:val="20"/>
          <w:lang w:eastAsia="en-GB"/>
        </w:rPr>
      </w:pPr>
      <w:r>
        <w:rPr>
          <w:sz w:val="20"/>
          <w:lang w:eastAsia="en-GB"/>
        </w:rPr>
        <w:t>13. Finansinės paslaugos (PVM įstatymo 28 straipsnis).</w:t>
      </w:r>
    </w:p>
    <w:p w14:paraId="7CE0FAED" w14:textId="77777777" w:rsidR="005E09BB" w:rsidRDefault="0070748E">
      <w:pPr>
        <w:jc w:val="both"/>
        <w:rPr>
          <w:sz w:val="20"/>
          <w:lang w:eastAsia="en-GB"/>
        </w:rPr>
      </w:pPr>
      <w:r>
        <w:rPr>
          <w:sz w:val="20"/>
          <w:lang w:eastAsia="en-GB"/>
        </w:rPr>
        <w:lastRenderedPageBreak/>
        <w:t>14. Specialūs ženklai (PVM įstatymo 29 straipsnis).</w:t>
      </w:r>
    </w:p>
    <w:p w14:paraId="5E074E0E" w14:textId="77777777" w:rsidR="005E09BB" w:rsidRDefault="0070748E">
      <w:pPr>
        <w:jc w:val="both"/>
        <w:rPr>
          <w:sz w:val="20"/>
          <w:lang w:eastAsia="en-GB"/>
        </w:rPr>
      </w:pPr>
      <w:r>
        <w:rPr>
          <w:sz w:val="20"/>
          <w:lang w:eastAsia="en-GB"/>
        </w:rPr>
        <w:t>15. Nekilnojamųjų pagal prigimtį daik</w:t>
      </w:r>
      <w:r>
        <w:rPr>
          <w:sz w:val="20"/>
          <w:lang w:eastAsia="en-GB"/>
        </w:rPr>
        <w:t>tų nuoma (PVM įstatymo 31 straipsnis).</w:t>
      </w:r>
    </w:p>
    <w:p w14:paraId="594A67F2" w14:textId="77777777" w:rsidR="005E09BB" w:rsidRDefault="0070748E">
      <w:pPr>
        <w:jc w:val="both"/>
        <w:rPr>
          <w:sz w:val="20"/>
          <w:lang w:eastAsia="en-GB"/>
        </w:rPr>
      </w:pPr>
      <w:r>
        <w:rPr>
          <w:sz w:val="20"/>
          <w:lang w:eastAsia="en-GB"/>
        </w:rPr>
        <w:t>16. Nekilnojamųjų pagal prigimtį daiktų pardavimas ar kitoks perdavimas (PVM įstatymo 32 straipsnis).</w:t>
      </w:r>
    </w:p>
    <w:p w14:paraId="1682883B" w14:textId="77777777" w:rsidR="005E09BB" w:rsidRDefault="0070748E">
      <w:pPr>
        <w:jc w:val="both"/>
        <w:rPr>
          <w:sz w:val="20"/>
          <w:lang w:eastAsia="en-GB"/>
        </w:rPr>
      </w:pPr>
      <w:r>
        <w:rPr>
          <w:sz w:val="20"/>
          <w:lang w:eastAsia="en-GB"/>
        </w:rPr>
        <w:t>17. Ypatingi atvejai, kai prekių tiekimas ir paslaugų teikimas bei prekių įsigijimas iš kitos valstybės narės PVM n</w:t>
      </w:r>
      <w:r>
        <w:rPr>
          <w:sz w:val="20"/>
          <w:lang w:eastAsia="en-GB"/>
        </w:rPr>
        <w:t>eapmokestinami (PVM įstatymo 33 ir 33</w:t>
      </w:r>
      <w:r>
        <w:rPr>
          <w:sz w:val="20"/>
          <w:vertAlign w:val="superscript"/>
          <w:lang w:eastAsia="en-GB"/>
        </w:rPr>
        <w:t>1</w:t>
      </w:r>
      <w:r>
        <w:rPr>
          <w:sz w:val="20"/>
          <w:lang w:eastAsia="en-GB"/>
        </w:rPr>
        <w:t xml:space="preserve"> straipsniai).</w:t>
      </w:r>
    </w:p>
    <w:p w14:paraId="28B106B1" w14:textId="77777777" w:rsidR="005E09BB" w:rsidRDefault="0070748E">
      <w:pPr>
        <w:jc w:val="both"/>
        <w:rPr>
          <w:sz w:val="20"/>
          <w:lang w:eastAsia="en-GB"/>
        </w:rPr>
      </w:pPr>
      <w:r>
        <w:rPr>
          <w:sz w:val="20"/>
          <w:lang w:eastAsia="en-GB"/>
        </w:rPr>
        <w:t>18. Kiti straipsniai, kuriais remiantis veikla yra neapmokestinama PVM (</w:t>
      </w:r>
      <w:r>
        <w:rPr>
          <w:i/>
          <w:sz w:val="20"/>
          <w:lang w:eastAsia="en-GB"/>
        </w:rPr>
        <w:t>8 stulpelyje</w:t>
      </w:r>
      <w:r>
        <w:rPr>
          <w:i/>
          <w:iCs/>
          <w:sz w:val="20"/>
          <w:lang w:eastAsia="en-GB"/>
        </w:rPr>
        <w:t xml:space="preserve"> privaloma nurodyti PVM įstatymo straipsnio (-</w:t>
      </w:r>
      <w:proofErr w:type="spellStart"/>
      <w:r>
        <w:rPr>
          <w:i/>
          <w:iCs/>
          <w:sz w:val="20"/>
          <w:lang w:eastAsia="en-GB"/>
        </w:rPr>
        <w:t>ių</w:t>
      </w:r>
      <w:proofErr w:type="spellEnd"/>
      <w:r>
        <w:rPr>
          <w:i/>
          <w:iCs/>
          <w:sz w:val="20"/>
          <w:lang w:eastAsia="en-GB"/>
        </w:rPr>
        <w:t>) numerį (-</w:t>
      </w:r>
      <w:proofErr w:type="spellStart"/>
      <w:r>
        <w:rPr>
          <w:i/>
          <w:iCs/>
          <w:sz w:val="20"/>
          <w:lang w:eastAsia="en-GB"/>
        </w:rPr>
        <w:t>ius</w:t>
      </w:r>
      <w:proofErr w:type="spellEnd"/>
      <w:r>
        <w:rPr>
          <w:i/>
          <w:iCs/>
          <w:sz w:val="20"/>
          <w:lang w:eastAsia="en-GB"/>
        </w:rPr>
        <w:t>)</w:t>
      </w:r>
      <w:r>
        <w:rPr>
          <w:iCs/>
          <w:sz w:val="20"/>
          <w:lang w:eastAsia="en-GB"/>
        </w:rPr>
        <w:t>)</w:t>
      </w:r>
      <w:r>
        <w:rPr>
          <w:sz w:val="20"/>
          <w:lang w:eastAsia="en-GB"/>
        </w:rPr>
        <w:t>.</w:t>
      </w:r>
    </w:p>
    <w:p w14:paraId="2A5A842D" w14:textId="77777777" w:rsidR="005E09BB" w:rsidRDefault="005E09BB">
      <w:pPr>
        <w:jc w:val="both"/>
        <w:rPr>
          <w:i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3"/>
        <w:gridCol w:w="709"/>
        <w:gridCol w:w="2552"/>
        <w:gridCol w:w="850"/>
        <w:gridCol w:w="2800"/>
      </w:tblGrid>
      <w:tr w:rsidR="005E09BB" w14:paraId="79145537" w14:textId="77777777">
        <w:trPr>
          <w:jc w:val="center"/>
        </w:trPr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7DF3" w14:textId="77777777" w:rsidR="005E09BB" w:rsidRDefault="005E09BB">
            <w:pPr>
              <w:rPr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25B7AE" w14:textId="77777777" w:rsidR="005E09BB" w:rsidRDefault="005E09BB">
            <w:pPr>
              <w:rPr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47757" w14:textId="77777777" w:rsidR="005E09BB" w:rsidRDefault="005E09BB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2F203" w14:textId="77777777" w:rsidR="005E09BB" w:rsidRDefault="005E09BB">
            <w:pPr>
              <w:rPr>
                <w:szCs w:val="24"/>
                <w:lang w:eastAsia="lt-LT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EB39C7" w14:textId="77777777" w:rsidR="005E09BB" w:rsidRDefault="005E09BB">
            <w:pPr>
              <w:rPr>
                <w:szCs w:val="24"/>
                <w:lang w:eastAsia="lt-LT"/>
              </w:rPr>
            </w:pPr>
          </w:p>
        </w:tc>
      </w:tr>
      <w:tr w:rsidR="005E09BB" w14:paraId="3123A361" w14:textId="77777777">
        <w:trPr>
          <w:jc w:val="center"/>
        </w:trPr>
        <w:tc>
          <w:tcPr>
            <w:tcW w:w="7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161B97" w14:textId="77777777" w:rsidR="005E09BB" w:rsidRDefault="0070748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(pareiškėjo vadovo ar jo įgalioto asmens </w:t>
            </w:r>
            <w:r>
              <w:rPr>
                <w:sz w:val="20"/>
                <w:lang w:eastAsia="lt-LT"/>
              </w:rPr>
              <w:t>pareigų pavadinimas)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2D2608" w14:textId="77777777" w:rsidR="005E09BB" w:rsidRDefault="005E09BB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8C0E5" w14:textId="77777777" w:rsidR="005E09BB" w:rsidRDefault="0070748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(parašas)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CEFAD" w14:textId="77777777" w:rsidR="005E09BB" w:rsidRDefault="005E09BB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739B90" w14:textId="77777777" w:rsidR="005E09BB" w:rsidRDefault="0070748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(vardas ir pavardė)</w:t>
            </w:r>
          </w:p>
        </w:tc>
      </w:tr>
    </w:tbl>
    <w:p w14:paraId="3F3F7F54" w14:textId="77777777" w:rsidR="005E09BB" w:rsidRDefault="005E09BB">
      <w:pPr>
        <w:tabs>
          <w:tab w:val="left" w:pos="3544"/>
        </w:tabs>
        <w:jc w:val="center"/>
        <w:rPr>
          <w:sz w:val="22"/>
          <w:szCs w:val="22"/>
          <w:lang w:eastAsia="lt-LT"/>
        </w:rPr>
      </w:pPr>
    </w:p>
    <w:p w14:paraId="0204911C" w14:textId="77777777" w:rsidR="005E09BB" w:rsidRDefault="005E09BB">
      <w:pPr>
        <w:tabs>
          <w:tab w:val="left" w:pos="3544"/>
        </w:tabs>
        <w:jc w:val="center"/>
        <w:rPr>
          <w:sz w:val="22"/>
          <w:szCs w:val="22"/>
          <w:lang w:eastAsia="lt-LT"/>
        </w:rPr>
      </w:pPr>
    </w:p>
    <w:p w14:paraId="043F9F9D" w14:textId="77777777" w:rsidR="005E09BB" w:rsidRDefault="0070748E">
      <w:pPr>
        <w:tabs>
          <w:tab w:val="left" w:pos="3544"/>
        </w:tabs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____________________________________</w:t>
      </w:r>
    </w:p>
    <w:p w14:paraId="17DB059C" w14:textId="77777777" w:rsidR="005E09BB" w:rsidRDefault="005E09BB">
      <w:pPr>
        <w:tabs>
          <w:tab w:val="left" w:pos="3544"/>
        </w:tabs>
        <w:jc w:val="center"/>
        <w:rPr>
          <w:sz w:val="22"/>
          <w:szCs w:val="22"/>
          <w:lang w:eastAsia="lt-LT"/>
        </w:rPr>
      </w:pPr>
    </w:p>
    <w:sectPr w:rsidR="005E09BB">
      <w:footerReference w:type="default" r:id="rId10"/>
      <w:pgSz w:w="16838" w:h="11906" w:orient="landscape"/>
      <w:pgMar w:top="1135" w:right="426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1DDC" w14:textId="77777777" w:rsidR="0070748E" w:rsidRDefault="0070748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8C0BE95" w14:textId="77777777" w:rsidR="0070748E" w:rsidRDefault="0070748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05FE" w14:textId="77777777" w:rsidR="005E09BB" w:rsidRDefault="005E09BB">
    <w:pPr>
      <w:tabs>
        <w:tab w:val="center" w:pos="4819"/>
        <w:tab w:val="right" w:pos="9638"/>
      </w:tabs>
      <w:rPr>
        <w:sz w:val="20"/>
        <w:lang w:eastAsia="lt-LT"/>
      </w:rPr>
    </w:pPr>
  </w:p>
  <w:p w14:paraId="53EFDA0F" w14:textId="77777777" w:rsidR="005E09BB" w:rsidRDefault="005E09BB">
    <w:pPr>
      <w:tabs>
        <w:tab w:val="center" w:pos="4819"/>
        <w:tab w:val="right" w:pos="9638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3826" w14:textId="77777777" w:rsidR="0070748E" w:rsidRDefault="0070748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35FA64F" w14:textId="77777777" w:rsidR="0070748E" w:rsidRDefault="0070748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61"/>
    <w:rsid w:val="000947AD"/>
    <w:rsid w:val="005E09BB"/>
    <w:rsid w:val="0070748E"/>
    <w:rsid w:val="0078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02FC4"/>
  <w15:docId w15:val="{6190E963-4050-47EC-9E30-A56C10B1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2028c00f747d3077d0dd2ecee24b0488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e09bcb396e9187076a840f42360818d7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FA61F-893D-41B9-B5A3-04614023FB85}"/>
</file>

<file path=customXml/itemProps2.xml><?xml version="1.0" encoding="utf-8"?>
<ds:datastoreItem xmlns:ds="http://schemas.openxmlformats.org/officeDocument/2006/customXml" ds:itemID="{81253AD1-23ED-4A7B-B619-525C97DB75B2}"/>
</file>

<file path=customXml/itemProps3.xml><?xml version="1.0" encoding="utf-8"?>
<ds:datastoreItem xmlns:ds="http://schemas.openxmlformats.org/officeDocument/2006/customXml" ds:itemID="{3FAF260B-46B6-4601-B223-3B1C36DEEAC5}"/>
</file>

<file path=customXml/itemProps4.xml><?xml version="1.0" encoding="utf-8"?>
<ds:datastoreItem xmlns:ds="http://schemas.openxmlformats.org/officeDocument/2006/customXml" ds:itemID="{CD8F8C07-587F-4BC3-8D08-BCC977D4A9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3420</Words>
  <Characters>1950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PVM klausimynas</dc:title>
  <dc:creator>Zita Markevičienė</dc:creator>
  <cp:lastModifiedBy>Kristina Dėjė</cp:lastModifiedBy>
  <cp:revision>2</cp:revision>
  <cp:lastPrinted>2013-10-30T11:59:00Z</cp:lastPrinted>
  <dcterms:created xsi:type="dcterms:W3CDTF">2022-03-04T07:16:00Z</dcterms:created>
  <dcterms:modified xsi:type="dcterms:W3CDTF">2022-03-04T07:16:00Z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3680;#Energetikos ir aplinkos apsaugos projektų skyrius|66914be9-8437-476f-ab9d-874648d15705;#49;#Vadovybė|58a5a61f-fccb-4f74-9a6b-098be634181c</vt:lpwstr>
  </property>
  <property fmtid="{D5CDD505-2E9C-101B-9397-08002B2CF9AE}" pid="5" name="DmsPermissionsUsers">
    <vt:lpwstr>1113;#Kristina Dėjė;#233;#Jūratė Lepardinienė</vt:lpwstr>
  </property>
  <property fmtid="{D5CDD505-2E9C-101B-9397-08002B2CF9AE}" pid="6" name="TaxCatchAll">
    <vt:lpwstr/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