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29F3343E" w:rsidR="006E7474" w:rsidRDefault="002D5DF9" w:rsidP="007D43A9">
      <w:pPr>
        <w:ind w:left="9639"/>
        <w:rPr>
          <w:szCs w:val="24"/>
        </w:rPr>
      </w:pPr>
      <w:r>
        <w:rPr>
          <w:szCs w:val="24"/>
          <w:lang w:val="en-US"/>
        </w:rPr>
        <w:t>10</w:t>
      </w:r>
      <w:r w:rsidR="00586EAD">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0C91F80E" w:rsidR="0024199B" w:rsidRPr="001F316B" w:rsidRDefault="0024199B" w:rsidP="0024199B">
      <w:pPr>
        <w:jc w:val="center"/>
        <w:rPr>
          <w:sz w:val="20"/>
          <w:lang w:val="en-US"/>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2D5DF9">
        <w:rPr>
          <w:b/>
          <w:bCs/>
          <w:szCs w:val="24"/>
          <w:lang w:val="en-US"/>
        </w:rPr>
        <w:t>7</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Veiklos ar poveiklės pavadini</w:t>
            </w:r>
            <w:r w:rsidR="00265D52">
              <w:rPr>
                <w:b/>
                <w:sz w:val="20"/>
              </w:rPr>
              <w:t>-</w:t>
            </w:r>
            <w:r>
              <w:rPr>
                <w:b/>
                <w:sz w:val="20"/>
              </w:rPr>
              <w:t>mas</w:t>
            </w:r>
          </w:p>
        </w:tc>
        <w:tc>
          <w:tcPr>
            <w:tcW w:w="1106" w:type="dxa"/>
            <w:vAlign w:val="center"/>
          </w:tcPr>
          <w:p w14:paraId="543422A7" w14:textId="1BDD2D8F" w:rsidR="006E7474" w:rsidRDefault="007B4329">
            <w:pPr>
              <w:jc w:val="center"/>
              <w:rPr>
                <w:b/>
                <w:sz w:val="20"/>
              </w:rPr>
            </w:pPr>
            <w:r>
              <w:rPr>
                <w:b/>
                <w:sz w:val="20"/>
              </w:rPr>
              <w:t>Finansa</w:t>
            </w:r>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Prioritetas ar komponen</w:t>
            </w:r>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Veikla ar paprie</w:t>
            </w:r>
            <w:r w:rsidR="00265D52">
              <w:rPr>
                <w:b/>
                <w:bCs/>
                <w:sz w:val="20"/>
              </w:rPr>
              <w:t>-</w:t>
            </w:r>
            <w:r>
              <w:rPr>
                <w:b/>
                <w:bCs/>
                <w:sz w:val="20"/>
              </w:rPr>
              <w:t>monė</w:t>
            </w:r>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r>
              <w:rPr>
                <w:b/>
                <w:bCs/>
                <w:sz w:val="20"/>
              </w:rPr>
              <w:t>Ekono</w:t>
            </w:r>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r>
              <w:rPr>
                <w:b/>
                <w:bCs/>
                <w:sz w:val="20"/>
              </w:rPr>
              <w:t>mens kodas</w:t>
            </w:r>
          </w:p>
        </w:tc>
        <w:tc>
          <w:tcPr>
            <w:tcW w:w="1149" w:type="dxa"/>
            <w:vAlign w:val="center"/>
          </w:tcPr>
          <w:p w14:paraId="7BEF5D95" w14:textId="372DC2C9" w:rsidR="006E7474" w:rsidRDefault="007B4329">
            <w:pPr>
              <w:jc w:val="center"/>
              <w:rPr>
                <w:b/>
                <w:sz w:val="20"/>
              </w:rPr>
            </w:pPr>
            <w:r>
              <w:rPr>
                <w:b/>
                <w:sz w:val="20"/>
              </w:rPr>
              <w:t>Nepanau</w:t>
            </w:r>
            <w:r w:rsidR="00265D52">
              <w:rPr>
                <w:b/>
                <w:sz w:val="20"/>
              </w:rPr>
              <w:t>-</w:t>
            </w:r>
            <w:r>
              <w:rPr>
                <w:b/>
                <w:sz w:val="20"/>
              </w:rPr>
              <w:t>dotos Ekonomi</w:t>
            </w:r>
            <w:r w:rsidR="00265D52">
              <w:rPr>
                <w:b/>
                <w:sz w:val="20"/>
              </w:rPr>
              <w:t>-</w:t>
            </w:r>
            <w:r>
              <w:rPr>
                <w:b/>
                <w:sz w:val="20"/>
              </w:rPr>
              <w:t>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Kalbinių išteklių dirbtinio intelekto technologi</w:t>
            </w:r>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 xml:space="preserve">kos gaivinimo ir atsparu-mo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3B44F680" w14:textId="6C304DCE" w:rsidR="006E7474" w:rsidRPr="00131C12" w:rsidRDefault="00B61505">
            <w:pPr>
              <w:jc w:val="center"/>
              <w:rPr>
                <w:szCs w:val="24"/>
                <w:lang w:val="en-US"/>
              </w:rPr>
            </w:pPr>
            <w:r w:rsidRPr="00131C12">
              <w:rPr>
                <w:szCs w:val="24"/>
                <w:lang w:val="en-US"/>
              </w:rPr>
              <w:t>n/a</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1595EF63" w14:textId="084E66DF" w:rsidR="001C5D30" w:rsidRPr="00131C12" w:rsidRDefault="00B61505">
            <w:pPr>
              <w:jc w:val="center"/>
              <w:rPr>
                <w:szCs w:val="24"/>
              </w:rPr>
            </w:pPr>
            <w:r w:rsidRPr="00131C12">
              <w:rPr>
                <w:szCs w:val="24"/>
                <w:lang w:val="en-US"/>
              </w:rPr>
              <w:t>5</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000000">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(lrv.lt)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FA137F" w:rsidRDefault="002B74D2" w:rsidP="00036743">
            <w:pPr>
              <w:jc w:val="both"/>
              <w:rPr>
                <w:szCs w:val="24"/>
                <w:lang w:val="en-US"/>
              </w:rPr>
            </w:pPr>
            <w:r>
              <w:rPr>
                <w:szCs w:val="24"/>
                <w:lang w:val="en-US"/>
              </w:rPr>
              <w:t>1.1.</w:t>
            </w:r>
            <w:r w:rsidR="00BA1744">
              <w:rPr>
                <w:szCs w:val="24"/>
                <w:lang w:val="en-US"/>
              </w:rPr>
              <w:t>5</w:t>
            </w:r>
            <w:r w:rsidR="00673C9D">
              <w:rPr>
                <w:szCs w:val="24"/>
                <w:lang w:val="en-US"/>
              </w:rPr>
              <w:t>.</w:t>
            </w:r>
            <w:r w:rsidR="00BA1744">
              <w:rPr>
                <w:szCs w:val="24"/>
                <w:lang w:val="en-US"/>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37D1731" w14:textId="4347E267" w:rsidR="00280DD9" w:rsidRPr="006070C7" w:rsidRDefault="00AB315D" w:rsidP="00FA137F">
            <w:pPr>
              <w:pStyle w:val="Heading1"/>
              <w:widowControl w:val="0"/>
            </w:pPr>
            <w:r w:rsidRPr="00097DC6">
              <w:rPr>
                <w:b w:val="0"/>
                <w:bCs w:val="0"/>
              </w:rPr>
              <w:t>2.1.</w:t>
            </w:r>
            <w:r>
              <w:t xml:space="preserve"> </w:t>
            </w:r>
            <w:r w:rsidR="00CD1331" w:rsidRPr="00097DC6">
              <w:rPr>
                <w:b w:val="0"/>
                <w:bCs w:val="0"/>
              </w:rPr>
              <w:t xml:space="preserve">Pagal Aprašą remiama veikla – </w:t>
            </w:r>
            <w:r w:rsidR="00066EC8" w:rsidRPr="00097DC6">
              <w:rPr>
                <w:b w:val="0"/>
                <w:bCs w:val="0"/>
                <w:color w:val="000000"/>
              </w:rPr>
              <w:t>kalbinių išteklių dirbtinio intelekto technologijų sprendimų poreikiams plėtra</w:t>
            </w:r>
            <w:r w:rsidR="00BD5690" w:rsidRPr="00097DC6">
              <w:rPr>
                <w:b w:val="0"/>
                <w:bCs w:val="0"/>
                <w:color w:val="000000"/>
              </w:rPr>
              <w:t xml:space="preserve"> (</w:t>
            </w:r>
            <w:bookmarkStart w:id="9" w:name="_Hlk144826705"/>
            <w:r w:rsidR="00DB32F5">
              <w:rPr>
                <w:b w:val="0"/>
                <w:bCs w:val="0"/>
                <w:color w:val="000000"/>
              </w:rPr>
              <w:t xml:space="preserve">projektas </w:t>
            </w:r>
            <w:r w:rsidR="00891825">
              <w:rPr>
                <w:b w:val="0"/>
                <w:bCs w:val="0"/>
                <w:color w:val="000000"/>
              </w:rPr>
              <w:t>„</w:t>
            </w:r>
            <w:r w:rsidR="00DB32F5">
              <w:rPr>
                <w:b w:val="0"/>
                <w:bCs w:val="0"/>
              </w:rPr>
              <w:t>L</w:t>
            </w:r>
            <w:r w:rsidR="00097DC6" w:rsidRPr="00097DC6">
              <w:rPr>
                <w:b w:val="0"/>
                <w:bCs w:val="0"/>
              </w:rPr>
              <w:t>ietuvių kalbos garsyno vystymas (šnekos atpažinimo tikslams)</w:t>
            </w:r>
            <w:bookmarkEnd w:id="9"/>
            <w:r w:rsidR="00DB32F5">
              <w:rPr>
                <w:b w:val="0"/>
                <w:bCs w:val="0"/>
              </w:rPr>
              <w:t>“</w:t>
            </w:r>
            <w:r w:rsidR="00097DC6" w:rsidRPr="00097DC6">
              <w:rPr>
                <w:b w:val="0"/>
                <w:bCs w:val="0"/>
              </w:rPr>
              <w:t>)</w:t>
            </w:r>
            <w:r w:rsidR="00341854">
              <w:rPr>
                <w:b w:val="0"/>
                <w:bCs w:val="0"/>
              </w:rPr>
              <w:t>.</w:t>
            </w:r>
          </w:p>
          <w:p w14:paraId="00EF87C6" w14:textId="55E6A03A"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w:t>
            </w:r>
            <w:r w:rsidR="00A26985" w:rsidRPr="00A26985">
              <w:rPr>
                <w:szCs w:val="24"/>
              </w:rPr>
              <w:t>privatūs juridiniai asmenys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0F3A2AC0" w14:textId="2964D509" w:rsidR="00CA4A86" w:rsidRPr="00156B42" w:rsidRDefault="0094188C" w:rsidP="00FA137F">
            <w:pPr>
              <w:widowControl w:val="0"/>
              <w:jc w:val="both"/>
            </w:pPr>
            <w:r>
              <w:t xml:space="preserve">2.4. </w:t>
            </w:r>
            <w:r w:rsidR="00156B42">
              <w:t>Projekto</w:t>
            </w:r>
            <w:r w:rsidR="00E307C6">
              <w:t xml:space="preserve"> veikl</w:t>
            </w:r>
            <w:r w:rsidR="00156B42">
              <w:t>oms</w:t>
            </w:r>
            <w:r w:rsidR="00E307C6">
              <w:t xml:space="preserve"> įgyvendinti skiriama iki </w:t>
            </w:r>
            <w:r w:rsidR="00EF6881">
              <w:rPr>
                <w:lang w:val="en-US"/>
              </w:rPr>
              <w:t>260 000</w:t>
            </w:r>
            <w:r w:rsidR="00E307C6">
              <w:t xml:space="preserve"> Eur (</w:t>
            </w:r>
            <w:r w:rsidR="00596BBE">
              <w:t>du šimtai šešia</w:t>
            </w:r>
            <w:r w:rsidR="00601F53">
              <w:t>sdešimt</w:t>
            </w:r>
            <w:r w:rsidR="0020200F">
              <w:t xml:space="preserve"> tūkstančių </w:t>
            </w:r>
            <w:r w:rsidR="00E307C6">
              <w:t>eurų) Ekonomikos gaivinimo ir</w:t>
            </w:r>
            <w:r w:rsidR="00D94654">
              <w:t xml:space="preserve"> </w:t>
            </w:r>
            <w:r w:rsidR="00E307C6">
              <w:t>atsparumo didinimo priemonės lėšų ir iki</w:t>
            </w:r>
            <w:r w:rsidR="00832AA8">
              <w:t xml:space="preserve"> </w:t>
            </w:r>
            <w:r w:rsidR="007C57A0">
              <w:rPr>
                <w:lang w:val="en-US"/>
              </w:rPr>
              <w:t>54 600</w:t>
            </w:r>
            <w:r w:rsidR="00E307C6">
              <w:t xml:space="preserve"> Eur (</w:t>
            </w:r>
            <w:r w:rsidR="007C57A0">
              <w:t>penkiasdešimt</w:t>
            </w:r>
            <w:r w:rsidR="00BB02B3">
              <w:t xml:space="preserve"> keturi</w:t>
            </w:r>
            <w:r w:rsidR="00C96755">
              <w:t>ų</w:t>
            </w:r>
            <w:r w:rsidR="00E307C6">
              <w:t xml:space="preserve"> </w:t>
            </w:r>
            <w:r w:rsidR="00C96755">
              <w:t xml:space="preserve">tūkstančių </w:t>
            </w:r>
            <w:r w:rsidR="00C36BCC">
              <w:t>šešių</w:t>
            </w:r>
            <w:r w:rsidR="007E55D7">
              <w:t xml:space="preserve"> </w:t>
            </w:r>
            <w:r w:rsidR="00C96755">
              <w:t>šimtų</w:t>
            </w:r>
            <w:r w:rsidR="00E307C6">
              <w:t xml:space="preserve"> eurų) Lietuvos Respublikos valstybės biudžeto lėšų, skirtų netinkamam PVM apmokėti. PVM gali būti finansuojamas tik </w:t>
            </w:r>
            <w:r w:rsidR="00E307C6" w:rsidRPr="4E5560C9">
              <w:rPr>
                <w:color w:val="242424"/>
                <w:lang w:eastAsia="lt-LT"/>
              </w:rPr>
              <w:t xml:space="preserve">Projektų administravimo ir finansavimo taisyklių </w:t>
            </w:r>
            <w:r w:rsidR="00E307C6">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Pr>
                <w:rFonts w:eastAsia="Calibri"/>
                <w:szCs w:val="24"/>
                <w:lang w:val="en-US"/>
              </w:rPr>
              <w:t>2.</w:t>
            </w:r>
            <w:r w:rsidR="00335D31">
              <w:rPr>
                <w:rFonts w:eastAsia="Calibri"/>
                <w:szCs w:val="24"/>
                <w:lang w:val="en-US"/>
              </w:rPr>
              <w:t>6</w:t>
            </w:r>
            <w:r>
              <w:rPr>
                <w:rFonts w:eastAsia="Calibri"/>
                <w:szCs w:val="24"/>
                <w:lang w:val="en-US"/>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1689D268"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CD1331">
              <w:rPr>
                <w:rFonts w:eastAsia="Calibri"/>
                <w:szCs w:val="24"/>
              </w:rPr>
              <w:t xml:space="preserve">Projekto komunikacijos ir informavimo veiksmai atliekami vadovaujantis </w:t>
            </w:r>
            <w:r w:rsidR="00CD1331">
              <w:rPr>
                <w:szCs w:val="24"/>
              </w:rPr>
              <w:t xml:space="preserve">Projektų administravimo ir finansavimo taisyklių VIII skyriaus </w:t>
            </w:r>
            <w:r w:rsidR="000454C6">
              <w:rPr>
                <w:szCs w:val="24"/>
              </w:rPr>
              <w:t>pirmojo skirsnio</w:t>
            </w:r>
            <w:r w:rsidR="00CD1331">
              <w:rPr>
                <w:szCs w:val="24"/>
              </w:rPr>
              <w:t xml:space="preserve"> nuostatomis</w:t>
            </w:r>
            <w:r w:rsidR="00CD1331">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24E96F8F" w14:textId="4A8F58D3" w:rsidR="00CD1331" w:rsidRPr="00823483" w:rsidRDefault="008C751C" w:rsidP="00FA137F">
            <w:pPr>
              <w:tabs>
                <w:tab w:val="left" w:pos="426"/>
                <w:tab w:val="left" w:pos="709"/>
              </w:tabs>
              <w:jc w:val="both"/>
              <w:rPr>
                <w:bCs/>
                <w:iCs/>
                <w:szCs w:val="24"/>
              </w:rPr>
            </w:pPr>
            <w:r w:rsidRPr="00823483">
              <w:rPr>
                <w:bCs/>
                <w:szCs w:val="24"/>
              </w:rPr>
              <w:t>2.</w:t>
            </w:r>
            <w:r w:rsidR="00AC7A3D">
              <w:rPr>
                <w:bCs/>
                <w:szCs w:val="24"/>
              </w:rPr>
              <w:t>9</w:t>
            </w:r>
            <w:r w:rsidRPr="00823483">
              <w:rPr>
                <w:bCs/>
                <w:szCs w:val="24"/>
              </w:rPr>
              <w:t xml:space="preserve">. </w:t>
            </w:r>
            <w:r w:rsidR="00CD1331" w:rsidRPr="00823483">
              <w:rPr>
                <w:bCs/>
                <w:iCs/>
                <w:szCs w:val="24"/>
              </w:rPr>
              <w:t>Techniniai reikalavimai projektui:</w:t>
            </w:r>
          </w:p>
          <w:p w14:paraId="1DDA3BA1" w14:textId="7A8C95FD" w:rsidR="00D34F81" w:rsidRDefault="00D34F81" w:rsidP="00D34F81">
            <w:pPr>
              <w:jc w:val="both"/>
              <w:rPr>
                <w:rFonts w:eastAsia="Calibri"/>
              </w:rPr>
            </w:pPr>
            <w:r>
              <w:rPr>
                <w:lang w:val="en-US"/>
              </w:rPr>
              <w:lastRenderedPageBreak/>
              <w:t xml:space="preserve">2.8.1. </w:t>
            </w:r>
            <w:r>
              <w:rPr>
                <w:rFonts w:eastAsia="Calibri"/>
              </w:rPr>
              <w:t xml:space="preserve">Kokybiškam šnekos atpažinimo modelių parengimui reikalingas garsynas, kurio apimtis yra </w:t>
            </w:r>
            <w:r>
              <w:rPr>
                <w:rFonts w:eastAsia="Calibri"/>
                <w:b/>
                <w:bCs/>
              </w:rPr>
              <w:t xml:space="preserve">ne mažesnė, kaip 200 val. </w:t>
            </w:r>
            <w:r w:rsidR="00152444">
              <w:rPr>
                <w:rFonts w:eastAsia="Calibri"/>
                <w:b/>
                <w:bCs/>
              </w:rPr>
              <w:t xml:space="preserve">šeimos </w:t>
            </w:r>
            <w:r w:rsidR="009A1C55">
              <w:rPr>
                <w:rFonts w:eastAsia="Calibri"/>
                <w:b/>
                <w:bCs/>
              </w:rPr>
              <w:t>gydytojų</w:t>
            </w:r>
            <w:r>
              <w:rPr>
                <w:rFonts w:eastAsia="Calibri"/>
                <w:b/>
                <w:bCs/>
              </w:rPr>
              <w:t xml:space="preserve"> srities </w:t>
            </w:r>
            <w:r>
              <w:rPr>
                <w:rFonts w:eastAsia="Calibri"/>
                <w:b/>
                <w:bCs/>
                <w:lang w:val="en-US"/>
              </w:rPr>
              <w:t xml:space="preserve"> </w:t>
            </w:r>
            <w:r>
              <w:rPr>
                <w:rFonts w:eastAsia="Calibri"/>
              </w:rPr>
              <w:t xml:space="preserve"> ir kuriame </w:t>
            </w:r>
            <w:r>
              <w:rPr>
                <w:rFonts w:eastAsia="Calibri"/>
                <w:b/>
                <w:bCs/>
              </w:rPr>
              <w:t>yra ne mažiau</w:t>
            </w:r>
            <w:r>
              <w:rPr>
                <w:rFonts w:eastAsia="Calibri"/>
              </w:rPr>
              <w:t xml:space="preserve"> kaip 10</w:t>
            </w:r>
            <w:r>
              <w:rPr>
                <w:rFonts w:eastAsia="Calibri"/>
                <w:b/>
                <w:bCs/>
              </w:rPr>
              <w:t xml:space="preserve"> skirtingų kalbėtojų balso įrašų pavyzdžių.</w:t>
            </w:r>
            <w:r>
              <w:rPr>
                <w:rFonts w:eastAsia="Calibri"/>
                <w:color w:val="FF0000"/>
              </w:rPr>
              <w:t xml:space="preserve"> </w:t>
            </w:r>
            <w:r>
              <w:rPr>
                <w:rFonts w:eastAsia="Calibri"/>
              </w:rPr>
              <w:t>Garsyno struktūrai ir apimčiai keliami šie reikalavimai:</w:t>
            </w:r>
          </w:p>
          <w:p w14:paraId="582E4177" w14:textId="77777777" w:rsidR="00D34F81" w:rsidRPr="00E7034A" w:rsidRDefault="00D34F81" w:rsidP="00D34F81">
            <w:pPr>
              <w:pStyle w:val="ListParagraph"/>
              <w:numPr>
                <w:ilvl w:val="0"/>
                <w:numId w:val="3"/>
              </w:numPr>
              <w:jc w:val="both"/>
              <w:rPr>
                <w:rFonts w:eastAsia="Calibri"/>
              </w:rPr>
            </w:pPr>
            <w:r w:rsidRPr="00E7034A">
              <w:rPr>
                <w:rFonts w:eastAsia="Calibri"/>
              </w:rPr>
              <w:t>Garsyną turi sudaryti lietuviškos šnekos įrašai. Bendra intarpų kitomis kalbomis apimtis negali būti didesnė nei 0,1 procento bendros garsyno apimties;</w:t>
            </w:r>
          </w:p>
          <w:p w14:paraId="019251FE" w14:textId="77777777" w:rsidR="00D34F81" w:rsidRPr="00E7034A" w:rsidRDefault="00D34F81" w:rsidP="00D34F81">
            <w:pPr>
              <w:pStyle w:val="ListParagraph"/>
              <w:numPr>
                <w:ilvl w:val="0"/>
                <w:numId w:val="3"/>
              </w:numPr>
              <w:jc w:val="both"/>
              <w:rPr>
                <w:rFonts w:eastAsia="Calibri"/>
              </w:rPr>
            </w:pPr>
            <w:r w:rsidRPr="00E7034A">
              <w:rPr>
                <w:rFonts w:eastAsia="Calibri"/>
              </w:rPr>
              <w:t>Visi įrašai turi būti  daromi realiose medikų darbo aplinkose;</w:t>
            </w:r>
          </w:p>
          <w:p w14:paraId="656035FE" w14:textId="2A83B127" w:rsidR="00D34F81" w:rsidRPr="00E7034A" w:rsidRDefault="00D34F81" w:rsidP="00D34F81">
            <w:pPr>
              <w:pStyle w:val="ListParagraph"/>
              <w:numPr>
                <w:ilvl w:val="0"/>
                <w:numId w:val="3"/>
              </w:numPr>
              <w:jc w:val="both"/>
              <w:rPr>
                <w:rFonts w:eastAsia="Calibri"/>
              </w:rPr>
            </w:pPr>
            <w:r w:rsidRPr="00E7034A">
              <w:rPr>
                <w:rFonts w:eastAsia="Calibri"/>
              </w:rPr>
              <w:t>Visi įrašai turi atitikti realias medikų darbo situacijas pagal</w:t>
            </w:r>
            <w:r w:rsidR="007D75FD">
              <w:rPr>
                <w:rFonts w:eastAsia="Calibri"/>
              </w:rPr>
              <w:t xml:space="preserve"> </w:t>
            </w:r>
            <w:r w:rsidR="00426B28">
              <w:rPr>
                <w:rFonts w:eastAsia="Calibri"/>
              </w:rPr>
              <w:t>šeimos gydytojų</w:t>
            </w:r>
            <w:r w:rsidRPr="00E7034A">
              <w:rPr>
                <w:rFonts w:eastAsia="Calibri"/>
              </w:rPr>
              <w:t xml:space="preserve"> sritį;</w:t>
            </w:r>
          </w:p>
          <w:p w14:paraId="37043E5F" w14:textId="77777777" w:rsidR="00D34F81" w:rsidRDefault="00D34F81" w:rsidP="00D34F81">
            <w:pPr>
              <w:pStyle w:val="ListParagraph"/>
              <w:numPr>
                <w:ilvl w:val="0"/>
                <w:numId w:val="3"/>
              </w:numPr>
              <w:jc w:val="both"/>
            </w:pPr>
            <w:r>
              <w:t>Įrašuose negali būti jautrių duomenų ir asmens duomenų;</w:t>
            </w:r>
          </w:p>
          <w:p w14:paraId="38D9936F" w14:textId="4D81AFFE" w:rsidR="00D34F81" w:rsidRDefault="00D34F81" w:rsidP="00D34F81">
            <w:pPr>
              <w:pStyle w:val="ListParagraph"/>
              <w:numPr>
                <w:ilvl w:val="0"/>
                <w:numId w:val="3"/>
              </w:numPr>
              <w:jc w:val="both"/>
            </w:pPr>
            <w:r>
              <w:t>Diktoriais turi būti profesionalūs medikai;</w:t>
            </w:r>
          </w:p>
          <w:p w14:paraId="0DF9E9C3" w14:textId="77777777" w:rsidR="00D34F81" w:rsidRDefault="00D34F81" w:rsidP="00D34F81">
            <w:pPr>
              <w:pStyle w:val="ListParagraph"/>
              <w:numPr>
                <w:ilvl w:val="0"/>
                <w:numId w:val="3"/>
              </w:numPr>
              <w:jc w:val="both"/>
            </w:pPr>
            <w:r>
              <w:t>Prieš rengiant tekstyną turi būti ištirti įrašinėjami tekstai ir palyginti su medikų praktikoje naudojamu žodynu, kad įrašuose būtų naudojami visi specifiniai ir specialūs medicininiai terminai;</w:t>
            </w:r>
          </w:p>
          <w:p w14:paraId="4789888D" w14:textId="77777777" w:rsidR="00D34F81" w:rsidRPr="00E7034A" w:rsidRDefault="00D34F81" w:rsidP="00D34F81">
            <w:pPr>
              <w:pStyle w:val="ListParagraph"/>
              <w:numPr>
                <w:ilvl w:val="0"/>
                <w:numId w:val="3"/>
              </w:numPr>
              <w:jc w:val="both"/>
              <w:rPr>
                <w:rFonts w:eastAsia="Calibri"/>
              </w:rPr>
            </w:pPr>
            <w:r w:rsidRPr="00E7034A">
              <w:rPr>
                <w:rFonts w:eastAsia="Calibri"/>
              </w:rPr>
              <w:t>garsyne negali būti pasikartojančių įrašų;</w:t>
            </w:r>
          </w:p>
          <w:p w14:paraId="0248513C" w14:textId="77777777" w:rsidR="00D34F81" w:rsidRPr="00E7034A" w:rsidRDefault="00D34F81" w:rsidP="00D34F81">
            <w:pPr>
              <w:pStyle w:val="ListParagraph"/>
              <w:numPr>
                <w:ilvl w:val="0"/>
                <w:numId w:val="3"/>
              </w:numPr>
              <w:jc w:val="both"/>
              <w:rPr>
                <w:rFonts w:eastAsia="Calibri"/>
              </w:rPr>
            </w:pPr>
            <w:r w:rsidRPr="00E7034A">
              <w:rPr>
                <w:rFonts w:eastAsia="Calibri"/>
              </w:rPr>
              <w:t>Garsyno įrašai turi būti saugomi 16 kHz 16 bitų mono formatu;</w:t>
            </w:r>
          </w:p>
          <w:p w14:paraId="2B610D44" w14:textId="77777777" w:rsidR="00D34F81" w:rsidRPr="00E7034A" w:rsidRDefault="00D34F81" w:rsidP="00D34F81">
            <w:pPr>
              <w:pStyle w:val="ListParagraph"/>
              <w:numPr>
                <w:ilvl w:val="0"/>
                <w:numId w:val="3"/>
              </w:numPr>
              <w:jc w:val="both"/>
              <w:rPr>
                <w:rFonts w:eastAsia="Calibri"/>
              </w:rPr>
            </w:pPr>
            <w:r w:rsidRPr="00E7034A">
              <w:rPr>
                <w:rFonts w:eastAsia="Calibri"/>
              </w:rPr>
              <w:t xml:space="preserve">Garsynas turi būti subalansuotas a) pagal diktorių lytį ir amžių;  b) atspindėti akustinės aplinkos įvairovę; </w:t>
            </w:r>
          </w:p>
          <w:p w14:paraId="4546B276" w14:textId="77777777" w:rsidR="00D34F81" w:rsidRPr="00E7034A" w:rsidRDefault="00D34F81" w:rsidP="00D34F81">
            <w:pPr>
              <w:pStyle w:val="ListParagraph"/>
              <w:numPr>
                <w:ilvl w:val="0"/>
                <w:numId w:val="3"/>
              </w:numPr>
              <w:jc w:val="both"/>
              <w:rPr>
                <w:rFonts w:eastAsia="Calibri"/>
              </w:rPr>
            </w:pPr>
            <w:r w:rsidRPr="00E7034A">
              <w:rPr>
                <w:rFonts w:eastAsia="Calibri"/>
              </w:rPr>
              <w:t>Garsynas turi būti laisvai prieinamas pagal atvirą licenciją (Creative Commons);</w:t>
            </w:r>
          </w:p>
          <w:p w14:paraId="443931A8" w14:textId="77777777" w:rsidR="00D34F81" w:rsidRPr="00E7034A" w:rsidRDefault="00D34F81" w:rsidP="00D34F81">
            <w:pPr>
              <w:pStyle w:val="ListParagraph"/>
              <w:numPr>
                <w:ilvl w:val="0"/>
                <w:numId w:val="3"/>
              </w:numPr>
              <w:jc w:val="both"/>
              <w:rPr>
                <w:rFonts w:eastAsia="Calibri"/>
              </w:rPr>
            </w:pPr>
            <w:r w:rsidRPr="00E7034A">
              <w:rPr>
                <w:rFonts w:eastAsia="Calibri"/>
              </w:rPr>
              <w:t>Garsynas privalo būti patalpintas mažiausiai į vieną atviros prieigos platformą (pvz., Hugging Face, OpenAIRE(Zenodo), CLARIN ar kt);</w:t>
            </w:r>
          </w:p>
          <w:p w14:paraId="6132DD3C" w14:textId="77777777" w:rsidR="00D34F81" w:rsidRDefault="00D34F81" w:rsidP="00D34F81">
            <w:pPr>
              <w:jc w:val="both"/>
              <w:rPr>
                <w:rFonts w:eastAsia="Calibri"/>
              </w:rPr>
            </w:pPr>
            <w:r>
              <w:rPr>
                <w:rFonts w:eastAsia="Calibri"/>
                <w:lang w:val="en-US"/>
              </w:rPr>
              <w:t xml:space="preserve">2.8.2. </w:t>
            </w:r>
            <w:r>
              <w:rPr>
                <w:rFonts w:eastAsia="Calibri"/>
              </w:rPr>
              <w:t>Anotacijos yra tekstiniai dokumentai, kurie aprašo garso įrašų turinį ir susieja jį su konkrečiais laiko momentais. Jos įgalina panaudoti garsyną dirbtinio intelekto sprendimuose. Garsyno anotavimui keliami šie reikalavimai:</w:t>
            </w:r>
          </w:p>
          <w:p w14:paraId="775E3384" w14:textId="77777777" w:rsidR="00D34F81" w:rsidRDefault="00D34F81" w:rsidP="00D34F81">
            <w:pPr>
              <w:contextualSpacing/>
              <w:jc w:val="both"/>
              <w:rPr>
                <w:rFonts w:eastAsia="Calibri"/>
              </w:rPr>
            </w:pPr>
            <w:r>
              <w:rPr>
                <w:rFonts w:eastAsia="Calibri"/>
              </w:rPr>
              <w:t xml:space="preserve">Visi garsyno įrašai turi būti anotuoti (turi turėti atitinkamus anotacijų įrašus) frazių (angl. </w:t>
            </w:r>
            <w:r>
              <w:rPr>
                <w:rFonts w:eastAsia="Calibri"/>
                <w:i/>
                <w:iCs/>
              </w:rPr>
              <w:t>utterance</w:t>
            </w:r>
            <w:r>
              <w:rPr>
                <w:rFonts w:eastAsia="Calibri"/>
              </w:rPr>
              <w:t>) lygmenyje (nurodant frazės tekstą bei pradžios ir pabaigos laiko momentus);</w:t>
            </w:r>
          </w:p>
          <w:p w14:paraId="73EB3E4B" w14:textId="5FE96936" w:rsidR="00D34F81" w:rsidRPr="00E7034A" w:rsidRDefault="00D34F81" w:rsidP="00D34F81">
            <w:pPr>
              <w:pStyle w:val="ListParagraph"/>
              <w:numPr>
                <w:ilvl w:val="0"/>
                <w:numId w:val="4"/>
              </w:numPr>
              <w:jc w:val="both"/>
              <w:rPr>
                <w:rFonts w:eastAsia="Calibri"/>
              </w:rPr>
            </w:pPr>
            <w:r w:rsidRPr="00E7034A">
              <w:rPr>
                <w:rFonts w:eastAsia="Calibri"/>
              </w:rPr>
              <w:t>Po 100 val. garsyno įrašų turi būti anotuoti leksinių vienetų, ir fonemų lygmenyje;</w:t>
            </w:r>
          </w:p>
          <w:p w14:paraId="22C1C074" w14:textId="77777777" w:rsidR="00D34F81" w:rsidRPr="00E7034A" w:rsidRDefault="00D34F81" w:rsidP="00D34F81">
            <w:pPr>
              <w:pStyle w:val="ListParagraph"/>
              <w:numPr>
                <w:ilvl w:val="0"/>
                <w:numId w:val="4"/>
              </w:numPr>
              <w:jc w:val="both"/>
              <w:rPr>
                <w:rFonts w:eastAsia="Calibri"/>
              </w:rPr>
            </w:pPr>
            <w:r w:rsidRPr="00E7034A">
              <w:rPr>
                <w:rFonts w:eastAsia="Calibri"/>
              </w:rPr>
              <w:t>Anotacijose turi būti pažymėtos a) nekalbinės garso įrašo atkarpos b) diktoriaus tarties neatitikimai bendrinės kalbos tarimo normoms c) kiekvieno diktoriaus šnekos ribos ir persidengiančios kelių diktorių šnekos ribos, jei garso įraše kalba du arba daugiau diktorių;</w:t>
            </w:r>
          </w:p>
          <w:p w14:paraId="7E00E9B2" w14:textId="77777777" w:rsidR="00D34F81" w:rsidRPr="00E7034A" w:rsidRDefault="00D34F81" w:rsidP="00D34F81">
            <w:pPr>
              <w:pStyle w:val="ListParagraph"/>
              <w:numPr>
                <w:ilvl w:val="0"/>
                <w:numId w:val="4"/>
              </w:numPr>
              <w:jc w:val="both"/>
              <w:rPr>
                <w:rFonts w:eastAsia="Calibri"/>
              </w:rPr>
            </w:pPr>
            <w:r w:rsidRPr="00E7034A">
              <w:rPr>
                <w:rFonts w:eastAsia="Calibri"/>
              </w:rPr>
              <w:t>Anotacijų tekstai turi būti užrašyti lietuvišku tekstu UTF-8 koduote;</w:t>
            </w:r>
          </w:p>
          <w:p w14:paraId="04123D6A" w14:textId="77777777" w:rsidR="00D34F81" w:rsidRDefault="00D34F81" w:rsidP="00D34F81">
            <w:pPr>
              <w:pStyle w:val="ListParagraph"/>
              <w:numPr>
                <w:ilvl w:val="0"/>
                <w:numId w:val="4"/>
              </w:numPr>
              <w:jc w:val="both"/>
              <w:rPr>
                <w:rFonts w:eastAsia="Calibri"/>
              </w:rPr>
            </w:pPr>
            <w:r w:rsidRPr="00E7034A">
              <w:rPr>
                <w:rFonts w:eastAsia="Calibri"/>
              </w:rPr>
              <w:t>Anotacijos turi būti parengtos sistemiškai, t. y. visi anotuotojai turi taikyti tą pačią anotavimo metodiką.</w:t>
            </w:r>
          </w:p>
          <w:p w14:paraId="4ACAC6C7" w14:textId="77777777" w:rsidR="00D34F81" w:rsidRPr="00E7034A" w:rsidRDefault="00D34F81" w:rsidP="00D34F81">
            <w:pPr>
              <w:jc w:val="both"/>
              <w:rPr>
                <w:rFonts w:eastAsia="Calibri"/>
              </w:rPr>
            </w:pPr>
            <w:r>
              <w:rPr>
                <w:rFonts w:eastAsia="Calibri"/>
              </w:rPr>
              <w:t xml:space="preserve">2.8.3. </w:t>
            </w:r>
            <w:r w:rsidRPr="00E7034A">
              <w:rPr>
                <w:rFonts w:eastAsia="Calibri"/>
              </w:rPr>
              <w:t>Garsyno validavimui keliami šie reikalavimai</w:t>
            </w:r>
          </w:p>
          <w:p w14:paraId="60388DC4" w14:textId="77777777" w:rsidR="00D34F81" w:rsidRPr="00E7034A" w:rsidRDefault="00D34F81" w:rsidP="00D34F81">
            <w:pPr>
              <w:pStyle w:val="ListParagraph"/>
              <w:numPr>
                <w:ilvl w:val="0"/>
                <w:numId w:val="5"/>
              </w:numPr>
              <w:jc w:val="both"/>
              <w:rPr>
                <w:rFonts w:eastAsia="Calibri"/>
              </w:rPr>
            </w:pPr>
            <w:r w:rsidRPr="00E7034A">
              <w:rPr>
                <w:rFonts w:eastAsia="Calibri"/>
              </w:rPr>
              <w:t>Reikia atlikti garsyno anotacijų validavimo procesą ir parodyti, kad garsyno įrašų ir tų įrašų anotacijų tarpusavio neatitikimai neviršija a) 0,1% frazių lygmenyje b) 0,05% leksemų lygmenyje.</w:t>
            </w:r>
          </w:p>
          <w:p w14:paraId="74A3915C" w14:textId="77777777" w:rsidR="00D34F81" w:rsidRPr="00E7034A" w:rsidRDefault="00D34F81" w:rsidP="00D34F81">
            <w:pPr>
              <w:pStyle w:val="ListParagraph"/>
              <w:numPr>
                <w:ilvl w:val="0"/>
                <w:numId w:val="5"/>
              </w:numPr>
              <w:jc w:val="both"/>
              <w:rPr>
                <w:rFonts w:eastAsia="Calibri"/>
              </w:rPr>
            </w:pPr>
            <w:r w:rsidRPr="00E7034A">
              <w:rPr>
                <w:rFonts w:eastAsia="Calibri"/>
              </w:rPr>
              <w:t xml:space="preserve">Reikia panaudoti 1% atsitiktinai parinktų garsyno įrašų ir sukurti demonstracinę šnekos atpažinimo sistemą, kurios žodžių atpažinimo klaida (angl. </w:t>
            </w:r>
            <w:r w:rsidRPr="00E7034A">
              <w:rPr>
                <w:rFonts w:eastAsia="Calibri"/>
                <w:i/>
                <w:iCs/>
              </w:rPr>
              <w:t>WER</w:t>
            </w:r>
            <w:r w:rsidRPr="00E7034A">
              <w:rPr>
                <w:rFonts w:eastAsia="Calibri"/>
              </w:rPr>
              <w:t>) neviršytų 10 proc., taip pademonstruojant garsyno tinkamumą šnekos atpažinimo tikslams.</w:t>
            </w:r>
          </w:p>
          <w:p w14:paraId="3A51238E" w14:textId="3C4244A2" w:rsidR="00B074DF" w:rsidRPr="00091377" w:rsidRDefault="00B074DF" w:rsidP="006C6414">
            <w:pPr>
              <w:jc w:val="both"/>
              <w:outlineLvl w:val="1"/>
              <w:rPr>
                <w:rFonts w:eastAsia="Calibri"/>
                <w:szCs w:val="24"/>
              </w:rPr>
            </w:pPr>
            <w:r w:rsidRPr="00091377">
              <w:rPr>
                <w:lang w:val="en-US" w:eastAsia="lt-LT"/>
              </w:rPr>
              <w:t>2.</w:t>
            </w:r>
            <w:r w:rsidR="00FC5670">
              <w:rPr>
                <w:lang w:val="en-US" w:eastAsia="lt-LT"/>
              </w:rPr>
              <w:t>10</w:t>
            </w:r>
            <w:r w:rsidRPr="00091377">
              <w:rPr>
                <w:lang w:val="en-US" w:eastAsia="lt-LT"/>
              </w:rPr>
              <w:t xml:space="preserve">. </w:t>
            </w:r>
            <w:r w:rsidRPr="00091377">
              <w:rPr>
                <w:rFonts w:eastAsia="Calibri"/>
                <w:szCs w:val="24"/>
              </w:rPr>
              <w:t>Dokumentavimo reikalavimai projek</w:t>
            </w:r>
            <w:r w:rsidR="0084086D" w:rsidRPr="00091377">
              <w:rPr>
                <w:rFonts w:eastAsia="Calibri"/>
                <w:szCs w:val="24"/>
              </w:rPr>
              <w:t>tui:</w:t>
            </w:r>
          </w:p>
          <w:p w14:paraId="0BA25565" w14:textId="6EF08664" w:rsidR="00E43FB7" w:rsidRDefault="009D6B82"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 </w:t>
            </w:r>
            <w:r w:rsidR="00BC5668" w:rsidRPr="00E47BE1">
              <w:rPr>
                <w:rFonts w:eastAsia="Calibri"/>
              </w:rPr>
              <w:t>Garsyno dokumentacija turi apibūdinti</w:t>
            </w:r>
            <w:r w:rsidR="00E43FB7">
              <w:rPr>
                <w:rFonts w:eastAsia="Calibri"/>
              </w:rPr>
              <w:t>:</w:t>
            </w:r>
            <w:r w:rsidR="00BC5668" w:rsidRPr="00E47BE1">
              <w:rPr>
                <w:rFonts w:eastAsia="Calibri"/>
              </w:rPr>
              <w:t xml:space="preserve"> </w:t>
            </w:r>
          </w:p>
          <w:p w14:paraId="6B9130B4" w14:textId="1C608CB6" w:rsidR="00E43FB7" w:rsidRDefault="00E43FB7"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1.1. </w:t>
            </w:r>
            <w:r w:rsidR="00BC5668" w:rsidRPr="00E47BE1">
              <w:rPr>
                <w:rFonts w:eastAsia="Calibri"/>
              </w:rPr>
              <w:t xml:space="preserve">garsyno įrašų ir anotacijų saugojimo struktūrą, failų pavadinimų konvencinius žymėjimus; </w:t>
            </w:r>
          </w:p>
          <w:p w14:paraId="239709E2" w14:textId="3F02E8A0" w:rsidR="00E43FB7" w:rsidRDefault="00E43FB7" w:rsidP="006C6414">
            <w:pPr>
              <w:jc w:val="both"/>
              <w:rPr>
                <w:rFonts w:eastAsia="Calibri"/>
              </w:rPr>
            </w:pPr>
            <w:r>
              <w:rPr>
                <w:rFonts w:eastAsia="Calibri"/>
              </w:rPr>
              <w:lastRenderedPageBreak/>
              <w:t>2.</w:t>
            </w:r>
            <w:r w:rsidR="009E2DC6">
              <w:rPr>
                <w:lang w:val="en-US" w:eastAsia="lt-LT"/>
              </w:rPr>
              <w:t>10</w:t>
            </w:r>
            <w:r>
              <w:rPr>
                <w:rFonts w:eastAsia="Calibri"/>
              </w:rPr>
              <w:t>.</w:t>
            </w:r>
            <w:r>
              <w:rPr>
                <w:rFonts w:eastAsia="Calibri"/>
                <w:lang w:val="en-US"/>
              </w:rPr>
              <w:t xml:space="preserve">1.2. </w:t>
            </w:r>
            <w:r w:rsidR="00BC5668" w:rsidRPr="00E47BE1">
              <w:rPr>
                <w:rFonts w:eastAsia="Calibri"/>
              </w:rPr>
              <w:t xml:space="preserve">garsyno statistiką įvairiais pjūviais (lyties, amžiaus, turinio ir kt.); </w:t>
            </w:r>
          </w:p>
          <w:p w14:paraId="6C18B8CB" w14:textId="6DA3190A" w:rsidR="00DF5E1C" w:rsidRDefault="00E43FB7"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1.3. </w:t>
            </w:r>
            <w:r w:rsidR="00BC5668" w:rsidRPr="00E47BE1">
              <w:rPr>
                <w:rFonts w:eastAsia="Calibri"/>
              </w:rPr>
              <w:t xml:space="preserve">anotacijos metodiką ir anotacijose naudojamų sutartinių simbolių paaiškinimus; </w:t>
            </w:r>
          </w:p>
          <w:p w14:paraId="189BBFA0" w14:textId="082D6764" w:rsidR="00DF5E1C" w:rsidRDefault="00DF5E1C" w:rsidP="006C6414">
            <w:pPr>
              <w:jc w:val="both"/>
              <w:rPr>
                <w:rFonts w:eastAsia="Calibri"/>
              </w:rPr>
            </w:pPr>
            <w:r>
              <w:rPr>
                <w:rFonts w:eastAsia="Calibri"/>
              </w:rPr>
              <w:t>2.</w:t>
            </w:r>
            <w:r w:rsidR="009E2DC6">
              <w:rPr>
                <w:lang w:val="en-US" w:eastAsia="lt-LT"/>
              </w:rPr>
              <w:t>10</w:t>
            </w:r>
            <w:r>
              <w:rPr>
                <w:rFonts w:eastAsia="Calibri"/>
              </w:rPr>
              <w:t xml:space="preserve">.1.4. </w:t>
            </w:r>
            <w:r w:rsidR="00BC5668" w:rsidRPr="00E47BE1">
              <w:rPr>
                <w:rFonts w:eastAsia="Calibri"/>
              </w:rPr>
              <w:t xml:space="preserve">anotacijoms </w:t>
            </w:r>
            <w:r>
              <w:rPr>
                <w:rFonts w:eastAsia="Calibri"/>
              </w:rPr>
              <w:t>vart</w:t>
            </w:r>
            <w:r w:rsidRPr="00E47BE1">
              <w:rPr>
                <w:rFonts w:eastAsia="Calibri"/>
              </w:rPr>
              <w:t xml:space="preserve">ojamą </w:t>
            </w:r>
            <w:r w:rsidR="00BC5668" w:rsidRPr="00E47BE1">
              <w:rPr>
                <w:rFonts w:eastAsia="Calibri"/>
              </w:rPr>
              <w:t>leksikoną</w:t>
            </w:r>
            <w:r w:rsidR="00E40274">
              <w:rPr>
                <w:rFonts w:eastAsia="Calibri"/>
              </w:rPr>
              <w:t>.</w:t>
            </w:r>
            <w:r w:rsidR="00E40274" w:rsidRPr="00E47BE1">
              <w:rPr>
                <w:rFonts w:eastAsia="Calibri"/>
              </w:rPr>
              <w:t xml:space="preserve"> </w:t>
            </w:r>
          </w:p>
          <w:p w14:paraId="55CDE10A" w14:textId="094404B7" w:rsidR="00BC5668" w:rsidRDefault="00D2754D" w:rsidP="006C6414">
            <w:pPr>
              <w:jc w:val="both"/>
              <w:rPr>
                <w:rFonts w:eastAsia="Calibri"/>
              </w:rPr>
            </w:pPr>
            <w:r>
              <w:rPr>
                <w:rFonts w:eastAsia="Calibri"/>
              </w:rPr>
              <w:t>2.</w:t>
            </w:r>
            <w:r w:rsidR="009E2DC6">
              <w:rPr>
                <w:lang w:val="en-US" w:eastAsia="lt-LT"/>
              </w:rPr>
              <w:t>10</w:t>
            </w:r>
            <w:r>
              <w:rPr>
                <w:rFonts w:eastAsia="Calibri"/>
              </w:rPr>
              <w:t>.2.</w:t>
            </w:r>
            <w:r w:rsidR="00DF5E1C">
              <w:rPr>
                <w:rFonts w:eastAsia="Calibri"/>
              </w:rPr>
              <w:t xml:space="preserve"> </w:t>
            </w:r>
            <w:r>
              <w:rPr>
                <w:rFonts w:eastAsia="Calibri"/>
              </w:rPr>
              <w:t>S</w:t>
            </w:r>
            <w:r w:rsidRPr="00E47BE1">
              <w:rPr>
                <w:rFonts w:eastAsia="Calibri"/>
              </w:rPr>
              <w:t xml:space="preserve">ukurtam </w:t>
            </w:r>
            <w:r w:rsidR="00BC5668" w:rsidRPr="00E47BE1">
              <w:rPr>
                <w:rFonts w:eastAsia="Calibri"/>
              </w:rPr>
              <w:t xml:space="preserve">produktui turi būti taikomas </w:t>
            </w:r>
            <w:r w:rsidR="00880B4A">
              <w:rPr>
                <w:rFonts w:eastAsia="Calibri"/>
              </w:rPr>
              <w:t>išsamiai</w:t>
            </w:r>
            <w:r w:rsidR="00880B4A" w:rsidRPr="00E47BE1">
              <w:rPr>
                <w:rFonts w:eastAsia="Calibri"/>
              </w:rPr>
              <w:t xml:space="preserve"> </w:t>
            </w:r>
            <w:r w:rsidR="00BC5668" w:rsidRPr="00E47BE1">
              <w:rPr>
                <w:rFonts w:eastAsia="Calibri"/>
              </w:rPr>
              <w:t>dokumentuotas tarptautinis metaduomenų standartas</w:t>
            </w:r>
            <w:r w:rsidR="00344132">
              <w:rPr>
                <w:rFonts w:eastAsia="Calibri"/>
              </w:rPr>
              <w:t xml:space="preserve"> </w:t>
            </w:r>
            <w:r w:rsidR="00344132" w:rsidRPr="00FA137F">
              <w:rPr>
                <w:rFonts w:eastAsia="Calibri"/>
              </w:rPr>
              <w:t xml:space="preserve">(pvz., </w:t>
            </w:r>
            <w:r w:rsidR="00CC4623">
              <w:rPr>
                <w:rFonts w:eastAsia="Calibri"/>
              </w:rPr>
              <w:t>„</w:t>
            </w:r>
            <w:r w:rsidR="00344132" w:rsidRPr="00FA137F">
              <w:rPr>
                <w:rFonts w:eastAsia="Calibri"/>
              </w:rPr>
              <w:t>Data Catalog Vocabulary</w:t>
            </w:r>
            <w:r w:rsidR="00CC4623">
              <w:rPr>
                <w:rFonts w:eastAsia="Calibri"/>
              </w:rPr>
              <w:t>“</w:t>
            </w:r>
            <w:r w:rsidR="00344132" w:rsidRPr="00FA137F">
              <w:rPr>
                <w:rFonts w:eastAsia="Calibri"/>
              </w:rPr>
              <w:t xml:space="preserve"> (DCAT) </w:t>
            </w:r>
            <w:hyperlink r:id="rId13" w:history="1">
              <w:r w:rsidR="00344132" w:rsidRPr="00FA137F">
                <w:rPr>
                  <w:rStyle w:val="Hyperlink"/>
                  <w:rFonts w:eastAsia="Calibri"/>
                </w:rPr>
                <w:t>https://www.w3.org/TR/vocab-dcat-3/</w:t>
              </w:r>
            </w:hyperlink>
            <w:r w:rsidR="00344132" w:rsidRPr="00FA137F">
              <w:rPr>
                <w:rFonts w:eastAsia="Calibri"/>
              </w:rPr>
              <w:t xml:space="preserve">, </w:t>
            </w:r>
            <w:r w:rsidR="00A8774F">
              <w:rPr>
                <w:rFonts w:eastAsia="Calibri"/>
              </w:rPr>
              <w:t>„</w:t>
            </w:r>
            <w:r w:rsidR="00344132" w:rsidRPr="00FA137F">
              <w:rPr>
                <w:rFonts w:eastAsia="Calibri"/>
              </w:rPr>
              <w:t>Dublin Core Metadata Element Set</w:t>
            </w:r>
            <w:r w:rsidR="00A8774F">
              <w:rPr>
                <w:rFonts w:eastAsia="Calibri"/>
              </w:rPr>
              <w:t>“</w:t>
            </w:r>
            <w:r w:rsidR="00344132" w:rsidRPr="00FA137F">
              <w:rPr>
                <w:rFonts w:eastAsia="Calibri"/>
              </w:rPr>
              <w:t xml:space="preserve"> (DCMES) </w:t>
            </w:r>
            <w:hyperlink r:id="rId14" w:history="1">
              <w:r w:rsidR="00344132" w:rsidRPr="00FA137F">
                <w:rPr>
                  <w:rStyle w:val="Hyperlink"/>
                  <w:rFonts w:eastAsia="Calibri"/>
                </w:rPr>
                <w:t>https://www.dublincore.org/specifications/dublin-core/dces/</w:t>
              </w:r>
            </w:hyperlink>
            <w:r w:rsidR="00344132" w:rsidRPr="00FA137F">
              <w:rPr>
                <w:rFonts w:eastAsia="Calibri"/>
              </w:rPr>
              <w:t xml:space="preserve">, </w:t>
            </w:r>
            <w:r w:rsidR="00524E9A">
              <w:rPr>
                <w:rFonts w:eastAsia="Calibri"/>
              </w:rPr>
              <w:t>„</w:t>
            </w:r>
            <w:r w:rsidR="00344132" w:rsidRPr="00FA137F">
              <w:rPr>
                <w:rFonts w:eastAsia="Calibri"/>
              </w:rPr>
              <w:t>The Component Metadata Initiative</w:t>
            </w:r>
            <w:r w:rsidR="00CC4623">
              <w:rPr>
                <w:rFonts w:eastAsia="Calibri"/>
              </w:rPr>
              <w:t>“</w:t>
            </w:r>
            <w:r w:rsidR="00344132" w:rsidRPr="00FA137F">
              <w:rPr>
                <w:rFonts w:eastAsia="Calibri"/>
              </w:rPr>
              <w:t xml:space="preserve"> (CMDI) </w:t>
            </w:r>
            <w:hyperlink r:id="rId15" w:history="1">
              <w:r w:rsidR="00344132" w:rsidRPr="00FA137F">
                <w:rPr>
                  <w:rStyle w:val="Hyperlink"/>
                  <w:rFonts w:eastAsia="Calibri"/>
                </w:rPr>
                <w:t>https://media.dwds.de/clarin/userguide/text/metadata_CMDI.xhtml</w:t>
              </w:r>
            </w:hyperlink>
            <w:r w:rsidR="00344132" w:rsidRPr="00FA137F">
              <w:rPr>
                <w:rFonts w:eastAsia="Calibri"/>
              </w:rPr>
              <w:t xml:space="preserve"> arba analogiški).</w:t>
            </w:r>
          </w:p>
          <w:p w14:paraId="563F3065" w14:textId="11759C93" w:rsidR="009322CB" w:rsidRPr="00091377" w:rsidRDefault="00866AC8" w:rsidP="006C6414">
            <w:pPr>
              <w:jc w:val="both"/>
              <w:rPr>
                <w:rFonts w:eastAsia="Calibri"/>
              </w:rPr>
            </w:pPr>
            <w:r w:rsidRPr="00091377">
              <w:rPr>
                <w:rFonts w:eastAsia="Calibri"/>
              </w:rPr>
              <w:t>2.</w:t>
            </w:r>
            <w:r w:rsidR="00CD0ECE" w:rsidRPr="00091377">
              <w:rPr>
                <w:rFonts w:eastAsia="Calibri"/>
              </w:rPr>
              <w:t>1</w:t>
            </w:r>
            <w:r w:rsidR="00CD0ECE">
              <w:rPr>
                <w:rFonts w:eastAsia="Calibri"/>
              </w:rPr>
              <w:t>1</w:t>
            </w:r>
            <w:r w:rsidR="00A274AC" w:rsidRPr="00091377">
              <w:rPr>
                <w:rFonts w:eastAsia="Calibri"/>
              </w:rPr>
              <w:t xml:space="preserve">. </w:t>
            </w:r>
            <w:r w:rsidR="0021567F" w:rsidRPr="00091377">
              <w:rPr>
                <w:rFonts w:eastAsia="Calibri"/>
              </w:rPr>
              <w:t>Teisiniai reikalavimai projektui:</w:t>
            </w:r>
          </w:p>
          <w:p w14:paraId="192FB480" w14:textId="0FCE2AAB" w:rsidR="00CC2E36" w:rsidRDefault="00A274AC" w:rsidP="00BE225C">
            <w:pPr>
              <w:jc w:val="both"/>
            </w:pPr>
            <w:r>
              <w:t>2.</w:t>
            </w:r>
            <w:r w:rsidR="00CD0ECE">
              <w:t>11</w:t>
            </w:r>
            <w:r>
              <w:t>.</w:t>
            </w:r>
            <w:r w:rsidR="007212BB">
              <w:t xml:space="preserve">1. </w:t>
            </w:r>
            <w:r>
              <w:t xml:space="preserve"> Kuriant visus produktus (rezultatus) privalu laikytis: </w:t>
            </w:r>
          </w:p>
          <w:p w14:paraId="2C0FA64F" w14:textId="303335D6" w:rsidR="00CC2E36" w:rsidRDefault="00CC2E36" w:rsidP="00BE225C">
            <w:pPr>
              <w:jc w:val="both"/>
            </w:pPr>
            <w:r>
              <w:t>2.1</w:t>
            </w:r>
            <w:r w:rsidR="00CD0ECE">
              <w:t>1</w:t>
            </w:r>
            <w:r>
              <w:t xml:space="preserve">.1.1. </w:t>
            </w:r>
            <w:r w:rsidR="00A274AC">
              <w:t xml:space="preserve">autorių ir gretutines teises reguliuojančių Lietuvos ir Europos Sąjungos teisės aktų; </w:t>
            </w:r>
          </w:p>
          <w:p w14:paraId="07A13D2F" w14:textId="1B3A6C28" w:rsidR="00CC2E36" w:rsidRDefault="00CC2E36" w:rsidP="00BE225C">
            <w:pPr>
              <w:jc w:val="both"/>
            </w:pPr>
            <w:r>
              <w:t>2.1</w:t>
            </w:r>
            <w:r w:rsidR="00CD0ECE">
              <w:t>1</w:t>
            </w:r>
            <w:r>
              <w:t xml:space="preserve">.1.2. </w:t>
            </w:r>
            <w:r w:rsidR="00A274AC">
              <w:t xml:space="preserve">duomenų apsaugą reguliuojančių Lietuvos ir Europos Sąjungos teisės aktų; </w:t>
            </w:r>
          </w:p>
          <w:p w14:paraId="6FB8C630" w14:textId="6A581CCE" w:rsidR="00CC2E36" w:rsidRDefault="00CC2E36" w:rsidP="00BE225C">
            <w:pPr>
              <w:jc w:val="both"/>
            </w:pPr>
            <w:r>
              <w:t>2.1</w:t>
            </w:r>
            <w:r w:rsidR="00CD0ECE">
              <w:t>1</w:t>
            </w:r>
            <w:r>
              <w:t xml:space="preserve">.1.3. </w:t>
            </w:r>
            <w:r w:rsidR="00A274AC">
              <w:t xml:space="preserve">dirbtinio intelekto sistemoms rengiamų mokymo duomenų kokybę reguliuojančių Lietuvos ir Europos teisės aktų; </w:t>
            </w:r>
          </w:p>
          <w:p w14:paraId="4D66A50C" w14:textId="620D9D39" w:rsidR="00BE225C" w:rsidRDefault="00CC2E36" w:rsidP="00BE225C">
            <w:pPr>
              <w:jc w:val="both"/>
            </w:pPr>
            <w:r>
              <w:t>2.1</w:t>
            </w:r>
            <w:r w:rsidR="00CD0ECE">
              <w:t>1</w:t>
            </w:r>
            <w:r>
              <w:t xml:space="preserve">.1.4. </w:t>
            </w:r>
            <w:r w:rsidR="00A274AC">
              <w:t>Lietuvos ir Europos Sąjungos teisės aktų, reguliuojančių atvirų duomenų formavimo ir skelbimo principus</w:t>
            </w:r>
            <w:r w:rsidR="00BE225C">
              <w:t xml:space="preserve"> </w:t>
            </w:r>
            <w:r w:rsidR="00280DD9">
              <w:t>(</w:t>
            </w:r>
            <w:r w:rsidR="00275A23">
              <w:t xml:space="preserve">ES direktyva dėl atvirųjų duomenų ir viešojo sektoriaus informacijos pakartotinio naudojimo </w:t>
            </w:r>
            <w:r w:rsidR="00BE225C">
              <w:t>BDAR (EUR-Lex - 32016R0679 - EN - EUR-Lex (europa.eu)</w:t>
            </w:r>
            <w:r w:rsidR="00F35AC2">
              <w:t>,</w:t>
            </w:r>
            <w:r w:rsidR="00696816">
              <w:t xml:space="preserve"> </w:t>
            </w:r>
            <w:hyperlink r:id="rId16" w:history="1">
              <w:r w:rsidR="008503B9" w:rsidRPr="00A25C18">
                <w:rPr>
                  <w:rStyle w:val="Hyperlink"/>
                </w:rPr>
                <w:t>https://eur-lex.europa.eu/legal-content/EN/TXT/?qid=1561563110433&amp;uri=CELEX:32019L1024</w:t>
              </w:r>
            </w:hyperlink>
            <w:r w:rsidR="00696816">
              <w:t xml:space="preserve">). </w:t>
            </w:r>
          </w:p>
          <w:p w14:paraId="75D69A1E" w14:textId="5065EB55" w:rsidR="00A274AC" w:rsidRDefault="00BE225C" w:rsidP="00BE225C">
            <w:pPr>
              <w:jc w:val="both"/>
            </w:pPr>
            <w:r>
              <w:t>2.</w:t>
            </w:r>
            <w:r w:rsidR="00CD0ECE">
              <w:t>11</w:t>
            </w:r>
            <w:r>
              <w:t xml:space="preserve">.2. Kuriant visus produktus (rezultatus) rekomenduojama atsižvelgti į </w:t>
            </w:r>
            <w:r w:rsidR="00F35AC2">
              <w:t xml:space="preserve">rengiamą naują </w:t>
            </w:r>
            <w:r>
              <w:t>dirbtinio intelekto aktą (EUR-Lex - 52021PC0206 - EN - EUR-Lex (europa.eu)).</w:t>
            </w:r>
            <w:r w:rsidR="00A274AC">
              <w:t xml:space="preserve"> </w:t>
            </w:r>
          </w:p>
          <w:p w14:paraId="44E36C28" w14:textId="76F6BA94" w:rsidR="00A274AC" w:rsidRPr="00FA137F" w:rsidRDefault="00A90739" w:rsidP="00FA137F">
            <w:pPr>
              <w:jc w:val="both"/>
              <w:rPr>
                <w:rFonts w:eastAsia="Calibri"/>
                <w:strike/>
              </w:rPr>
            </w:pPr>
            <w:r>
              <w:rPr>
                <w:lang w:val="en-US"/>
              </w:rPr>
              <w:t>2.</w:t>
            </w:r>
            <w:r w:rsidR="00D10553">
              <w:rPr>
                <w:lang w:val="en-US"/>
              </w:rPr>
              <w:t>11</w:t>
            </w:r>
            <w:r>
              <w:rPr>
                <w:lang w:val="en-US"/>
              </w:rPr>
              <w:t>.</w:t>
            </w:r>
            <w:r w:rsidR="00D10553">
              <w:rPr>
                <w:lang w:val="en-US"/>
              </w:rPr>
              <w:t>3</w:t>
            </w:r>
            <w:r>
              <w:rPr>
                <w:lang w:val="en-US"/>
              </w:rPr>
              <w:t xml:space="preserve">. </w:t>
            </w:r>
            <w:r w:rsidR="007F2E44" w:rsidRPr="00FA137F">
              <w:t>Turi būti parengta ištekliaus naudojimo licencija, kuri užtikrina atvirą ir nemokamą prieigą prie ištekliaus. Visi surinkti garsyno įrašai turi turėti atitinkamas licencijas.</w:t>
            </w:r>
          </w:p>
          <w:p w14:paraId="63B90CBA" w14:textId="0A72C242" w:rsidR="00CD1331" w:rsidRDefault="00C74CDD" w:rsidP="009421C8">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32A35" w:rsidRPr="00332A35">
              <w:rPr>
                <w:szCs w:val="24"/>
              </w:rPr>
              <w:t>Viešieji ir privatūs juridiniai asmenys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Pr>
                <w:szCs w:val="24"/>
                <w:lang w:val="en-US"/>
              </w:rPr>
              <w:t>2.</w:t>
            </w:r>
            <w:r w:rsidR="00D10553">
              <w:rPr>
                <w:szCs w:val="24"/>
                <w:lang w:val="en-US"/>
              </w:rPr>
              <w:t>13</w:t>
            </w:r>
            <w:r w:rsidR="00102BB8">
              <w:rPr>
                <w:szCs w:val="24"/>
                <w:lang w:val="en-US"/>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(-iais));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lastRenderedPageBreak/>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(-iais));</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49C36E4F"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valandinis įkainis,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0E5EB32E" w14:textId="660F54FC"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0979C7">
              <w:rPr>
                <w:rFonts w:eastAsia="Calibri"/>
              </w:rPr>
              <w:t>5</w:t>
            </w:r>
            <w:r>
              <w:rPr>
                <w:rFonts w:eastAsia="Calibri"/>
              </w:rPr>
              <w:t xml:space="preserve">.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242F0735"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0979C7">
              <w:rPr>
                <w:rFonts w:eastAsia="Calibri"/>
              </w:rPr>
              <w:t>6</w:t>
            </w:r>
            <w:r>
              <w:rPr>
                <w:rFonts w:eastAsia="Calibri"/>
              </w:rPr>
              <w:t xml:space="preserve">. </w:t>
            </w:r>
            <w:r w:rsidR="00A131AB">
              <w:rPr>
                <w:rFonts w:eastAsia="Calibri"/>
              </w:rPr>
              <w:t>v</w:t>
            </w:r>
            <w:r w:rsidR="00A131AB" w:rsidRPr="00085D96">
              <w:rPr>
                <w:rFonts w:eastAsia="Calibri"/>
              </w:rPr>
              <w:t xml:space="preserve">ykdytų </w:t>
            </w:r>
            <w:r w:rsidRPr="00085D96">
              <w:rPr>
                <w:rFonts w:eastAsia="Calibri"/>
              </w:rPr>
              <w:t xml:space="preserve">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sidR="00FC4F56">
              <w:rPr>
                <w:rFonts w:eastAsia="Calibri"/>
              </w:rPr>
              <w:t>;</w:t>
            </w:r>
          </w:p>
          <w:p w14:paraId="5DE7C2DC" w14:textId="61A3EAB7" w:rsidR="00D4360D" w:rsidRDefault="00D4360D" w:rsidP="005F1F6E">
            <w:pPr>
              <w:tabs>
                <w:tab w:val="left" w:pos="426"/>
                <w:tab w:val="left" w:pos="567"/>
                <w:tab w:val="left" w:pos="885"/>
                <w:tab w:val="left" w:pos="1168"/>
              </w:tabs>
              <w:jc w:val="both"/>
              <w:rPr>
                <w:rStyle w:val="contentpasted0"/>
                <w:color w:val="000000"/>
                <w:szCs w:val="24"/>
              </w:rPr>
            </w:pPr>
            <w:r>
              <w:rPr>
                <w:rFonts w:eastAsia="Calibri"/>
              </w:rPr>
              <w:t>2.</w:t>
            </w:r>
            <w:r w:rsidR="00D10553">
              <w:rPr>
                <w:rFonts w:eastAsia="Calibri"/>
              </w:rPr>
              <w:t>14</w:t>
            </w:r>
            <w:r>
              <w:rPr>
                <w:rFonts w:eastAsia="Calibri"/>
              </w:rPr>
              <w:t>.</w:t>
            </w:r>
            <w:r w:rsidR="000979C7">
              <w:rPr>
                <w:rFonts w:eastAsia="Calibri"/>
              </w:rPr>
              <w:t>7</w:t>
            </w:r>
            <w:r>
              <w:rPr>
                <w:rFonts w:eastAsia="Calibri"/>
              </w:rPr>
              <w:t xml:space="preserve">. </w:t>
            </w:r>
            <w:r w:rsidR="00FC4F56">
              <w:rPr>
                <w:szCs w:val="24"/>
              </w:rPr>
              <w:t xml:space="preserve">teikiamo </w:t>
            </w:r>
            <w:r>
              <w:rPr>
                <w:szCs w:val="24"/>
              </w:rPr>
              <w:t>Projekto partnerystės sutartis tarp</w:t>
            </w:r>
            <w:r w:rsidRPr="00416301">
              <w:rPr>
                <w:b/>
                <w:bCs/>
                <w:color w:val="000000"/>
              </w:rPr>
              <w:t> </w:t>
            </w:r>
            <w:r w:rsidRPr="00E42725">
              <w:rPr>
                <w:bCs/>
                <w:color w:val="000000"/>
              </w:rPr>
              <w:t>Lietuvos mokslo ir studijų institucijos</w:t>
            </w:r>
            <w:r w:rsidRPr="00FA137F">
              <w:rPr>
                <w:szCs w:val="24"/>
              </w:rPr>
              <w:t>, kuri</w:t>
            </w:r>
            <w:r w:rsidR="00DC1197">
              <w:rPr>
                <w:szCs w:val="24"/>
              </w:rPr>
              <w:t>os</w:t>
            </w:r>
            <w:r w:rsidRPr="00FA137F">
              <w:rPr>
                <w:szCs w:val="24"/>
              </w:rPr>
              <w:t xml:space="preserve"> </w:t>
            </w:r>
            <w:r w:rsidR="00DC1197" w:rsidRPr="00FA137F">
              <w:rPr>
                <w:szCs w:val="24"/>
              </w:rPr>
              <w:t>specializ</w:t>
            </w:r>
            <w:r w:rsidR="00DC1197">
              <w:rPr>
                <w:szCs w:val="24"/>
              </w:rPr>
              <w:t>acija –</w:t>
            </w:r>
            <w:r w:rsidR="00DC1197" w:rsidRPr="00FA137F">
              <w:rPr>
                <w:szCs w:val="24"/>
              </w:rPr>
              <w:t xml:space="preserve"> </w:t>
            </w:r>
            <w:r w:rsidRPr="00FA137F">
              <w:rPr>
                <w:szCs w:val="24"/>
              </w:rPr>
              <w:t xml:space="preserve">lietuvių kalbos mokslo </w:t>
            </w:r>
            <w:r w:rsidR="00DC1197" w:rsidRPr="00FA137F">
              <w:rPr>
                <w:szCs w:val="24"/>
              </w:rPr>
              <w:t>tyrim</w:t>
            </w:r>
            <w:r w:rsidR="00DC1197">
              <w:rPr>
                <w:szCs w:val="24"/>
              </w:rPr>
              <w:t>ai,</w:t>
            </w:r>
            <w:r w:rsidRPr="00FA137F">
              <w:rPr>
                <w:szCs w:val="24"/>
              </w:rPr>
              <w:t xml:space="preserve"> ir </w:t>
            </w:r>
            <w:r w:rsidRPr="00E42725">
              <w:rPr>
                <w:bCs/>
                <w:szCs w:val="24"/>
              </w:rPr>
              <w:t>verslo  įmonės</w:t>
            </w:r>
            <w:r w:rsidRPr="00FA137F">
              <w:rPr>
                <w:szCs w:val="24"/>
              </w:rPr>
              <w:t xml:space="preserve">, </w:t>
            </w:r>
            <w:r w:rsidRPr="00FA137F">
              <w:rPr>
                <w:rStyle w:val="contentpasted0"/>
                <w:color w:val="000000"/>
                <w:szCs w:val="24"/>
              </w:rPr>
              <w:t xml:space="preserve">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r w:rsidR="00B659F1">
              <w:rPr>
                <w:rStyle w:val="contentpasted0"/>
                <w:color w:val="000000"/>
                <w:szCs w:val="24"/>
              </w:rPr>
              <w:t>);</w:t>
            </w:r>
          </w:p>
          <w:p w14:paraId="7318BCA8" w14:textId="3BE0066B"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0979C7">
              <w:rPr>
                <w:rFonts w:eastAsia="Calibri"/>
              </w:rPr>
              <w:t>8</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7"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4348ADC" w:rsidR="006E7474" w:rsidRPr="00332226" w:rsidRDefault="00CC32EE">
            <w:pPr>
              <w:jc w:val="both"/>
              <w:rPr>
                <w:iCs/>
                <w:szCs w:val="24"/>
              </w:rPr>
            </w:pPr>
            <w:r w:rsidRPr="00CC32EE">
              <w:rPr>
                <w:szCs w:val="24"/>
              </w:rPr>
              <w:t>Viešieji ir privatūs juridiniai asmenys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10" w:name="_Hlk119395392"/>
            <w:bookmarkStart w:id="11"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10"/>
            <w:r>
              <w:rPr>
                <w:szCs w:val="24"/>
              </w:rPr>
              <w:t xml:space="preserve">. </w:t>
            </w:r>
            <w:r w:rsidRPr="00D97546">
              <w:rPr>
                <w:szCs w:val="24"/>
              </w:rPr>
              <w:t>Projekte neturi būti numatyta veiksmų, kurie turėtų neigiamą poveikį įgyvendinant HP.</w:t>
            </w:r>
            <w:bookmarkEnd w:id="11"/>
          </w:p>
          <w:p w14:paraId="4BD2F9A5" w14:textId="4C0CEF50" w:rsidR="00640C8F" w:rsidRDefault="00640C8F" w:rsidP="00640C8F">
            <w:pPr>
              <w:jc w:val="both"/>
              <w:rPr>
                <w:rFonts w:eastAsia="Calibri"/>
                <w:bCs/>
                <w:szCs w:val="24"/>
                <w:lang w:bidi="lt-LT"/>
              </w:rPr>
            </w:pPr>
            <w:r>
              <w:rPr>
                <w:rFonts w:eastAsia="Calibri"/>
                <w:bCs/>
                <w:szCs w:val="24"/>
                <w:lang w:bidi="lt-LT"/>
              </w:rPr>
              <w:lastRenderedPageBreak/>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A9834B0" w14:textId="77777777" w:rsidR="00B17268" w:rsidRPr="00507D88" w:rsidRDefault="00B17268" w:rsidP="00B17268">
            <w:pPr>
              <w:tabs>
                <w:tab w:val="left" w:pos="447"/>
              </w:tabs>
              <w:jc w:val="both"/>
            </w:pPr>
            <w:r w:rsidRPr="00507D88">
              <w:t>8.1. Pareiškėjui teikiama </w:t>
            </w:r>
            <w:r w:rsidRPr="00507D88">
              <w:rPr>
                <w:i/>
                <w:iCs/>
              </w:rPr>
              <w:t>de minimis</w:t>
            </w:r>
            <w:r w:rsidRPr="00507D88">
              <w:t> pagalba, vadovaujantis 2013 m. gruodžio 18 d. Komisijos reglamento (ES) Nr. 1407/2013 dėl Sutarties dėl Europos Sąjungos veikimo 107 ir 108 straipsnių taikymo </w:t>
            </w:r>
            <w:r w:rsidRPr="00507D88">
              <w:rPr>
                <w:i/>
                <w:iCs/>
              </w:rPr>
              <w:t>de minimis</w:t>
            </w:r>
            <w:r w:rsidRPr="00507D88">
              <w:t> pagalbai su paskutiniais pakeitimais, padarytais 2020 m. liepos 2 d. Komisijos reglamentu (ES) 2020/972, 1 ir 3 straipsnio nuostatomis.</w:t>
            </w:r>
          </w:p>
          <w:p w14:paraId="3C2A49AF" w14:textId="77777777" w:rsidR="00B17268" w:rsidRPr="0099798E" w:rsidRDefault="00B17268" w:rsidP="00B17268">
            <w:pPr>
              <w:tabs>
                <w:tab w:val="left" w:pos="447"/>
              </w:tabs>
              <w:jc w:val="both"/>
              <w:rPr>
                <w:i/>
                <w:iCs/>
              </w:rPr>
            </w:pPr>
            <w:r w:rsidRPr="00507D88">
              <w:t xml:space="preserve">8.2. </w:t>
            </w:r>
            <w:r w:rsidRPr="00507D88">
              <w:rPr>
                <w:color w:val="000000"/>
              </w:rPr>
              <w:t>Vadovaujantis Reglamento (ES) Nr. 1407/2013</w:t>
            </w:r>
            <w:r w:rsidRPr="00507D88">
              <w:rPr>
                <w:i/>
                <w:iCs/>
                <w:color w:val="000000"/>
              </w:rPr>
              <w:t> </w:t>
            </w:r>
            <w:r w:rsidRPr="00507D88">
              <w:rPr>
                <w:color w:val="000000"/>
              </w:rPr>
              <w:t>3 straipsnio nuostatomis, bendra </w:t>
            </w:r>
            <w:r w:rsidRPr="00507D88">
              <w:rPr>
                <w:i/>
                <w:iCs/>
                <w:color w:val="000000"/>
              </w:rPr>
              <w:t>de minimis</w:t>
            </w:r>
            <w:r w:rsidRPr="00507D88">
              <w:rPr>
                <w:color w:val="000000"/>
              </w:rPr>
              <w:t xml:space="preserve"> pagalbos, suteiktos vienai įmonei, suma neturi viršyti 200 000,00 </w:t>
            </w:r>
            <w:r>
              <w:rPr>
                <w:color w:val="000000"/>
              </w:rPr>
              <w:t xml:space="preserve">Eur </w:t>
            </w:r>
            <w:r w:rsidRPr="00507D88">
              <w:rPr>
                <w:color w:val="000000"/>
              </w:rPr>
              <w:t>(dviejų šimtų tūkstančių eurų</w:t>
            </w:r>
            <w:r>
              <w:rPr>
                <w:color w:val="000000"/>
              </w:rPr>
              <w:t>)</w:t>
            </w:r>
            <w:r w:rsidRPr="00507D88">
              <w:rPr>
                <w:color w:val="000000"/>
              </w:rPr>
              <w:t xml:space="preserve"> per bet kurį trejų finansinių metų laikotarpį. Bendra </w:t>
            </w:r>
            <w:r w:rsidRPr="00507D88">
              <w:rPr>
                <w:i/>
                <w:iCs/>
                <w:color w:val="000000"/>
              </w:rPr>
              <w:t>de minimis</w:t>
            </w:r>
            <w:r w:rsidRPr="00507D88">
              <w:rPr>
                <w:color w:val="000000"/>
              </w:rPr>
              <w:t xml:space="preserve"> pagalbos, suteiktos vienai įmonei, vykdančiai krovinių vežimo keliais veiklą samdos pagrindais arba už atlygį per bet kurį trejų finansinių metų laikotarpį, suma neturi viršyti 100 000,00 </w:t>
            </w:r>
            <w:r>
              <w:rPr>
                <w:color w:val="000000"/>
              </w:rPr>
              <w:t xml:space="preserve">Eur </w:t>
            </w:r>
            <w:r w:rsidRPr="00507D88">
              <w:rPr>
                <w:color w:val="000000"/>
              </w:rPr>
              <w:t>(šimto tūkstančių eurų</w:t>
            </w:r>
            <w:r>
              <w:rPr>
                <w:color w:val="000000"/>
              </w:rPr>
              <w:t>)</w:t>
            </w:r>
            <w:r w:rsidRPr="00507D88">
              <w:rPr>
                <w:color w:val="000000"/>
              </w:rPr>
              <w:t>. Šios ribos taikomos neatsižvelgiant į </w:t>
            </w:r>
            <w:r w:rsidRPr="00507D88">
              <w:rPr>
                <w:i/>
                <w:iCs/>
                <w:color w:val="000000"/>
              </w:rPr>
              <w:t>de minimis</w:t>
            </w:r>
            <w:r w:rsidRPr="00507D88">
              <w:rPr>
                <w:color w:val="000000"/>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99798E">
              <w:rPr>
                <w:i/>
                <w:iCs/>
                <w:color w:val="000000"/>
              </w:rPr>
              <w:t>https://kt.gov.lt/uploads/documents/files/veiklos-sritys/valstybes-pagalba/klausimynai/kaip_KLAUSIMYNAS_vienas_ukio_subjektas.pdf.</w:t>
            </w:r>
          </w:p>
          <w:p w14:paraId="3D59A141" w14:textId="77777777" w:rsidR="00B17268" w:rsidRPr="00507D88" w:rsidRDefault="00B17268" w:rsidP="00B17268">
            <w:pPr>
              <w:tabs>
                <w:tab w:val="left" w:pos="447"/>
              </w:tabs>
              <w:jc w:val="both"/>
            </w:pPr>
            <w:r w:rsidRPr="00507D88">
              <w:t>8.3. Administruojančioji institucija PĮP vertinimo metu patikrina pareiškėjo teisę gauti vienai įmonei suteikiamą </w:t>
            </w:r>
            <w:r w:rsidRPr="00507D88">
              <w:rPr>
                <w:i/>
                <w:iCs/>
              </w:rPr>
              <w:t>de minimis</w:t>
            </w:r>
            <w:r w:rsidRPr="00507D88">
              <w:t> pagalbą. Administruojančioji institucija turi patikrinti visas su pareiškėju susijusias įmones, nurodytas pateiktoje „Vienos įmonės“ deklaracijoje (Aprašo 3 priedas), taip pat Suteiktos valstybės pagalbos ir nereikšmingos (</w:t>
            </w:r>
            <w:r w:rsidRPr="00507D88">
              <w:rPr>
                <w:i/>
                <w:iCs/>
              </w:rPr>
              <w:t>de minimis</w:t>
            </w:r>
            <w:r w:rsidRPr="00507D88">
              <w:t>) pagalbos registre, kurio nuostatai patvirtinti Lietuvos Respublikos Vyriausybės 2005 m. sausio 19 d. nutarimu Nr. 35 „Dėl Suteiktos valstybės pagalbos ir nereikšmingos (</w:t>
            </w:r>
            <w:r w:rsidRPr="00507D88">
              <w:rPr>
                <w:i/>
                <w:iCs/>
              </w:rPr>
              <w:t>de minimis</w:t>
            </w:r>
            <w:r w:rsidRPr="00507D88">
              <w:t>) pagalbos registro nuostatų patvirtinimo“ (toliau – Registras), patikrina, ar teikiama pagalba neviršys leidžiamo </w:t>
            </w:r>
            <w:r w:rsidRPr="00507D88">
              <w:rPr>
                <w:i/>
                <w:iCs/>
              </w:rPr>
              <w:t>de minimis</w:t>
            </w:r>
            <w:r w:rsidRPr="00507D88">
              <w:t xml:space="preserve"> pagalbos dydžio, kaip nustatyta Reglamento (ES) Nr. 1407/2013 3 straipsnyje. </w:t>
            </w:r>
          </w:p>
          <w:p w14:paraId="328C1CEC" w14:textId="77777777" w:rsidR="00B17268" w:rsidRPr="00507D88" w:rsidRDefault="00B17268" w:rsidP="00B17268">
            <w:pPr>
              <w:tabs>
                <w:tab w:val="left" w:pos="447"/>
              </w:tabs>
              <w:jc w:val="both"/>
            </w:pPr>
            <w:r w:rsidRPr="00507D88">
              <w:t>8.4.</w:t>
            </w:r>
            <w:r w:rsidRPr="00507D88">
              <w:rPr>
                <w:i/>
                <w:iCs/>
                <w:color w:val="000000"/>
              </w:rPr>
              <w:t xml:space="preserve"> De minimis</w:t>
            </w:r>
            <w:r w:rsidRPr="00507D88">
              <w:rPr>
                <w:color w:val="000000"/>
              </w:rPr>
              <w:t> pagalba diskontuojama iki jos vertės finansavimo skyrimo momentu, kaip nustatyta Reglamento (ES) Nr. 1407/2013 3 straipsnio 6 punkte.</w:t>
            </w:r>
          </w:p>
          <w:p w14:paraId="443E4933" w14:textId="77777777" w:rsidR="00B17268" w:rsidRPr="00507D88" w:rsidRDefault="00B17268" w:rsidP="00B17268">
            <w:pPr>
              <w:tabs>
                <w:tab w:val="left" w:pos="447"/>
              </w:tabs>
              <w:jc w:val="both"/>
            </w:pPr>
            <w:r w:rsidRPr="00507D88">
              <w:t>8.5. Priėmus sprendimą finansuoti projektą, administruojančioji institucija per 5 darbo dienas registruoja suteiktos </w:t>
            </w:r>
            <w:r w:rsidRPr="00507D88">
              <w:rPr>
                <w:i/>
                <w:iCs/>
              </w:rPr>
              <w:t>de minimis</w:t>
            </w:r>
            <w:r w:rsidRPr="00507D88">
              <w:t> pagalbos sumą Registre.</w:t>
            </w:r>
          </w:p>
          <w:p w14:paraId="7FCF967F" w14:textId="248AFD99" w:rsidR="006E7474" w:rsidRPr="00D721EE" w:rsidRDefault="00B17268" w:rsidP="00B17268">
            <w:pPr>
              <w:jc w:val="both"/>
              <w:rPr>
                <w:szCs w:val="24"/>
              </w:rPr>
            </w:pPr>
            <w:r w:rsidRPr="00507D88">
              <w:lastRenderedPageBreak/>
              <w:t xml:space="preserve">8.6. </w:t>
            </w:r>
            <w:r w:rsidRPr="00507D88">
              <w:rPr>
                <w:i/>
                <w:iCs/>
              </w:rPr>
              <w:t>De minimis</w:t>
            </w:r>
            <w:r w:rsidRPr="00507D88">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lastRenderedPageBreak/>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t xml:space="preserve">1) </w:t>
                  </w:r>
                  <w:r w:rsidR="00523FD5" w:rsidRPr="00FA137F">
                    <w:rPr>
                      <w:rStyle w:val="contentpasted0"/>
                      <w:color w:val="000000"/>
                      <w:szCs w:val="24"/>
                    </w:rPr>
                    <w:t>kompiuterinės lingvistikos ir (arba) tekstynų lingvistikos srityse;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r w:rsidRPr="007D43A9">
                    <w:rPr>
                      <w:rStyle w:val="contentpasted0"/>
                      <w:color w:val="000000"/>
                      <w:szCs w:val="24"/>
                    </w:rPr>
                    <w:t>Natural language processing</w:t>
                  </w:r>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r w:rsidRPr="007D43A9">
                    <w:rPr>
                      <w:rStyle w:val="contentpasted0"/>
                      <w:color w:val="000000"/>
                      <w:szCs w:val="24"/>
                    </w:rPr>
                    <w:t>Deep learning</w:t>
                  </w:r>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15E60654" w:rsidR="00C544A5" w:rsidRPr="00FA137F" w:rsidRDefault="00523FD5" w:rsidP="00416301">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sidR="002B07A3">
                    <w:rPr>
                      <w:rStyle w:val="contentpasted0"/>
                      <w:color w:val="000000"/>
                      <w:szCs w:val="24"/>
                    </w:rPr>
                    <w:t xml:space="preserve">kuriems reikėjo naudoti </w:t>
                  </w:r>
                  <w:r w:rsidR="004E47C1">
                    <w:rPr>
                      <w:rStyle w:val="contentpasted0"/>
                      <w:color w:val="000000"/>
                      <w:szCs w:val="24"/>
                    </w:rPr>
                    <w:t>garsynus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2A690510" w:rsidR="0078244D" w:rsidRPr="00FA137F" w:rsidRDefault="0078244D" w:rsidP="0078244D">
                  <w:pPr>
                    <w:jc w:val="both"/>
                    <w:rPr>
                      <w:lang w:eastAsia="lt-LT"/>
                    </w:rPr>
                  </w:pPr>
                  <w:r w:rsidRPr="00FA137F">
                    <w:t xml:space="preserve">Vertinamas ekspertinių žinių   aprašymas ir pateikti tai įrodantys dokumentai. </w:t>
                  </w:r>
                  <w:r w:rsidRPr="00FA137F">
                    <w:rPr>
                      <w:lang w:eastAsia="lt-LT"/>
                    </w:rPr>
                    <w:t xml:space="preserve">Nustatytas kriterijus padėtų įsitikinti, ar pareiškėjas ir (ar) partneriai turi specifinių žinių kuriant atitinkamos srities </w:t>
                  </w:r>
                  <w:r w:rsidR="004E47C1">
                    <w:rPr>
                      <w:lang w:eastAsia="lt-LT"/>
                    </w:rPr>
                    <w:t>garsyno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017E6F15" w:rsidR="0078244D" w:rsidRPr="00FA137F" w:rsidRDefault="00BE206E" w:rsidP="00BE206E">
                  <w:pPr>
                    <w:jc w:val="both"/>
                    <w:rPr>
                      <w:szCs w:val="24"/>
                    </w:rPr>
                  </w:pPr>
                  <w:r w:rsidRPr="00416301">
                    <w:rPr>
                      <w:szCs w:val="24"/>
                    </w:rPr>
                    <w:t xml:space="preserve">- </w:t>
                  </w:r>
                  <w:r w:rsidR="0078244D" w:rsidRPr="00FA137F">
                    <w:rPr>
                      <w:szCs w:val="24"/>
                    </w:rPr>
                    <w:t>kai pareiškėjas ir (ar) par</w:t>
                  </w:r>
                  <w:r w:rsidR="004645DB" w:rsidRPr="00FA137F">
                    <w:rPr>
                      <w:szCs w:val="24"/>
                    </w:rPr>
                    <w:t>t</w:t>
                  </w:r>
                  <w:r w:rsidR="0078244D" w:rsidRPr="00FA137F">
                    <w:rPr>
                      <w:szCs w:val="24"/>
                    </w:rPr>
                    <w:t xml:space="preserve">neriai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3CE9EFCA" w14:textId="6A58F7A2"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ir (ar) parneriai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04052F" w:rsidRPr="00FA137F">
                    <w:rPr>
                      <w:szCs w:val="24"/>
                    </w:rPr>
                    <w:t>4</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0DA229E2" w:rsidR="0078244D" w:rsidRPr="00FA137F" w:rsidRDefault="00ED7311" w:rsidP="001F0EA1">
                  <w:pPr>
                    <w:jc w:val="center"/>
                    <w:rPr>
                      <w:szCs w:val="24"/>
                    </w:rPr>
                  </w:pPr>
                  <w:r>
                    <w:rPr>
                      <w:szCs w:val="24"/>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67C641F6" w:rsidR="0078244D" w:rsidRPr="00FA137F" w:rsidRDefault="00ED7311" w:rsidP="001F0EA1">
                  <w:pPr>
                    <w:jc w:val="center"/>
                    <w:rPr>
                      <w:szCs w:val="24"/>
                    </w:rPr>
                  </w:pPr>
                  <w:r>
                    <w:rPr>
                      <w:szCs w:val="24"/>
                    </w:rPr>
                    <w:t>4</w:t>
                  </w:r>
                  <w:r w:rsidR="001F0EA1" w:rsidRPr="00FA137F">
                    <w:rPr>
                      <w:szCs w:val="24"/>
                    </w:rPr>
                    <w:t>0</w:t>
                  </w:r>
                </w:p>
              </w:tc>
            </w:tr>
            <w:tr w:rsidR="00383E77" w14:paraId="0EF7D21F"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183B9" w14:textId="20993829" w:rsidR="00383E77" w:rsidRPr="00FA137F" w:rsidRDefault="00383E77" w:rsidP="00383E77">
                  <w:pPr>
                    <w:jc w:val="both"/>
                    <w:rPr>
                      <w:szCs w:val="24"/>
                    </w:rPr>
                  </w:pPr>
                  <w:r w:rsidRPr="00FA137F">
                    <w:rPr>
                      <w:szCs w:val="24"/>
                    </w:rPr>
                    <w:lastRenderedPageBreak/>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2721A8" w14:textId="310C51DD" w:rsidR="00383E77" w:rsidRPr="00FA137F" w:rsidRDefault="00383E77" w:rsidP="00383E77">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D6460" w14:textId="77777777" w:rsidR="00383E77" w:rsidRPr="00FA137F" w:rsidRDefault="00383E77" w:rsidP="00383E77">
                  <w:pPr>
                    <w:jc w:val="both"/>
                    <w:rPr>
                      <w:szCs w:val="24"/>
                    </w:rPr>
                  </w:pPr>
                  <w:r w:rsidRPr="00FA137F">
                    <w:rPr>
                      <w:szCs w:val="24"/>
                    </w:rPr>
                    <w:t>Jeigu iki PĮP pateikimo</w:t>
                  </w:r>
                  <w:r>
                    <w:rPr>
                      <w:szCs w:val="24"/>
                    </w:rPr>
                    <w:t xml:space="preserve"> dienos</w:t>
                  </w:r>
                  <w:r w:rsidRPr="00FA137F">
                    <w:rPr>
                      <w:szCs w:val="24"/>
                    </w:rPr>
                    <w:t xml:space="preserve"> sudaroma </w:t>
                  </w:r>
                  <w:r>
                    <w:rPr>
                      <w:szCs w:val="24"/>
                    </w:rPr>
                    <w:t xml:space="preserve">teikiamo Projekto </w:t>
                  </w:r>
                  <w:r w:rsidRPr="00FA137F">
                    <w:rPr>
                      <w:szCs w:val="24"/>
                    </w:rPr>
                    <w:t xml:space="preserve">partnerystės sutartis tarp  </w:t>
                  </w:r>
                  <w:r w:rsidRPr="00416301">
                    <w:rPr>
                      <w:b/>
                      <w:bCs/>
                      <w:color w:val="000000"/>
                    </w:rPr>
                    <w:t> </w:t>
                  </w:r>
                  <w:r>
                    <w:rPr>
                      <w:b/>
                      <w:bCs/>
                      <w:color w:val="000000"/>
                    </w:rPr>
                    <w:t xml:space="preserve">Lietuvos medicinos įstaigos </w:t>
                  </w:r>
                  <w:r w:rsidRPr="00FA137F">
                    <w:rPr>
                      <w:szCs w:val="24"/>
                    </w:rPr>
                    <w:t xml:space="preserve">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w:t>
                  </w:r>
                  <w:r w:rsidRPr="00FA137F">
                    <w:rPr>
                      <w:szCs w:val="24"/>
                    </w:rPr>
                    <w:t xml:space="preserve"> </w:t>
                  </w:r>
                </w:p>
                <w:p w14:paraId="56F08F97" w14:textId="77777777" w:rsidR="00383E77" w:rsidRPr="00FA137F" w:rsidRDefault="00383E77" w:rsidP="00383E77">
                  <w:pPr>
                    <w:jc w:val="both"/>
                    <w:rPr>
                      <w:szCs w:val="24"/>
                    </w:rPr>
                  </w:pPr>
                </w:p>
                <w:p w14:paraId="2E42EE84" w14:textId="77777777" w:rsidR="00383E77" w:rsidRPr="00FA137F" w:rsidRDefault="00383E77" w:rsidP="00383E77">
                  <w:pPr>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C17017" w14:textId="77777777" w:rsidR="00383E77" w:rsidRPr="00FA137F" w:rsidRDefault="00383E77" w:rsidP="00383E77">
                  <w:pPr>
                    <w:jc w:val="both"/>
                    <w:rPr>
                      <w:szCs w:val="24"/>
                      <w:lang w:eastAsia="lt-LT"/>
                    </w:rPr>
                  </w:pPr>
                  <w:r w:rsidRPr="00FA137F">
                    <w:rPr>
                      <w:szCs w:val="24"/>
                      <w:lang w:eastAsia="lt-LT"/>
                    </w:rPr>
                    <w:t>Projekto įgyvendinimo planui suteikiami balai</w:t>
                  </w:r>
                  <w:r>
                    <w:rPr>
                      <w:szCs w:val="24"/>
                      <w:lang w:eastAsia="lt-LT"/>
                    </w:rPr>
                    <w:t xml:space="preserve"> (Y</w:t>
                  </w:r>
                  <w:r>
                    <w:rPr>
                      <w:sz w:val="16"/>
                      <w:szCs w:val="24"/>
                      <w:lang w:val="en-US" w:eastAsia="lt-LT"/>
                    </w:rPr>
                    <w:t>2</w:t>
                  </w:r>
                  <w:r>
                    <w:rPr>
                      <w:szCs w:val="40"/>
                      <w:lang w:val="en-US" w:eastAsia="lt-LT"/>
                    </w:rPr>
                    <w:t>)</w:t>
                  </w:r>
                  <w:r w:rsidRPr="00FA137F">
                    <w:rPr>
                      <w:szCs w:val="24"/>
                      <w:lang w:eastAsia="lt-LT"/>
                    </w:rPr>
                    <w:t>:</w:t>
                  </w:r>
                </w:p>
                <w:p w14:paraId="48F61332" w14:textId="77777777" w:rsidR="00383E77" w:rsidRPr="00FA137F" w:rsidRDefault="00383E77" w:rsidP="00383E77">
                  <w:pPr>
                    <w:jc w:val="both"/>
                    <w:rPr>
                      <w:szCs w:val="24"/>
                    </w:rPr>
                  </w:pPr>
                  <w:r w:rsidRPr="00FA137F">
                    <w:rPr>
                      <w:szCs w:val="24"/>
                    </w:rPr>
                    <w:t xml:space="preserve">- nėra sudaryta </w:t>
                  </w:r>
                  <w:r>
                    <w:rPr>
                      <w:szCs w:val="24"/>
                    </w:rPr>
                    <w:t xml:space="preserve">teikiamo Projekto </w:t>
                  </w:r>
                  <w:r w:rsidRPr="00FA137F">
                    <w:rPr>
                      <w:szCs w:val="24"/>
                    </w:rPr>
                    <w:t xml:space="preserve">partnerystės sutartis tarp  </w:t>
                  </w:r>
                  <w:r w:rsidRPr="00416301">
                    <w:rPr>
                      <w:b/>
                      <w:bCs/>
                      <w:color w:val="000000"/>
                    </w:rPr>
                    <w:t> </w:t>
                  </w:r>
                  <w:r>
                    <w:rPr>
                      <w:b/>
                      <w:bCs/>
                      <w:color w:val="000000"/>
                    </w:rPr>
                    <w:t>Lietuvos medicinos įstaigos</w:t>
                  </w:r>
                  <w:r w:rsidRPr="00FA137F">
                    <w:rPr>
                      <w:szCs w:val="24"/>
                    </w:rPr>
                    <w:t xml:space="preserve"> 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 – </w:t>
                  </w:r>
                  <w:r w:rsidRPr="00FA137F">
                    <w:rPr>
                      <w:rStyle w:val="contentpasted0"/>
                      <w:color w:val="000000"/>
                      <w:szCs w:val="24"/>
                      <w:lang w:val="en-US"/>
                    </w:rPr>
                    <w:t>0 bal</w:t>
                  </w:r>
                  <w:r w:rsidRPr="00FA137F">
                    <w:rPr>
                      <w:rStyle w:val="contentpasted0"/>
                      <w:color w:val="000000"/>
                      <w:szCs w:val="24"/>
                    </w:rPr>
                    <w:t>ų;</w:t>
                  </w:r>
                </w:p>
                <w:p w14:paraId="58C5188A" w14:textId="234B5423" w:rsidR="00383E77" w:rsidRPr="00FA137F" w:rsidRDefault="00383E77" w:rsidP="00383E77">
                  <w:pPr>
                    <w:jc w:val="both"/>
                  </w:pPr>
                  <w:r w:rsidRPr="00FA137F">
                    <w:rPr>
                      <w:szCs w:val="24"/>
                    </w:rPr>
                    <w:t xml:space="preserve">- sudaryta </w:t>
                  </w:r>
                  <w:r>
                    <w:rPr>
                      <w:szCs w:val="24"/>
                    </w:rPr>
                    <w:t xml:space="preserve">teikiamo Projekto </w:t>
                  </w:r>
                  <w:r w:rsidRPr="00FA137F">
                    <w:rPr>
                      <w:szCs w:val="24"/>
                    </w:rPr>
                    <w:t xml:space="preserve">partnerystės sutartis tarp  </w:t>
                  </w:r>
                  <w:r w:rsidRPr="00416301">
                    <w:rPr>
                      <w:b/>
                      <w:bCs/>
                      <w:color w:val="000000"/>
                    </w:rPr>
                    <w:t> </w:t>
                  </w:r>
                  <w:r>
                    <w:rPr>
                      <w:b/>
                      <w:bCs/>
                      <w:color w:val="000000"/>
                    </w:rPr>
                    <w:t>Lietuvos medicinos įstaigos</w:t>
                  </w:r>
                  <w:r w:rsidRPr="00FA137F">
                    <w:rPr>
                      <w:szCs w:val="24"/>
                    </w:rPr>
                    <w:t xml:space="preserve"> 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w:t>
                  </w:r>
                  <w:r w:rsidRPr="00FA137F">
                    <w:rPr>
                      <w:szCs w:val="24"/>
                    </w:rPr>
                    <w:t xml:space="preserve">– </w:t>
                  </w:r>
                  <w:r w:rsidRPr="00FA137F">
                    <w:rPr>
                      <w:szCs w:val="24"/>
                      <w:lang w:val="en-US"/>
                    </w:rPr>
                    <w:t>3</w:t>
                  </w:r>
                  <w:r w:rsidRPr="00FA137F">
                    <w:rPr>
                      <w:szCs w:val="24"/>
                    </w:rPr>
                    <w:t xml:space="preserve">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4B5721" w14:textId="1E0733C9" w:rsidR="00383E77" w:rsidRDefault="008A2883" w:rsidP="00383E77">
                  <w:pPr>
                    <w:jc w:val="center"/>
                    <w:rPr>
                      <w:szCs w:val="24"/>
                    </w:rPr>
                  </w:pPr>
                  <w:r>
                    <w:rPr>
                      <w:szCs w:val="24"/>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5A3D2C" w14:textId="19BC66D4" w:rsidR="00383E77" w:rsidRPr="00FA137F" w:rsidRDefault="00383E77" w:rsidP="00383E77">
                  <w:pPr>
                    <w:jc w:val="center"/>
                    <w:rPr>
                      <w:szCs w:val="24"/>
                      <w:lang w:val="en-US"/>
                    </w:rPr>
                  </w:pPr>
                  <w:r w:rsidRPr="00FA137F">
                    <w:rPr>
                      <w:szCs w:val="24"/>
                      <w:lang w:val="en-US"/>
                    </w:rPr>
                    <w:t>10</w:t>
                  </w:r>
                  <w:r>
                    <w:rPr>
                      <w:szCs w:val="24"/>
                      <w:lang w:val="en-US"/>
                    </w:rPr>
                    <w:t xml:space="preserve"> </w:t>
                  </w:r>
                  <w:r w:rsidRPr="00FA137F">
                    <w:rPr>
                      <w:szCs w:val="24"/>
                      <w:lang w:eastAsia="lt-LT"/>
                    </w:rPr>
                    <w:t>(</w:t>
                  </w:r>
                  <w:r>
                    <w:rPr>
                      <w:szCs w:val="24"/>
                      <w:lang w:eastAsia="lt-LT"/>
                    </w:rPr>
                    <w:t>S</w:t>
                  </w:r>
                  <w:r>
                    <w:rPr>
                      <w:sz w:val="16"/>
                      <w:szCs w:val="24"/>
                      <w:lang w:val="en-US" w:eastAsia="lt-LT"/>
                    </w:rPr>
                    <w:t>2</w:t>
                  </w:r>
                  <w:r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96C98" w14:textId="7BDEDDB6" w:rsidR="00383E77" w:rsidRDefault="008A2883" w:rsidP="00383E77">
                  <w:pPr>
                    <w:jc w:val="center"/>
                    <w:rPr>
                      <w:szCs w:val="24"/>
                    </w:rPr>
                  </w:pPr>
                  <w:r>
                    <w:rPr>
                      <w:szCs w:val="24"/>
                    </w:rPr>
                    <w:t>4</w:t>
                  </w:r>
                  <w:r w:rsidR="00383E77"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789855DB"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 garsyno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Pr="00FA137F">
                    <w:rPr>
                      <w:rStyle w:val="contentpasted0"/>
                      <w:color w:val="000000"/>
                      <w:szCs w:val="24"/>
                    </w:rPr>
                    <w:t>garsyn</w:t>
                  </w:r>
                  <w:r w:rsidR="00F11068">
                    <w:rPr>
                      <w:rStyle w:val="contentpasted0"/>
                      <w:color w:val="000000"/>
                      <w:szCs w:val="24"/>
                    </w:rPr>
                    <w:t>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Pr>
                      <w:sz w:val="16"/>
                      <w:szCs w:val="24"/>
                      <w:lang w:val="en-US" w:eastAsia="lt-LT"/>
                    </w:rPr>
                    <w:t>2</w:t>
                  </w:r>
                  <w:r w:rsidR="00AD7B89">
                    <w:rPr>
                      <w:szCs w:val="40"/>
                      <w:lang w:val="en-US" w:eastAsia="lt-LT"/>
                    </w:rPr>
                    <w:t>)</w:t>
                  </w:r>
                  <w:r w:rsidRPr="00FA137F">
                    <w:rPr>
                      <w:szCs w:val="24"/>
                      <w:lang w:eastAsia="lt-LT"/>
                    </w:rPr>
                    <w:t>:</w:t>
                  </w:r>
                </w:p>
                <w:p w14:paraId="441CDD7D" w14:textId="1606140D"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 garsyno projekto</w:t>
                  </w:r>
                  <w:r w:rsidR="00A64F6F">
                    <w:rPr>
                      <w:szCs w:val="24"/>
                    </w:rPr>
                    <w:t>,</w:t>
                  </w:r>
                  <w:r w:rsidRPr="00FA137F">
                    <w:rPr>
                      <w:szCs w:val="24"/>
                    </w:rPr>
                    <w:t xml:space="preserve"> – </w:t>
                  </w:r>
                  <w:r w:rsidRPr="00FA137F">
                    <w:rPr>
                      <w:szCs w:val="24"/>
                      <w:lang w:val="en-US"/>
                    </w:rPr>
                    <w:t>0</w:t>
                  </w:r>
                  <w:r w:rsidRPr="00FA137F">
                    <w:rPr>
                      <w:szCs w:val="24"/>
                    </w:rPr>
                    <w:t xml:space="preserve"> balų;</w:t>
                  </w:r>
                </w:p>
                <w:p w14:paraId="2269D3FC" w14:textId="0722A5F4"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vieną lietuvių kalbos garsyno projektą</w:t>
                  </w:r>
                  <w:r w:rsidR="000F068C">
                    <w:rPr>
                      <w:szCs w:val="24"/>
                    </w:rPr>
                    <w:t>,</w:t>
                  </w:r>
                  <w:r w:rsidRPr="00FA137F">
                    <w:rPr>
                      <w:szCs w:val="24"/>
                    </w:rPr>
                    <w:t xml:space="preserve"> – </w:t>
                  </w:r>
                  <w:r w:rsidRPr="00FA137F">
                    <w:rPr>
                      <w:szCs w:val="24"/>
                      <w:lang w:val="en-US"/>
                    </w:rPr>
                    <w:t>1</w:t>
                  </w:r>
                  <w:r w:rsidRPr="00FA137F">
                    <w:rPr>
                      <w:szCs w:val="24"/>
                    </w:rPr>
                    <w:t xml:space="preserve"> balas;</w:t>
                  </w:r>
                </w:p>
                <w:p w14:paraId="50F640A4" w14:textId="57452AA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 du lietuvių kalbos garsyno projektus</w:t>
                  </w:r>
                  <w:r w:rsidR="00C85670">
                    <w:rPr>
                      <w:szCs w:val="24"/>
                    </w:rPr>
                    <w:t>,</w:t>
                  </w:r>
                  <w:r w:rsidRPr="00FA137F">
                    <w:rPr>
                      <w:szCs w:val="24"/>
                    </w:rPr>
                    <w:t xml:space="preserve"> – </w:t>
                  </w:r>
                  <w:r w:rsidRPr="00FA137F">
                    <w:rPr>
                      <w:szCs w:val="24"/>
                      <w:lang w:val="en-US"/>
                    </w:rPr>
                    <w:t>2</w:t>
                  </w:r>
                  <w:r w:rsidRPr="00FA137F">
                    <w:rPr>
                      <w:szCs w:val="24"/>
                    </w:rPr>
                    <w:t xml:space="preserve"> balai;</w:t>
                  </w:r>
                </w:p>
                <w:p w14:paraId="121AA21B" w14:textId="5C427EBC"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 tris lietuvių kalbos garsyno projektus</w:t>
                  </w:r>
                  <w:r w:rsidR="00C85670">
                    <w:rPr>
                      <w:szCs w:val="24"/>
                    </w:rPr>
                    <w:t>,</w:t>
                  </w:r>
                  <w:r w:rsidRPr="00FA137F">
                    <w:rPr>
                      <w:szCs w:val="24"/>
                    </w:rPr>
                    <w:t xml:space="preserve"> – </w:t>
                  </w:r>
                  <w:r w:rsidRPr="00FA137F">
                    <w:rPr>
                      <w:szCs w:val="24"/>
                      <w:lang w:val="en-US"/>
                    </w:rPr>
                    <w:t>3</w:t>
                  </w:r>
                  <w:r w:rsidRPr="00FA137F">
                    <w:rPr>
                      <w:szCs w:val="24"/>
                    </w:rPr>
                    <w:t xml:space="preserve"> balai</w:t>
                  </w:r>
                  <w:r w:rsidR="00C85670">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46C647B2" w:rsidR="00280DD9" w:rsidRPr="00FA137F" w:rsidRDefault="008A2883" w:rsidP="00280DD9">
                  <w:pPr>
                    <w:jc w:val="center"/>
                    <w:rPr>
                      <w:szCs w:val="24"/>
                    </w:rPr>
                  </w:pPr>
                  <w:r>
                    <w:rPr>
                      <w:szCs w:val="24"/>
                      <w:lang w:val="en-US"/>
                    </w:rPr>
                    <w:t>2</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43EE6E3C" w:rsidR="00280DD9" w:rsidRPr="00FA137F" w:rsidRDefault="008A2883" w:rsidP="00280DD9">
                  <w:pPr>
                    <w:jc w:val="center"/>
                    <w:rPr>
                      <w:szCs w:val="24"/>
                    </w:rPr>
                  </w:pPr>
                  <w:r>
                    <w:rPr>
                      <w:szCs w:val="24"/>
                      <w:lang w:val="en-US"/>
                    </w:rPr>
                    <w:t>2</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3868AA4C" w:rsidR="009B286A" w:rsidRPr="007D43A9" w:rsidRDefault="009B286A" w:rsidP="009B286A">
                  <w:pPr>
                    <w:jc w:val="both"/>
                  </w:pPr>
                  <w:r>
                    <w:t xml:space="preserve">Minimali privaloma surinkti balų suma </w:t>
                  </w:r>
                  <w:r w:rsidRPr="007D43A9">
                    <w:t>–</w:t>
                  </w:r>
                  <w:r>
                    <w:rPr>
                      <w:b/>
                      <w:bCs/>
                    </w:rPr>
                    <w:t xml:space="preserve"> </w:t>
                  </w:r>
                  <w:r w:rsidR="00216A06">
                    <w:rPr>
                      <w:b/>
                      <w:bCs/>
                    </w:rPr>
                    <w:t>7</w:t>
                  </w:r>
                  <w:r>
                    <w:rPr>
                      <w:b/>
                      <w:bCs/>
                    </w:rPr>
                    <w:t>0</w:t>
                  </w:r>
                  <w:r w:rsidR="00C228BF">
                    <w:t>.</w:t>
                  </w:r>
                </w:p>
                <w:p w14:paraId="60AE905F" w14:textId="7CF95B3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rsidR="00B433AF">
                    <w:t xml:space="preserve"> </w:t>
                  </w:r>
                  <w:r w:rsidR="00607986">
                    <w:t>+</w:t>
                  </w:r>
                  <w:r w:rsidR="00B433AF">
                    <w:t>Y</w:t>
                  </w:r>
                  <w:r w:rsidR="00607986">
                    <w:rPr>
                      <w:vertAlign w:val="subscript"/>
                    </w:rPr>
                    <w:t>3</w:t>
                  </w:r>
                  <w:r w:rsidR="00B433AF">
                    <w:t xml:space="preserve"> * S</w:t>
                  </w:r>
                  <w:r w:rsidR="00607986">
                    <w:rPr>
                      <w:vertAlign w:val="subscript"/>
                    </w:rPr>
                    <w:t>3</w:t>
                  </w:r>
                  <w:r>
                    <w:t xml:space="preserve"> kur</w:t>
                  </w:r>
                  <w:r w:rsidR="00E748DA">
                    <w:t>ioje:</w:t>
                  </w:r>
                  <w:r>
                    <w:t xml:space="preserve"> P – projekto surinktas balų skaičius, Y – kriterijaus gautas vertinimo balas ir S – kriterijui suteiktas svorio koeficientas.</w:t>
                  </w:r>
                </w:p>
                <w:p w14:paraId="23E56CCC" w14:textId="77777777" w:rsidR="009B286A" w:rsidRDefault="009B286A" w:rsidP="00FA137F">
                  <w:pPr>
                    <w:jc w:val="both"/>
                    <w:rPr>
                      <w:i/>
                      <w:iCs/>
                      <w:szCs w:val="24"/>
                      <w:lang w:eastAsia="lt-LT"/>
                    </w:rPr>
                  </w:pPr>
                  <w:r>
                    <w:t xml:space="preserve">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w:t>
                  </w:r>
                  <w:r>
                    <w:lastRenderedPageBreak/>
                    <w:t>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1AFDF689"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lastRenderedPageBreak/>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D714CB"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00E3024C" w:rsidR="00D714CB" w:rsidRDefault="00D714CB" w:rsidP="00D714CB">
                  <w:pPr>
                    <w:rPr>
                      <w:szCs w:val="24"/>
                      <w:lang w:eastAsia="lt-LT"/>
                    </w:rPr>
                  </w:pPr>
                  <w:r>
                    <w:rPr>
                      <w:lang w:val="en-US"/>
                    </w:rPr>
                    <w:t>14</w:t>
                  </w:r>
                  <w:r w:rsidR="00D019AD">
                    <w:rPr>
                      <w:lang w:val="en-US"/>
                    </w:rPr>
                    <w:t xml:space="preserve">.2. </w:t>
                  </w:r>
                  <w:r>
                    <w:t xml:space="preserve">Privalomos projektų </w:t>
                  </w:r>
                  <w:r w:rsidR="00110655">
                    <w:t xml:space="preserve">žinomumo </w:t>
                  </w:r>
                  <w: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50D33EFB" w:rsidR="00D714CB" w:rsidRDefault="00D714CB" w:rsidP="00D714CB">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0FABAA63" w:rsidR="00D714CB"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433DFEC7" w14:textId="1FA85B60" w:rsidR="00D714CB" w:rsidRDefault="00D714CB" w:rsidP="00D714CB">
                  <w:pPr>
                    <w:jc w:val="center"/>
                    <w:rPr>
                      <w:szCs w:val="24"/>
                    </w:rPr>
                  </w:pPr>
                  <w:r>
                    <w:t xml:space="preserve">Įgyvendintų privalomų </w:t>
                  </w:r>
                  <w:r w:rsidR="001946CE">
                    <w:t xml:space="preserve">žinomumo </w:t>
                  </w:r>
                  <w:r>
                    <w:t xml:space="preserve">ir informavimo apie ES fondų investicijų veiklas </w:t>
                  </w:r>
                  <w:r w:rsidR="001946CE">
                    <w:t xml:space="preserve">priemonių </w:t>
                  </w:r>
                  <w:r>
                    <w:t>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3C63F08F" w14:textId="77777777" w:rsidR="00D714CB" w:rsidRDefault="00D714CB" w:rsidP="00D714CB">
                  <w:pPr>
                    <w:jc w:val="center"/>
                    <w:rPr>
                      <w:szCs w:val="24"/>
                    </w:rPr>
                  </w:pPr>
                </w:p>
              </w:tc>
            </w:tr>
            <w:tr w:rsidR="00D714CB"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18C63D41" w:rsidR="00D714CB" w:rsidRPr="007763DE" w:rsidRDefault="00D019AD" w:rsidP="00D714CB">
                  <w:pPr>
                    <w:rPr>
                      <w:szCs w:val="24"/>
                      <w:lang w:eastAsia="lt-LT"/>
                    </w:rPr>
                  </w:pPr>
                  <w:r w:rsidRPr="007763DE">
                    <w:t xml:space="preserve">14.3. </w:t>
                  </w:r>
                  <w:r w:rsidR="00D714CB" w:rsidRPr="007763DE">
                    <w:t xml:space="preserve">Privalomos projektų </w:t>
                  </w:r>
                  <w:r w:rsidR="00110655" w:rsidRPr="007763DE">
                    <w:t xml:space="preserve">žinomumo </w:t>
                  </w:r>
                  <w:r w:rsidR="00D714CB" w:rsidRPr="007763DE">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3ABF225C" w:rsidR="00D714CB" w:rsidRPr="007763DE" w:rsidRDefault="00D714CB" w:rsidP="00D714CB">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06F99796" w:rsidR="00D714CB" w:rsidRPr="007763DE"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58F0EE82" w14:textId="3C80370A" w:rsidR="00D714CB" w:rsidRPr="007763DE" w:rsidRDefault="00D714CB" w:rsidP="00D714CB">
                  <w:pPr>
                    <w:jc w:val="center"/>
                    <w:rPr>
                      <w:szCs w:val="24"/>
                    </w:rPr>
                  </w:pPr>
                  <w:r w:rsidRPr="007763DE">
                    <w:rPr>
                      <w:lang w:eastAsia="lt-LT"/>
                    </w:rPr>
                    <w:t xml:space="preserve">Įgyvendintų privalomų </w:t>
                  </w:r>
                  <w:r w:rsidR="00110655" w:rsidRPr="007763DE">
                    <w:t xml:space="preserve">žinomumo </w:t>
                  </w:r>
                  <w:r w:rsidRPr="007763DE">
                    <w:rPr>
                      <w:lang w:eastAsia="lt-LT"/>
                    </w:rPr>
                    <w:t xml:space="preserve">ir informavimo apie ES fondų investicijų veiklas </w:t>
                  </w:r>
                  <w:r w:rsidR="001D1E23" w:rsidRPr="007D43A9">
                    <w:rPr>
                      <w:lang w:eastAsia="lt-LT"/>
                    </w:rPr>
                    <w:t xml:space="preserve">priemonių </w:t>
                  </w:r>
                  <w:r w:rsidRPr="007763DE">
                    <w:rPr>
                      <w:lang w:eastAsia="lt-LT"/>
                    </w:rPr>
                    <w:t>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2DFAC872" w14:textId="77777777" w:rsidR="00D714CB" w:rsidRPr="007D43A9" w:rsidRDefault="00D714CB" w:rsidP="00D714CB">
                  <w:pPr>
                    <w:jc w:val="center"/>
                    <w:rPr>
                      <w:szCs w:val="24"/>
                      <w:highlight w:val="green"/>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1DCC61E3" w:rsidR="002B1548" w:rsidRPr="007763DE" w:rsidRDefault="002B1548" w:rsidP="009421C8">
                  <w:pPr>
                    <w:rPr>
                      <w:color w:val="242424"/>
                      <w:szCs w:val="24"/>
                      <w:shd w:val="clear" w:color="auto" w:fill="FFFFFF"/>
                    </w:rPr>
                  </w:pPr>
                  <w:r w:rsidRPr="007763DE">
                    <w:rPr>
                      <w:szCs w:val="24"/>
                    </w:rPr>
                    <w:t>14.</w:t>
                  </w:r>
                  <w:r w:rsidR="00CC4FE4" w:rsidRPr="007763DE">
                    <w:rPr>
                      <w:szCs w:val="24"/>
                    </w:rPr>
                    <w:t>4</w:t>
                  </w:r>
                  <w:r w:rsidRPr="007763DE">
                    <w:rPr>
                      <w:szCs w:val="24"/>
                    </w:rPr>
                    <w:t xml:space="preserve">. Privalomos projektų </w:t>
                  </w:r>
                  <w:r w:rsidR="00110655" w:rsidRPr="007763DE">
                    <w:t xml:space="preserve">žinomumo </w:t>
                  </w:r>
                  <w:r w:rsidRPr="007763DE">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0976E63" w:rsidR="002B1548" w:rsidRPr="007763DE" w:rsidRDefault="002B1548" w:rsidP="002B1548">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7763DE"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44D4007B" w:rsidR="002B1548" w:rsidRPr="007763DE" w:rsidRDefault="002B1548" w:rsidP="002B1548">
                  <w:pPr>
                    <w:jc w:val="center"/>
                    <w:rPr>
                      <w:szCs w:val="24"/>
                      <w:shd w:val="clear" w:color="auto" w:fill="FFFFFF"/>
                    </w:rPr>
                  </w:pPr>
                  <w:r w:rsidRPr="007763DE">
                    <w:rPr>
                      <w:color w:val="000000"/>
                      <w:szCs w:val="24"/>
                      <w:lang w:eastAsia="lt-LT"/>
                    </w:rPr>
                    <w:t xml:space="preserve">Įgyvendintų privalomų ir informavimo priemonių apie ES fondų investicijų veiklas </w:t>
                  </w:r>
                  <w:r w:rsidR="006B1E9B" w:rsidRPr="007D43A9">
                    <w:t xml:space="preserve">žinomumo </w:t>
                  </w:r>
                  <w:r w:rsidRPr="007763DE">
                    <w:rPr>
                      <w:color w:val="000000"/>
                      <w:szCs w:val="24"/>
                      <w:lang w:eastAsia="lt-LT"/>
                    </w:rPr>
                    <w:t>fiksuotoji suma, antrojo rinkinio fiksuotoji suma su PVM</w:t>
                  </w:r>
                  <w:r w:rsidR="006B1E9B" w:rsidRPr="007D43A9">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7D43A9" w:rsidRDefault="002B1548" w:rsidP="002B1548">
                  <w:pPr>
                    <w:jc w:val="center"/>
                    <w:rPr>
                      <w:szCs w:val="24"/>
                      <w:highlight w:val="green"/>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14233F4F" w:rsidR="002B1548" w:rsidRDefault="002B1548" w:rsidP="009421C8">
                  <w:pPr>
                    <w:rPr>
                      <w:color w:val="242424"/>
                      <w:szCs w:val="24"/>
                      <w:shd w:val="clear" w:color="auto" w:fill="FFFFFF"/>
                    </w:rPr>
                  </w:pPr>
                  <w:r>
                    <w:rPr>
                      <w:szCs w:val="24"/>
                      <w:lang w:val="en-US"/>
                    </w:rPr>
                    <w:t>14.</w:t>
                  </w:r>
                  <w:r w:rsidR="00CC4FE4">
                    <w:rPr>
                      <w:szCs w:val="24"/>
                      <w:lang w:val="en-US"/>
                    </w:rPr>
                    <w:t>5</w:t>
                  </w:r>
                  <w:r>
                    <w:rPr>
                      <w:szCs w:val="24"/>
                      <w:lang w:val="en-US"/>
                    </w:rPr>
                    <w:t xml:space="preserve">. </w:t>
                  </w:r>
                  <w:r>
                    <w:rPr>
                      <w:szCs w:val="24"/>
                    </w:rPr>
                    <w:t xml:space="preserve">Privalomos projektų </w:t>
                  </w:r>
                  <w:r w:rsidR="00110655">
                    <w:t xml:space="preserve">žinomumo </w:t>
                  </w:r>
                  <w:r>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0388B88" w:rsidR="002B1548" w:rsidRDefault="002B1548" w:rsidP="002B1548">
                  <w:pPr>
                    <w:jc w:val="center"/>
                    <w:rPr>
                      <w:szCs w:val="24"/>
                      <w:shd w:val="clear" w:color="auto" w:fill="FFFFFF"/>
                    </w:rPr>
                  </w:pPr>
                  <w:r>
                    <w:rPr>
                      <w:color w:val="000000"/>
                      <w:szCs w:val="24"/>
                      <w:lang w:eastAsia="lt-LT"/>
                    </w:rPr>
                    <w:t xml:space="preserve">Įgyvendintų privalomų </w:t>
                  </w:r>
                  <w:r w:rsidR="00110655">
                    <w:t xml:space="preserve">žinomumo </w:t>
                  </w:r>
                  <w:r>
                    <w:rPr>
                      <w:color w:val="000000"/>
                      <w:szCs w:val="24"/>
                      <w:lang w:eastAsia="lt-LT"/>
                    </w:rPr>
                    <w:t xml:space="preserve">ir informavimo apie ES fondų investicijų veiklas </w:t>
                  </w:r>
                  <w:r w:rsidR="006B1E9B">
                    <w:rPr>
                      <w:color w:val="000000"/>
                      <w:szCs w:val="24"/>
                      <w:lang w:eastAsia="lt-LT"/>
                    </w:rPr>
                    <w:t xml:space="preserve">priemonių </w:t>
                  </w:r>
                  <w:r>
                    <w:rPr>
                      <w:color w:val="000000"/>
                      <w:szCs w:val="24"/>
                      <w:lang w:eastAsia="lt-LT"/>
                    </w:rPr>
                    <w:t>fiksuotoji suma, antrojo rinkinio fiksuotoji suma be PVM</w:t>
                  </w:r>
                  <w:r w:rsidR="006B1E9B">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4ABBBC6D" w:rsidR="00AB1195" w:rsidRDefault="00AB1195" w:rsidP="004D4036">
                  <w:pPr>
                    <w:jc w:val="both"/>
                    <w:rPr>
                      <w:color w:val="242424"/>
                      <w:szCs w:val="24"/>
                      <w:shd w:val="clear" w:color="auto" w:fill="FFFFFF"/>
                    </w:rPr>
                  </w:pPr>
                  <w:r>
                    <w:rPr>
                      <w:color w:val="242424"/>
                      <w:szCs w:val="24"/>
                      <w:shd w:val="clear" w:color="auto" w:fill="FFFFFF"/>
                    </w:rPr>
                    <w:lastRenderedPageBreak/>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6</w:t>
                  </w:r>
                  <w:r>
                    <w:rPr>
                      <w:color w:val="242424"/>
                      <w:szCs w:val="24"/>
                      <w:shd w:val="clear" w:color="auto" w:fill="FFFFFF"/>
                    </w:rPr>
                    <w:t>. Projektą vykdančio personalo išlaidos kasmetin</w:t>
                  </w:r>
                  <w:r w:rsidR="006B1E9B">
                    <w:rPr>
                      <w:color w:val="242424"/>
                      <w:szCs w:val="24"/>
                      <w:shd w:val="clear" w:color="auto" w:fill="FFFFFF"/>
                    </w:rPr>
                    <w:t>ėm</w:t>
                  </w:r>
                  <w:r>
                    <w:rPr>
                      <w:color w:val="242424"/>
                      <w:szCs w:val="24"/>
                      <w:shd w:val="clear" w:color="auto" w:fill="FFFFFF"/>
                    </w:rPr>
                    <w:t xml:space="preserve">s </w:t>
                  </w:r>
                  <w:r w:rsidR="006B1E9B">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015286">
                    <w:rPr>
                      <w:color w:val="242424"/>
                      <w:szCs w:val="24"/>
                      <w:shd w:val="clear" w:color="auto" w:fill="FFFFFF"/>
                    </w:rPr>
                    <w:t>ėm</w:t>
                  </w:r>
                  <w:r>
                    <w:rPr>
                      <w:color w:val="242424"/>
                      <w:szCs w:val="24"/>
                      <w:shd w:val="clear" w:color="auto" w:fill="FFFFFF"/>
                    </w:rPr>
                    <w:t xml:space="preserve">s </w:t>
                  </w:r>
                  <w:r w:rsidR="00015286">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1F388867" w:rsidR="00AB1195" w:rsidRDefault="00AB1195" w:rsidP="00AB1195">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944992A"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7</w:t>
                  </w:r>
                  <w:r>
                    <w:rPr>
                      <w:color w:val="242424"/>
                      <w:szCs w:val="24"/>
                      <w:shd w:val="clear" w:color="auto" w:fill="FFFFFF"/>
                    </w:rPr>
                    <w:t>. Projektą vykdančio personalo išlaidos kasmetin</w:t>
                  </w:r>
                  <w:r w:rsidR="003E0AE2">
                    <w:rPr>
                      <w:color w:val="242424"/>
                      <w:szCs w:val="24"/>
                      <w:shd w:val="clear" w:color="auto" w:fill="FFFFFF"/>
                    </w:rPr>
                    <w:t>ėm</w:t>
                  </w:r>
                  <w:r>
                    <w:rPr>
                      <w:color w:val="242424"/>
                      <w:szCs w:val="24"/>
                      <w:shd w:val="clear" w:color="auto" w:fill="FFFFFF"/>
                    </w:rPr>
                    <w:t xml:space="preserve">s </w:t>
                  </w:r>
                  <w:r w:rsidR="003E0AE2">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0A15111D" w:rsidR="00AB1195" w:rsidRDefault="00AB1195" w:rsidP="00AB1195">
                  <w:pPr>
                    <w:jc w:val="center"/>
                    <w:rPr>
                      <w:szCs w:val="24"/>
                      <w:shd w:val="clear" w:color="auto" w:fill="FFFFFF"/>
                    </w:rPr>
                  </w:pPr>
                  <w:r>
                    <w:rPr>
                      <w:szCs w:val="24"/>
                      <w:shd w:val="clear" w:color="auto" w:fill="FFFFFF"/>
                    </w:rPr>
                    <w:t xml:space="preserve">Fiksuotoji norma, taikoma, kai priklauso nuo 21 iki </w:t>
                  </w:r>
                  <w:r w:rsidR="00594529">
                    <w:rPr>
                      <w:szCs w:val="24"/>
                      <w:shd w:val="clear" w:color="auto" w:fill="FFFFFF"/>
                    </w:rPr>
                    <w:t>25 </w:t>
                  </w:r>
                  <w:r>
                    <w:rPr>
                      <w:szCs w:val="24"/>
                      <w:shd w:val="clear" w:color="auto" w:fill="FFFFFF"/>
                    </w:rPr>
                    <w:t xml:space="preserve">d. d. (jeigu dirbama </w:t>
                  </w:r>
                  <w:r w:rsidR="007F5D91">
                    <w:rPr>
                      <w:szCs w:val="24"/>
                      <w:shd w:val="clear" w:color="auto" w:fill="FFFFFF"/>
                    </w:rPr>
                    <w:br/>
                  </w:r>
                  <w:r>
                    <w:rPr>
                      <w:szCs w:val="24"/>
                      <w:shd w:val="clear" w:color="auto" w:fill="FFFFFF"/>
                    </w:rPr>
                    <w:t xml:space="preserve">5 d. d. per savaitę) arba nuo </w:t>
                  </w:r>
                  <w:r w:rsidR="002D19FD">
                    <w:rPr>
                      <w:szCs w:val="24"/>
                      <w:shd w:val="clear" w:color="auto" w:fill="FFFFFF"/>
                    </w:rPr>
                    <w:t>25 </w:t>
                  </w:r>
                  <w:r>
                    <w:rPr>
                      <w:szCs w:val="24"/>
                      <w:shd w:val="clear" w:color="auto" w:fill="FFFFFF"/>
                    </w:rPr>
                    <w:t>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6B6B8C59"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8</w:t>
                  </w:r>
                  <w:r>
                    <w:rPr>
                      <w:color w:val="242424"/>
                      <w:szCs w:val="24"/>
                      <w:shd w:val="clear" w:color="auto" w:fill="FFFFFF"/>
                    </w:rPr>
                    <w:t>.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r>
                    <w:rPr>
                      <w:color w:val="242424"/>
                      <w:szCs w:val="24"/>
                      <w:shd w:val="clear" w:color="auto" w:fill="FFFFFF"/>
                    </w:rPr>
                    <w:t xml:space="preserve">, kurios apskaičiuojamos nuo tinkamų finansuoti faktiškai patirtų vykdančiojo personalo darbo užmokesčio išlaidų, arba tiesiog Projektą vykdančio </w:t>
                  </w:r>
                  <w:r>
                    <w:rPr>
                      <w:color w:val="242424"/>
                      <w:szCs w:val="24"/>
                      <w:shd w:val="clear" w:color="auto" w:fill="FFFFFF"/>
                    </w:rPr>
                    <w:lastRenderedPageBreak/>
                    <w:t>personalo išlaidos kasmetin</w:t>
                  </w:r>
                  <w:r w:rsidR="00BC2BDF">
                    <w:rPr>
                      <w:color w:val="242424"/>
                      <w:szCs w:val="24"/>
                      <w:shd w:val="clear" w:color="auto" w:fill="FFFFFF"/>
                    </w:rPr>
                    <w:t>ėm</w:t>
                  </w:r>
                  <w:r>
                    <w:rPr>
                      <w:color w:val="242424"/>
                      <w:szCs w:val="24"/>
                      <w:shd w:val="clear" w:color="auto" w:fill="FFFFFF"/>
                    </w:rPr>
                    <w:t xml:space="preserve">s </w:t>
                  </w:r>
                  <w:r w:rsidR="00BC2BDF">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0AEAEA0F" w:rsidR="00AB1195" w:rsidRDefault="00AB1195" w:rsidP="00AB1195">
                  <w:pPr>
                    <w:jc w:val="center"/>
                    <w:rPr>
                      <w:szCs w:val="24"/>
                      <w:shd w:val="clear" w:color="auto" w:fill="FFFFFF"/>
                    </w:rPr>
                  </w:pPr>
                  <w:r>
                    <w:rPr>
                      <w:szCs w:val="24"/>
                      <w:shd w:val="clear" w:color="auto" w:fill="FFFFFF"/>
                    </w:rPr>
                    <w:t xml:space="preserve">Fiksuotoji norma, taikoma, kai priklauso nuo 26 iki </w:t>
                  </w:r>
                  <w:r w:rsidR="009B1288">
                    <w:rPr>
                      <w:szCs w:val="24"/>
                      <w:shd w:val="clear" w:color="auto" w:fill="FFFFFF"/>
                    </w:rPr>
                    <w:t>30 </w:t>
                  </w:r>
                  <w:r>
                    <w:rPr>
                      <w:szCs w:val="24"/>
                      <w:shd w:val="clear" w:color="auto" w:fill="FFFFFF"/>
                    </w:rPr>
                    <w:t xml:space="preserve">d. d. (jeigu dirbama </w:t>
                  </w:r>
                  <w:r w:rsidR="000F1088">
                    <w:rPr>
                      <w:szCs w:val="24"/>
                      <w:shd w:val="clear" w:color="auto" w:fill="FFFFFF"/>
                    </w:rPr>
                    <w:br/>
                  </w:r>
                  <w:r>
                    <w:rPr>
                      <w:szCs w:val="24"/>
                      <w:shd w:val="clear" w:color="auto" w:fill="FFFFFF"/>
                    </w:rPr>
                    <w:t xml:space="preserve">5 d. d. per savaitę) arba nuo </w:t>
                  </w:r>
                  <w:r w:rsidR="009B1288">
                    <w:rPr>
                      <w:szCs w:val="24"/>
                      <w:shd w:val="clear" w:color="auto" w:fill="FFFFFF"/>
                    </w:rPr>
                    <w:t>31 </w:t>
                  </w:r>
                  <w:r>
                    <w:rPr>
                      <w:szCs w:val="24"/>
                      <w:shd w:val="clear" w:color="auto" w:fill="FFFFFF"/>
                    </w:rPr>
                    <w:t>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28B84BDD"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9</w:t>
                  </w:r>
                  <w:r>
                    <w:rPr>
                      <w:color w:val="242424"/>
                      <w:szCs w:val="24"/>
                      <w:shd w:val="clear" w:color="auto" w:fill="FFFFFF"/>
                    </w:rPr>
                    <w:t xml:space="preserve">. Projektą vykdančio personalo išlaidos </w:t>
                  </w:r>
                  <w:r w:rsidR="00BC2BDF">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BC2BDF">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496D4665" w:rsidR="00AB1195" w:rsidRDefault="00AB1195" w:rsidP="00AB1195">
                  <w:pPr>
                    <w:jc w:val="center"/>
                    <w:rPr>
                      <w:szCs w:val="24"/>
                      <w:shd w:val="clear" w:color="auto" w:fill="FFFFFF"/>
                    </w:rPr>
                  </w:pPr>
                  <w:r>
                    <w:rPr>
                      <w:szCs w:val="24"/>
                      <w:shd w:val="clear" w:color="auto" w:fill="FFFFFF"/>
                    </w:rPr>
                    <w:t xml:space="preserve">Fiksuotoji norma, taikoma, kai priklauso nuo 31 iki </w:t>
                  </w:r>
                  <w:r w:rsidR="00D540C8">
                    <w:rPr>
                      <w:szCs w:val="24"/>
                      <w:shd w:val="clear" w:color="auto" w:fill="FFFFFF"/>
                    </w:rPr>
                    <w:t>36 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D540C8">
                    <w:rPr>
                      <w:szCs w:val="24"/>
                      <w:shd w:val="clear" w:color="auto" w:fill="FFFFFF"/>
                    </w:rPr>
                    <w:t>37 </w:t>
                  </w:r>
                  <w:r>
                    <w:rPr>
                      <w:szCs w:val="24"/>
                      <w:shd w:val="clear" w:color="auto" w:fill="FFFFFF"/>
                    </w:rPr>
                    <w:t>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14E67C9B"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10</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661F80B4" w:rsidR="00AB1195" w:rsidRDefault="00AB1195" w:rsidP="00AB1195">
                  <w:pPr>
                    <w:jc w:val="center"/>
                    <w:rPr>
                      <w:szCs w:val="24"/>
                      <w:shd w:val="clear" w:color="auto" w:fill="FFFFFF"/>
                    </w:rPr>
                  </w:pPr>
                  <w:r>
                    <w:rPr>
                      <w:szCs w:val="24"/>
                      <w:shd w:val="clear" w:color="auto" w:fill="FFFFFF"/>
                    </w:rPr>
                    <w:t xml:space="preserve">Fiksuotoji norma, taikoma, kai priklauso nuo 37 iki </w:t>
                  </w:r>
                  <w:r w:rsidR="00286A5C">
                    <w:rPr>
                      <w:szCs w:val="24"/>
                      <w:shd w:val="clear" w:color="auto" w:fill="FFFFFF"/>
                    </w:rPr>
                    <w:t>39 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856B08">
                    <w:rPr>
                      <w:szCs w:val="24"/>
                      <w:shd w:val="clear" w:color="auto" w:fill="FFFFFF"/>
                    </w:rPr>
                    <w:t>43 </w:t>
                  </w:r>
                  <w:r>
                    <w:rPr>
                      <w:szCs w:val="24"/>
                      <w:shd w:val="clear" w:color="auto" w:fill="FFFFFF"/>
                    </w:rPr>
                    <w:t>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F16B653"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11</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w:t>
                  </w:r>
                  <w:r>
                    <w:rPr>
                      <w:color w:val="242424"/>
                      <w:szCs w:val="24"/>
                      <w:shd w:val="clear" w:color="auto" w:fill="FFFFFF"/>
                    </w:rPr>
                    <w:lastRenderedPageBreak/>
                    <w:t xml:space="preserve">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54DAE1E7"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w:t>
                  </w:r>
                  <w:r w:rsidR="00CC4FE4">
                    <w:rPr>
                      <w:color w:val="242424"/>
                      <w:szCs w:val="24"/>
                      <w:shd w:val="clear" w:color="auto" w:fill="FFFFFF"/>
                    </w:rPr>
                    <w:t>2</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77777777" w:rsidR="00347EBD" w:rsidRDefault="00347EBD" w:rsidP="00347EBD">
      <w:pPr>
        <w:rPr>
          <w:b/>
          <w:szCs w:val="24"/>
        </w:rPr>
      </w:pPr>
      <w:r>
        <w:rPr>
          <w:b/>
          <w:bCs/>
          <w:szCs w:val="24"/>
        </w:rPr>
        <w:t xml:space="preserve">1. Pareiškėjas </w:t>
      </w:r>
      <w:r w:rsidRPr="00D407F0">
        <w:rPr>
          <w:b/>
          <w:bCs/>
          <w:szCs w:val="24"/>
        </w:rPr>
        <w:t>ir (ar) partneriai turi ekspertinių žinių projektui įgyvendinti</w:t>
      </w:r>
      <w:r>
        <w:rPr>
          <w:b/>
          <w:bCs/>
          <w:szCs w:val="24"/>
        </w:rPr>
        <w:t xml:space="preserve"> </w:t>
      </w:r>
      <w:r w:rsidRPr="00D407F0">
        <w:rPr>
          <w:b/>
          <w:bCs/>
          <w:szCs w:val="24"/>
        </w:rPr>
        <w:t>kompiuterinės lingvistikos ir (arba) tekstynų lingvistikos srityse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77777777" w:rsidR="00347EBD" w:rsidRDefault="00347EBD" w:rsidP="00AA18C4">
            <w:pPr>
              <w:rPr>
                <w:kern w:val="2"/>
                <w:szCs w:val="24"/>
              </w:rPr>
            </w:pPr>
            <w:r w:rsidRPr="00AA18C4">
              <w:rPr>
                <w:kern w:val="2"/>
                <w:szCs w:val="24"/>
              </w:rPr>
              <w:t>Pateikti ekspertinių žinių aprašymą, paaiškinti, kaip siejasi tai įrodantys dokumentai su kompiuterinės lingvistikos ir (arba)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6C8DC4C6" w:rsidR="00347EBD" w:rsidRPr="00A12DCC" w:rsidRDefault="00347EBD" w:rsidP="00347EBD">
      <w:pPr>
        <w:rPr>
          <w:b/>
          <w:szCs w:val="24"/>
        </w:rPr>
      </w:pPr>
      <w:r>
        <w:rPr>
          <w:b/>
          <w:bCs/>
          <w:szCs w:val="24"/>
        </w:rPr>
        <w:t xml:space="preserve">2.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r w:rsidRPr="00AA18C4">
        <w:rPr>
          <w:rStyle w:val="contentpasted0"/>
          <w:b/>
          <w:color w:val="000000"/>
          <w:szCs w:val="24"/>
        </w:rPr>
        <w:t>Natural language processing</w:t>
      </w:r>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r w:rsidRPr="00AA18C4">
        <w:rPr>
          <w:rStyle w:val="contentpasted0"/>
          <w:b/>
          <w:color w:val="000000"/>
          <w:szCs w:val="24"/>
        </w:rPr>
        <w:t>Deep learning</w:t>
      </w:r>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r w:rsidRPr="00AA18C4">
              <w:rPr>
                <w:rStyle w:val="contentpasted0"/>
                <w:color w:val="000000"/>
                <w:szCs w:val="24"/>
              </w:rPr>
              <w:t>Natural language processing</w:t>
            </w:r>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r w:rsidRPr="00AA18C4">
              <w:rPr>
                <w:rStyle w:val="contentpasted0"/>
                <w:color w:val="000000"/>
                <w:szCs w:val="24"/>
              </w:rPr>
              <w:t>Deep learning</w:t>
            </w:r>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77777777" w:rsidR="00347EBD" w:rsidRPr="007D0B34" w:rsidRDefault="00347EBD" w:rsidP="00347EBD">
      <w:pPr>
        <w:rPr>
          <w:b/>
          <w:szCs w:val="24"/>
        </w:rPr>
      </w:pPr>
      <w:r>
        <w:rPr>
          <w:b/>
          <w:bCs/>
          <w:szCs w:val="24"/>
        </w:rPr>
        <w:t xml:space="preserve">3.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projektų valdymo ir vykdymo srityse, kurių rezultatai buvo kalbos ištekliai ir (arba) kalbos technologijų sprendimai, naudojantys garsynus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A56245B"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kurių rezultatai buvo kalbos ištekliai ir (arba) kalbos technologijų sprendimai, naudojantys garsynus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76C598D3"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garsynus.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A33C" w14:textId="77777777" w:rsidR="00CF1FC8" w:rsidRDefault="00CF1FC8">
      <w:pPr>
        <w:rPr>
          <w:sz w:val="22"/>
          <w:szCs w:val="22"/>
        </w:rPr>
      </w:pPr>
      <w:r>
        <w:rPr>
          <w:sz w:val="22"/>
          <w:szCs w:val="22"/>
        </w:rPr>
        <w:separator/>
      </w:r>
    </w:p>
  </w:endnote>
  <w:endnote w:type="continuationSeparator" w:id="0">
    <w:p w14:paraId="6AAC36B6" w14:textId="77777777" w:rsidR="00CF1FC8" w:rsidRDefault="00CF1FC8">
      <w:pPr>
        <w:rPr>
          <w:sz w:val="22"/>
          <w:szCs w:val="22"/>
        </w:rPr>
      </w:pPr>
      <w:r>
        <w:rPr>
          <w:sz w:val="22"/>
          <w:szCs w:val="22"/>
        </w:rPr>
        <w:continuationSeparator/>
      </w:r>
    </w:p>
  </w:endnote>
  <w:endnote w:type="continuationNotice" w:id="1">
    <w:p w14:paraId="20476594" w14:textId="77777777" w:rsidR="00CF1FC8" w:rsidRDefault="00CF1FC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72A9D" w14:textId="77777777" w:rsidR="00CF1FC8" w:rsidRDefault="00CF1FC8">
      <w:pPr>
        <w:rPr>
          <w:sz w:val="22"/>
          <w:szCs w:val="22"/>
        </w:rPr>
      </w:pPr>
      <w:r>
        <w:rPr>
          <w:sz w:val="22"/>
          <w:szCs w:val="22"/>
        </w:rPr>
        <w:separator/>
      </w:r>
    </w:p>
  </w:footnote>
  <w:footnote w:type="continuationSeparator" w:id="0">
    <w:p w14:paraId="03706DD9" w14:textId="77777777" w:rsidR="00CF1FC8" w:rsidRDefault="00CF1FC8">
      <w:pPr>
        <w:rPr>
          <w:sz w:val="22"/>
          <w:szCs w:val="22"/>
        </w:rPr>
      </w:pPr>
      <w:r>
        <w:rPr>
          <w:sz w:val="22"/>
          <w:szCs w:val="22"/>
        </w:rPr>
        <w:continuationSeparator/>
      </w:r>
    </w:p>
  </w:footnote>
  <w:footnote w:type="continuationNotice" w:id="1">
    <w:p w14:paraId="364FC3FC" w14:textId="77777777" w:rsidR="00CF1FC8" w:rsidRDefault="00CF1FC8">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5B01A12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521126" w:rsidRPr="009A46A5">
      <w:rPr>
        <w:noProof/>
        <w:szCs w:val="22"/>
      </w:rPr>
      <w:t>6</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202"/>
    <w:multiLevelType w:val="hybridMultilevel"/>
    <w:tmpl w:val="0792AFD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30514D57"/>
    <w:multiLevelType w:val="hybridMultilevel"/>
    <w:tmpl w:val="81DAF2F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957AC5"/>
    <w:multiLevelType w:val="hybridMultilevel"/>
    <w:tmpl w:val="5ADE71B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0629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1"/>
  </w:num>
  <w:num w:numId="3" w16cid:durableId="2023626045">
    <w:abstractNumId w:val="0"/>
  </w:num>
  <w:num w:numId="4" w16cid:durableId="2006086381">
    <w:abstractNumId w:val="2"/>
  </w:num>
  <w:num w:numId="5" w16cid:durableId="112555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D0B"/>
    <w:rsid w:val="00015286"/>
    <w:rsid w:val="00016515"/>
    <w:rsid w:val="0002389C"/>
    <w:rsid w:val="0003115F"/>
    <w:rsid w:val="00032523"/>
    <w:rsid w:val="0003436B"/>
    <w:rsid w:val="000345F8"/>
    <w:rsid w:val="00036743"/>
    <w:rsid w:val="0004052F"/>
    <w:rsid w:val="0004141A"/>
    <w:rsid w:val="000451BA"/>
    <w:rsid w:val="000454C6"/>
    <w:rsid w:val="00045E20"/>
    <w:rsid w:val="00050F84"/>
    <w:rsid w:val="000531AF"/>
    <w:rsid w:val="00053630"/>
    <w:rsid w:val="00053706"/>
    <w:rsid w:val="00056D38"/>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9C7"/>
    <w:rsid w:val="00097DC6"/>
    <w:rsid w:val="000A6060"/>
    <w:rsid w:val="000B0976"/>
    <w:rsid w:val="000B3B09"/>
    <w:rsid w:val="000B56AA"/>
    <w:rsid w:val="000B5BA8"/>
    <w:rsid w:val="000B6054"/>
    <w:rsid w:val="000C17D4"/>
    <w:rsid w:val="000D1500"/>
    <w:rsid w:val="000D50F0"/>
    <w:rsid w:val="000E2607"/>
    <w:rsid w:val="000E6564"/>
    <w:rsid w:val="000E746D"/>
    <w:rsid w:val="000F068C"/>
    <w:rsid w:val="000F1088"/>
    <w:rsid w:val="000F272A"/>
    <w:rsid w:val="000F3104"/>
    <w:rsid w:val="000F34DA"/>
    <w:rsid w:val="000F589F"/>
    <w:rsid w:val="00102BB8"/>
    <w:rsid w:val="00106C90"/>
    <w:rsid w:val="001078F0"/>
    <w:rsid w:val="00107D28"/>
    <w:rsid w:val="00110655"/>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2444"/>
    <w:rsid w:val="00156788"/>
    <w:rsid w:val="00156B42"/>
    <w:rsid w:val="00161E15"/>
    <w:rsid w:val="001620A9"/>
    <w:rsid w:val="001814BA"/>
    <w:rsid w:val="001827A9"/>
    <w:rsid w:val="00185734"/>
    <w:rsid w:val="001929F2"/>
    <w:rsid w:val="00193467"/>
    <w:rsid w:val="001946CE"/>
    <w:rsid w:val="00196338"/>
    <w:rsid w:val="001A61BB"/>
    <w:rsid w:val="001A7772"/>
    <w:rsid w:val="001B4112"/>
    <w:rsid w:val="001B6C1C"/>
    <w:rsid w:val="001C40C0"/>
    <w:rsid w:val="001C5D30"/>
    <w:rsid w:val="001C6A7D"/>
    <w:rsid w:val="001D1E23"/>
    <w:rsid w:val="001E073E"/>
    <w:rsid w:val="001E3D2F"/>
    <w:rsid w:val="001E438F"/>
    <w:rsid w:val="001E4FFA"/>
    <w:rsid w:val="001F0EA1"/>
    <w:rsid w:val="001F316B"/>
    <w:rsid w:val="001F6DC8"/>
    <w:rsid w:val="0020200F"/>
    <w:rsid w:val="00210F7E"/>
    <w:rsid w:val="002110CB"/>
    <w:rsid w:val="00211E55"/>
    <w:rsid w:val="00214210"/>
    <w:rsid w:val="0021567F"/>
    <w:rsid w:val="00215802"/>
    <w:rsid w:val="00216A06"/>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5A23"/>
    <w:rsid w:val="00280DD9"/>
    <w:rsid w:val="00284E79"/>
    <w:rsid w:val="002861A6"/>
    <w:rsid w:val="00286972"/>
    <w:rsid w:val="00286A5C"/>
    <w:rsid w:val="00292C84"/>
    <w:rsid w:val="00293433"/>
    <w:rsid w:val="002B07A3"/>
    <w:rsid w:val="002B1009"/>
    <w:rsid w:val="002B1548"/>
    <w:rsid w:val="002B2A80"/>
    <w:rsid w:val="002B6AB4"/>
    <w:rsid w:val="002B74D2"/>
    <w:rsid w:val="002C167B"/>
    <w:rsid w:val="002C1CB4"/>
    <w:rsid w:val="002C2B81"/>
    <w:rsid w:val="002C6AE5"/>
    <w:rsid w:val="002C7F59"/>
    <w:rsid w:val="002D19FD"/>
    <w:rsid w:val="002D24D7"/>
    <w:rsid w:val="002D5DF9"/>
    <w:rsid w:val="002D6C72"/>
    <w:rsid w:val="002E1DD7"/>
    <w:rsid w:val="002E24C4"/>
    <w:rsid w:val="002E4827"/>
    <w:rsid w:val="002E4BDD"/>
    <w:rsid w:val="002E522C"/>
    <w:rsid w:val="002F2670"/>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2A35"/>
    <w:rsid w:val="00335D31"/>
    <w:rsid w:val="00341854"/>
    <w:rsid w:val="00344132"/>
    <w:rsid w:val="00344626"/>
    <w:rsid w:val="003448CB"/>
    <w:rsid w:val="00347EBD"/>
    <w:rsid w:val="0035442D"/>
    <w:rsid w:val="00354763"/>
    <w:rsid w:val="00357C6F"/>
    <w:rsid w:val="00364873"/>
    <w:rsid w:val="0036640C"/>
    <w:rsid w:val="00371F26"/>
    <w:rsid w:val="00376CC0"/>
    <w:rsid w:val="0038122C"/>
    <w:rsid w:val="00383E77"/>
    <w:rsid w:val="00384A23"/>
    <w:rsid w:val="00384EA9"/>
    <w:rsid w:val="0038770F"/>
    <w:rsid w:val="00392379"/>
    <w:rsid w:val="003971E3"/>
    <w:rsid w:val="00397548"/>
    <w:rsid w:val="003A116B"/>
    <w:rsid w:val="003A1B9F"/>
    <w:rsid w:val="003A6286"/>
    <w:rsid w:val="003B6F66"/>
    <w:rsid w:val="003C16F1"/>
    <w:rsid w:val="003C7BA3"/>
    <w:rsid w:val="003D0260"/>
    <w:rsid w:val="003D5101"/>
    <w:rsid w:val="003E0AE2"/>
    <w:rsid w:val="003E71B5"/>
    <w:rsid w:val="003F2714"/>
    <w:rsid w:val="003F4E43"/>
    <w:rsid w:val="00415E8A"/>
    <w:rsid w:val="00416301"/>
    <w:rsid w:val="00416B1D"/>
    <w:rsid w:val="00420B7F"/>
    <w:rsid w:val="00421267"/>
    <w:rsid w:val="00426B28"/>
    <w:rsid w:val="00427244"/>
    <w:rsid w:val="00430909"/>
    <w:rsid w:val="00430E04"/>
    <w:rsid w:val="004327C4"/>
    <w:rsid w:val="00434129"/>
    <w:rsid w:val="00437A8D"/>
    <w:rsid w:val="0044627E"/>
    <w:rsid w:val="00447DDE"/>
    <w:rsid w:val="00450B31"/>
    <w:rsid w:val="0045217E"/>
    <w:rsid w:val="00454756"/>
    <w:rsid w:val="004551CD"/>
    <w:rsid w:val="004645DB"/>
    <w:rsid w:val="00465CA6"/>
    <w:rsid w:val="004726F2"/>
    <w:rsid w:val="00476956"/>
    <w:rsid w:val="00486970"/>
    <w:rsid w:val="004870D7"/>
    <w:rsid w:val="0049116E"/>
    <w:rsid w:val="004B21DA"/>
    <w:rsid w:val="004B4F5A"/>
    <w:rsid w:val="004B688C"/>
    <w:rsid w:val="004B6C6F"/>
    <w:rsid w:val="004C0BFA"/>
    <w:rsid w:val="004C0D9B"/>
    <w:rsid w:val="004C2456"/>
    <w:rsid w:val="004C4057"/>
    <w:rsid w:val="004C45C6"/>
    <w:rsid w:val="004C4D82"/>
    <w:rsid w:val="004D1B7B"/>
    <w:rsid w:val="004D351F"/>
    <w:rsid w:val="004D3FD8"/>
    <w:rsid w:val="004D4036"/>
    <w:rsid w:val="004D6248"/>
    <w:rsid w:val="004E0A82"/>
    <w:rsid w:val="004E3187"/>
    <w:rsid w:val="004E34CD"/>
    <w:rsid w:val="004E47C1"/>
    <w:rsid w:val="004E4D14"/>
    <w:rsid w:val="004E55C6"/>
    <w:rsid w:val="004F13CF"/>
    <w:rsid w:val="004F292A"/>
    <w:rsid w:val="004F370B"/>
    <w:rsid w:val="004F6822"/>
    <w:rsid w:val="004F6F77"/>
    <w:rsid w:val="00502921"/>
    <w:rsid w:val="005044DA"/>
    <w:rsid w:val="00504BED"/>
    <w:rsid w:val="00506C60"/>
    <w:rsid w:val="00510C5A"/>
    <w:rsid w:val="00516907"/>
    <w:rsid w:val="00521126"/>
    <w:rsid w:val="00523FD5"/>
    <w:rsid w:val="00524E9A"/>
    <w:rsid w:val="005261D0"/>
    <w:rsid w:val="00527C32"/>
    <w:rsid w:val="0053251D"/>
    <w:rsid w:val="0053276F"/>
    <w:rsid w:val="00535D1C"/>
    <w:rsid w:val="00543EA5"/>
    <w:rsid w:val="0054574F"/>
    <w:rsid w:val="005520E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96BBE"/>
    <w:rsid w:val="005A0B62"/>
    <w:rsid w:val="005A1875"/>
    <w:rsid w:val="005A24A3"/>
    <w:rsid w:val="005B230B"/>
    <w:rsid w:val="005B31E1"/>
    <w:rsid w:val="005B5309"/>
    <w:rsid w:val="005C7AC5"/>
    <w:rsid w:val="005D076D"/>
    <w:rsid w:val="005D5F24"/>
    <w:rsid w:val="005F1F6E"/>
    <w:rsid w:val="005F5632"/>
    <w:rsid w:val="005F7C74"/>
    <w:rsid w:val="00600225"/>
    <w:rsid w:val="006018AB"/>
    <w:rsid w:val="00601F53"/>
    <w:rsid w:val="006030F6"/>
    <w:rsid w:val="00603E6D"/>
    <w:rsid w:val="006070C7"/>
    <w:rsid w:val="00607986"/>
    <w:rsid w:val="00612CE3"/>
    <w:rsid w:val="006133D9"/>
    <w:rsid w:val="0061637A"/>
    <w:rsid w:val="00627738"/>
    <w:rsid w:val="00632561"/>
    <w:rsid w:val="00632AEF"/>
    <w:rsid w:val="006400EB"/>
    <w:rsid w:val="00640C8F"/>
    <w:rsid w:val="00646DB7"/>
    <w:rsid w:val="00647CD3"/>
    <w:rsid w:val="0065090F"/>
    <w:rsid w:val="00652834"/>
    <w:rsid w:val="00673C9D"/>
    <w:rsid w:val="006758A8"/>
    <w:rsid w:val="006855CA"/>
    <w:rsid w:val="006900B0"/>
    <w:rsid w:val="006909C0"/>
    <w:rsid w:val="00690A74"/>
    <w:rsid w:val="0069487E"/>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7BC2"/>
    <w:rsid w:val="006D7EAF"/>
    <w:rsid w:val="006E5BC6"/>
    <w:rsid w:val="006E7474"/>
    <w:rsid w:val="006F1322"/>
    <w:rsid w:val="006F1730"/>
    <w:rsid w:val="006F47FC"/>
    <w:rsid w:val="00705027"/>
    <w:rsid w:val="007062E9"/>
    <w:rsid w:val="007109C6"/>
    <w:rsid w:val="00713FB3"/>
    <w:rsid w:val="00721147"/>
    <w:rsid w:val="007212BB"/>
    <w:rsid w:val="00722A5D"/>
    <w:rsid w:val="007276FA"/>
    <w:rsid w:val="007331BE"/>
    <w:rsid w:val="00736FA5"/>
    <w:rsid w:val="00743105"/>
    <w:rsid w:val="00747900"/>
    <w:rsid w:val="00752215"/>
    <w:rsid w:val="00753769"/>
    <w:rsid w:val="00760348"/>
    <w:rsid w:val="00764699"/>
    <w:rsid w:val="0076635C"/>
    <w:rsid w:val="00767924"/>
    <w:rsid w:val="0077022F"/>
    <w:rsid w:val="00771F03"/>
    <w:rsid w:val="007738E1"/>
    <w:rsid w:val="00773F80"/>
    <w:rsid w:val="007753C7"/>
    <w:rsid w:val="00775B77"/>
    <w:rsid w:val="007763DE"/>
    <w:rsid w:val="00780472"/>
    <w:rsid w:val="0078244D"/>
    <w:rsid w:val="00785EE9"/>
    <w:rsid w:val="0079350B"/>
    <w:rsid w:val="00794E22"/>
    <w:rsid w:val="007952DA"/>
    <w:rsid w:val="007B01D9"/>
    <w:rsid w:val="007B3657"/>
    <w:rsid w:val="007B4329"/>
    <w:rsid w:val="007C1A20"/>
    <w:rsid w:val="007C1DFB"/>
    <w:rsid w:val="007C5603"/>
    <w:rsid w:val="007C57A0"/>
    <w:rsid w:val="007D3CF8"/>
    <w:rsid w:val="007D3D66"/>
    <w:rsid w:val="007D43A9"/>
    <w:rsid w:val="007D75FD"/>
    <w:rsid w:val="007E2493"/>
    <w:rsid w:val="007E3688"/>
    <w:rsid w:val="007E4029"/>
    <w:rsid w:val="007E55D7"/>
    <w:rsid w:val="007F18CE"/>
    <w:rsid w:val="007F2E44"/>
    <w:rsid w:val="007F323B"/>
    <w:rsid w:val="007F5D91"/>
    <w:rsid w:val="0080081C"/>
    <w:rsid w:val="00801564"/>
    <w:rsid w:val="00817C04"/>
    <w:rsid w:val="008233F8"/>
    <w:rsid w:val="00823483"/>
    <w:rsid w:val="00832AA8"/>
    <w:rsid w:val="008343AB"/>
    <w:rsid w:val="00836D06"/>
    <w:rsid w:val="0084086D"/>
    <w:rsid w:val="00844D93"/>
    <w:rsid w:val="00846875"/>
    <w:rsid w:val="008503B9"/>
    <w:rsid w:val="00851F90"/>
    <w:rsid w:val="00856B08"/>
    <w:rsid w:val="00857D46"/>
    <w:rsid w:val="008646E6"/>
    <w:rsid w:val="00866AC8"/>
    <w:rsid w:val="0087781C"/>
    <w:rsid w:val="00880B4A"/>
    <w:rsid w:val="008841CF"/>
    <w:rsid w:val="008873ED"/>
    <w:rsid w:val="00887B1A"/>
    <w:rsid w:val="008902D7"/>
    <w:rsid w:val="00891825"/>
    <w:rsid w:val="008944B7"/>
    <w:rsid w:val="008953F6"/>
    <w:rsid w:val="008A0243"/>
    <w:rsid w:val="008A0675"/>
    <w:rsid w:val="008A2883"/>
    <w:rsid w:val="008A3B19"/>
    <w:rsid w:val="008A52F7"/>
    <w:rsid w:val="008B1777"/>
    <w:rsid w:val="008B326F"/>
    <w:rsid w:val="008B3827"/>
    <w:rsid w:val="008B6D8A"/>
    <w:rsid w:val="008C751C"/>
    <w:rsid w:val="008D292B"/>
    <w:rsid w:val="008D5B14"/>
    <w:rsid w:val="008E1026"/>
    <w:rsid w:val="008E45EE"/>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1C55"/>
    <w:rsid w:val="009A275A"/>
    <w:rsid w:val="009A468F"/>
    <w:rsid w:val="009A46A5"/>
    <w:rsid w:val="009B1288"/>
    <w:rsid w:val="009B261F"/>
    <w:rsid w:val="009B286A"/>
    <w:rsid w:val="009B3E3B"/>
    <w:rsid w:val="009B6F3B"/>
    <w:rsid w:val="009C3164"/>
    <w:rsid w:val="009C4591"/>
    <w:rsid w:val="009D0B88"/>
    <w:rsid w:val="009D4667"/>
    <w:rsid w:val="009D6B82"/>
    <w:rsid w:val="009D7ADE"/>
    <w:rsid w:val="009E2DC6"/>
    <w:rsid w:val="009E3441"/>
    <w:rsid w:val="009F35DA"/>
    <w:rsid w:val="009F3B3D"/>
    <w:rsid w:val="009F77C4"/>
    <w:rsid w:val="00A00282"/>
    <w:rsid w:val="00A010B1"/>
    <w:rsid w:val="00A05F3F"/>
    <w:rsid w:val="00A11791"/>
    <w:rsid w:val="00A131AB"/>
    <w:rsid w:val="00A141D0"/>
    <w:rsid w:val="00A1711E"/>
    <w:rsid w:val="00A20467"/>
    <w:rsid w:val="00A26985"/>
    <w:rsid w:val="00A26DB9"/>
    <w:rsid w:val="00A274AC"/>
    <w:rsid w:val="00A361B0"/>
    <w:rsid w:val="00A36204"/>
    <w:rsid w:val="00A47A51"/>
    <w:rsid w:val="00A521FD"/>
    <w:rsid w:val="00A523BB"/>
    <w:rsid w:val="00A562A2"/>
    <w:rsid w:val="00A5641F"/>
    <w:rsid w:val="00A61771"/>
    <w:rsid w:val="00A62736"/>
    <w:rsid w:val="00A64327"/>
    <w:rsid w:val="00A64F6F"/>
    <w:rsid w:val="00A65EF8"/>
    <w:rsid w:val="00A711A9"/>
    <w:rsid w:val="00A72485"/>
    <w:rsid w:val="00A75C4C"/>
    <w:rsid w:val="00A805DE"/>
    <w:rsid w:val="00A8774F"/>
    <w:rsid w:val="00A90739"/>
    <w:rsid w:val="00A9125B"/>
    <w:rsid w:val="00A9740D"/>
    <w:rsid w:val="00AA10DD"/>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17268"/>
    <w:rsid w:val="00B201C9"/>
    <w:rsid w:val="00B20BC7"/>
    <w:rsid w:val="00B32C6A"/>
    <w:rsid w:val="00B358EF"/>
    <w:rsid w:val="00B360E1"/>
    <w:rsid w:val="00B37269"/>
    <w:rsid w:val="00B411BE"/>
    <w:rsid w:val="00B433AF"/>
    <w:rsid w:val="00B43656"/>
    <w:rsid w:val="00B46D06"/>
    <w:rsid w:val="00B47EAE"/>
    <w:rsid w:val="00B540D4"/>
    <w:rsid w:val="00B54CD0"/>
    <w:rsid w:val="00B61363"/>
    <w:rsid w:val="00B61505"/>
    <w:rsid w:val="00B63E27"/>
    <w:rsid w:val="00B659F1"/>
    <w:rsid w:val="00B77876"/>
    <w:rsid w:val="00B8073E"/>
    <w:rsid w:val="00B81951"/>
    <w:rsid w:val="00B83399"/>
    <w:rsid w:val="00B8362F"/>
    <w:rsid w:val="00B96614"/>
    <w:rsid w:val="00BA1744"/>
    <w:rsid w:val="00BA7FEF"/>
    <w:rsid w:val="00BB02B3"/>
    <w:rsid w:val="00BB5AFC"/>
    <w:rsid w:val="00BC0188"/>
    <w:rsid w:val="00BC1992"/>
    <w:rsid w:val="00BC2BDF"/>
    <w:rsid w:val="00BC3D10"/>
    <w:rsid w:val="00BC5668"/>
    <w:rsid w:val="00BC724C"/>
    <w:rsid w:val="00BD33A1"/>
    <w:rsid w:val="00BD5690"/>
    <w:rsid w:val="00BE09F9"/>
    <w:rsid w:val="00BE206E"/>
    <w:rsid w:val="00BE225C"/>
    <w:rsid w:val="00BE39AE"/>
    <w:rsid w:val="00BE6204"/>
    <w:rsid w:val="00BF123A"/>
    <w:rsid w:val="00BF220C"/>
    <w:rsid w:val="00BF380E"/>
    <w:rsid w:val="00BF61F3"/>
    <w:rsid w:val="00C02A71"/>
    <w:rsid w:val="00C02CFF"/>
    <w:rsid w:val="00C07CA7"/>
    <w:rsid w:val="00C103B8"/>
    <w:rsid w:val="00C10A55"/>
    <w:rsid w:val="00C16A05"/>
    <w:rsid w:val="00C20E2C"/>
    <w:rsid w:val="00C228BF"/>
    <w:rsid w:val="00C22F78"/>
    <w:rsid w:val="00C24C6B"/>
    <w:rsid w:val="00C25C1F"/>
    <w:rsid w:val="00C35EE0"/>
    <w:rsid w:val="00C36BCC"/>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5670"/>
    <w:rsid w:val="00C93C0A"/>
    <w:rsid w:val="00C94105"/>
    <w:rsid w:val="00C96755"/>
    <w:rsid w:val="00CA0521"/>
    <w:rsid w:val="00CA30C9"/>
    <w:rsid w:val="00CA3882"/>
    <w:rsid w:val="00CA4A86"/>
    <w:rsid w:val="00CB4501"/>
    <w:rsid w:val="00CC2E36"/>
    <w:rsid w:val="00CC32EE"/>
    <w:rsid w:val="00CC3AC3"/>
    <w:rsid w:val="00CC4623"/>
    <w:rsid w:val="00CC4FE4"/>
    <w:rsid w:val="00CD0ECE"/>
    <w:rsid w:val="00CD1331"/>
    <w:rsid w:val="00CD6F67"/>
    <w:rsid w:val="00CE0F3D"/>
    <w:rsid w:val="00CE124C"/>
    <w:rsid w:val="00CE42CE"/>
    <w:rsid w:val="00CE42E2"/>
    <w:rsid w:val="00CE4A92"/>
    <w:rsid w:val="00CE7A04"/>
    <w:rsid w:val="00CF1FC8"/>
    <w:rsid w:val="00D0174F"/>
    <w:rsid w:val="00D019AD"/>
    <w:rsid w:val="00D063BF"/>
    <w:rsid w:val="00D10553"/>
    <w:rsid w:val="00D11BF5"/>
    <w:rsid w:val="00D140F2"/>
    <w:rsid w:val="00D16A4E"/>
    <w:rsid w:val="00D2754D"/>
    <w:rsid w:val="00D32919"/>
    <w:rsid w:val="00D33344"/>
    <w:rsid w:val="00D34F81"/>
    <w:rsid w:val="00D42CA2"/>
    <w:rsid w:val="00D4360D"/>
    <w:rsid w:val="00D45BDA"/>
    <w:rsid w:val="00D5212F"/>
    <w:rsid w:val="00D53A34"/>
    <w:rsid w:val="00D540C8"/>
    <w:rsid w:val="00D56D0C"/>
    <w:rsid w:val="00D62E02"/>
    <w:rsid w:val="00D65351"/>
    <w:rsid w:val="00D714CB"/>
    <w:rsid w:val="00D721EE"/>
    <w:rsid w:val="00D86C21"/>
    <w:rsid w:val="00D92C65"/>
    <w:rsid w:val="00D9301F"/>
    <w:rsid w:val="00D94190"/>
    <w:rsid w:val="00D9462E"/>
    <w:rsid w:val="00D94654"/>
    <w:rsid w:val="00DA4CF3"/>
    <w:rsid w:val="00DB0DDA"/>
    <w:rsid w:val="00DB32F5"/>
    <w:rsid w:val="00DB6040"/>
    <w:rsid w:val="00DB6C6A"/>
    <w:rsid w:val="00DC1197"/>
    <w:rsid w:val="00DC28F7"/>
    <w:rsid w:val="00DD41C4"/>
    <w:rsid w:val="00DD51A2"/>
    <w:rsid w:val="00DD7AB2"/>
    <w:rsid w:val="00DE6C57"/>
    <w:rsid w:val="00DE711B"/>
    <w:rsid w:val="00DF065B"/>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7B"/>
    <w:rsid w:val="00E706A2"/>
    <w:rsid w:val="00E748DA"/>
    <w:rsid w:val="00E773AA"/>
    <w:rsid w:val="00E83920"/>
    <w:rsid w:val="00E9122D"/>
    <w:rsid w:val="00E923F7"/>
    <w:rsid w:val="00E97AE5"/>
    <w:rsid w:val="00EB0444"/>
    <w:rsid w:val="00EB41BB"/>
    <w:rsid w:val="00EC239F"/>
    <w:rsid w:val="00ED5B08"/>
    <w:rsid w:val="00ED7311"/>
    <w:rsid w:val="00ED777E"/>
    <w:rsid w:val="00EE3642"/>
    <w:rsid w:val="00EE3F7D"/>
    <w:rsid w:val="00EE6066"/>
    <w:rsid w:val="00EF1655"/>
    <w:rsid w:val="00EF6881"/>
    <w:rsid w:val="00F00F61"/>
    <w:rsid w:val="00F0162B"/>
    <w:rsid w:val="00F04F3E"/>
    <w:rsid w:val="00F059E6"/>
    <w:rsid w:val="00F11068"/>
    <w:rsid w:val="00F124B5"/>
    <w:rsid w:val="00F151E3"/>
    <w:rsid w:val="00F204E9"/>
    <w:rsid w:val="00F25B67"/>
    <w:rsid w:val="00F31BAA"/>
    <w:rsid w:val="00F35AC2"/>
    <w:rsid w:val="00F374CC"/>
    <w:rsid w:val="00F44BC8"/>
    <w:rsid w:val="00F518C4"/>
    <w:rsid w:val="00F531DD"/>
    <w:rsid w:val="00F53E90"/>
    <w:rsid w:val="00F55561"/>
    <w:rsid w:val="00F61BF4"/>
    <w:rsid w:val="00F63360"/>
    <w:rsid w:val="00F65351"/>
    <w:rsid w:val="00F664E3"/>
    <w:rsid w:val="00F94C78"/>
    <w:rsid w:val="00F9727F"/>
    <w:rsid w:val="00FA137F"/>
    <w:rsid w:val="00FA7E3B"/>
    <w:rsid w:val="00FB7312"/>
    <w:rsid w:val="00FC4EEA"/>
    <w:rsid w:val="00FC4F56"/>
    <w:rsid w:val="00FC5670"/>
    <w:rsid w:val="00FD1032"/>
    <w:rsid w:val="00FD4EB8"/>
    <w:rsid w:val="00FD5E4A"/>
    <w:rsid w:val="00FD79FF"/>
    <w:rsid w:val="00FF4C87"/>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eimin.lrv.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24731</Words>
  <Characters>14098</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46</cp:revision>
  <cp:lastPrinted>2023-11-10T12:48:00Z</cp:lastPrinted>
  <dcterms:created xsi:type="dcterms:W3CDTF">2023-12-20T08:15:00Z</dcterms:created>
  <dcterms:modified xsi:type="dcterms:W3CDTF">2024-01-08T08:25:00Z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1254;#Austėja Garbinčiūtė;#90;#Laura Neliupšytė;#758;#Toma Šukienė;#1227;#Sonata Macijauskienė;#1089;#Rasa Mockutė</vt:lpwstr>
  </property>
  <property fmtid="{D5CDD505-2E9C-101B-9397-08002B2CF9AE}" pid="6" name="TaxCatchAll">
    <vt:lpwstr/>
  </property>
</Properties>
</file>