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6B5F6A2C" w:rsidR="006E7474" w:rsidRDefault="007C726B" w:rsidP="007D43A9">
      <w:pPr>
        <w:ind w:left="9639"/>
        <w:rPr>
          <w:szCs w:val="24"/>
        </w:rPr>
      </w:pPr>
      <w:r>
        <w:rPr>
          <w:szCs w:val="24"/>
          <w:lang w:val="en-US"/>
        </w:rPr>
        <w:t>12</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29E6AF20"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7C726B">
        <w:rPr>
          <w:b/>
          <w:bCs/>
          <w:szCs w:val="24"/>
        </w:rPr>
        <w:t>9</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7C726B">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6754A3F5"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w:t>
            </w:r>
            <w:r w:rsidR="00B84890">
              <w:rPr>
                <w:color w:val="000000"/>
              </w:rPr>
              <w:t>–</w:t>
            </w:r>
            <w:r w:rsidR="00D050C8">
              <w:rPr>
                <w:color w:val="000000"/>
              </w:rPr>
              <w:t xml:space="preserve"> </w:t>
            </w:r>
            <w:r w:rsidR="00B84890">
              <w:t>gynybos ir saugumo vienkalbiai ir lygiagretieji tekstynai</w:t>
            </w:r>
            <w:r w:rsidR="00D050C8">
              <w:rPr>
                <w:color w:val="000000"/>
              </w:rPr>
              <w:t>).</w:t>
            </w:r>
          </w:p>
          <w:p w14:paraId="00EF87C6" w14:textId="5CFAE1D2"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8B0D7E" w:rsidRPr="00A26985">
              <w:rPr>
                <w:szCs w:val="24"/>
              </w:rPr>
              <w:t>privatūs juridiniai asmenys</w:t>
            </w:r>
            <w:r w:rsidR="008B0D7E" w:rsidRPr="00AE543F">
              <w:rPr>
                <w:szCs w:val="24"/>
              </w:rPr>
              <w:t xml:space="preserve">.  </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31E8F618" w14:textId="3D8F21E6" w:rsidR="00B82021" w:rsidRPr="00842891" w:rsidRDefault="00B82021" w:rsidP="00B82021">
            <w:pPr>
              <w:widowControl w:val="0"/>
              <w:jc w:val="both"/>
            </w:pPr>
            <w:r w:rsidRPr="00842891">
              <w:t xml:space="preserve">2.4. Projekto veikloms įgyvendinti skiriama iki </w:t>
            </w:r>
            <w:r w:rsidR="003858DF">
              <w:t>240 000</w:t>
            </w:r>
            <w:r w:rsidRPr="00842891">
              <w:t xml:space="preserve"> Eur (</w:t>
            </w:r>
            <w:r w:rsidR="00730A9D">
              <w:t xml:space="preserve">du </w:t>
            </w:r>
            <w:r w:rsidRPr="00842891">
              <w:t xml:space="preserve">šimtai </w:t>
            </w:r>
            <w:r w:rsidR="00730A9D">
              <w:t>keturiasdešimt</w:t>
            </w:r>
            <w:r w:rsidRPr="00842891">
              <w:t xml:space="preserve"> tūkstanči</w:t>
            </w:r>
            <w:r>
              <w:t>ų</w:t>
            </w:r>
            <w:r w:rsidRPr="00842891">
              <w:t xml:space="preserve"> eurų) Ekonomikos gaivinimo ir atsparumo didinimo priemonės lėšų ir iki </w:t>
            </w:r>
            <w:r w:rsidR="003337C2">
              <w:rPr>
                <w:lang w:val="en-US"/>
              </w:rPr>
              <w:t>50 400</w:t>
            </w:r>
            <w:r>
              <w:t xml:space="preserve"> </w:t>
            </w:r>
            <w:r w:rsidRPr="00842891">
              <w:t>Eur (</w:t>
            </w:r>
            <w:r>
              <w:t xml:space="preserve"> </w:t>
            </w:r>
            <w:r w:rsidR="006374F0">
              <w:t>penkiasdešimt</w:t>
            </w:r>
            <w:r>
              <w:t xml:space="preserve"> tūkstančių </w:t>
            </w:r>
            <w:r w:rsidR="00D638FD">
              <w:t>keturi</w:t>
            </w:r>
            <w:r>
              <w:t xml:space="preserve">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55BD0486" w14:textId="77777777" w:rsidR="00A74FA7" w:rsidRDefault="006E6800" w:rsidP="00A74FA7">
            <w:pPr>
              <w:tabs>
                <w:tab w:val="left" w:pos="426"/>
                <w:tab w:val="left" w:pos="709"/>
              </w:tabs>
              <w:jc w:val="both"/>
              <w:rPr>
                <w:bCs/>
                <w:szCs w:val="24"/>
              </w:rPr>
            </w:pPr>
            <w:r w:rsidRPr="006E6800">
              <w:rPr>
                <w:bCs/>
                <w:szCs w:val="24"/>
              </w:rPr>
              <w:lastRenderedPageBreak/>
              <w:t>2.</w:t>
            </w:r>
            <w:r w:rsidR="00D805A4">
              <w:rPr>
                <w:bCs/>
                <w:szCs w:val="24"/>
              </w:rPr>
              <w:t>9</w:t>
            </w:r>
            <w:r w:rsidRPr="006E6800">
              <w:rPr>
                <w:bCs/>
                <w:szCs w:val="24"/>
              </w:rPr>
              <w:t>. Techniniai reikalavimai</w:t>
            </w:r>
            <w:r w:rsidR="00147849">
              <w:rPr>
                <w:bCs/>
                <w:szCs w:val="24"/>
              </w:rPr>
              <w:t xml:space="preserve"> projektui </w:t>
            </w:r>
            <w:r w:rsidRPr="006E6800">
              <w:rPr>
                <w:bCs/>
                <w:szCs w:val="24"/>
              </w:rPr>
              <w:t>:</w:t>
            </w:r>
          </w:p>
          <w:p w14:paraId="75DE660E" w14:textId="45FEDA3C" w:rsidR="00A74FA7" w:rsidRDefault="00A74FA7" w:rsidP="00A74FA7">
            <w:pPr>
              <w:tabs>
                <w:tab w:val="left" w:pos="426"/>
                <w:tab w:val="left" w:pos="709"/>
              </w:tabs>
              <w:jc w:val="both"/>
            </w:pPr>
            <w:r>
              <w:t xml:space="preserve">2.9.1. </w:t>
            </w:r>
            <w:r w:rsidR="00147849">
              <w:t>Vienkalbis anglų kalbos tekstynas –  ne mažesnis nei 10 mln. žodžių.</w:t>
            </w:r>
          </w:p>
          <w:p w14:paraId="0B6D2742" w14:textId="457685CB" w:rsidR="00A74FA7" w:rsidRDefault="00A74FA7" w:rsidP="00A74FA7">
            <w:pPr>
              <w:tabs>
                <w:tab w:val="left" w:pos="426"/>
                <w:tab w:val="left" w:pos="709"/>
              </w:tabs>
              <w:jc w:val="both"/>
            </w:pPr>
            <w:r>
              <w:t xml:space="preserve">2.9.2. </w:t>
            </w:r>
            <w:r w:rsidR="00147849">
              <w:t>Vienkalbis lietuvių kalbos tekstynas – ne mažesnis nei 10 mln. žodžių.</w:t>
            </w:r>
          </w:p>
          <w:p w14:paraId="1910EC7E" w14:textId="7B13B707" w:rsidR="00A74FA7" w:rsidRDefault="00A74FA7" w:rsidP="00A74FA7">
            <w:pPr>
              <w:tabs>
                <w:tab w:val="left" w:pos="426"/>
                <w:tab w:val="left" w:pos="709"/>
              </w:tabs>
              <w:jc w:val="both"/>
            </w:pPr>
            <w:r>
              <w:t>2.9</w:t>
            </w:r>
            <w:r w:rsidR="00783215">
              <w:t xml:space="preserve">.3. </w:t>
            </w:r>
            <w:r w:rsidR="00147849">
              <w:t>Lygiagretus anglų-lietuvių kalbų tekstynas – ne mažiau nei 100 tūkst. lygiagrečių sakinių.</w:t>
            </w:r>
          </w:p>
          <w:p w14:paraId="66F5D37B" w14:textId="270CB89F" w:rsidR="00A74FA7" w:rsidRDefault="00783215" w:rsidP="00A74FA7">
            <w:pPr>
              <w:tabs>
                <w:tab w:val="left" w:pos="426"/>
                <w:tab w:val="left" w:pos="709"/>
              </w:tabs>
              <w:jc w:val="both"/>
            </w:pPr>
            <w:r>
              <w:t xml:space="preserve">2.9.4. </w:t>
            </w:r>
            <w:r w:rsidR="00147849">
              <w:t>Lygiagrečiame tekstyne turi būti n</w:t>
            </w:r>
            <w:r w:rsidR="00147849" w:rsidRPr="0027451A">
              <w:t xml:space="preserve">e didesnis nei </w:t>
            </w:r>
            <w:r w:rsidR="00147849">
              <w:t>2</w:t>
            </w:r>
            <w:r w:rsidR="00147849" w:rsidRPr="0027451A">
              <w:t>% lygiavimo klaidų kiekis.</w:t>
            </w:r>
          </w:p>
          <w:p w14:paraId="1CBCACA8" w14:textId="23304844" w:rsidR="00147849" w:rsidRPr="00A74FA7" w:rsidRDefault="00783215" w:rsidP="00A74FA7">
            <w:pPr>
              <w:tabs>
                <w:tab w:val="left" w:pos="426"/>
                <w:tab w:val="left" w:pos="709"/>
              </w:tabs>
              <w:jc w:val="both"/>
              <w:rPr>
                <w:bCs/>
                <w:szCs w:val="24"/>
              </w:rPr>
            </w:pPr>
            <w:r>
              <w:t xml:space="preserve">2.9.5. </w:t>
            </w:r>
            <w:r w:rsidR="00147849" w:rsidRPr="0027451A">
              <w:t>Turi būti naudojam</w:t>
            </w:r>
            <w:r w:rsidR="00147849">
              <w:t>i</w:t>
            </w:r>
            <w:r w:rsidR="00147849" w:rsidRPr="0027451A">
              <w:t xml:space="preserve"> UTF-8 kodavimo standartinis TMX (</w:t>
            </w:r>
            <w:r w:rsidR="00147849">
              <w:t xml:space="preserve">angl. </w:t>
            </w:r>
            <w:r w:rsidR="00147849" w:rsidRPr="00B45D7A">
              <w:rPr>
                <w:i/>
                <w:iCs/>
              </w:rPr>
              <w:t>Translation Memory eXchange</w:t>
            </w:r>
            <w:r w:rsidR="00147849" w:rsidRPr="0027451A">
              <w:t xml:space="preserve">) </w:t>
            </w:r>
            <w:r w:rsidR="00147849">
              <w:t xml:space="preserve">ir XLIFF (XML Localisation Interchange File Format) </w:t>
            </w:r>
            <w:r w:rsidR="00147849" w:rsidRPr="0027451A">
              <w:t xml:space="preserve">duomenų </w:t>
            </w:r>
            <w:r w:rsidR="00147849">
              <w:t xml:space="preserve">standartų </w:t>
            </w:r>
            <w:r w:rsidR="00147849" w:rsidRPr="0027451A">
              <w:t>formata</w:t>
            </w:r>
            <w:r w:rsidR="00147849">
              <w:t>i</w:t>
            </w:r>
            <w:r w:rsidR="00147849" w:rsidRPr="0027451A">
              <w:t>.</w:t>
            </w:r>
          </w:p>
          <w:p w14:paraId="494C1293" w14:textId="74B52192" w:rsidR="006E6800" w:rsidRPr="006E6800" w:rsidRDefault="006E6800" w:rsidP="006E6800">
            <w:pPr>
              <w:tabs>
                <w:tab w:val="left" w:pos="426"/>
                <w:tab w:val="left" w:pos="709"/>
              </w:tabs>
              <w:jc w:val="both"/>
              <w:rPr>
                <w:bCs/>
                <w:szCs w:val="24"/>
              </w:rPr>
            </w:pPr>
            <w:r w:rsidRPr="006E6800">
              <w:rPr>
                <w:bCs/>
                <w:szCs w:val="24"/>
              </w:rPr>
              <w:t>2.</w:t>
            </w:r>
            <w:r w:rsidR="00D805A4">
              <w:rPr>
                <w:bCs/>
                <w:szCs w:val="24"/>
                <w:lang w:val="en-US"/>
              </w:rPr>
              <w:t>10</w:t>
            </w:r>
            <w:r w:rsidRPr="006E6800">
              <w:rPr>
                <w:b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14:paraId="06715E35" w14:textId="58017CD9"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Teisiniai reikalavimai projektui:</w:t>
            </w:r>
          </w:p>
          <w:p w14:paraId="4637D1B3" w14:textId="62FE3112"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66748D93" w14:textId="77777777" w:rsidR="006E6800" w:rsidRPr="006E6800" w:rsidRDefault="006E6800" w:rsidP="006E6800">
            <w:pPr>
              <w:tabs>
                <w:tab w:val="left" w:pos="426"/>
                <w:tab w:val="left" w:pos="709"/>
              </w:tabs>
              <w:jc w:val="both"/>
              <w:rPr>
                <w:bCs/>
                <w:szCs w:val="24"/>
              </w:rPr>
            </w:pPr>
            <w:r w:rsidRPr="006E6800">
              <w:rPr>
                <w:bCs/>
                <w:szCs w:val="24"/>
              </w:rPr>
              <w:t xml:space="preserve">https://eur-lex.europa.eu/legal-content/EN/TXT/?qid=1561563110433&amp;uri=CELEX:32019L1024); </w:t>
            </w:r>
          </w:p>
          <w:p w14:paraId="20684088" w14:textId="5B8E2BA9" w:rsidR="006E6800" w:rsidRPr="006E6800" w:rsidRDefault="006E6800" w:rsidP="006E6800">
            <w:pPr>
              <w:tabs>
                <w:tab w:val="left" w:pos="426"/>
                <w:tab w:val="left" w:pos="709"/>
              </w:tabs>
              <w:jc w:val="both"/>
              <w:rPr>
                <w:bCs/>
                <w:szCs w:val="24"/>
              </w:rPr>
            </w:pPr>
            <w:r w:rsidRPr="006E6800">
              <w:rPr>
                <w:bCs/>
                <w:szCs w:val="24"/>
              </w:rPr>
              <w:t>2.1</w:t>
            </w:r>
            <w:r w:rsidR="00DB304C">
              <w:rPr>
                <w:bCs/>
                <w:szCs w:val="24"/>
              </w:rPr>
              <w:t>1</w:t>
            </w:r>
            <w:r w:rsidRPr="006E6800">
              <w:rPr>
                <w:bCs/>
                <w:szCs w:val="24"/>
              </w:rPr>
              <w:t xml:space="preserve">.2.  Kuriant visus produktus (rezultatus) rekomenduojama atsižvelgti į naujai ruošiamą dirbtinio intelekto aktą (EUR-Lex - 52021PC0206 - EN - EUR-Lex (europa.eu)). </w:t>
            </w:r>
          </w:p>
          <w:p w14:paraId="5A762C4B" w14:textId="13BE2068" w:rsidR="006E6800" w:rsidRDefault="006E6800" w:rsidP="006E6800">
            <w:pPr>
              <w:jc w:val="both"/>
              <w:rPr>
                <w:bCs/>
                <w:szCs w:val="24"/>
              </w:rPr>
            </w:pPr>
            <w:r w:rsidRPr="006E6800">
              <w:rPr>
                <w:bCs/>
                <w:szCs w:val="24"/>
              </w:rPr>
              <w:t>2.1</w:t>
            </w:r>
            <w:r w:rsidR="00DB304C">
              <w:rPr>
                <w:bCs/>
                <w:szCs w:val="24"/>
              </w:rPr>
              <w:t>1</w:t>
            </w:r>
            <w:r w:rsidRPr="006E6800">
              <w:rPr>
                <w:bCs/>
                <w:szCs w:val="24"/>
              </w:rPr>
              <w:t>.2. Turi būti parengta ištekliaus naudojimo licencija, kuri užtikrina atvirą ir nemokamą prieigą prie ištekliaus. Visi surinkti tekstyno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lastRenderedPageBreak/>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4D714B33" w14:textId="7CF97CFD" w:rsidR="00CA4A86" w:rsidRPr="00BC4146" w:rsidRDefault="005F1F6E" w:rsidP="00BC4146">
            <w:pPr>
              <w:tabs>
                <w:tab w:val="decimal" w:pos="458"/>
                <w:tab w:val="left" w:pos="597"/>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5C704E3F"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75C0BA89"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71763500"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BC4146">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419EC692"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BC4146">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3"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w:t>
            </w:r>
            <w:r w:rsidRPr="00D97546">
              <w:rPr>
                <w:szCs w:val="24"/>
              </w:rPr>
              <w:lastRenderedPageBreak/>
              <w:t>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551402DB" w14:textId="77777777" w:rsidR="00C62DFC" w:rsidRPr="00507D88" w:rsidRDefault="00C62DFC" w:rsidP="00C62DFC">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7BBE7CD9" w14:textId="77777777" w:rsidR="00C62DFC" w:rsidRPr="0099798E" w:rsidRDefault="00C62DFC" w:rsidP="00C62DFC">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55C8833F" w14:textId="77777777" w:rsidR="00C62DFC" w:rsidRPr="00507D88" w:rsidRDefault="00C62DFC" w:rsidP="00C62DFC">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085FEFD1" w14:textId="77777777" w:rsidR="00C62DFC" w:rsidRPr="00507D88" w:rsidRDefault="00C62DFC" w:rsidP="00C62DFC">
            <w:pPr>
              <w:tabs>
                <w:tab w:val="left" w:pos="447"/>
              </w:tabs>
              <w:jc w:val="both"/>
            </w:pPr>
            <w:r w:rsidRPr="00507D88">
              <w:lastRenderedPageBreak/>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637FD5ED" w14:textId="77777777" w:rsidR="00C62DFC" w:rsidRPr="00507D88" w:rsidRDefault="00C62DFC" w:rsidP="00C62DFC">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3A3EDD5C" w:rsidR="006E7474" w:rsidRPr="00D721EE" w:rsidRDefault="00C62DFC" w:rsidP="00C62DFC">
            <w:pPr>
              <w:jc w:val="both"/>
              <w:rPr>
                <w:szCs w:val="24"/>
              </w:rPr>
            </w:pPr>
            <w:r w:rsidRPr="00507D88">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lastRenderedPageBreak/>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lastRenderedPageBreak/>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lastRenderedPageBreak/>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w:t>
                  </w:r>
                  <w:r>
                    <w:rPr>
                      <w:color w:val="242424"/>
                      <w:szCs w:val="24"/>
                      <w:shd w:val="clear" w:color="auto" w:fill="FFFFFF"/>
                    </w:rPr>
                    <w:lastRenderedPageBreak/>
                    <w:t xml:space="preserve">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w:t>
                  </w:r>
                  <w:r>
                    <w:rPr>
                      <w:color w:val="242424"/>
                      <w:szCs w:val="24"/>
                      <w:shd w:val="clear" w:color="auto" w:fill="FFFFFF"/>
                    </w:rPr>
                    <w:lastRenderedPageBreak/>
                    <w:t xml:space="preserve">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35EB" w14:textId="77777777" w:rsidR="008B6404" w:rsidRDefault="008B6404">
      <w:pPr>
        <w:rPr>
          <w:sz w:val="22"/>
          <w:szCs w:val="22"/>
        </w:rPr>
      </w:pPr>
      <w:r>
        <w:rPr>
          <w:sz w:val="22"/>
          <w:szCs w:val="22"/>
        </w:rPr>
        <w:separator/>
      </w:r>
    </w:p>
  </w:endnote>
  <w:endnote w:type="continuationSeparator" w:id="0">
    <w:p w14:paraId="356B4655" w14:textId="77777777" w:rsidR="008B6404" w:rsidRDefault="008B6404">
      <w:pPr>
        <w:rPr>
          <w:sz w:val="22"/>
          <w:szCs w:val="22"/>
        </w:rPr>
      </w:pPr>
      <w:r>
        <w:rPr>
          <w:sz w:val="22"/>
          <w:szCs w:val="22"/>
        </w:rPr>
        <w:continuationSeparator/>
      </w:r>
    </w:p>
  </w:endnote>
  <w:endnote w:type="continuationNotice" w:id="1">
    <w:p w14:paraId="1C18EA1B" w14:textId="77777777" w:rsidR="008B6404" w:rsidRDefault="008B640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A534" w14:textId="77777777" w:rsidR="008B6404" w:rsidRDefault="008B6404">
      <w:pPr>
        <w:rPr>
          <w:sz w:val="22"/>
          <w:szCs w:val="22"/>
        </w:rPr>
      </w:pPr>
      <w:r>
        <w:rPr>
          <w:sz w:val="22"/>
          <w:szCs w:val="22"/>
        </w:rPr>
        <w:separator/>
      </w:r>
    </w:p>
  </w:footnote>
  <w:footnote w:type="continuationSeparator" w:id="0">
    <w:p w14:paraId="1C9270D9" w14:textId="77777777" w:rsidR="008B6404" w:rsidRDefault="008B6404">
      <w:pPr>
        <w:rPr>
          <w:sz w:val="22"/>
          <w:szCs w:val="22"/>
        </w:rPr>
      </w:pPr>
      <w:r>
        <w:rPr>
          <w:sz w:val="22"/>
          <w:szCs w:val="22"/>
        </w:rPr>
        <w:continuationSeparator/>
      </w:r>
    </w:p>
  </w:footnote>
  <w:footnote w:type="continuationNotice" w:id="1">
    <w:p w14:paraId="4FA4CC29" w14:textId="77777777" w:rsidR="008B6404" w:rsidRDefault="008B640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6F04FDF"/>
    <w:multiLevelType w:val="hybridMultilevel"/>
    <w:tmpl w:val="BD421E30"/>
    <w:lvl w:ilvl="0" w:tplc="77F4583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 w:numId="3" w16cid:durableId="50740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47849"/>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37C2"/>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58DF"/>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374F0"/>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0A9D"/>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3215"/>
    <w:rsid w:val="00785EE9"/>
    <w:rsid w:val="0079350B"/>
    <w:rsid w:val="00794E22"/>
    <w:rsid w:val="007952DA"/>
    <w:rsid w:val="007B01D9"/>
    <w:rsid w:val="007B3657"/>
    <w:rsid w:val="007B4329"/>
    <w:rsid w:val="007C1A20"/>
    <w:rsid w:val="007C1DFB"/>
    <w:rsid w:val="007C5603"/>
    <w:rsid w:val="007C726B"/>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5F38"/>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0D7E"/>
    <w:rsid w:val="008B1777"/>
    <w:rsid w:val="008B326F"/>
    <w:rsid w:val="008B3827"/>
    <w:rsid w:val="008B6404"/>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4FA7"/>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84890"/>
    <w:rsid w:val="00B96614"/>
    <w:rsid w:val="00BA1744"/>
    <w:rsid w:val="00BA7FEF"/>
    <w:rsid w:val="00BB02B3"/>
    <w:rsid w:val="00BB5AFC"/>
    <w:rsid w:val="00BC0188"/>
    <w:rsid w:val="00BC1992"/>
    <w:rsid w:val="00BC2BDF"/>
    <w:rsid w:val="00BC3D10"/>
    <w:rsid w:val="00BC4146"/>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2DFC"/>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38FD"/>
    <w:rsid w:val="00D65351"/>
    <w:rsid w:val="00D714CB"/>
    <w:rsid w:val="00D721EE"/>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18</Pages>
  <Words>22536</Words>
  <Characters>12847</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40</cp:revision>
  <cp:lastPrinted>2023-11-10T12:48:00Z</cp:lastPrinted>
  <dcterms:created xsi:type="dcterms:W3CDTF">2023-12-20T08:15:00Z</dcterms:created>
  <dcterms:modified xsi:type="dcterms:W3CDTF">2024-01-08T17:41:00Z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