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E074" w14:textId="7851AAAA" w:rsidR="00C90C77" w:rsidRPr="003817A0" w:rsidRDefault="00C90C77" w:rsidP="00264609">
      <w:pPr>
        <w:ind w:left="5760"/>
        <w:jc w:val="both"/>
        <w:outlineLvl w:val="0"/>
      </w:pPr>
    </w:p>
    <w:p w14:paraId="4867664A" w14:textId="098464C4" w:rsidR="00C90C77" w:rsidRPr="003817A0" w:rsidRDefault="000E4DD2" w:rsidP="00C90C77">
      <w:pPr>
        <w:pStyle w:val="Heading5"/>
        <w:ind w:left="4464" w:firstLine="1296"/>
        <w:jc w:val="both"/>
        <w:rPr>
          <w:rFonts w:ascii="Times New Roman" w:hAnsi="Times New Roman"/>
          <w:i w:val="0"/>
          <w:sz w:val="24"/>
          <w:szCs w:val="24"/>
        </w:rPr>
      </w:pPr>
      <w:r w:rsidRPr="003817A0">
        <w:rPr>
          <w:rFonts w:ascii="Times New Roman" w:hAnsi="Times New Roman"/>
          <w:i w:val="0"/>
          <w:sz w:val="24"/>
          <w:szCs w:val="24"/>
        </w:rPr>
        <w:t>1</w:t>
      </w:r>
      <w:r w:rsidR="00C90C77" w:rsidRPr="003817A0">
        <w:rPr>
          <w:rFonts w:ascii="Times New Roman" w:hAnsi="Times New Roman"/>
          <w:i w:val="0"/>
          <w:sz w:val="24"/>
          <w:szCs w:val="24"/>
        </w:rPr>
        <w:t xml:space="preserve"> PRIEDAS</w:t>
      </w:r>
    </w:p>
    <w:p w14:paraId="41CC0A30" w14:textId="2AEDE2E0" w:rsidR="00C90C77" w:rsidRPr="003817A0" w:rsidRDefault="00C90C77" w:rsidP="00C90C77">
      <w:pPr>
        <w:ind w:left="5760"/>
        <w:jc w:val="both"/>
        <w:outlineLvl w:val="0"/>
      </w:pPr>
      <w:r w:rsidRPr="003817A0">
        <w:t xml:space="preserve">prie </w:t>
      </w:r>
      <w:r w:rsidR="00C35662" w:rsidRPr="003817A0">
        <w:t>Stebėsenos k</w:t>
      </w:r>
      <w:r w:rsidRPr="003817A0">
        <w:t>omiteto 202</w:t>
      </w:r>
      <w:r w:rsidR="0056310E" w:rsidRPr="003817A0">
        <w:t>3</w:t>
      </w:r>
      <w:r w:rsidRPr="003817A0">
        <w:t xml:space="preserve"> m</w:t>
      </w:r>
      <w:r w:rsidR="00521E8D" w:rsidRPr="003817A0">
        <w:t xml:space="preserve">. </w:t>
      </w:r>
      <w:r w:rsidR="00C07297">
        <w:t>gruodžio 13 d</w:t>
      </w:r>
      <w:r w:rsidRPr="003817A0">
        <w:t xml:space="preserve">. posėdžio protokolinio sprendimo </w:t>
      </w:r>
    </w:p>
    <w:p w14:paraId="4BAF9D17" w14:textId="48E1C9E2" w:rsidR="00C90C77" w:rsidRPr="003817A0" w:rsidRDefault="00C90C77" w:rsidP="00C90C77">
      <w:pPr>
        <w:ind w:left="5760"/>
        <w:jc w:val="both"/>
        <w:outlineLvl w:val="0"/>
      </w:pPr>
      <w:r w:rsidRPr="003817A0">
        <w:t>Nr. 46P-</w:t>
      </w:r>
      <w:r w:rsidR="0056310E" w:rsidRPr="003817A0">
        <w:t xml:space="preserve"> </w:t>
      </w:r>
      <w:r w:rsidR="00C07297">
        <w:t>10</w:t>
      </w:r>
      <w:r w:rsidR="0056310E" w:rsidRPr="003817A0">
        <w:t xml:space="preserve"> </w:t>
      </w:r>
      <w:r w:rsidRPr="003817A0">
        <w:t>(</w:t>
      </w:r>
      <w:r w:rsidR="00521E8D" w:rsidRPr="003817A0">
        <w:t>1</w:t>
      </w:r>
      <w:r w:rsidR="00C07297">
        <w:t>6</w:t>
      </w:r>
      <w:r w:rsidRPr="003817A0">
        <w:t>)</w:t>
      </w:r>
    </w:p>
    <w:p w14:paraId="700D2494" w14:textId="77777777" w:rsidR="00C90C77" w:rsidRPr="003817A0" w:rsidRDefault="00C90C77" w:rsidP="00264609">
      <w:pPr>
        <w:ind w:left="5760"/>
        <w:jc w:val="both"/>
        <w:outlineLvl w:val="0"/>
      </w:pPr>
    </w:p>
    <w:p w14:paraId="73F064E4" w14:textId="77777777" w:rsidR="004A2BD8" w:rsidRPr="003817A0" w:rsidRDefault="004A2BD8" w:rsidP="00F32528">
      <w:pPr>
        <w:pStyle w:val="NormalWeb"/>
        <w:spacing w:before="0" w:beforeAutospacing="0" w:after="0" w:afterAutospacing="0"/>
        <w:rPr>
          <w:b/>
        </w:rPr>
      </w:pPr>
    </w:p>
    <w:p w14:paraId="0B5D8D53" w14:textId="4C22DA88" w:rsidR="000E4DD2" w:rsidRPr="003817A0" w:rsidRDefault="000E4DD2" w:rsidP="00451B85">
      <w:pPr>
        <w:tabs>
          <w:tab w:val="left" w:pos="1134"/>
        </w:tabs>
        <w:ind w:firstLine="567"/>
        <w:jc w:val="both"/>
        <w:rPr>
          <w:b/>
        </w:rPr>
      </w:pPr>
      <w:r w:rsidRPr="003817A0">
        <w:t>Stebėsenos komitetas 202</w:t>
      </w:r>
      <w:r w:rsidR="0056310E" w:rsidRPr="003817A0">
        <w:t>3</w:t>
      </w:r>
      <w:r w:rsidRPr="003817A0">
        <w:t xml:space="preserve"> m. </w:t>
      </w:r>
      <w:r w:rsidR="00C07297">
        <w:t>gruodžio</w:t>
      </w:r>
      <w:r w:rsidR="00440DCB" w:rsidRPr="003817A0">
        <w:t xml:space="preserve"> </w:t>
      </w:r>
      <w:r w:rsidR="00C07297">
        <w:rPr>
          <w:lang w:val="en-US"/>
        </w:rPr>
        <w:t>13</w:t>
      </w:r>
      <w:r w:rsidR="00315084" w:rsidRPr="003817A0">
        <w:rPr>
          <w:lang w:val="en-US"/>
        </w:rPr>
        <w:t xml:space="preserve"> d</w:t>
      </w:r>
      <w:r w:rsidRPr="003817A0">
        <w:t>. posėdyje patvirtino:</w:t>
      </w:r>
    </w:p>
    <w:p w14:paraId="6124A5B7" w14:textId="7C590DA1" w:rsidR="000E4DD2" w:rsidRPr="003817A0" w:rsidRDefault="000E4DD2" w:rsidP="00451B85">
      <w:pPr>
        <w:tabs>
          <w:tab w:val="left" w:pos="1134"/>
        </w:tabs>
        <w:ind w:firstLine="567"/>
        <w:jc w:val="both"/>
        <w:rPr>
          <w:b/>
        </w:rPr>
      </w:pPr>
    </w:p>
    <w:p w14:paraId="7F6CDD22" w14:textId="0E6C671A" w:rsidR="000E4DD2" w:rsidRPr="003817A0" w:rsidRDefault="000E4DD2" w:rsidP="00451B85">
      <w:pPr>
        <w:tabs>
          <w:tab w:val="left" w:pos="1134"/>
        </w:tabs>
        <w:ind w:firstLine="567"/>
        <w:jc w:val="both"/>
        <w:rPr>
          <w:b/>
        </w:rPr>
      </w:pPr>
    </w:p>
    <w:p w14:paraId="5AE0EBC7" w14:textId="3E97007E" w:rsidR="00A27EA9" w:rsidRPr="00C07297" w:rsidRDefault="00C07297" w:rsidP="00C07297">
      <w:pPr>
        <w:pStyle w:val="ListParagraph"/>
        <w:numPr>
          <w:ilvl w:val="0"/>
          <w:numId w:val="2"/>
        </w:numPr>
        <w:tabs>
          <w:tab w:val="left" w:pos="1134"/>
        </w:tabs>
        <w:jc w:val="both"/>
        <w:rPr>
          <w:bCs/>
        </w:rPr>
      </w:pPr>
      <w:r w:rsidRPr="00654250">
        <w:t xml:space="preserve">Investicijų programos </w:t>
      </w:r>
      <w:r w:rsidRPr="007F17D9">
        <w:t>1</w:t>
      </w:r>
      <w:r>
        <w:t xml:space="preserve"> </w:t>
      </w:r>
      <w:r w:rsidRPr="007F17D9">
        <w:t>prioritet</w:t>
      </w:r>
      <w:r>
        <w:t xml:space="preserve">o </w:t>
      </w:r>
      <w:r w:rsidRPr="007F17D9">
        <w:t>„Pažangesnė</w:t>
      </w:r>
      <w:r>
        <w:t xml:space="preserve"> </w:t>
      </w:r>
      <w:r w:rsidRPr="007F17D9">
        <w:t>Lietuva“</w:t>
      </w:r>
      <w:r>
        <w:t xml:space="preserve"> </w:t>
      </w:r>
      <w:r w:rsidRPr="007F17D9">
        <w:t>1.</w:t>
      </w:r>
      <w:r>
        <w:t xml:space="preserve">1 </w:t>
      </w:r>
      <w:r w:rsidRPr="007F17D9">
        <w:t>uždavin</w:t>
      </w:r>
      <w:r>
        <w:t xml:space="preserve">io </w:t>
      </w:r>
      <w:r w:rsidRPr="007F17D9">
        <w:t>„Plėtoti</w:t>
      </w:r>
      <w:r>
        <w:t xml:space="preserve"> </w:t>
      </w:r>
      <w:r w:rsidRPr="007F17D9">
        <w:t>ir</w:t>
      </w:r>
      <w:r>
        <w:t xml:space="preserve"> </w:t>
      </w:r>
      <w:r w:rsidRPr="007F17D9">
        <w:t>stiprinti</w:t>
      </w:r>
      <w:r>
        <w:t xml:space="preserve"> </w:t>
      </w:r>
      <w:r w:rsidRPr="007F17D9">
        <w:t>mokslinių</w:t>
      </w:r>
      <w:r>
        <w:t xml:space="preserve"> </w:t>
      </w:r>
      <w:r w:rsidRPr="007F17D9">
        <w:t>tyrimų</w:t>
      </w:r>
      <w:r>
        <w:t xml:space="preserve"> </w:t>
      </w:r>
      <w:r w:rsidRPr="007F17D9">
        <w:t>ir</w:t>
      </w:r>
      <w:r>
        <w:t xml:space="preserve"> </w:t>
      </w:r>
      <w:r w:rsidRPr="007F17D9">
        <w:t>inovacinius</w:t>
      </w:r>
      <w:r>
        <w:t xml:space="preserve"> </w:t>
      </w:r>
      <w:r w:rsidRPr="007F17D9">
        <w:t>pajėgumus</w:t>
      </w:r>
      <w:r>
        <w:t xml:space="preserve"> </w:t>
      </w:r>
      <w:r w:rsidRPr="007F17D9">
        <w:t>ir</w:t>
      </w:r>
      <w:r>
        <w:t xml:space="preserve"> </w:t>
      </w:r>
      <w:r w:rsidRPr="007F17D9">
        <w:t>diegti</w:t>
      </w:r>
      <w:r>
        <w:t xml:space="preserve"> </w:t>
      </w:r>
      <w:r w:rsidRPr="007F17D9">
        <w:t>pažangiąsias</w:t>
      </w:r>
      <w:r>
        <w:t xml:space="preserve"> </w:t>
      </w:r>
      <w:r w:rsidRPr="007F17D9">
        <w:t>technologijas“</w:t>
      </w:r>
      <w:r>
        <w:t>, Ekonomikos ir inovacijų ministerijos administruojamos pažangos priemonės Nr.</w:t>
      </w:r>
      <w:r w:rsidRPr="00EB1174">
        <w:t xml:space="preserve"> </w:t>
      </w:r>
      <w:r>
        <w:t>05-001-01-05-07</w:t>
      </w:r>
      <w:r w:rsidRPr="00EB1174">
        <w:t xml:space="preserve"> „</w:t>
      </w:r>
      <w:r>
        <w:t>Sukurti nuoseklią inovacinės veiklos skatinimo sistemą</w:t>
      </w:r>
      <w:r w:rsidRPr="00EB1174">
        <w:t>“</w:t>
      </w:r>
      <w:r w:rsidRPr="00654250">
        <w:t xml:space="preserve"> </w:t>
      </w:r>
      <w:r w:rsidR="00E9177C">
        <w:t xml:space="preserve">veiklos </w:t>
      </w:r>
      <w:r w:rsidR="00E9177C" w:rsidRPr="00E9177C">
        <w:rPr>
          <w:b/>
          <w:bCs/>
        </w:rPr>
        <w:t>„10. Skatinti tiesioginių užsienio investicijų (toliau – TUI) pritraukimą į mokslinius tyrimus ir eksperimentinę plėtrą (toliau – MTEP)“ poveiklė</w:t>
      </w:r>
      <w:r w:rsidR="00E9177C">
        <w:rPr>
          <w:b/>
          <w:bCs/>
        </w:rPr>
        <w:t>s</w:t>
      </w:r>
      <w:r w:rsidR="00E9177C" w:rsidRPr="00E9177C">
        <w:rPr>
          <w:b/>
          <w:bCs/>
        </w:rPr>
        <w:t xml:space="preserve"> „10.2 Skatinti aukštos pridėtinės vertės (toliau – APV) TUI: MTEP vykdymą ir bendradarbiavimą bei technologijų perdavimą tarp didelių įmonių ir labai mažų, mažų ir vidutinių įmonių (toliau – MVĮ) technologijų ir inovacijų srityse (Vidurio ir vakarų Lietuvos regionas)“</w:t>
      </w:r>
      <w:r>
        <w:t xml:space="preserve"> aštuonių (8) </w:t>
      </w:r>
      <w:r w:rsidRPr="00654250">
        <w:t>projektų atrankos kriterij</w:t>
      </w:r>
      <w:r>
        <w:t>ų</w:t>
      </w:r>
      <w:r w:rsidRPr="00654250">
        <w:t xml:space="preserve"> nustatym</w:t>
      </w:r>
      <w:r>
        <w:t>ą:</w:t>
      </w:r>
    </w:p>
    <w:p w14:paraId="132EBB3D" w14:textId="77777777" w:rsidR="00C07297" w:rsidRPr="003817A0" w:rsidRDefault="00C07297" w:rsidP="00C07297">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A1A6D" w:rsidRPr="008B3BB0" w14:paraId="39C46BEA" w14:textId="77777777" w:rsidTr="004840F6">
        <w:tc>
          <w:tcPr>
            <w:tcW w:w="9016" w:type="dxa"/>
          </w:tcPr>
          <w:p w14:paraId="06C7CB06" w14:textId="1CDAE809" w:rsidR="00BA1A6D" w:rsidRPr="008B3BB0" w:rsidRDefault="000A0E46" w:rsidP="00C07297">
            <w:pPr>
              <w:pStyle w:val="ListParagraph"/>
              <w:numPr>
                <w:ilvl w:val="0"/>
                <w:numId w:val="19"/>
              </w:numPr>
              <w:tabs>
                <w:tab w:val="left" w:pos="1134"/>
              </w:tabs>
              <w:jc w:val="both"/>
              <w:rPr>
                <w:rFonts w:ascii="Times New Roman" w:hAnsi="Times New Roman"/>
                <w:bCs/>
              </w:rPr>
            </w:pPr>
            <w:r w:rsidRPr="008B3BB0">
              <w:rPr>
                <w:rFonts w:ascii="Times New Roman" w:hAnsi="Times New Roman"/>
                <w:bCs/>
              </w:rPr>
              <w:t xml:space="preserve">Specialusis projektų atrankos kriterijus. </w:t>
            </w:r>
            <w:r w:rsidR="00E31E78" w:rsidRPr="008B3BB0">
              <w:rPr>
                <w:rFonts w:ascii="Times New Roman" w:hAnsi="Times New Roman"/>
                <w:bCs/>
                <w:iCs/>
                <w:lang w:eastAsia="lt-LT"/>
              </w:rPr>
              <w:t xml:space="preserve">Projekto veikla atitinka </w:t>
            </w:r>
            <w:hyperlink r:id="rId8" w:history="1">
              <w:r w:rsidR="00E31E78" w:rsidRPr="008B3BB0">
                <w:rPr>
                  <w:rStyle w:val="Hyperlink"/>
                  <w:rFonts w:ascii="Times New Roman" w:hAnsi="Times New Roman"/>
                  <w:bCs/>
                  <w:iCs/>
                  <w:color w:val="auto"/>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00E31E78" w:rsidRPr="008B3BB0">
              <w:rPr>
                <w:rFonts w:ascii="Times New Roman" w:hAnsi="Times New Roman"/>
                <w:bCs/>
                <w:iCs/>
                <w:lang w:eastAsia="lt-LT"/>
              </w:rPr>
              <w:t xml:space="preserve"> (toliau </w:t>
            </w:r>
            <w:r w:rsidR="00E31E78" w:rsidRPr="008B3BB0">
              <w:rPr>
                <w:rFonts w:ascii="Times New Roman" w:hAnsi="Times New Roman"/>
                <w:bCs/>
                <w:iCs/>
              </w:rPr>
              <w:t>– Koncepcija), nuostatas</w:t>
            </w:r>
            <w:r w:rsidR="00E31E78" w:rsidRPr="008B3BB0">
              <w:rPr>
                <w:rFonts w:ascii="Times New Roman" w:hAnsi="Times New Roman"/>
                <w:bCs/>
                <w:iCs/>
                <w:lang w:eastAsia="lt-LT"/>
              </w:rPr>
              <w:t xml:space="preserve"> ir bent vieno Koncepcijos mokslinių tyrimų ir eksperimentinės plėtros ir inovacijų (sumaniosios specializacijos) prioriteto (toliau – MTEPI prioritetas) tematiką.</w:t>
            </w:r>
            <w:r w:rsidR="00745379" w:rsidRPr="008B3BB0">
              <w:rPr>
                <w:rFonts w:ascii="Times New Roman" w:hAnsi="Times New Roman"/>
                <w:bCs/>
                <w:iCs/>
              </w:rPr>
              <w:t>*</w:t>
            </w:r>
          </w:p>
        </w:tc>
      </w:tr>
      <w:tr w:rsidR="004840F6" w:rsidRPr="008B3BB0" w14:paraId="3DC6ECD2" w14:textId="77777777" w:rsidTr="004840F6">
        <w:tc>
          <w:tcPr>
            <w:tcW w:w="9016" w:type="dxa"/>
          </w:tcPr>
          <w:p w14:paraId="7A664895" w14:textId="19B811A5" w:rsidR="00E31E78" w:rsidRPr="008B3BB0" w:rsidRDefault="004840F6" w:rsidP="00E31E78">
            <w:pPr>
              <w:shd w:val="clear" w:color="auto" w:fill="FFFFFF" w:themeFill="background1"/>
              <w:tabs>
                <w:tab w:val="left" w:pos="457"/>
              </w:tabs>
              <w:ind w:left="22"/>
              <w:jc w:val="both"/>
              <w:rPr>
                <w:rFonts w:ascii="Times New Roman" w:hAnsi="Times New Roman"/>
                <w:i/>
                <w:iCs/>
              </w:rPr>
            </w:pPr>
            <w:r w:rsidRPr="008B3BB0">
              <w:rPr>
                <w:rFonts w:ascii="Times New Roman" w:hAnsi="Times New Roman"/>
                <w:i/>
                <w:iCs/>
                <w:lang w:val="en-US"/>
              </w:rPr>
              <w:t>*</w:t>
            </w:r>
            <w:r w:rsidR="00E31E78" w:rsidRPr="008B3BB0">
              <w:rPr>
                <w:rFonts w:ascii="Times New Roman" w:hAnsi="Times New Roman"/>
              </w:rPr>
              <w:t xml:space="preserve"> </w:t>
            </w:r>
            <w:r w:rsidR="00E31E78" w:rsidRPr="008B3BB0">
              <w:rPr>
                <w:rFonts w:ascii="Times New Roman" w:hAnsi="Times New Roman"/>
                <w:i/>
                <w:iCs/>
              </w:rPr>
              <w:t>Vertinama, ar projekto veikla atitinka Koncepcijos nuostatas ir bent vieno Koncepcijos MTEPI prioriteto tematiką.</w:t>
            </w:r>
          </w:p>
          <w:p w14:paraId="1409246C" w14:textId="14D922A2" w:rsidR="004840F6" w:rsidRPr="008B3BB0" w:rsidRDefault="00E31E78" w:rsidP="00E31E78">
            <w:pPr>
              <w:shd w:val="clear" w:color="auto" w:fill="FFFFFF" w:themeFill="background1"/>
              <w:tabs>
                <w:tab w:val="left" w:pos="457"/>
              </w:tabs>
              <w:ind w:left="22"/>
              <w:jc w:val="both"/>
              <w:rPr>
                <w:rFonts w:ascii="Times New Roman" w:hAnsi="Times New Roman"/>
                <w:b/>
                <w:i/>
                <w:iCs/>
              </w:rPr>
            </w:pPr>
            <w:r w:rsidRPr="008B3BB0">
              <w:rPr>
                <w:rFonts w:ascii="Times New Roman" w:hAnsi="Times New Roman"/>
                <w:i/>
                <w:iCs/>
              </w:rPr>
              <w:t>Projekto veiklos atitikimas Koncepcijai vertinamas remiantis projektų įgyvendinimo plane (toliau – PĮP) pateikta informacija.</w:t>
            </w:r>
          </w:p>
        </w:tc>
      </w:tr>
    </w:tbl>
    <w:p w14:paraId="6A6FBB81" w14:textId="52274E15" w:rsidR="0097623D" w:rsidRDefault="0097623D" w:rsidP="00EB053C">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E31E78" w:rsidRPr="00E31E78" w14:paraId="0863D537" w14:textId="77777777" w:rsidTr="008502C6">
        <w:tc>
          <w:tcPr>
            <w:tcW w:w="9016" w:type="dxa"/>
          </w:tcPr>
          <w:p w14:paraId="7BFBDD40" w14:textId="2E1CEA43" w:rsidR="00E31E78" w:rsidRPr="00E31E78" w:rsidRDefault="00E31E78" w:rsidP="008502C6">
            <w:pPr>
              <w:pStyle w:val="ListParagraph"/>
              <w:numPr>
                <w:ilvl w:val="0"/>
                <w:numId w:val="19"/>
              </w:numPr>
              <w:tabs>
                <w:tab w:val="left" w:pos="1134"/>
              </w:tabs>
              <w:jc w:val="both"/>
              <w:rPr>
                <w:rFonts w:ascii="Times New Roman" w:hAnsi="Times New Roman"/>
                <w:bCs/>
              </w:rPr>
            </w:pPr>
            <w:r w:rsidRPr="00E31E78">
              <w:rPr>
                <w:rFonts w:ascii="Times New Roman" w:hAnsi="Times New Roman"/>
                <w:bCs/>
              </w:rPr>
              <w:t>Specialusis projektų atrankos kriterijus. Pareiškėjas yra užsienio investuotojas.</w:t>
            </w:r>
            <w:r w:rsidRPr="00E31E78">
              <w:rPr>
                <w:rFonts w:ascii="Times New Roman" w:hAnsi="Times New Roman"/>
                <w:bCs/>
                <w:lang w:val="en-US"/>
              </w:rPr>
              <w:t>*</w:t>
            </w:r>
          </w:p>
        </w:tc>
      </w:tr>
      <w:tr w:rsidR="00E31E78" w:rsidRPr="00E31E78" w14:paraId="76A6A957" w14:textId="77777777" w:rsidTr="008502C6">
        <w:tc>
          <w:tcPr>
            <w:tcW w:w="9016" w:type="dxa"/>
          </w:tcPr>
          <w:p w14:paraId="1DEDF961" w14:textId="096E371A" w:rsidR="00E31E78" w:rsidRPr="00E31E78" w:rsidRDefault="00E31E78" w:rsidP="00E31E78">
            <w:pPr>
              <w:jc w:val="both"/>
              <w:rPr>
                <w:rFonts w:ascii="Times New Roman" w:hAnsi="Times New Roman"/>
                <w:i/>
                <w:iCs/>
                <w:lang w:eastAsia="lt-LT"/>
              </w:rPr>
            </w:pPr>
            <w:r w:rsidRPr="00E31E78">
              <w:rPr>
                <w:rFonts w:ascii="Times New Roman" w:hAnsi="Times New Roman"/>
                <w:i/>
                <w:iCs/>
                <w:lang w:val="en-US"/>
              </w:rPr>
              <w:t>*</w:t>
            </w:r>
            <w:r w:rsidRPr="00E31E78">
              <w:rPr>
                <w:rFonts w:ascii="Times New Roman" w:hAnsi="Times New Roman"/>
              </w:rPr>
              <w:t xml:space="preserve"> </w:t>
            </w:r>
            <w:r w:rsidRPr="00E31E78">
              <w:rPr>
                <w:rFonts w:ascii="Times New Roman" w:hAnsi="Times New Roman"/>
                <w:i/>
                <w:iCs/>
                <w:lang w:eastAsia="lt-LT"/>
              </w:rPr>
              <w:t>Vertinama, ar pareiškėjas yra užsienio investuotojo (juridinio (-ių) ir (ar) fizinio (-ių) asmens (-ų) Lietuvos Respublikoje įsteigtas (įsigytas) privatusis juridinis asmuo ir kuriam užsienio investuotojas (juridinis (-iai) ir (ar) fizinis (-iai) asmuo (-enys)) daro lemiamą įtaką, arba užsienio investuotojas (įmonė), arba užsienio investuotojo (įmonės) įsteigtas filialas Lietuvos Respublikoje.</w:t>
            </w:r>
            <w:r w:rsidRPr="00E31E78">
              <w:rPr>
                <w:rFonts w:ascii="Times New Roman" w:hAnsi="Times New Roman"/>
              </w:rPr>
              <w:t xml:space="preserve"> </w:t>
            </w:r>
            <w:r w:rsidRPr="00E31E78">
              <w:rPr>
                <w:rFonts w:ascii="Times New Roman" w:hAnsi="Times New Roman"/>
                <w:i/>
                <w:iCs/>
                <w:lang w:eastAsia="lt-LT"/>
              </w:rPr>
              <w:t>Taip pat vertinama ar pareiškėjas yra MVĮ arba didelė įmonė, bendradarbiaujanti su MVĮ.</w:t>
            </w:r>
          </w:p>
          <w:p w14:paraId="77FB7BA1" w14:textId="6444895B" w:rsidR="00E31E78" w:rsidRPr="00E31E78" w:rsidRDefault="00E31E78" w:rsidP="00E31E78">
            <w:pPr>
              <w:jc w:val="both"/>
              <w:rPr>
                <w:rFonts w:ascii="Times New Roman" w:hAnsi="Times New Roman"/>
                <w:bCs/>
                <w:i/>
                <w:iCs/>
                <w:lang w:eastAsia="lt-LT"/>
              </w:rPr>
            </w:pPr>
            <w:r w:rsidRPr="00E31E78">
              <w:rPr>
                <w:rFonts w:ascii="Times New Roman" w:hAnsi="Times New Roman"/>
                <w:bCs/>
                <w:i/>
                <w:iCs/>
                <w:lang w:eastAsia="lt-LT"/>
              </w:rPr>
              <w:t>Užsienio investuotojas  – užsienio juridiniai ir (ar) fiziniai asmenys, kurie investavimą Lietuvos Respublikoje reguliuojančių teisės aktų nustatyta tvarka investuoja nuosavą, skolintą ar patikėjimo teise valdomą ir naudojamą turtą.</w:t>
            </w:r>
          </w:p>
          <w:p w14:paraId="1E364495" w14:textId="345648A4" w:rsidR="00E31E78" w:rsidRPr="00E31E78" w:rsidRDefault="00E31E78" w:rsidP="00E31E78">
            <w:pPr>
              <w:jc w:val="both"/>
              <w:rPr>
                <w:rFonts w:ascii="Times New Roman" w:hAnsi="Times New Roman"/>
                <w:bCs/>
                <w:i/>
                <w:iCs/>
                <w:lang w:eastAsia="lt-LT"/>
              </w:rPr>
            </w:pPr>
            <w:r w:rsidRPr="00E31E78">
              <w:rPr>
                <w:rFonts w:ascii="Times New Roman" w:hAnsi="Times New Roman"/>
                <w:bCs/>
                <w:i/>
                <w:iCs/>
                <w:lang w:eastAsia="lt-LT"/>
              </w:rPr>
              <w:t xml:space="preserve">Lemiama įtaka supranta taip, kaip ši sąvoka apibrėžta </w:t>
            </w:r>
            <w:hyperlink r:id="rId9" w:history="1">
              <w:r w:rsidRPr="00E31E78">
                <w:rPr>
                  <w:rStyle w:val="Hyperlink"/>
                  <w:rFonts w:ascii="Times New Roman" w:hAnsi="Times New Roman"/>
                  <w:bCs/>
                  <w:i/>
                  <w:iCs/>
                  <w:lang w:eastAsia="lt-LT"/>
                </w:rPr>
                <w:t>Lietuvos Respublikos konkurencijos įstatyme</w:t>
              </w:r>
            </w:hyperlink>
            <w:r w:rsidRPr="00E31E78">
              <w:rPr>
                <w:rFonts w:ascii="Times New Roman" w:hAnsi="Times New Roman"/>
                <w:bCs/>
                <w:i/>
                <w:iCs/>
                <w:lang w:eastAsia="lt-LT"/>
              </w:rPr>
              <w:t>.</w:t>
            </w:r>
          </w:p>
          <w:p w14:paraId="46424039" w14:textId="22F1DA41" w:rsidR="00E31E78" w:rsidRPr="00E31E78" w:rsidRDefault="00E31E78" w:rsidP="00E31E78">
            <w:pPr>
              <w:shd w:val="clear" w:color="auto" w:fill="FFFFFF" w:themeFill="background1"/>
              <w:tabs>
                <w:tab w:val="left" w:pos="457"/>
              </w:tabs>
              <w:ind w:left="22"/>
              <w:jc w:val="both"/>
              <w:rPr>
                <w:rFonts w:ascii="Times New Roman" w:hAnsi="Times New Roman"/>
                <w:b/>
                <w:i/>
                <w:iCs/>
              </w:rPr>
            </w:pPr>
            <w:r w:rsidRPr="00E31E78">
              <w:rPr>
                <w:rFonts w:ascii="Times New Roman" w:hAnsi="Times New Roman"/>
                <w:bCs/>
                <w:i/>
                <w:iCs/>
                <w:lang w:eastAsia="lt-LT"/>
              </w:rPr>
              <w:t xml:space="preserve">Atitiktis kriterijui vertinama pagal dokumentus, pateiktus kartu su PĮP </w:t>
            </w:r>
            <w:r w:rsidRPr="00E31E78">
              <w:rPr>
                <w:rFonts w:ascii="Times New Roman" w:hAnsi="Times New Roman"/>
                <w:i/>
                <w:iCs/>
                <w:lang w:eastAsia="lt-LT"/>
              </w:rPr>
              <w:t>(jei pareiškėjas – užsienio įmonė)</w:t>
            </w:r>
            <w:r w:rsidRPr="00E31E78">
              <w:rPr>
                <w:rFonts w:ascii="Times New Roman" w:hAnsi="Times New Roman"/>
                <w:bCs/>
                <w:i/>
                <w:iCs/>
                <w:lang w:eastAsia="lt-LT"/>
              </w:rPr>
              <w:t xml:space="preserve"> ir Juridinių asmenų registro duomenis </w:t>
            </w:r>
            <w:r w:rsidRPr="00E31E78">
              <w:rPr>
                <w:rFonts w:ascii="Times New Roman" w:hAnsi="Times New Roman"/>
                <w:i/>
                <w:iCs/>
                <w:lang w:eastAsia="lt-LT"/>
              </w:rPr>
              <w:t>(jei pareiškėjas – Lietuvoje registruota įmonė)</w:t>
            </w:r>
            <w:r w:rsidRPr="00E31E78">
              <w:rPr>
                <w:rFonts w:ascii="Times New Roman" w:hAnsi="Times New Roman"/>
                <w:bCs/>
                <w:i/>
                <w:iCs/>
                <w:lang w:eastAsia="lt-LT"/>
              </w:rPr>
              <w:t>.</w:t>
            </w:r>
          </w:p>
        </w:tc>
      </w:tr>
    </w:tbl>
    <w:p w14:paraId="5723302C" w14:textId="77777777" w:rsidR="00E31E78" w:rsidRPr="003817A0" w:rsidRDefault="00E31E78" w:rsidP="00EB053C">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E31E78" w:rsidRPr="00E31E78" w14:paraId="0A0C7690" w14:textId="77777777" w:rsidTr="008502C6">
        <w:tc>
          <w:tcPr>
            <w:tcW w:w="9016" w:type="dxa"/>
          </w:tcPr>
          <w:p w14:paraId="0438972E" w14:textId="350C5E8E" w:rsidR="00E31E78" w:rsidRPr="00E31E78" w:rsidRDefault="00E31E78" w:rsidP="008502C6">
            <w:pPr>
              <w:pStyle w:val="ListParagraph"/>
              <w:numPr>
                <w:ilvl w:val="0"/>
                <w:numId w:val="19"/>
              </w:numPr>
              <w:tabs>
                <w:tab w:val="left" w:pos="1134"/>
              </w:tabs>
              <w:jc w:val="both"/>
              <w:rPr>
                <w:rFonts w:ascii="Times New Roman" w:hAnsi="Times New Roman"/>
                <w:bCs/>
              </w:rPr>
            </w:pPr>
            <w:r w:rsidRPr="00E31E78">
              <w:rPr>
                <w:rFonts w:ascii="Times New Roman" w:hAnsi="Times New Roman"/>
                <w:bCs/>
              </w:rPr>
              <w:t>Specialusis projektų atrankos kriterijus. Pareiškėjo (įskaitant pareiškėjo įmonių grupę) pajamos.*</w:t>
            </w:r>
          </w:p>
        </w:tc>
      </w:tr>
      <w:tr w:rsidR="00E31E78" w:rsidRPr="00E31E78" w14:paraId="04139B3C" w14:textId="77777777" w:rsidTr="008502C6">
        <w:tc>
          <w:tcPr>
            <w:tcW w:w="9016" w:type="dxa"/>
          </w:tcPr>
          <w:p w14:paraId="54535D50" w14:textId="4A3BCC93" w:rsidR="00E31E78" w:rsidRPr="00E31E78" w:rsidRDefault="00E31E78" w:rsidP="00E31E78">
            <w:pPr>
              <w:jc w:val="both"/>
              <w:rPr>
                <w:rFonts w:ascii="Times New Roman" w:hAnsi="Times New Roman"/>
                <w:i/>
                <w:iCs/>
                <w:lang w:eastAsia="lt-LT"/>
              </w:rPr>
            </w:pPr>
            <w:r w:rsidRPr="00E31E78">
              <w:rPr>
                <w:rFonts w:ascii="Times New Roman" w:hAnsi="Times New Roman"/>
                <w:i/>
                <w:iCs/>
                <w:lang w:val="en-US"/>
              </w:rPr>
              <w:t>*</w:t>
            </w:r>
            <w:r w:rsidRPr="00E31E78">
              <w:rPr>
                <w:rFonts w:ascii="Times New Roman" w:hAnsi="Times New Roman"/>
              </w:rPr>
              <w:t xml:space="preserve"> </w:t>
            </w:r>
            <w:r w:rsidRPr="00E31E78">
              <w:rPr>
                <w:rFonts w:ascii="Times New Roman" w:hAnsi="Times New Roman"/>
                <w:i/>
                <w:iCs/>
                <w:lang w:eastAsia="lt-LT"/>
              </w:rPr>
              <w:t xml:space="preserve">Vertinama, ar pareiškėjo pajamos (įskaitant įmonių grupės) per paskutinius 3 finansinius metus (skaičiuojama bendra pajamų suma) yra ne mažesnės nei prašoma finansavimo suma. </w:t>
            </w:r>
            <w:r w:rsidRPr="00E31E78">
              <w:rPr>
                <w:rFonts w:ascii="Times New Roman" w:hAnsi="Times New Roman"/>
                <w:i/>
                <w:lang w:eastAsia="lt-LT"/>
              </w:rPr>
              <w:t>Vertinama pagal 1-3 paskutinių metų įmonės (ar įmonių grupės) patvirtintos finansinės atskaitomybės dokumentus arba pagal pareiškėjo pateiktus pasirašytus tarpinius finansinės atskaitomybės dokumentus, kai pareiškėjas įsteigtas tais pačiais metais kaip pateiktas PĮP.</w:t>
            </w:r>
          </w:p>
          <w:p w14:paraId="4669BA59" w14:textId="7323ED34" w:rsidR="00E31E78" w:rsidRPr="00E31E78" w:rsidRDefault="00E31E78" w:rsidP="00E31E78">
            <w:pPr>
              <w:jc w:val="both"/>
              <w:rPr>
                <w:rFonts w:ascii="Times New Roman" w:hAnsi="Times New Roman"/>
                <w:bCs/>
                <w:i/>
                <w:iCs/>
                <w:lang w:eastAsia="lt-LT"/>
              </w:rPr>
            </w:pPr>
            <w:r w:rsidRPr="00E31E78">
              <w:rPr>
                <w:rFonts w:ascii="Times New Roman" w:hAnsi="Times New Roman"/>
                <w:bCs/>
                <w:i/>
                <w:iCs/>
                <w:lang w:eastAsia="lt-LT"/>
              </w:rPr>
              <w:t xml:space="preserve">Įmonių grupė supranta taip, kaip ši sąvoka apibrėžta </w:t>
            </w:r>
            <w:hyperlink r:id="rId10" w:history="1">
              <w:r w:rsidRPr="00E31E78">
                <w:rPr>
                  <w:rStyle w:val="Hyperlink"/>
                  <w:rFonts w:ascii="Times New Roman" w:hAnsi="Times New Roman"/>
                  <w:bCs/>
                  <w:i/>
                  <w:iCs/>
                  <w:lang w:eastAsia="lt-LT"/>
                </w:rPr>
                <w:t>Lietuvos Respublikos įmonių grupių konsoliduotosios atskaitomybės įstatyme</w:t>
              </w:r>
            </w:hyperlink>
            <w:r w:rsidRPr="00E31E78">
              <w:rPr>
                <w:rFonts w:ascii="Times New Roman" w:hAnsi="Times New Roman"/>
                <w:bCs/>
                <w:i/>
                <w:iCs/>
                <w:lang w:eastAsia="lt-LT"/>
              </w:rPr>
              <w:t>.</w:t>
            </w:r>
          </w:p>
          <w:p w14:paraId="768A06F1" w14:textId="444FE0DF" w:rsidR="00E31E78" w:rsidRPr="00E31E78" w:rsidRDefault="00E31E78" w:rsidP="00E31E78">
            <w:pPr>
              <w:jc w:val="both"/>
              <w:rPr>
                <w:rFonts w:ascii="Times New Roman" w:hAnsi="Times New Roman"/>
                <w:i/>
                <w:iCs/>
                <w:lang w:eastAsia="lt-LT"/>
              </w:rPr>
            </w:pPr>
            <w:r w:rsidRPr="00E31E78">
              <w:rPr>
                <w:rFonts w:ascii="Times New Roman" w:hAnsi="Times New Roman"/>
                <w:i/>
                <w:iCs/>
                <w:lang w:eastAsia="lt-LT"/>
              </w:rPr>
              <w:t>Atitiktis kriterijui vertinama pagal paskutinių 1-</w:t>
            </w:r>
            <w:r w:rsidRPr="00E31E78">
              <w:rPr>
                <w:rFonts w:ascii="Times New Roman" w:hAnsi="Times New Roman"/>
                <w:i/>
                <w:iCs/>
                <w:lang w:val="en-US" w:eastAsia="lt-LT"/>
              </w:rPr>
              <w:t>3</w:t>
            </w:r>
            <w:r w:rsidRPr="00E31E78">
              <w:rPr>
                <w:rFonts w:ascii="Times New Roman" w:hAnsi="Times New Roman"/>
                <w:i/>
                <w:iCs/>
                <w:lang w:eastAsia="lt-LT"/>
              </w:rPr>
              <w:t xml:space="preserve"> finansinių metų patvirtintus metinių finansinių ataskaitų rinkinius</w:t>
            </w:r>
            <w:r w:rsidRPr="00E31E78">
              <w:rPr>
                <w:rFonts w:ascii="Times New Roman" w:hAnsi="Times New Roman"/>
              </w:rPr>
              <w:t xml:space="preserve"> </w:t>
            </w:r>
            <w:r w:rsidRPr="00E31E78">
              <w:rPr>
                <w:rFonts w:ascii="Times New Roman" w:hAnsi="Times New Roman"/>
                <w:i/>
                <w:iCs/>
                <w:lang w:eastAsia="lt-LT"/>
              </w:rPr>
              <w:t xml:space="preserve">ir (arba) 1-3 paskutinių finansinių metų patvirtintus įmonių grupės metinių konsoliduotųjų finansinių ataskaitų rinkinius arba </w:t>
            </w:r>
            <w:r w:rsidRPr="00E31E78">
              <w:rPr>
                <w:rFonts w:ascii="Times New Roman" w:hAnsi="Times New Roman"/>
                <w:i/>
                <w:iCs/>
              </w:rPr>
              <w:t>pagal pareiškėjo pateiktus pasirašytus tarpinius finansinės atskaitomybės dokumentus (kai pareiškėjas įsteigtas tais pačiais metais kaip ir teikiamas PĮP),</w:t>
            </w:r>
            <w:r w:rsidRPr="00E31E78">
              <w:rPr>
                <w:rFonts w:ascii="Times New Roman" w:hAnsi="Times New Roman"/>
              </w:rPr>
              <w:t xml:space="preserve"> </w:t>
            </w:r>
            <w:r w:rsidRPr="00E31E78">
              <w:rPr>
                <w:rFonts w:ascii="Times New Roman" w:hAnsi="Times New Roman"/>
                <w:i/>
                <w:iCs/>
                <w:lang w:eastAsia="lt-LT"/>
              </w:rPr>
              <w:t xml:space="preserve">pateiktus kartu su PĮP (jei pareiškėjas – užsienio įmonė) arba pagal Juridinių asmenų registro duomenis (jei pareiškėjas – Lietuvoje registruota įmonė). </w:t>
            </w:r>
          </w:p>
          <w:p w14:paraId="7F1C847D" w14:textId="28395126" w:rsidR="00E31E78" w:rsidRPr="00E31E78" w:rsidRDefault="00E31E78" w:rsidP="00E31E78">
            <w:pPr>
              <w:shd w:val="clear" w:color="auto" w:fill="FFFFFF" w:themeFill="background1"/>
              <w:tabs>
                <w:tab w:val="left" w:pos="457"/>
              </w:tabs>
              <w:ind w:left="22"/>
              <w:jc w:val="both"/>
              <w:rPr>
                <w:rFonts w:ascii="Times New Roman" w:hAnsi="Times New Roman"/>
                <w:b/>
                <w:i/>
                <w:iCs/>
              </w:rPr>
            </w:pPr>
            <w:r w:rsidRPr="00E31E78">
              <w:rPr>
                <w:rFonts w:ascii="Times New Roman" w:hAnsi="Times New Roman"/>
                <w:bCs/>
                <w:i/>
                <w:iCs/>
                <w:lang w:eastAsia="lt-LT"/>
              </w:rPr>
              <w:t>Šis kriterijus taikomas tik PĮP vertinimo metu.</w:t>
            </w:r>
          </w:p>
        </w:tc>
      </w:tr>
    </w:tbl>
    <w:p w14:paraId="142E0D7C" w14:textId="77777777" w:rsidR="00440DCB" w:rsidRDefault="00440DCB" w:rsidP="00440DCB">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E31E78" w:rsidRPr="0016070B" w14:paraId="5CBA2F6A" w14:textId="77777777" w:rsidTr="008502C6">
        <w:tc>
          <w:tcPr>
            <w:tcW w:w="9016" w:type="dxa"/>
          </w:tcPr>
          <w:p w14:paraId="162D2391" w14:textId="41A871C6" w:rsidR="00E31E78" w:rsidRPr="0016070B" w:rsidRDefault="0016070B" w:rsidP="008502C6">
            <w:pPr>
              <w:pStyle w:val="ListParagraph"/>
              <w:numPr>
                <w:ilvl w:val="0"/>
                <w:numId w:val="19"/>
              </w:numPr>
              <w:tabs>
                <w:tab w:val="left" w:pos="1134"/>
              </w:tabs>
              <w:jc w:val="both"/>
              <w:rPr>
                <w:rFonts w:ascii="Times New Roman" w:hAnsi="Times New Roman"/>
                <w:bCs/>
              </w:rPr>
            </w:pPr>
            <w:r w:rsidRPr="0016070B">
              <w:rPr>
                <w:rFonts w:ascii="Times New Roman" w:hAnsi="Times New Roman"/>
                <w:bCs/>
              </w:rPr>
              <w:t>Prioritetinis</w:t>
            </w:r>
            <w:r w:rsidR="00E31E78" w:rsidRPr="0016070B">
              <w:rPr>
                <w:rFonts w:ascii="Times New Roman" w:hAnsi="Times New Roman"/>
                <w:bCs/>
              </w:rPr>
              <w:t xml:space="preserve"> projektų atrankos kriterijus. Projekto efektyvumas.*</w:t>
            </w:r>
          </w:p>
        </w:tc>
      </w:tr>
      <w:tr w:rsidR="00E31E78" w:rsidRPr="0016070B" w14:paraId="2BC1A013" w14:textId="77777777" w:rsidTr="008502C6">
        <w:tc>
          <w:tcPr>
            <w:tcW w:w="9016" w:type="dxa"/>
          </w:tcPr>
          <w:p w14:paraId="52382495" w14:textId="4187D552" w:rsidR="0016070B" w:rsidRPr="0016070B" w:rsidRDefault="00E31E78" w:rsidP="0016070B">
            <w:pPr>
              <w:jc w:val="both"/>
              <w:rPr>
                <w:rFonts w:ascii="Times New Roman" w:hAnsi="Times New Roman"/>
                <w:bCs/>
                <w:i/>
                <w:iCs/>
                <w:lang w:eastAsia="lt-LT"/>
              </w:rPr>
            </w:pPr>
            <w:r w:rsidRPr="0016070B">
              <w:rPr>
                <w:rFonts w:ascii="Times New Roman" w:hAnsi="Times New Roman"/>
                <w:i/>
                <w:iCs/>
                <w:lang w:val="en-US"/>
              </w:rPr>
              <w:t>*</w:t>
            </w:r>
            <w:r w:rsidRPr="0016070B">
              <w:rPr>
                <w:rFonts w:ascii="Times New Roman" w:hAnsi="Times New Roman"/>
              </w:rPr>
              <w:t xml:space="preserve"> </w:t>
            </w:r>
            <w:r w:rsidR="0016070B" w:rsidRPr="0016070B">
              <w:rPr>
                <w:rFonts w:ascii="Times New Roman" w:hAnsi="Times New Roman"/>
                <w:bCs/>
                <w:i/>
                <w:iCs/>
                <w:lang w:eastAsia="lt-LT"/>
              </w:rPr>
              <w:t>Siekiant paskatinti įgyvendinti projektus, kuriuose numatytas APV produktų ir (arba) technologijų kūrimas, aukštesnis įvertinimas suteikiamas tiems projektams, kurių įgyvendinimo metu ir 3 metus po projekto veiklų įgyvendinimo pabaigos gautų įmonės pajamų iš tiesiogiai projekto įgyvendinimo metu sukurtų ir rinkai pateiktų produktų ir (arba) technologijų santykis su tinkamomis finansuoti projekto išlaidomis yra didesnis. Vertinamos pajamos yra pagrįstos pareiškėjo prognozėmis ir skaičiavimais.</w:t>
            </w:r>
          </w:p>
          <w:p w14:paraId="4EE053E0" w14:textId="77777777" w:rsidR="0016070B" w:rsidRPr="0016070B" w:rsidRDefault="0016070B" w:rsidP="0016070B">
            <w:pPr>
              <w:jc w:val="both"/>
              <w:rPr>
                <w:rFonts w:ascii="Times New Roman" w:hAnsi="Times New Roman"/>
                <w:bCs/>
                <w:i/>
                <w:iCs/>
                <w:lang w:eastAsia="lt-LT"/>
              </w:rPr>
            </w:pPr>
            <w:r w:rsidRPr="0016070B">
              <w:rPr>
                <w:rFonts w:ascii="Times New Roman" w:hAnsi="Times New Roman"/>
                <w:bCs/>
                <w:i/>
                <w:iCs/>
                <w:lang w:eastAsia="lt-LT"/>
              </w:rPr>
              <w:t xml:space="preserve">Vertinama pagal formulę X=P/I, kurioje: </w:t>
            </w:r>
          </w:p>
          <w:p w14:paraId="0EFE99DC" w14:textId="77777777" w:rsidR="0016070B" w:rsidRPr="0016070B" w:rsidRDefault="0016070B" w:rsidP="0016070B">
            <w:pPr>
              <w:jc w:val="both"/>
              <w:rPr>
                <w:rFonts w:ascii="Times New Roman" w:hAnsi="Times New Roman"/>
                <w:bCs/>
                <w:i/>
                <w:iCs/>
                <w:lang w:eastAsia="lt-LT"/>
              </w:rPr>
            </w:pPr>
            <w:r w:rsidRPr="0016070B">
              <w:rPr>
                <w:rFonts w:ascii="Times New Roman" w:hAnsi="Times New Roman"/>
                <w:bCs/>
                <w:i/>
                <w:iCs/>
                <w:lang w:eastAsia="lt-LT"/>
              </w:rPr>
              <w:t xml:space="preserve">P – projekto įgyvendinimo metu ir 3 metus po projekto veiklų įgyvendinimo pabaigos įmonės gautos pajamos iš tiesiogiai projekto metu sukurtų ir rinkai pateiktų produktų ir (arba) technologijų; </w:t>
            </w:r>
          </w:p>
          <w:p w14:paraId="58614C76" w14:textId="77777777" w:rsidR="0016070B" w:rsidRPr="0016070B" w:rsidRDefault="0016070B" w:rsidP="0016070B">
            <w:pPr>
              <w:jc w:val="both"/>
              <w:rPr>
                <w:rFonts w:ascii="Times New Roman" w:hAnsi="Times New Roman"/>
                <w:bCs/>
                <w:i/>
                <w:iCs/>
                <w:lang w:eastAsia="lt-LT"/>
              </w:rPr>
            </w:pPr>
            <w:r w:rsidRPr="0016070B">
              <w:rPr>
                <w:rFonts w:ascii="Times New Roman" w:hAnsi="Times New Roman"/>
                <w:bCs/>
                <w:i/>
                <w:iCs/>
                <w:lang w:eastAsia="lt-LT"/>
              </w:rPr>
              <w:t>I – tinkamos finansuoti projekto išlaidos;</w:t>
            </w:r>
          </w:p>
          <w:p w14:paraId="27BF25E8" w14:textId="77777777" w:rsidR="0016070B" w:rsidRPr="0016070B" w:rsidRDefault="0016070B" w:rsidP="0016070B">
            <w:pPr>
              <w:jc w:val="both"/>
              <w:rPr>
                <w:rFonts w:ascii="Times New Roman" w:hAnsi="Times New Roman"/>
                <w:bCs/>
                <w:i/>
                <w:iCs/>
                <w:lang w:eastAsia="lt-LT"/>
              </w:rPr>
            </w:pPr>
            <w:r w:rsidRPr="0016070B">
              <w:rPr>
                <w:rFonts w:ascii="Times New Roman" w:hAnsi="Times New Roman"/>
                <w:bCs/>
                <w:i/>
                <w:iCs/>
                <w:lang w:eastAsia="lt-LT"/>
              </w:rPr>
              <w:t>X – santykis tarp pajamų, gautų iš projekto įgyvendinimo metu ir 3 metus po projekto veiklų įgyvendinimo pabaigos tiesiogiai projekto metu sukurtų ir rinkai pateiktų produktų ir (arba) technologijų ir išlaidų, skirtų projektui finansuoti.</w:t>
            </w:r>
          </w:p>
          <w:p w14:paraId="79739E3C" w14:textId="130F8348" w:rsidR="0016070B" w:rsidRPr="0016070B" w:rsidRDefault="0016070B" w:rsidP="0016070B">
            <w:pPr>
              <w:jc w:val="both"/>
              <w:rPr>
                <w:rFonts w:ascii="Times New Roman" w:hAnsi="Times New Roman"/>
                <w:bCs/>
                <w:i/>
                <w:iCs/>
                <w:lang w:eastAsia="lt-LT"/>
              </w:rPr>
            </w:pPr>
            <w:r w:rsidRPr="0016070B">
              <w:rPr>
                <w:rFonts w:ascii="Times New Roman" w:hAnsi="Times New Roman"/>
                <w:bCs/>
                <w:i/>
                <w:iCs/>
                <w:lang w:eastAsia="lt-LT"/>
              </w:rPr>
              <w:t>Daugiau balų suteikiama tiems projektams, kurių X yra didesnis.</w:t>
            </w:r>
          </w:p>
          <w:p w14:paraId="4E566F51" w14:textId="552C287D" w:rsidR="0016070B" w:rsidRPr="0016070B" w:rsidRDefault="0016070B" w:rsidP="0016070B">
            <w:pPr>
              <w:jc w:val="both"/>
              <w:rPr>
                <w:rFonts w:ascii="Times New Roman" w:hAnsi="Times New Roman"/>
                <w:bCs/>
                <w:i/>
                <w:iCs/>
                <w:lang w:eastAsia="lt-LT"/>
              </w:rPr>
            </w:pPr>
            <w:r w:rsidRPr="0016070B">
              <w:rPr>
                <w:rFonts w:ascii="Times New Roman" w:hAnsi="Times New Roman"/>
                <w:bCs/>
                <w:i/>
                <w:iCs/>
                <w:lang w:eastAsia="lt-LT"/>
              </w:rPr>
              <w:t>Vertinama pagal PĮP pateiktą informaciją.</w:t>
            </w:r>
          </w:p>
          <w:p w14:paraId="25B855D5" w14:textId="64F954D5" w:rsidR="00E31E78" w:rsidRPr="0016070B" w:rsidRDefault="0016070B" w:rsidP="0016070B">
            <w:pPr>
              <w:shd w:val="clear" w:color="auto" w:fill="FFFFFF" w:themeFill="background1"/>
              <w:tabs>
                <w:tab w:val="left" w:pos="457"/>
              </w:tabs>
              <w:ind w:left="22"/>
              <w:jc w:val="both"/>
              <w:rPr>
                <w:rFonts w:ascii="Times New Roman" w:hAnsi="Times New Roman"/>
                <w:b/>
                <w:i/>
                <w:iCs/>
              </w:rPr>
            </w:pPr>
            <w:r w:rsidRPr="0016070B">
              <w:rPr>
                <w:rFonts w:ascii="Times New Roman" w:hAnsi="Times New Roman"/>
                <w:b/>
                <w:i/>
                <w:lang w:eastAsia="lt-LT"/>
              </w:rPr>
              <w:t>Šiam kriterijui bus nustatytas didžiausias kriterijaus vertinimo balas.</w:t>
            </w:r>
          </w:p>
        </w:tc>
      </w:tr>
    </w:tbl>
    <w:p w14:paraId="4671C8B2" w14:textId="77777777" w:rsidR="00E31E78" w:rsidRDefault="00E31E78" w:rsidP="00440DCB">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16070B" w:rsidRPr="0016070B" w14:paraId="1AC8B014" w14:textId="77777777" w:rsidTr="008502C6">
        <w:tc>
          <w:tcPr>
            <w:tcW w:w="9016" w:type="dxa"/>
          </w:tcPr>
          <w:p w14:paraId="19B0480C" w14:textId="63CA5201" w:rsidR="0016070B" w:rsidRPr="0016070B" w:rsidRDefault="0016070B" w:rsidP="008502C6">
            <w:pPr>
              <w:pStyle w:val="ListParagraph"/>
              <w:numPr>
                <w:ilvl w:val="0"/>
                <w:numId w:val="19"/>
              </w:numPr>
              <w:tabs>
                <w:tab w:val="left" w:pos="1134"/>
              </w:tabs>
              <w:jc w:val="both"/>
              <w:rPr>
                <w:rFonts w:ascii="Times New Roman" w:hAnsi="Times New Roman"/>
                <w:bCs/>
              </w:rPr>
            </w:pPr>
            <w:r w:rsidRPr="0016070B">
              <w:rPr>
                <w:rFonts w:ascii="Times New Roman" w:hAnsi="Times New Roman"/>
                <w:bCs/>
              </w:rPr>
              <w:t>Prioritetinis projektų atrankos kriterijus. Projekto įgyvendinimo metu sukurtų produktų ir (arba) technologijų reikšmingumo lygis.*</w:t>
            </w:r>
          </w:p>
        </w:tc>
      </w:tr>
      <w:tr w:rsidR="0016070B" w:rsidRPr="0016070B" w14:paraId="0AE8F435" w14:textId="77777777" w:rsidTr="008502C6">
        <w:tc>
          <w:tcPr>
            <w:tcW w:w="9016" w:type="dxa"/>
          </w:tcPr>
          <w:p w14:paraId="1949B9DC" w14:textId="77777777"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lang w:val="en-US"/>
              </w:rPr>
              <w:t>*</w:t>
            </w:r>
            <w:r w:rsidRPr="0016070B">
              <w:rPr>
                <w:rFonts w:ascii="Times New Roman" w:hAnsi="Times New Roman"/>
              </w:rPr>
              <w:t xml:space="preserve"> </w:t>
            </w:r>
            <w:r w:rsidRPr="0016070B">
              <w:rPr>
                <w:rFonts w:ascii="Times New Roman" w:hAnsi="Times New Roman"/>
                <w:i/>
                <w:iCs/>
              </w:rPr>
              <w:t xml:space="preserve">Siekiant skatinti globaliai reikšmingų produktų ir (arba) technologijų kūrimą būtina įvertinti projekto įgyvendinimo metu sukurtų produktų ir (arba) technologijų reikšmingumo lygį. Reikšmingumas yra vertinamas atsižvelgiant į projekto įgyvendinimo metu sukurto (-os) produkto ir (arba) technologijos naujumo lygį. Naujumas skiriamas į tris grupes (reikšmingumo didėjimo tvarka): technologija nauja įmonės lygmeniu, technologija nauja rinkos lygmeniu, technologija nauja pasaulio lygmeniu, kaip nurodyta </w:t>
            </w:r>
            <w:hyperlink r:id="rId11" w:history="1">
              <w:r w:rsidRPr="0016070B">
                <w:rPr>
                  <w:rStyle w:val="Hyperlink"/>
                  <w:rFonts w:ascii="Times New Roman" w:hAnsi="Times New Roman"/>
                  <w:i/>
                  <w:iCs/>
                </w:rPr>
                <w:t>Oslo vadove, 2018: Duomenų apie inovacijas rinkimo, teikimo ir naudojimo gairėse (angl. Oslo manual. Guidelines for Collecting and Interpreting Innovation Data, 4rd Edition, OECD, Eurostat, 2018)</w:t>
              </w:r>
            </w:hyperlink>
            <w:r w:rsidRPr="0016070B">
              <w:rPr>
                <w:rFonts w:ascii="Times New Roman" w:hAnsi="Times New Roman"/>
                <w:i/>
                <w:iCs/>
              </w:rPr>
              <w:t xml:space="preserve">. </w:t>
            </w:r>
          </w:p>
          <w:p w14:paraId="46E4C88D" w14:textId="1F88ADB6"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 xml:space="preserve">Aukštesnis įvertinimas suteikiamas tiems projektams, kurių įgyvendinimo metu sukurtų </w:t>
            </w:r>
            <w:r w:rsidRPr="0016070B">
              <w:rPr>
                <w:rFonts w:ascii="Times New Roman" w:hAnsi="Times New Roman"/>
                <w:i/>
                <w:iCs/>
              </w:rPr>
              <w:lastRenderedPageBreak/>
              <w:t>produktų ir (arba) technologijų reikšmingumas yra didesnis.</w:t>
            </w:r>
          </w:p>
          <w:p w14:paraId="4AA7B1D9" w14:textId="597CDF41"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Vertinant naujumo lygmenį, vienas (-a) produktas ir (arba) technologija priskiriamas (-a) tik vienai naujumo grupei (t. y. jei produktas ir (arba) technologija yra nauja pasaulio lygmeniu, neskiriama papildomų balų už naujumą rinkos ir (ar) įmonės lygmeniu, jeigu produktas ir (arba) technologija nauja rinkos lygmeniu, neskiriama papildomų balų už naujumą įmonės lygmeniu).</w:t>
            </w:r>
          </w:p>
          <w:p w14:paraId="2FAAC5A4" w14:textId="268DAD09" w:rsidR="0016070B" w:rsidRPr="0016070B" w:rsidRDefault="0016070B" w:rsidP="0016070B">
            <w:pPr>
              <w:jc w:val="both"/>
              <w:rPr>
                <w:rFonts w:ascii="Times New Roman" w:hAnsi="Times New Roman"/>
                <w:i/>
                <w:iCs/>
              </w:rPr>
            </w:pPr>
            <w:r w:rsidRPr="0016070B">
              <w:rPr>
                <w:rFonts w:ascii="Times New Roman" w:hAnsi="Times New Roman"/>
                <w:i/>
                <w:iCs/>
              </w:rPr>
              <w:t>Jeigu projekto įgyvendinimo metu bus sukurta daugiau nei vienas (–a) produktas ir (arba) technologija, vertinamas kiekvieno (-s) produkto ir (arba) technologijos naujumo lygmuo, o balai skiriami už didžiausio naujumo lygmens produktą ir (arba) technologiją.</w:t>
            </w:r>
          </w:p>
          <w:p w14:paraId="4F299FEC" w14:textId="456CFF2B" w:rsidR="0016070B" w:rsidRPr="0016070B" w:rsidRDefault="0016070B" w:rsidP="0016070B">
            <w:pPr>
              <w:shd w:val="clear" w:color="auto" w:fill="FFFFFF" w:themeFill="background1"/>
              <w:tabs>
                <w:tab w:val="left" w:pos="457"/>
              </w:tabs>
              <w:ind w:left="22"/>
              <w:jc w:val="both"/>
              <w:rPr>
                <w:rFonts w:ascii="Times New Roman" w:hAnsi="Times New Roman"/>
                <w:b/>
                <w:i/>
                <w:iCs/>
              </w:rPr>
            </w:pPr>
            <w:r w:rsidRPr="0016070B">
              <w:rPr>
                <w:rFonts w:ascii="Times New Roman" w:hAnsi="Times New Roman"/>
                <w:bCs/>
                <w:i/>
                <w:iCs/>
                <w:lang w:eastAsia="lt-LT"/>
              </w:rPr>
              <w:t>Vertinama pagal PĮP ir kartu su PĮP pateiktą MTEP verslo planą.</w:t>
            </w:r>
          </w:p>
        </w:tc>
      </w:tr>
    </w:tbl>
    <w:p w14:paraId="15207835" w14:textId="77777777" w:rsidR="0016070B" w:rsidRDefault="0016070B" w:rsidP="00440DCB">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16070B" w:rsidRPr="0016070B" w14:paraId="4A6EB08B" w14:textId="77777777" w:rsidTr="008502C6">
        <w:tc>
          <w:tcPr>
            <w:tcW w:w="9016" w:type="dxa"/>
          </w:tcPr>
          <w:p w14:paraId="18F35774" w14:textId="4CF7DB30" w:rsidR="0016070B" w:rsidRPr="0016070B" w:rsidRDefault="0016070B" w:rsidP="008502C6">
            <w:pPr>
              <w:pStyle w:val="ListParagraph"/>
              <w:numPr>
                <w:ilvl w:val="0"/>
                <w:numId w:val="19"/>
              </w:numPr>
              <w:tabs>
                <w:tab w:val="left" w:pos="1134"/>
              </w:tabs>
              <w:jc w:val="both"/>
              <w:rPr>
                <w:rFonts w:ascii="Times New Roman" w:hAnsi="Times New Roman"/>
                <w:bCs/>
              </w:rPr>
            </w:pPr>
            <w:r w:rsidRPr="0016070B">
              <w:rPr>
                <w:rFonts w:ascii="Times New Roman" w:hAnsi="Times New Roman"/>
                <w:bCs/>
              </w:rPr>
              <w:t>Prioritetinis projektų atrankos kriterijus. Projekto įgyvendinimo metu sukurtų produktų ir (arba) technologijų komercinimo potencialas.*</w:t>
            </w:r>
          </w:p>
        </w:tc>
      </w:tr>
      <w:tr w:rsidR="0016070B" w:rsidRPr="0016070B" w14:paraId="7D6A5168" w14:textId="77777777" w:rsidTr="008502C6">
        <w:tc>
          <w:tcPr>
            <w:tcW w:w="9016" w:type="dxa"/>
          </w:tcPr>
          <w:p w14:paraId="75AD7CBF" w14:textId="321C7F5C"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lang w:val="en-US"/>
              </w:rPr>
              <w:t>*</w:t>
            </w:r>
            <w:r w:rsidRPr="0016070B">
              <w:rPr>
                <w:rFonts w:ascii="Times New Roman" w:hAnsi="Times New Roman"/>
              </w:rPr>
              <w:t xml:space="preserve"> </w:t>
            </w:r>
            <w:r w:rsidRPr="0016070B">
              <w:rPr>
                <w:rFonts w:ascii="Times New Roman" w:hAnsi="Times New Roman"/>
                <w:i/>
                <w:iCs/>
              </w:rPr>
              <w:t>Kriterijumi vertinamas projekto įgyvendinimo metu sukurtų produktų ir (arba) technologijų komercinimo potencialas. Aukštesnis įvertinimas suteikiamas tiems projektams, kurių įgyvendinimo metu sukurtų produktų ir (arba) technologijų technologinės parengties lygis yra aukštesnis projekto pradžioje ir pabaigoje.</w:t>
            </w:r>
          </w:p>
          <w:p w14:paraId="261160D9" w14:textId="1F7FC23D" w:rsidR="0016070B" w:rsidRPr="0016070B" w:rsidRDefault="0016070B" w:rsidP="0016070B">
            <w:pPr>
              <w:jc w:val="both"/>
              <w:rPr>
                <w:rFonts w:ascii="Times New Roman" w:hAnsi="Times New Roman"/>
                <w:i/>
                <w:iCs/>
                <w:color w:val="000000"/>
              </w:rPr>
            </w:pPr>
            <w:r w:rsidRPr="0016070B">
              <w:rPr>
                <w:rFonts w:ascii="Times New Roman" w:hAnsi="Times New Roman"/>
                <w:i/>
                <w:iCs/>
                <w:color w:val="000000"/>
              </w:rPr>
              <w:t>Technologinės parengties lygis nustatomas vadovaujantis Rekomenduojamos mokslinių tyrimų ir eksperimentinės plėtros etapų</w:t>
            </w:r>
            <w:r w:rsidRPr="0016070B">
              <w:rPr>
                <w:rFonts w:ascii="Times New Roman" w:hAnsi="Times New Roman"/>
              </w:rPr>
              <w:t xml:space="preserve"> </w:t>
            </w:r>
            <w:r w:rsidRPr="0016070B">
              <w:rPr>
                <w:rFonts w:ascii="Times New Roman" w:hAnsi="Times New Roman"/>
                <w:i/>
                <w:iCs/>
                <w:color w:val="000000"/>
              </w:rPr>
              <w:t xml:space="preserve">klasifikacijos aprašu, patvirtintu </w:t>
            </w:r>
            <w:hyperlink r:id="rId12" w:history="1">
              <w:r w:rsidRPr="0016070B">
                <w:rPr>
                  <w:rStyle w:val="Hyperlink"/>
                  <w:rFonts w:ascii="Times New Roman" w:hAnsi="Times New Roman"/>
                  <w:i/>
                  <w:iCs/>
                </w:rPr>
                <w:t>Lietuvos Respublikos Vyriausybės 2012 m. birželio 6 d. nutarimu Nr. 650 „Dėl Rekomenduojamos mokslinių tyrimų ir eksperimentinės plėtros etapų klasifikacijos aprašo patvirtinimo</w:t>
              </w:r>
            </w:hyperlink>
            <w:r w:rsidRPr="0016070B">
              <w:rPr>
                <w:rFonts w:ascii="Times New Roman" w:hAnsi="Times New Roman"/>
                <w:i/>
                <w:iCs/>
                <w:color w:val="000000"/>
              </w:rPr>
              <w:t>“.</w:t>
            </w:r>
          </w:p>
          <w:p w14:paraId="091AF7B6" w14:textId="034B6160" w:rsidR="0016070B" w:rsidRPr="0016070B" w:rsidRDefault="0016070B" w:rsidP="0016070B">
            <w:pPr>
              <w:jc w:val="both"/>
              <w:rPr>
                <w:rFonts w:ascii="Times New Roman" w:hAnsi="Times New Roman"/>
                <w:i/>
                <w:iCs/>
                <w:color w:val="000000"/>
              </w:rPr>
            </w:pPr>
            <w:r w:rsidRPr="0016070B">
              <w:rPr>
                <w:rFonts w:ascii="Times New Roman" w:hAnsi="Times New Roman"/>
                <w:i/>
                <w:iCs/>
                <w:color w:val="000000"/>
              </w:rPr>
              <w:t xml:space="preserve">Jeigu projekto įgyvendinimo metu bus sukurta daugiau nei vienas (-a) </w:t>
            </w:r>
            <w:r w:rsidRPr="0016070B">
              <w:rPr>
                <w:rFonts w:ascii="Times New Roman" w:hAnsi="Times New Roman"/>
                <w:i/>
                <w:iCs/>
              </w:rPr>
              <w:t>produktas ir (arba) technologija</w:t>
            </w:r>
            <w:r w:rsidRPr="0016070B">
              <w:rPr>
                <w:rFonts w:ascii="Times New Roman" w:hAnsi="Times New Roman"/>
                <w:i/>
                <w:iCs/>
                <w:color w:val="000000"/>
              </w:rPr>
              <w:t>, vertinamas (-a) kiekvienas (-a) sukurtas (-a) produktas ir (arba) technologija ir tuomet apskaičiuojamas suteikiamo balo vidurkis.</w:t>
            </w:r>
          </w:p>
          <w:p w14:paraId="708A1C3D" w14:textId="6A9DAC93" w:rsidR="0016070B" w:rsidRPr="0016070B" w:rsidRDefault="0016070B" w:rsidP="0016070B">
            <w:pPr>
              <w:shd w:val="clear" w:color="auto" w:fill="FFFFFF" w:themeFill="background1"/>
              <w:tabs>
                <w:tab w:val="left" w:pos="457"/>
              </w:tabs>
              <w:ind w:left="22"/>
              <w:jc w:val="both"/>
              <w:rPr>
                <w:rFonts w:ascii="Times New Roman" w:hAnsi="Times New Roman"/>
                <w:b/>
                <w:i/>
                <w:iCs/>
              </w:rPr>
            </w:pPr>
            <w:r w:rsidRPr="0016070B">
              <w:rPr>
                <w:rFonts w:ascii="Times New Roman" w:hAnsi="Times New Roman"/>
                <w:bCs/>
                <w:i/>
                <w:iCs/>
                <w:lang w:eastAsia="lt-LT"/>
              </w:rPr>
              <w:t>Vertinama pagal PĮP ir kartu su PĮP pateiktą MTEP verslo planą.</w:t>
            </w:r>
          </w:p>
        </w:tc>
      </w:tr>
    </w:tbl>
    <w:p w14:paraId="47D3871E" w14:textId="77777777" w:rsidR="0016070B" w:rsidRDefault="0016070B" w:rsidP="00440DCB">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16070B" w:rsidRPr="0016070B" w14:paraId="2AF64247" w14:textId="77777777" w:rsidTr="008502C6">
        <w:tc>
          <w:tcPr>
            <w:tcW w:w="9016" w:type="dxa"/>
          </w:tcPr>
          <w:p w14:paraId="4FA29335" w14:textId="2B266169" w:rsidR="0016070B" w:rsidRPr="0016070B" w:rsidRDefault="0016070B" w:rsidP="008502C6">
            <w:pPr>
              <w:pStyle w:val="ListParagraph"/>
              <w:numPr>
                <w:ilvl w:val="0"/>
                <w:numId w:val="19"/>
              </w:numPr>
              <w:tabs>
                <w:tab w:val="left" w:pos="1134"/>
              </w:tabs>
              <w:jc w:val="both"/>
              <w:rPr>
                <w:rFonts w:ascii="Times New Roman" w:hAnsi="Times New Roman"/>
                <w:bCs/>
              </w:rPr>
            </w:pPr>
            <w:r w:rsidRPr="0016070B">
              <w:rPr>
                <w:rFonts w:ascii="Times New Roman" w:hAnsi="Times New Roman"/>
                <w:bCs/>
              </w:rPr>
              <w:t>Prioritetinis projektų atrankos kriterijus. Projekto įgyvendinimo metu planuojamas sukurti produktas ir (arba) technologija yra tvarus (-i) (aplinkai draugiškas (-a).*</w:t>
            </w:r>
          </w:p>
        </w:tc>
      </w:tr>
      <w:tr w:rsidR="0016070B" w:rsidRPr="0016070B" w14:paraId="2AAA6904" w14:textId="77777777" w:rsidTr="008502C6">
        <w:tc>
          <w:tcPr>
            <w:tcW w:w="9016" w:type="dxa"/>
          </w:tcPr>
          <w:p w14:paraId="02FA4BCC" w14:textId="6E08BF69"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lang w:val="en-US"/>
              </w:rPr>
              <w:t>*</w:t>
            </w:r>
            <w:r w:rsidRPr="0016070B">
              <w:rPr>
                <w:rFonts w:ascii="Times New Roman" w:hAnsi="Times New Roman"/>
              </w:rPr>
              <w:t xml:space="preserve"> </w:t>
            </w:r>
            <w:r w:rsidRPr="0016070B">
              <w:rPr>
                <w:rFonts w:ascii="Times New Roman" w:hAnsi="Times New Roman"/>
                <w:i/>
                <w:iCs/>
              </w:rPr>
              <w:t xml:space="preserve">Vertinama, ar projekto įgyvendinimo metu sukurtas produktas ir (arba) technologija yra tvarus (-i) (aplinkai draugiškas (-a).  </w:t>
            </w:r>
          </w:p>
          <w:p w14:paraId="7CE8CA0C" w14:textId="60A40186"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Tvari (aplinkai draugiška) technologija suprantama kaip tvarių produktų gamybos  technologija.</w:t>
            </w:r>
          </w:p>
          <w:p w14:paraId="48F50D93" w14:textId="0EDB5E8E"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Tvarus (aplinkai draugiškas) produktas –</w:t>
            </w:r>
            <w:r w:rsidRPr="0016070B">
              <w:rPr>
                <w:rStyle w:val="CommentReference"/>
                <w:rFonts w:ascii="Times New Roman" w:hAnsi="Times New Roman"/>
              </w:rPr>
              <w:t xml:space="preserve"> </w:t>
            </w:r>
            <w:r w:rsidRPr="0016070B">
              <w:rPr>
                <w:rFonts w:ascii="Times New Roman" w:hAnsi="Times New Roman"/>
                <w:i/>
                <w:iCs/>
              </w:rPr>
              <w:t>produktas pagamintas taip, kad būtų patvarus, ilgaamžis, tausus energijos arba išteklių naudojimo atžvilgiu, pataisomas, perdirbamas, bent viena iš sudedamųjų gaminio medžiagų arba dalių pagaminta iš perdirbtų medžiagų ir dėl šių savybių pasižymi mažesniu poveikiu aplinkai visame gaminio būvio cikle.   Produktas – gaminys, paslauga arba procesas.</w:t>
            </w:r>
          </w:p>
          <w:p w14:paraId="0AF42504" w14:textId="10C71E25"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Projekto vertinimo metu „tvarus (aplinkai draugiškas) produktas“ turi pasižymėti visais aukščiau išvardytais požymiais, išskyrus atvejus, kai dėl produkto specifikos kai kurie požymiai negali būti taikomi.</w:t>
            </w:r>
          </w:p>
          <w:p w14:paraId="5E65CD14" w14:textId="41DC1987"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Balai suteikiami projektams, kurių įgyvendinimo metu bus sukurti tvarūs (aplinkai draugiški) produktai arba tvari (aplinkai draugiška) technologija.</w:t>
            </w:r>
            <w:r w:rsidRPr="0016070B" w:rsidDel="00E73018">
              <w:rPr>
                <w:rFonts w:ascii="Times New Roman" w:hAnsi="Times New Roman"/>
                <w:i/>
                <w:iCs/>
              </w:rPr>
              <w:t xml:space="preserve"> </w:t>
            </w:r>
            <w:r w:rsidRPr="0016070B">
              <w:rPr>
                <w:rFonts w:ascii="Times New Roman" w:hAnsi="Times New Roman"/>
                <w:i/>
                <w:iCs/>
              </w:rPr>
              <w:t>Jei projekto įgyvendinimo metu bus sukurtas  tvarus (aplinkai draugiškas) produktas ir</w:t>
            </w:r>
            <w:r w:rsidRPr="0016070B">
              <w:rPr>
                <w:rFonts w:ascii="Times New Roman" w:hAnsi="Times New Roman"/>
              </w:rPr>
              <w:t xml:space="preserve"> </w:t>
            </w:r>
            <w:r w:rsidRPr="0016070B">
              <w:rPr>
                <w:rFonts w:ascii="Times New Roman" w:hAnsi="Times New Roman"/>
                <w:i/>
                <w:iCs/>
              </w:rPr>
              <w:t xml:space="preserve">tvari (aplinkai draugiška) technologija, balai nebus sumuojami, tik suteikiamas maksimalus įvertinimas. </w:t>
            </w:r>
          </w:p>
          <w:p w14:paraId="683093FE" w14:textId="02795269" w:rsidR="0016070B" w:rsidRPr="0016070B" w:rsidRDefault="0016070B" w:rsidP="0016070B">
            <w:pPr>
              <w:shd w:val="clear" w:color="auto" w:fill="FFFFFF" w:themeFill="background1"/>
              <w:tabs>
                <w:tab w:val="left" w:pos="457"/>
              </w:tabs>
              <w:ind w:left="22"/>
              <w:jc w:val="both"/>
              <w:rPr>
                <w:rFonts w:ascii="Times New Roman" w:hAnsi="Times New Roman"/>
                <w:b/>
                <w:i/>
                <w:iCs/>
              </w:rPr>
            </w:pPr>
            <w:r w:rsidRPr="0016070B">
              <w:rPr>
                <w:rFonts w:ascii="Times New Roman" w:hAnsi="Times New Roman"/>
                <w:bCs/>
                <w:i/>
                <w:iCs/>
                <w:lang w:eastAsia="lt-LT"/>
              </w:rPr>
              <w:t>Vertinama pagal PĮP ir kartu su PĮP pateiktą MTEP verslo planą.</w:t>
            </w:r>
          </w:p>
        </w:tc>
      </w:tr>
    </w:tbl>
    <w:p w14:paraId="7B037B6A" w14:textId="77777777" w:rsidR="0016070B" w:rsidRDefault="0016070B" w:rsidP="00440DCB">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16070B" w:rsidRPr="0016070B" w14:paraId="75BEA6FD" w14:textId="77777777" w:rsidTr="008502C6">
        <w:tc>
          <w:tcPr>
            <w:tcW w:w="9016" w:type="dxa"/>
          </w:tcPr>
          <w:p w14:paraId="419E6CBF" w14:textId="7937055C" w:rsidR="0016070B" w:rsidRPr="0016070B" w:rsidRDefault="0016070B" w:rsidP="008502C6">
            <w:pPr>
              <w:pStyle w:val="ListParagraph"/>
              <w:numPr>
                <w:ilvl w:val="0"/>
                <w:numId w:val="19"/>
              </w:numPr>
              <w:tabs>
                <w:tab w:val="left" w:pos="1134"/>
              </w:tabs>
              <w:jc w:val="both"/>
              <w:rPr>
                <w:rFonts w:ascii="Times New Roman" w:hAnsi="Times New Roman"/>
                <w:bCs/>
              </w:rPr>
            </w:pPr>
            <w:r w:rsidRPr="0016070B">
              <w:rPr>
                <w:rFonts w:ascii="Times New Roman" w:hAnsi="Times New Roman"/>
                <w:bCs/>
              </w:rPr>
              <w:t>Prioritetinis projektų atrankos kriterijus. Projekto įgyvendinimo metu planuojamas sukurti inovatyvus produktas taikant didelio poveikio technologiją.*</w:t>
            </w:r>
          </w:p>
        </w:tc>
      </w:tr>
      <w:tr w:rsidR="0016070B" w:rsidRPr="0016070B" w14:paraId="0DDF99C7" w14:textId="77777777" w:rsidTr="008502C6">
        <w:tc>
          <w:tcPr>
            <w:tcW w:w="9016" w:type="dxa"/>
          </w:tcPr>
          <w:p w14:paraId="4703B29A" w14:textId="77777777"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lang w:val="en-US"/>
              </w:rPr>
              <w:t>*</w:t>
            </w:r>
            <w:r w:rsidRPr="0016070B">
              <w:rPr>
                <w:rFonts w:ascii="Times New Roman" w:hAnsi="Times New Roman"/>
              </w:rPr>
              <w:t xml:space="preserve"> </w:t>
            </w:r>
            <w:r w:rsidRPr="0016070B">
              <w:rPr>
                <w:rFonts w:ascii="Times New Roman" w:hAnsi="Times New Roman"/>
                <w:i/>
                <w:iCs/>
              </w:rPr>
              <w:t>Vertinama, ar projekto įgyvendinimo metu planuojamas sukurti inovatyvus produktas yra pagamintas taikant didelio poveikio technologiją.</w:t>
            </w:r>
          </w:p>
          <w:p w14:paraId="73E7A2DF" w14:textId="77777777" w:rsidR="0016070B" w:rsidRPr="0016070B" w:rsidRDefault="0016070B" w:rsidP="0016070B">
            <w:pPr>
              <w:widowControl w:val="0"/>
              <w:jc w:val="both"/>
              <w:textAlignment w:val="baseline"/>
              <w:rPr>
                <w:rFonts w:ascii="Times New Roman" w:hAnsi="Times New Roman"/>
                <w:i/>
                <w:iCs/>
                <w:lang w:val="en-US"/>
              </w:rPr>
            </w:pPr>
          </w:p>
          <w:p w14:paraId="3E6656A9" w14:textId="2DFD1180"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Inovatyvus produktas – inovacinės veiklos rezultatas, kuris įdiegtas į rinką, viešojo valdymo, socialinę, kultūros sritį tampa inovacija.</w:t>
            </w:r>
            <w:r w:rsidRPr="0016070B">
              <w:rPr>
                <w:rFonts w:ascii="Times New Roman" w:hAnsi="Times New Roman"/>
              </w:rPr>
              <w:t xml:space="preserve"> </w:t>
            </w:r>
          </w:p>
          <w:p w14:paraId="55A26F30" w14:textId="60951B56"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Inovacinė veikla – naujų arba patobulintų produktų ar procesų (arba jų derinių), kurie reikšmingai skiriasi nuo ankstesnių subjekto produktų ar procesų, kūrimo ir diegimo į rinką, viešojo valdymo, socialinę, kultūros sritį veikla.</w:t>
            </w:r>
          </w:p>
          <w:p w14:paraId="6574D057" w14:textId="5346A927"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Inovacija – naujas arba patobulintas produktas ar procesas (arba jų derinys), kuris reikšmingai skiriasi nuo ankstesnių subjekto produktų ar procesų ir kuris (produktas) yra pateiktas potencialiems naudotojams arba kuris (procesas) subjekto yra naudojamas, tai yra įdiegtas į rinką, viešojo valdymo, socialinę, kultūros sritį.</w:t>
            </w:r>
          </w:p>
          <w:p w14:paraId="65CE7C6C" w14:textId="58D4211F"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 xml:space="preserve">Didelio poveikio technologijos (toliau – DPT) – technologijos, kai inovatyvus produktas pagaminamas naudojant sudedamąsias dalis, taikant pažangias gamybos sistemas arba pažangias medžiagas, arba pagrįstas gyvybės mokslų technologijomis,  nanotechnologijomis, arba mikroelektronika ir (arba) nanoelektronika ir fotonika,  arba sukurtas naudojant dirbtinį intelektą, arba diegiant saugumo ir ryšių technologijas. DPT nurodytos oficialioje Europos Komisijos interneto svetainėje </w:t>
            </w:r>
            <w:hyperlink r:id="rId13" w:history="1">
              <w:r w:rsidRPr="0016070B">
                <w:rPr>
                  <w:rStyle w:val="Hyperlink"/>
                  <w:rFonts w:ascii="Times New Roman" w:hAnsi="Times New Roman"/>
                  <w:i/>
                  <w:iCs/>
                </w:rPr>
                <w:t>https://research-and-innovation.ec.europa.eu/research-area/industrial-research-and-innovation/key-enabling-technologies_en</w:t>
              </w:r>
            </w:hyperlink>
            <w:r w:rsidRPr="0016070B">
              <w:rPr>
                <w:rFonts w:ascii="Times New Roman" w:hAnsi="Times New Roman"/>
                <w:i/>
                <w:iCs/>
              </w:rPr>
              <w:t xml:space="preserve"> ir išsamiau aprašytos oficialioje Europos Parlamento interneto svetainėje </w:t>
            </w:r>
            <w:hyperlink r:id="rId14" w:history="1">
              <w:r w:rsidRPr="0016070B">
                <w:rPr>
                  <w:rStyle w:val="Hyperlink"/>
                  <w:rFonts w:ascii="Times New Roman" w:hAnsi="Times New Roman"/>
                  <w:i/>
                  <w:iCs/>
                </w:rPr>
                <w:t>https://www.europarl.europa.eu/stoa/en/document/EPRS_STU(2021)697184</w:t>
              </w:r>
            </w:hyperlink>
            <w:r w:rsidRPr="0016070B">
              <w:rPr>
                <w:rFonts w:ascii="Times New Roman" w:hAnsi="Times New Roman"/>
                <w:i/>
                <w:iCs/>
              </w:rPr>
              <w:t>.</w:t>
            </w:r>
          </w:p>
          <w:p w14:paraId="2CDBDAB1" w14:textId="5D0787F0"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 xml:space="preserve">Balai suteikiami projektams, kurie projekto įgyvendinimo metu sukurs inovatyvų produktą taikant didelio poveikio technologiją. </w:t>
            </w:r>
          </w:p>
          <w:p w14:paraId="7BA3E99D" w14:textId="04F6EEB0"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 xml:space="preserve">Aukštesnis įvertinimas suteikiamas projektams, kurių kuriami inovatyvūs produktai priskiriami gyvybės mokslų sektoriui t. y. kuriamos gyvybės mokslų technologijos,  atsižvelgiant į tai, jog didelį potencialą Lietuvoje turintis gyvybės mokslų sektorius dėl ilgiau nei kituose sektoriuose trunkančios MTEP veiklų trukmės negali lygiaverčiai konkuruoti su kituose sektoriuose APV kuriančiais ir greitesnį atsiperkamumą generuojančiais produktais. </w:t>
            </w:r>
          </w:p>
          <w:p w14:paraId="50BA364E" w14:textId="102F8A04" w:rsidR="0016070B" w:rsidRPr="0016070B" w:rsidRDefault="0016070B" w:rsidP="0016070B">
            <w:pPr>
              <w:widowControl w:val="0"/>
              <w:jc w:val="both"/>
              <w:textAlignment w:val="baseline"/>
              <w:rPr>
                <w:rFonts w:ascii="Times New Roman" w:hAnsi="Times New Roman"/>
                <w:i/>
                <w:iCs/>
              </w:rPr>
            </w:pPr>
            <w:r w:rsidRPr="0016070B">
              <w:rPr>
                <w:rFonts w:ascii="Times New Roman" w:hAnsi="Times New Roman"/>
                <w:i/>
                <w:iCs/>
              </w:rPr>
              <w:t>Gyvybės mokslų sektorius -– farmacija, biotechnologijos (skirtos medicinai, farmacijai ir tyrimams sveikatos priežiūros srityje), ikiklinikiniai ir klinikiniai tyrimai, sveikatos informatika ir bioinformatika, medicinos inžinerija, medicinos technologijos.</w:t>
            </w:r>
          </w:p>
          <w:p w14:paraId="246D3D91" w14:textId="12C2215C" w:rsidR="0016070B" w:rsidRPr="0016070B" w:rsidRDefault="0016070B" w:rsidP="0016070B">
            <w:pPr>
              <w:shd w:val="clear" w:color="auto" w:fill="FFFFFF" w:themeFill="background1"/>
              <w:tabs>
                <w:tab w:val="left" w:pos="457"/>
              </w:tabs>
              <w:ind w:left="22"/>
              <w:jc w:val="both"/>
              <w:rPr>
                <w:rFonts w:ascii="Times New Roman" w:hAnsi="Times New Roman"/>
                <w:b/>
                <w:i/>
                <w:iCs/>
              </w:rPr>
            </w:pPr>
            <w:r w:rsidRPr="0016070B">
              <w:rPr>
                <w:rFonts w:ascii="Times New Roman" w:hAnsi="Times New Roman"/>
                <w:bCs/>
                <w:i/>
                <w:iCs/>
                <w:lang w:eastAsia="lt-LT"/>
              </w:rPr>
              <w:t>Vertinama pagal PĮP ir kartu su PĮP pateiktą MTEP verslo planą.</w:t>
            </w:r>
          </w:p>
        </w:tc>
      </w:tr>
    </w:tbl>
    <w:p w14:paraId="7AE6A696" w14:textId="77777777" w:rsidR="0016070B" w:rsidRDefault="0016070B" w:rsidP="00440DCB">
      <w:pPr>
        <w:pStyle w:val="ListParagraph"/>
        <w:tabs>
          <w:tab w:val="left" w:pos="1134"/>
        </w:tabs>
        <w:jc w:val="both"/>
        <w:rPr>
          <w:bCs/>
        </w:rPr>
      </w:pPr>
    </w:p>
    <w:p w14:paraId="5E87D27E" w14:textId="77777777" w:rsidR="0016070B" w:rsidRPr="003817A0" w:rsidRDefault="0016070B" w:rsidP="00440DCB">
      <w:pPr>
        <w:pStyle w:val="ListParagraph"/>
        <w:tabs>
          <w:tab w:val="left" w:pos="1134"/>
        </w:tabs>
        <w:jc w:val="both"/>
        <w:rPr>
          <w:bCs/>
        </w:rPr>
      </w:pPr>
    </w:p>
    <w:p w14:paraId="31CD5299" w14:textId="5F33B8C6" w:rsidR="00A55449" w:rsidRDefault="00C07297" w:rsidP="003D6788">
      <w:pPr>
        <w:pStyle w:val="ListParagraph"/>
        <w:numPr>
          <w:ilvl w:val="0"/>
          <w:numId w:val="2"/>
        </w:numPr>
        <w:tabs>
          <w:tab w:val="left" w:pos="1134"/>
        </w:tabs>
        <w:jc w:val="both"/>
      </w:pPr>
      <w:r w:rsidRPr="00C07297">
        <w:t xml:space="preserve">Investicijų programos 1 prioriteto „Pažangesnė Lietuva“ 1.1 uždavinio „Plėtoti ir stiprinti mokslinių tyrimų ir inovacinius pajėgumus ir diegti pažangiąsias technologijas“, Ekonomikos ir inovacijų ministerijos administruojamos pažangos priemonės Nr. 05-001-01-05-07 „Sukurti nuoseklią inovacinės veiklos skatinimo sistemą“ </w:t>
      </w:r>
      <w:r w:rsidR="00D8116D" w:rsidRPr="00D8116D">
        <w:rPr>
          <w:b/>
          <w:bCs/>
        </w:rPr>
        <w:t>veiklos „9. Skatinti labai mažų, mažų ir vidutinių įmonių (toliau – MVĮ) dalyvavimą tarptautinėse mokslinių tyrimų, eksperimentinės plėtros ir inovacijų (toliau – MTEPI) iniciatyvose“ poveiklė</w:t>
      </w:r>
      <w:r w:rsidR="000C22CE">
        <w:rPr>
          <w:b/>
          <w:bCs/>
        </w:rPr>
        <w:t>s</w:t>
      </w:r>
      <w:r w:rsidR="00D8116D" w:rsidRPr="00D8116D">
        <w:rPr>
          <w:b/>
          <w:bCs/>
        </w:rPr>
        <w:t xml:space="preserve"> „9.3. Stiprinti aukšta pridėtine verte (toliau – APV) paremtų brandžių klasterių augimą, bendrų strategijų ir produktų kūrimą, dalyvavimą tarptautinėse programose, įsitraukimą į Baltijos jūros regiono, kitų tarptautinių MTEPI projektų rengimą ir dalyvavimą juose (Sostinės regionas)“ ir poveiklė</w:t>
      </w:r>
      <w:r w:rsidR="000C22CE">
        <w:rPr>
          <w:b/>
          <w:bCs/>
        </w:rPr>
        <w:t>s</w:t>
      </w:r>
      <w:r w:rsidR="00D8116D" w:rsidRPr="00D8116D">
        <w:rPr>
          <w:b/>
          <w:bCs/>
        </w:rPr>
        <w:t xml:space="preserve"> „9.4 Stiprinti APV paremtų brandžių klasterių augimą, bendrų strategijų ir produktų kūrimą, dalyvavimą tarptautinėse programose, įsitraukimą į Baltijos jūros regiono, kitų tarptautinių MTEPI projektų rengimą ir dalyvavimą juose (Vidurio ir vakarų Lietuvos regionas)“</w:t>
      </w:r>
      <w:r w:rsidR="00D8116D">
        <w:rPr>
          <w:b/>
          <w:bCs/>
        </w:rPr>
        <w:t xml:space="preserve"> </w:t>
      </w:r>
      <w:r w:rsidRPr="00C07297">
        <w:t>penkių</w:t>
      </w:r>
      <w:r>
        <w:t xml:space="preserve"> (5)</w:t>
      </w:r>
      <w:r w:rsidRPr="00C07297">
        <w:t xml:space="preserve"> projektų atrankos kriterijų nustatym</w:t>
      </w:r>
      <w:r>
        <w:t>ą:</w:t>
      </w:r>
    </w:p>
    <w:p w14:paraId="2CA9D53E" w14:textId="77777777" w:rsidR="00C07297" w:rsidRPr="003817A0" w:rsidRDefault="00C07297" w:rsidP="00A55449">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A55449" w:rsidRPr="003D6788" w14:paraId="47F6A560" w14:textId="77777777" w:rsidTr="00A55449">
        <w:tc>
          <w:tcPr>
            <w:tcW w:w="9911" w:type="dxa"/>
          </w:tcPr>
          <w:p w14:paraId="3577975D" w14:textId="3473413D" w:rsidR="00A55449" w:rsidRPr="003D6788" w:rsidRDefault="00057ED1" w:rsidP="00FC439F">
            <w:pPr>
              <w:pStyle w:val="ListParagraph"/>
              <w:numPr>
                <w:ilvl w:val="0"/>
                <w:numId w:val="3"/>
              </w:numPr>
              <w:tabs>
                <w:tab w:val="left" w:pos="1134"/>
              </w:tabs>
              <w:jc w:val="both"/>
              <w:rPr>
                <w:rFonts w:ascii="Times New Roman" w:hAnsi="Times New Roman"/>
                <w:bCs/>
              </w:rPr>
            </w:pPr>
            <w:r w:rsidRPr="003D6788">
              <w:rPr>
                <w:rFonts w:ascii="Times New Roman" w:hAnsi="Times New Roman"/>
                <w:bCs/>
              </w:rPr>
              <w:t>Specialusis projektų atrankos kriterijus.</w:t>
            </w:r>
            <w:r w:rsidR="00745379" w:rsidRPr="003D6788">
              <w:rPr>
                <w:rFonts w:ascii="Times New Roman" w:hAnsi="Times New Roman"/>
              </w:rPr>
              <w:t xml:space="preserve"> </w:t>
            </w:r>
            <w:r w:rsidR="003D6788" w:rsidRPr="003D6788">
              <w:rPr>
                <w:rFonts w:ascii="Times New Roman" w:hAnsi="Times New Roman"/>
                <w:bCs/>
                <w:iCs/>
                <w:lang w:eastAsia="lt-LT"/>
              </w:rPr>
              <w:t xml:space="preserve">Projektas atitinka </w:t>
            </w:r>
            <w:hyperlink r:id="rId15" w:history="1">
              <w:r w:rsidR="003D6788" w:rsidRPr="003D6788">
                <w:rPr>
                  <w:rStyle w:val="Hyperlink"/>
                  <w:rFonts w:ascii="Times New Roman" w:hAnsi="Times New Roman"/>
                  <w:bCs/>
                  <w:iCs/>
                  <w:lang w:eastAsia="lt-LT"/>
                </w:rPr>
                <w:t xml:space="preserve">Mokslinių tyrimų ir eksperimentinės plėtros ir inovacijų (sumaniosios specializacijos) koncepcijos, patvirtintos Lietuvos Respublikos Vyriausybės 2022 m. rugpjūčio 17 d. nutarimu Nr. 835 </w:t>
              </w:r>
              <w:r w:rsidR="003D6788" w:rsidRPr="003D6788">
                <w:rPr>
                  <w:rStyle w:val="Hyperlink"/>
                  <w:rFonts w:ascii="Times New Roman" w:hAnsi="Times New Roman"/>
                  <w:bCs/>
                  <w:iCs/>
                  <w:lang w:eastAsia="lt-LT"/>
                </w:rPr>
                <w:lastRenderedPageBreak/>
                <w:t>„Dėl Mokslinių tyrimų ir eksperimentinės plėtros ir inovacijų (sumaniosios specializacijos) koncepcijos patvirtinimo“</w:t>
              </w:r>
            </w:hyperlink>
            <w:r w:rsidR="003D6788" w:rsidRPr="003D6788">
              <w:rPr>
                <w:rFonts w:ascii="Times New Roman" w:hAnsi="Times New Roman"/>
                <w:bCs/>
                <w:iCs/>
                <w:lang w:eastAsia="lt-LT"/>
              </w:rPr>
              <w:t xml:space="preserve"> (toliau </w:t>
            </w:r>
            <w:r w:rsidR="003D6788" w:rsidRPr="003D6788">
              <w:rPr>
                <w:rFonts w:ascii="Times New Roman" w:hAnsi="Times New Roman"/>
                <w:bCs/>
                <w:iCs/>
              </w:rPr>
              <w:t>– Koncepcija), nuostatas</w:t>
            </w:r>
            <w:r w:rsidR="003D6788" w:rsidRPr="003D6788">
              <w:rPr>
                <w:rFonts w:ascii="Times New Roman" w:hAnsi="Times New Roman"/>
                <w:bCs/>
                <w:iCs/>
                <w:lang w:eastAsia="lt-LT"/>
              </w:rPr>
              <w:t xml:space="preserve"> ir bent vieno Koncepcijos mokslinių tyrimų ir eksperimentinės plėtros ir inovacijų (sumaniosios specializacijos) prioriteto (toliau – MTEPI prioritetas) tematiką.*</w:t>
            </w:r>
          </w:p>
        </w:tc>
      </w:tr>
      <w:tr w:rsidR="00A55449" w:rsidRPr="003D6788" w14:paraId="30261168" w14:textId="77777777" w:rsidTr="00A55449">
        <w:tc>
          <w:tcPr>
            <w:tcW w:w="9911" w:type="dxa"/>
          </w:tcPr>
          <w:p w14:paraId="70D20EAE" w14:textId="3612BAF3" w:rsidR="003D6788" w:rsidRPr="003D6788" w:rsidRDefault="00745379" w:rsidP="003D6788">
            <w:pPr>
              <w:widowControl w:val="0"/>
              <w:jc w:val="both"/>
              <w:textAlignment w:val="baseline"/>
              <w:rPr>
                <w:rFonts w:ascii="Times New Roman" w:hAnsi="Times New Roman"/>
                <w:bCs/>
                <w:i/>
                <w:lang w:eastAsia="lt-LT"/>
              </w:rPr>
            </w:pPr>
            <w:r w:rsidRPr="003D6788">
              <w:rPr>
                <w:rFonts w:ascii="Times New Roman" w:hAnsi="Times New Roman"/>
                <w:bCs/>
                <w:iCs/>
                <w:lang w:eastAsia="lt-LT"/>
              </w:rPr>
              <w:lastRenderedPageBreak/>
              <w:t>*</w:t>
            </w:r>
            <w:r w:rsidR="003D6788" w:rsidRPr="003D6788">
              <w:rPr>
                <w:rFonts w:ascii="Times New Roman" w:hAnsi="Times New Roman"/>
                <w:bCs/>
                <w:i/>
                <w:lang w:eastAsia="lt-LT"/>
              </w:rPr>
              <w:t>Vertinama, ar projektas prisideda prie Koncepcijos ir atitinka bent vieno Koncepcijos MTEPI prioriteto tematiką.</w:t>
            </w:r>
          </w:p>
          <w:p w14:paraId="5C331E81" w14:textId="1C36BD2E" w:rsidR="00A55449" w:rsidRPr="003D6788" w:rsidRDefault="003D6788" w:rsidP="003D6788">
            <w:pPr>
              <w:widowControl w:val="0"/>
              <w:jc w:val="both"/>
              <w:textAlignment w:val="baseline"/>
              <w:rPr>
                <w:rFonts w:ascii="Times New Roman" w:hAnsi="Times New Roman"/>
                <w:iCs/>
              </w:rPr>
            </w:pPr>
            <w:r w:rsidRPr="003D6788">
              <w:rPr>
                <w:rFonts w:ascii="Times New Roman" w:hAnsi="Times New Roman"/>
                <w:bCs/>
                <w:i/>
                <w:iCs/>
                <w:lang w:eastAsia="lt-LT"/>
              </w:rPr>
              <w:t>Atitiktis kriterijui vertinama pagal projekto įgyvendinimo plane (toliau – PĮP) pateiktą informaciją.</w:t>
            </w:r>
          </w:p>
        </w:tc>
      </w:tr>
    </w:tbl>
    <w:p w14:paraId="31AEF7CD" w14:textId="77777777" w:rsidR="00877D36" w:rsidRDefault="00877D36" w:rsidP="00C07297">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3D6788" w:rsidRPr="003D6788" w14:paraId="6F4137FB" w14:textId="77777777" w:rsidTr="008502C6">
        <w:tc>
          <w:tcPr>
            <w:tcW w:w="9911" w:type="dxa"/>
          </w:tcPr>
          <w:p w14:paraId="19A1CCF9" w14:textId="4B1244EA" w:rsidR="003D6788" w:rsidRPr="003D6788" w:rsidRDefault="003D6788" w:rsidP="008502C6">
            <w:pPr>
              <w:pStyle w:val="ListParagraph"/>
              <w:numPr>
                <w:ilvl w:val="0"/>
                <w:numId w:val="3"/>
              </w:numPr>
              <w:tabs>
                <w:tab w:val="left" w:pos="1134"/>
              </w:tabs>
              <w:jc w:val="both"/>
              <w:rPr>
                <w:rFonts w:ascii="Times New Roman" w:hAnsi="Times New Roman"/>
                <w:bCs/>
              </w:rPr>
            </w:pPr>
            <w:r w:rsidRPr="003D6788">
              <w:rPr>
                <w:rFonts w:ascii="Times New Roman" w:hAnsi="Times New Roman"/>
                <w:bCs/>
              </w:rPr>
              <w:t>Specialusis projektų atrankos kriterijus.</w:t>
            </w:r>
            <w:r w:rsidRPr="003D6788">
              <w:rPr>
                <w:rFonts w:ascii="Times New Roman" w:hAnsi="Times New Roman"/>
              </w:rPr>
              <w:t xml:space="preserve"> Pareiškėjas yra APV paremto brandaus inovacijų klasterio koordinatorius.*</w:t>
            </w:r>
          </w:p>
        </w:tc>
      </w:tr>
      <w:tr w:rsidR="003D6788" w:rsidRPr="003D6788" w14:paraId="0C16043B" w14:textId="77777777" w:rsidTr="008502C6">
        <w:tc>
          <w:tcPr>
            <w:tcW w:w="9911" w:type="dxa"/>
          </w:tcPr>
          <w:p w14:paraId="299911C7" w14:textId="6D55909B"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Cs/>
                <w:lang w:eastAsia="lt-LT"/>
              </w:rPr>
              <w:t>*</w:t>
            </w:r>
            <w:r w:rsidRPr="003D6788">
              <w:rPr>
                <w:rFonts w:ascii="Times New Roman" w:hAnsi="Times New Roman"/>
                <w:bCs/>
                <w:i/>
                <w:iCs/>
              </w:rPr>
              <w:t xml:space="preserve"> </w:t>
            </w:r>
            <w:r w:rsidRPr="003D6788">
              <w:rPr>
                <w:rFonts w:ascii="Times New Roman" w:hAnsi="Times New Roman"/>
                <w:bCs/>
                <w:i/>
                <w:iCs/>
                <w:lang w:eastAsia="lt-LT"/>
              </w:rPr>
              <w:t>Vertinama, ar pareiškėjas yra APV paremto brandaus inovacijų klasterio, atitinkančio brandaus inovacijų klasterio apibrėžimą, koordinatorius.</w:t>
            </w:r>
          </w:p>
          <w:p w14:paraId="704BDB3A" w14:textId="77777777"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
                <w:iCs/>
                <w:lang w:eastAsia="lt-LT"/>
              </w:rPr>
              <w:t xml:space="preserve">APV paremtas brandus inovacijų klasteris – tai klasteris, kuris PĮP pateikimo </w:t>
            </w:r>
            <w:r w:rsidRPr="003D6788">
              <w:rPr>
                <w:rFonts w:ascii="Times New Roman" w:hAnsi="Times New Roman"/>
                <w:i/>
                <w:iCs/>
              </w:rPr>
              <w:t>administruojančiajai institucijai dienai</w:t>
            </w:r>
            <w:r w:rsidRPr="003D6788">
              <w:rPr>
                <w:rFonts w:ascii="Times New Roman" w:hAnsi="Times New Roman"/>
                <w:bCs/>
                <w:i/>
                <w:iCs/>
                <w:lang w:eastAsia="lt-LT"/>
              </w:rPr>
              <w:t xml:space="preserve"> atitinka šiuos reikalavimus:</w:t>
            </w:r>
          </w:p>
          <w:p w14:paraId="29263B67" w14:textId="77777777"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
                <w:iCs/>
                <w:lang w:val="en-US" w:eastAsia="lt-LT"/>
              </w:rPr>
              <w:t xml:space="preserve">1) </w:t>
            </w:r>
            <w:r w:rsidRPr="003D6788">
              <w:rPr>
                <w:rFonts w:ascii="Times New Roman" w:hAnsi="Times New Roman"/>
                <w:bCs/>
                <w:i/>
                <w:iCs/>
                <w:lang w:eastAsia="lt-LT"/>
              </w:rPr>
              <w:t xml:space="preserve">klasterio nariai vykdo bendras veiklas daugiau nei 5 metus; </w:t>
            </w:r>
          </w:p>
          <w:p w14:paraId="3AC1B7A9" w14:textId="77777777" w:rsidR="003D6788" w:rsidRPr="003D6788" w:rsidRDefault="003D6788" w:rsidP="003D6788">
            <w:pPr>
              <w:pStyle w:val="pf0"/>
              <w:spacing w:before="0" w:beforeAutospacing="0" w:after="0" w:afterAutospacing="0"/>
              <w:jc w:val="both"/>
              <w:rPr>
                <w:rFonts w:ascii="Times New Roman" w:hAnsi="Times New Roman"/>
              </w:rPr>
            </w:pPr>
            <w:r w:rsidRPr="003D6788">
              <w:rPr>
                <w:rFonts w:ascii="Times New Roman" w:hAnsi="Times New Roman"/>
                <w:bCs/>
                <w:i/>
                <w:iCs/>
              </w:rPr>
              <w:t xml:space="preserve">2) turi ne mažiau kaip 5 nepriklausomus narius, dalyvaujančius klasterio veikloje ne trumpiau kaip 5 metus iki PĮP pateikimo </w:t>
            </w:r>
            <w:r w:rsidRPr="003D6788">
              <w:rPr>
                <w:rFonts w:ascii="Times New Roman" w:hAnsi="Times New Roman"/>
                <w:i/>
                <w:iCs/>
              </w:rPr>
              <w:t>administruojančiajai institucijai dienos</w:t>
            </w:r>
            <w:r w:rsidRPr="003D6788">
              <w:rPr>
                <w:rFonts w:ascii="Times New Roman" w:hAnsi="Times New Roman"/>
                <w:bCs/>
                <w:i/>
                <w:iCs/>
              </w:rPr>
              <w:t>;</w:t>
            </w:r>
          </w:p>
          <w:p w14:paraId="34AF8EAF" w14:textId="77777777" w:rsidR="003D6788" w:rsidRPr="003D6788" w:rsidRDefault="003D6788" w:rsidP="003D6788">
            <w:pPr>
              <w:widowControl w:val="0"/>
              <w:jc w:val="both"/>
              <w:textAlignment w:val="baseline"/>
              <w:rPr>
                <w:rFonts w:ascii="Times New Roman" w:hAnsi="Times New Roman"/>
                <w:bCs/>
                <w:i/>
                <w:iCs/>
                <w:strike/>
                <w:lang w:eastAsia="lt-LT"/>
              </w:rPr>
            </w:pPr>
            <w:r w:rsidRPr="003D6788">
              <w:rPr>
                <w:rFonts w:ascii="Times New Roman" w:hAnsi="Times New Roman"/>
                <w:bCs/>
                <w:i/>
                <w:iCs/>
                <w:lang w:eastAsia="lt-LT"/>
              </w:rPr>
              <w:t>3) yra pasitvirtinęs klasterio valdymo struktūrą ir veiklos strategiją;</w:t>
            </w:r>
          </w:p>
          <w:p w14:paraId="4E01A391" w14:textId="77777777" w:rsidR="003D6788" w:rsidRPr="003D6788" w:rsidRDefault="003D6788" w:rsidP="003D6788">
            <w:pPr>
              <w:widowControl w:val="0"/>
              <w:jc w:val="both"/>
              <w:textAlignment w:val="baseline"/>
              <w:rPr>
                <w:rFonts w:ascii="Times New Roman" w:hAnsi="Times New Roman"/>
                <w:i/>
              </w:rPr>
            </w:pPr>
            <w:r w:rsidRPr="003D6788">
              <w:rPr>
                <w:rFonts w:ascii="Times New Roman" w:hAnsi="Times New Roman"/>
                <w:bCs/>
                <w:i/>
                <w:iCs/>
                <w:lang w:eastAsia="lt-LT"/>
              </w:rPr>
              <w:t>4) bent trys klasterio nariai vykdo mokslinius tyrimus ir eksperimentinės plėtros (toliau – MTEP) veiklas ir</w:t>
            </w:r>
            <w:r w:rsidRPr="003D6788">
              <w:rPr>
                <w:rFonts w:ascii="Times New Roman" w:hAnsi="Times New Roman"/>
                <w:i/>
              </w:rPr>
              <w:t xml:space="preserve"> deklaruoja MTEP išlaidas Valstybės duomenų agentūrai (vertinamas paskutinių 3 finansinių metų iki PĮP pateikimo laikotarpis).</w:t>
            </w:r>
          </w:p>
          <w:p w14:paraId="2DD78FA1" w14:textId="06997DC7"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
                <w:iCs/>
                <w:lang w:eastAsia="lt-LT"/>
              </w:rPr>
              <w:t>5) bent trys klasterio nariai vykdo APV sektoriui priskirtinas ekonomines veiklas.</w:t>
            </w:r>
          </w:p>
          <w:p w14:paraId="4817A574" w14:textId="497AEB52"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
                <w:iCs/>
                <w:lang w:eastAsia="lt-LT"/>
              </w:rPr>
              <w:t xml:space="preserve">Inovacijų klasteris (inovacijų grupė) suprantamas taip, kaip apibrėžta </w:t>
            </w:r>
            <w:hyperlink r:id="rId16" w:history="1">
              <w:r w:rsidRPr="003D6788">
                <w:rPr>
                  <w:rStyle w:val="Hyperlink"/>
                  <w:rFonts w:ascii="Times New Roman" w:hAnsi="Times New Roman"/>
                  <w:bCs/>
                  <w:i/>
                  <w:iCs/>
                  <w:lang w:eastAsia="lt-LT"/>
                </w:rPr>
                <w:t>2014</w:t>
              </w:r>
              <w:r w:rsidRPr="003D6788">
                <w:rPr>
                  <w:rFonts w:ascii="Times New Roman" w:hAnsi="Times New Roman"/>
                  <w:i/>
                  <w:iCs/>
                  <w:lang w:val="en-US"/>
                </w:rPr>
                <w:t> </w:t>
              </w:r>
              <w:r w:rsidRPr="003D6788">
                <w:rPr>
                  <w:rStyle w:val="Hyperlink"/>
                  <w:rFonts w:ascii="Times New Roman" w:hAnsi="Times New Roman"/>
                  <w:bCs/>
                  <w:i/>
                  <w:iCs/>
                  <w:lang w:eastAsia="lt-LT"/>
                </w:rPr>
                <w:t xml:space="preserve"> m.</w:t>
              </w:r>
              <w:r w:rsidRPr="003D6788">
                <w:rPr>
                  <w:rFonts w:ascii="Times New Roman" w:hAnsi="Times New Roman"/>
                  <w:i/>
                  <w:iCs/>
                  <w:lang w:val="en-US"/>
                </w:rPr>
                <w:t xml:space="preserve">  </w:t>
              </w:r>
              <w:r w:rsidRPr="003D6788">
                <w:rPr>
                  <w:rStyle w:val="Hyperlink"/>
                  <w:rFonts w:ascii="Times New Roman" w:hAnsi="Times New Roman"/>
                  <w:bCs/>
                  <w:i/>
                  <w:iCs/>
                  <w:lang w:eastAsia="lt-LT"/>
                </w:rPr>
                <w:t xml:space="preserve"> birželio</w:t>
              </w:r>
              <w:r w:rsidRPr="003D6788">
                <w:rPr>
                  <w:rFonts w:ascii="Times New Roman" w:hAnsi="Times New Roman"/>
                  <w:i/>
                  <w:iCs/>
                  <w:lang w:val="en-US"/>
                </w:rPr>
                <w:t> </w:t>
              </w:r>
              <w:r w:rsidRPr="003D6788">
                <w:rPr>
                  <w:rStyle w:val="Hyperlink"/>
                  <w:rFonts w:ascii="Times New Roman" w:hAnsi="Times New Roman"/>
                  <w:bCs/>
                  <w:i/>
                  <w:iCs/>
                  <w:lang w:eastAsia="lt-LT"/>
                </w:rPr>
                <w:t xml:space="preserve"> 17</w:t>
              </w:r>
              <w:r w:rsidRPr="003D6788">
                <w:rPr>
                  <w:rFonts w:ascii="Times New Roman" w:hAnsi="Times New Roman"/>
                  <w:i/>
                  <w:iCs/>
                  <w:lang w:val="en-US"/>
                </w:rPr>
                <w:t> </w:t>
              </w:r>
              <w:r w:rsidRPr="003D6788">
                <w:rPr>
                  <w:rStyle w:val="Hyperlink"/>
                  <w:rFonts w:ascii="Times New Roman" w:hAnsi="Times New Roman"/>
                  <w:bCs/>
                  <w:i/>
                  <w:iCs/>
                  <w:lang w:eastAsia="lt-LT"/>
                </w:rPr>
                <w:t>d. Komisijos reglamente (ES) Nr. 651/2014, kuriuo tam tikrų kategorijų pagalba skelbiama suderinama su vidaus rinka taikant Sutarties 107 ir 108 straipsnius</w:t>
              </w:r>
            </w:hyperlink>
            <w:r w:rsidRPr="003D6788">
              <w:rPr>
                <w:rFonts w:ascii="Times New Roman" w:hAnsi="Times New Roman"/>
                <w:bCs/>
                <w:i/>
                <w:iCs/>
                <w:lang w:eastAsia="lt-LT"/>
              </w:rPr>
              <w:t>, su visais pakeitimais, 2 straipsnio</w:t>
            </w:r>
            <w:r w:rsidRPr="003D6788">
              <w:rPr>
                <w:rFonts w:ascii="Times New Roman" w:hAnsi="Times New Roman"/>
                <w:i/>
                <w:lang w:eastAsia="lt-LT"/>
              </w:rPr>
              <w:t xml:space="preserve"> </w:t>
            </w:r>
            <w:r w:rsidRPr="003D6788">
              <w:rPr>
                <w:rFonts w:ascii="Times New Roman" w:hAnsi="Times New Roman"/>
                <w:bCs/>
                <w:i/>
                <w:iCs/>
                <w:lang w:eastAsia="lt-LT"/>
              </w:rPr>
              <w:t xml:space="preserve">92 punkte. </w:t>
            </w:r>
          </w:p>
          <w:p w14:paraId="1F62278D" w14:textId="0BA29331"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
                <w:iCs/>
                <w:lang w:eastAsia="lt-LT"/>
              </w:rPr>
              <w:t>APV paremto brandaus inovacijų klasterio koordinatorius – tai juridinis asmuo, administruojantis, plėtojantis vidinių ir išorinių ryšių brandaus inovacijų klasterio veiklas ir atstovaujantis brandaus inovacijų klasterio interesams siekiant klasterio narių veiklos plėtros ir augimo.</w:t>
            </w:r>
          </w:p>
          <w:p w14:paraId="3393BBDC" w14:textId="76F56F93"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bCs/>
                <w:i/>
                <w:iCs/>
                <w:lang w:eastAsia="lt-LT"/>
              </w:rPr>
              <w:t>APV paremto brandaus inovacijų klasterio narys turi būti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5A6C46D5" w14:textId="323A07DA" w:rsidR="003D6788" w:rsidRPr="003D6788" w:rsidRDefault="003D6788" w:rsidP="003D6788">
            <w:pPr>
              <w:widowControl w:val="0"/>
              <w:jc w:val="both"/>
              <w:textAlignment w:val="baseline"/>
              <w:rPr>
                <w:rFonts w:ascii="Times New Roman" w:hAnsi="Times New Roman"/>
                <w:bCs/>
                <w:i/>
                <w:iCs/>
                <w:lang w:eastAsia="lt-LT"/>
              </w:rPr>
            </w:pPr>
            <w:r w:rsidRPr="003D6788">
              <w:rPr>
                <w:rFonts w:ascii="Times New Roman" w:hAnsi="Times New Roman"/>
                <w:i/>
                <w:iCs/>
                <w:lang w:eastAsia="lt-LT"/>
              </w:rPr>
              <w:t xml:space="preserve">Nepriklausomi brandaus inovacijų klasterio nariai – vieni kitų atžvilgiu savarankiškos įmonės, kaip jos apibrėžtos </w:t>
            </w:r>
            <w:hyperlink r:id="rId17" w:history="1">
              <w:r w:rsidRPr="003D6788">
                <w:rPr>
                  <w:rStyle w:val="Hyperlink"/>
                  <w:rFonts w:ascii="Times New Roman" w:hAnsi="Times New Roman"/>
                  <w:i/>
                  <w:iCs/>
                  <w:lang w:eastAsia="lt-LT"/>
                </w:rPr>
                <w:t>Lietuvos Respublikos smulkiojo ir vidutinio verslo plėtros įstatyme.</w:t>
              </w:r>
            </w:hyperlink>
          </w:p>
          <w:p w14:paraId="4B3BBB01" w14:textId="774C01F2" w:rsidR="003D6788" w:rsidRPr="003D6788" w:rsidRDefault="003D6788" w:rsidP="003D6788">
            <w:pPr>
              <w:jc w:val="both"/>
              <w:rPr>
                <w:rFonts w:ascii="Times New Roman" w:hAnsi="Times New Roman"/>
                <w:i/>
                <w:iCs/>
              </w:rPr>
            </w:pPr>
            <w:r w:rsidRPr="003D6788">
              <w:rPr>
                <w:rFonts w:ascii="Times New Roman" w:hAnsi="Times New Roman"/>
                <w:i/>
                <w:iCs/>
              </w:rPr>
              <w:t>APV sektoriui priskiriama įmonė, kuri vykdo pagrindinę ekonominę veiklą aukštųjų (angl. „</w:t>
            </w:r>
            <w:r w:rsidRPr="003D6788">
              <w:rPr>
                <w:rFonts w:ascii="Times New Roman" w:hAnsi="Times New Roman"/>
                <w:i/>
                <w:iCs/>
                <w:lang w:val="en-GB"/>
              </w:rPr>
              <w:t>high-tech</w:t>
            </w:r>
            <w:r w:rsidRPr="003D6788">
              <w:rPr>
                <w:rFonts w:ascii="Times New Roman" w:hAnsi="Times New Roman"/>
                <w:i/>
                <w:iCs/>
              </w:rPr>
              <w:t xml:space="preserve">“), aukštesniųjų (angl. </w:t>
            </w:r>
            <w:r w:rsidRPr="003D6788">
              <w:rPr>
                <w:rFonts w:ascii="Times New Roman" w:hAnsi="Times New Roman"/>
                <w:i/>
                <w:iCs/>
                <w:lang w:val="en-US"/>
              </w:rPr>
              <w:t>„medium tech</w:t>
            </w:r>
            <w:r w:rsidRPr="003D6788">
              <w:rPr>
                <w:rFonts w:ascii="Times New Roman" w:hAnsi="Times New Roman"/>
                <w:i/>
                <w:iCs/>
              </w:rPr>
              <w:t>“) technologijų arba aukštųjų technologijų žinioms imlių paslaugų (angl. „</w:t>
            </w:r>
            <w:r w:rsidRPr="003D6788">
              <w:rPr>
                <w:rFonts w:ascii="Times New Roman" w:hAnsi="Times New Roman"/>
                <w:i/>
                <w:iCs/>
                <w:lang w:val="en-GB"/>
              </w:rPr>
              <w:t>high-tech knowledge-intensive services</w:t>
            </w:r>
            <w:r w:rsidRPr="003D6788">
              <w:rPr>
                <w:rFonts w:ascii="Times New Roman" w:hAnsi="Times New Roman"/>
                <w:i/>
                <w:iCs/>
              </w:rPr>
              <w:t>“ (KIS))</w:t>
            </w:r>
            <w:r w:rsidRPr="003D6788">
              <w:rPr>
                <w:rFonts w:ascii="Times New Roman" w:hAnsi="Times New Roman"/>
                <w:b/>
                <w:bCs/>
                <w:i/>
                <w:iCs/>
              </w:rPr>
              <w:t xml:space="preserve"> </w:t>
            </w:r>
            <w:r w:rsidRPr="003D6788">
              <w:rPr>
                <w:rFonts w:ascii="Times New Roman" w:hAnsi="Times New Roman"/>
                <w:i/>
                <w:iCs/>
              </w:rPr>
              <w:t>sektoriuose.</w:t>
            </w:r>
          </w:p>
          <w:p w14:paraId="4D81E516" w14:textId="77777777" w:rsidR="003D6788" w:rsidRPr="003D6788" w:rsidRDefault="003D6788" w:rsidP="003D6788">
            <w:pPr>
              <w:jc w:val="both"/>
              <w:rPr>
                <w:rFonts w:ascii="Times New Roman" w:hAnsi="Times New Roman"/>
                <w:i/>
                <w:iCs/>
              </w:rPr>
            </w:pPr>
            <w:r w:rsidRPr="003D6788">
              <w:rPr>
                <w:rFonts w:ascii="Times New Roman" w:hAnsi="Times New Roman"/>
                <w:i/>
                <w:iCs/>
              </w:rPr>
              <w:t>Prie aukštųjų (angl. „</w:t>
            </w:r>
            <w:r w:rsidRPr="003D6788">
              <w:rPr>
                <w:rFonts w:ascii="Times New Roman" w:hAnsi="Times New Roman"/>
                <w:i/>
                <w:iCs/>
                <w:lang w:val="en-GB"/>
              </w:rPr>
              <w:t>high-tech</w:t>
            </w:r>
            <w:r w:rsidRPr="003D6788">
              <w:rPr>
                <w:rFonts w:ascii="Times New Roman" w:hAnsi="Times New Roman"/>
                <w:i/>
                <w:iCs/>
              </w:rPr>
              <w:t xml:space="preserve">“) technologijų veiklos priskirtina veikla, patenkanti į šiuos Ekonominės veiklos rūšių klasifikatoriaus (EVRK 2 red.), patvirtinto </w:t>
            </w:r>
            <w:hyperlink r:id="rId18" w:history="1">
              <w:r w:rsidRPr="003D6788">
                <w:rPr>
                  <w:rFonts w:ascii="Times New Roman" w:hAnsi="Times New Roman"/>
                  <w:i/>
                  <w:iCs/>
                  <w:color w:val="0000FF"/>
                  <w:u w:val="single"/>
                </w:rPr>
                <w:t>Statistikos departamento prie Lietuvos Respublikos Vyriausybės generalinio direktoriaus 2007 m. spalio 31 d. įsakymu Nr. DĮ-226</w:t>
              </w:r>
            </w:hyperlink>
            <w:r w:rsidRPr="003D6788">
              <w:rPr>
                <w:rFonts w:ascii="Times New Roman" w:hAnsi="Times New Roman"/>
                <w:i/>
                <w:iCs/>
              </w:rPr>
              <w:t xml:space="preserve"> (toliau – EVRK 2 red.), kodus: pagrindinių vaistų pramonės gaminių ir farmacinių preparatų gamyba (21); kompiuterinių, elektroninių ir optinių gaminių gamyba (26); orlaivių ir erdvėlaivių bei susijusios įrangos gamyba (30.3).</w:t>
            </w:r>
          </w:p>
          <w:p w14:paraId="0B3E6106" w14:textId="77777777" w:rsidR="003D6788" w:rsidRPr="003D6788" w:rsidRDefault="003D6788" w:rsidP="003D6788">
            <w:pPr>
              <w:jc w:val="both"/>
              <w:rPr>
                <w:rFonts w:ascii="Times New Roman" w:hAnsi="Times New Roman"/>
                <w:i/>
                <w:iCs/>
              </w:rPr>
            </w:pPr>
          </w:p>
          <w:p w14:paraId="37353C3E" w14:textId="39F39341" w:rsidR="003D6788" w:rsidRPr="003D6788" w:rsidRDefault="003D6788" w:rsidP="003D6788">
            <w:pPr>
              <w:jc w:val="both"/>
              <w:rPr>
                <w:rFonts w:ascii="Times New Roman" w:hAnsi="Times New Roman"/>
                <w:i/>
                <w:iCs/>
              </w:rPr>
            </w:pPr>
            <w:r w:rsidRPr="003D6788">
              <w:rPr>
                <w:rFonts w:ascii="Times New Roman" w:hAnsi="Times New Roman"/>
                <w:i/>
                <w:iCs/>
              </w:rPr>
              <w:lastRenderedPageBreak/>
              <w:t>Prie aukštesniųjų technologijų veiklos priskirtina veikla, patenkanti į šiuos ERVK 2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25BE2FA6" w14:textId="506505A5" w:rsidR="003D6788" w:rsidRPr="003D6788" w:rsidRDefault="003D6788" w:rsidP="003D6788">
            <w:pPr>
              <w:jc w:val="both"/>
              <w:rPr>
                <w:rFonts w:ascii="Times New Roman" w:hAnsi="Times New Roman"/>
                <w:i/>
                <w:iCs/>
              </w:rPr>
            </w:pPr>
            <w:r w:rsidRPr="003D6788">
              <w:rPr>
                <w:rFonts w:ascii="Times New Roman" w:hAnsi="Times New Roman"/>
                <w:i/>
                <w:iCs/>
              </w:rPr>
              <w:t>Prie aukštųjų technologijų žinioms imlių paslaugų (angl. „</w:t>
            </w:r>
            <w:r w:rsidRPr="003D6788">
              <w:rPr>
                <w:rFonts w:ascii="Times New Roman" w:hAnsi="Times New Roman"/>
                <w:i/>
                <w:iCs/>
                <w:lang w:val="en-GB"/>
              </w:rPr>
              <w:t>high-tech knowledge-intensive services</w:t>
            </w:r>
            <w:r w:rsidRPr="003D6788">
              <w:rPr>
                <w:rFonts w:ascii="Times New Roman" w:hAnsi="Times New Roman"/>
                <w:i/>
                <w:iCs/>
              </w:rPr>
              <w:t>“ (KIS)) veiklos priskirtina veikla, vykdoma pagal šiuos ERVK 2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0C36B95E" w14:textId="77777777" w:rsidR="003D6788" w:rsidRPr="003D6788" w:rsidRDefault="003D6788" w:rsidP="003D6788">
            <w:pPr>
              <w:tabs>
                <w:tab w:val="left" w:pos="851"/>
                <w:tab w:val="left" w:pos="1276"/>
              </w:tabs>
              <w:ind w:right="-1"/>
              <w:jc w:val="both"/>
              <w:rPr>
                <w:rFonts w:ascii="Times New Roman" w:hAnsi="Times New Roman"/>
                <w:i/>
                <w:iCs/>
              </w:rPr>
            </w:pPr>
            <w:r w:rsidRPr="003D6788">
              <w:rPr>
                <w:rFonts w:ascii="Times New Roman" w:hAnsi="Times New Roman"/>
                <w:i/>
                <w:iCs/>
              </w:rPr>
              <w:t>Informacija apie veiklų priskyrimą aukštųjų (angl. „</w:t>
            </w:r>
            <w:r w:rsidRPr="003D6788">
              <w:rPr>
                <w:rFonts w:ascii="Times New Roman" w:hAnsi="Times New Roman"/>
                <w:i/>
                <w:iCs/>
                <w:lang w:val="en-GB"/>
              </w:rPr>
              <w:t>high-tech</w:t>
            </w:r>
            <w:r w:rsidRPr="003D6788">
              <w:rPr>
                <w:rFonts w:ascii="Times New Roman" w:hAnsi="Times New Roman"/>
                <w:i/>
                <w:iCs/>
              </w:rPr>
              <w:t>“), aukštesniųjų (angl. „</w:t>
            </w:r>
            <w:r w:rsidRPr="003D6788">
              <w:rPr>
                <w:rFonts w:ascii="Times New Roman" w:hAnsi="Times New Roman"/>
                <w:i/>
                <w:iCs/>
                <w:lang w:val="en-GB"/>
              </w:rPr>
              <w:t>medium tech</w:t>
            </w:r>
            <w:r w:rsidRPr="003D6788">
              <w:rPr>
                <w:rFonts w:ascii="Times New Roman" w:hAnsi="Times New Roman"/>
                <w:i/>
                <w:iCs/>
              </w:rPr>
              <w:t xml:space="preserve">“) technologijų sektoriams pateikiama čia </w:t>
            </w:r>
            <w:hyperlink r:id="rId19" w:history="1">
              <w:r w:rsidRPr="003D6788">
                <w:rPr>
                  <w:rFonts w:ascii="Times New Roman" w:hAnsi="Times New Roman"/>
                  <w:i/>
                  <w:iCs/>
                  <w:color w:val="0000FF"/>
                  <w:u w:val="single"/>
                </w:rPr>
                <w:t>https://ec.europa.eu/eurostat/statistics-explained/index.php?title=Glossary:High-tech_classification_of_manufacturing_industries</w:t>
              </w:r>
            </w:hyperlink>
            <w:r w:rsidRPr="003D6788">
              <w:rPr>
                <w:rFonts w:ascii="Times New Roman" w:hAnsi="Times New Roman"/>
                <w:i/>
                <w:iCs/>
              </w:rPr>
              <w:t xml:space="preserve">. </w:t>
            </w:r>
          </w:p>
          <w:p w14:paraId="714DBCC9" w14:textId="4E966D66" w:rsidR="003D6788" w:rsidRPr="003D6788" w:rsidRDefault="003D6788" w:rsidP="003D6788">
            <w:pPr>
              <w:tabs>
                <w:tab w:val="left" w:pos="851"/>
                <w:tab w:val="left" w:pos="1276"/>
              </w:tabs>
              <w:ind w:right="-1"/>
              <w:jc w:val="both"/>
              <w:rPr>
                <w:rFonts w:ascii="Times New Roman" w:hAnsi="Times New Roman"/>
                <w:i/>
                <w:iCs/>
              </w:rPr>
            </w:pPr>
            <w:r w:rsidRPr="003D6788">
              <w:rPr>
                <w:rFonts w:ascii="Times New Roman" w:hAnsi="Times New Roman"/>
                <w:i/>
                <w:iCs/>
              </w:rPr>
              <w:t>Informacija apie veiklų priskyrimą aukštųjų technologijų žinioms imlių paslaugų (angl. „</w:t>
            </w:r>
            <w:r w:rsidRPr="003D6788">
              <w:rPr>
                <w:rFonts w:ascii="Times New Roman" w:hAnsi="Times New Roman"/>
                <w:i/>
                <w:iCs/>
                <w:lang w:val="en-GB"/>
              </w:rPr>
              <w:t>high-tech knowledge-intensive services</w:t>
            </w:r>
            <w:r w:rsidRPr="003D6788">
              <w:rPr>
                <w:rFonts w:ascii="Times New Roman" w:hAnsi="Times New Roman"/>
                <w:i/>
                <w:iCs/>
              </w:rPr>
              <w:t>“ (KIS))</w:t>
            </w:r>
            <w:r w:rsidRPr="003D6788">
              <w:rPr>
                <w:rFonts w:ascii="Times New Roman" w:hAnsi="Times New Roman"/>
                <w:b/>
                <w:bCs/>
                <w:i/>
                <w:iCs/>
              </w:rPr>
              <w:t xml:space="preserve"> </w:t>
            </w:r>
            <w:r w:rsidRPr="003D6788">
              <w:rPr>
                <w:rFonts w:ascii="Times New Roman" w:hAnsi="Times New Roman"/>
                <w:i/>
                <w:iCs/>
              </w:rPr>
              <w:t xml:space="preserve">sektoriams pateikiama čia: </w:t>
            </w:r>
            <w:hyperlink r:id="rId20" w:history="1">
              <w:r w:rsidRPr="003D6788">
                <w:rPr>
                  <w:rFonts w:ascii="Times New Roman" w:hAnsi="Times New Roman"/>
                  <w:i/>
                  <w:iCs/>
                  <w:color w:val="0000FF"/>
                  <w:u w:val="single"/>
                </w:rPr>
                <w:t>https://ec.europa.eu/eurostat/statistics-explained/index.php?title=Glossary:High-tech_classification_of_manufacturing_industries</w:t>
              </w:r>
            </w:hyperlink>
            <w:r w:rsidRPr="003D6788">
              <w:rPr>
                <w:rFonts w:ascii="Times New Roman" w:hAnsi="Times New Roman"/>
                <w:i/>
                <w:iCs/>
              </w:rPr>
              <w:t>.</w:t>
            </w:r>
          </w:p>
          <w:p w14:paraId="0925D982" w14:textId="4E506FCB" w:rsidR="003D6788" w:rsidRPr="003D6788" w:rsidRDefault="003D6788" w:rsidP="003D6788">
            <w:pPr>
              <w:widowControl w:val="0"/>
              <w:jc w:val="both"/>
              <w:textAlignment w:val="baseline"/>
              <w:rPr>
                <w:rFonts w:ascii="Times New Roman" w:hAnsi="Times New Roman"/>
                <w:iCs/>
              </w:rPr>
            </w:pPr>
            <w:r w:rsidRPr="003D6788">
              <w:rPr>
                <w:rFonts w:ascii="Times New Roman" w:hAnsi="Times New Roman"/>
                <w:bCs/>
                <w:i/>
                <w:iCs/>
                <w:lang w:eastAsia="lt-LT"/>
              </w:rPr>
              <w:t xml:space="preserve">Atitiktis kriterijui vertinama pagal PĮP pateiktą informaciją, pasirašytas bendradarbiavimo sutartis, Valstybės duomenų agentūrai teiktas ataskaitų apie deklaruotas MTEP išlaidas kopijas už </w:t>
            </w:r>
            <w:r w:rsidRPr="003D6788">
              <w:rPr>
                <w:rFonts w:ascii="Times New Roman" w:hAnsi="Times New Roman"/>
                <w:i/>
              </w:rPr>
              <w:t xml:space="preserve">paskutinių 3 finansinių </w:t>
            </w:r>
            <w:r w:rsidRPr="003D6788">
              <w:rPr>
                <w:rFonts w:ascii="Times New Roman" w:hAnsi="Times New Roman"/>
                <w:bCs/>
                <w:i/>
                <w:iCs/>
                <w:lang w:eastAsia="lt-LT"/>
              </w:rPr>
              <w:t>metų iki PĮP pateikimo laikotarpį.</w:t>
            </w:r>
          </w:p>
        </w:tc>
      </w:tr>
    </w:tbl>
    <w:p w14:paraId="2DE3DCFE" w14:textId="77777777" w:rsidR="003D6788" w:rsidRDefault="003D6788" w:rsidP="00C07297">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3D6788" w:rsidRPr="00D244E5" w14:paraId="3695FA5B" w14:textId="77777777" w:rsidTr="008502C6">
        <w:tc>
          <w:tcPr>
            <w:tcW w:w="9911" w:type="dxa"/>
          </w:tcPr>
          <w:p w14:paraId="5ADEF626" w14:textId="21AEFCD0" w:rsidR="003D6788" w:rsidRPr="00D244E5" w:rsidRDefault="00D244E5" w:rsidP="008502C6">
            <w:pPr>
              <w:pStyle w:val="ListParagraph"/>
              <w:numPr>
                <w:ilvl w:val="0"/>
                <w:numId w:val="3"/>
              </w:numPr>
              <w:tabs>
                <w:tab w:val="left" w:pos="1134"/>
              </w:tabs>
              <w:jc w:val="both"/>
              <w:rPr>
                <w:rFonts w:ascii="Times New Roman" w:hAnsi="Times New Roman"/>
                <w:bCs/>
              </w:rPr>
            </w:pPr>
            <w:r w:rsidRPr="00D244E5">
              <w:rPr>
                <w:rFonts w:ascii="Times New Roman" w:hAnsi="Times New Roman"/>
                <w:bCs/>
              </w:rPr>
              <w:t>Prioritetinis</w:t>
            </w:r>
            <w:r w:rsidR="003D6788" w:rsidRPr="00D244E5">
              <w:rPr>
                <w:rFonts w:ascii="Times New Roman" w:hAnsi="Times New Roman"/>
                <w:bCs/>
              </w:rPr>
              <w:t xml:space="preserve"> projektų atrankos kriterijus.</w:t>
            </w:r>
            <w:r w:rsidR="003D6788" w:rsidRPr="00D244E5">
              <w:rPr>
                <w:rFonts w:ascii="Times New Roman" w:hAnsi="Times New Roman"/>
              </w:rPr>
              <w:t xml:space="preserve"> </w:t>
            </w:r>
            <w:r w:rsidRPr="00D244E5">
              <w:rPr>
                <w:rFonts w:ascii="Times New Roman" w:hAnsi="Times New Roman"/>
                <w:bCs/>
                <w:lang w:eastAsia="lt-LT"/>
              </w:rPr>
              <w:t>Brandus inovacijų klasteris turi tarptautinio bendradarbiavimo patirties.</w:t>
            </w:r>
            <w:r w:rsidR="003D6788" w:rsidRPr="00D244E5">
              <w:rPr>
                <w:rFonts w:ascii="Times New Roman" w:hAnsi="Times New Roman"/>
                <w:bCs/>
              </w:rPr>
              <w:t>*</w:t>
            </w:r>
          </w:p>
        </w:tc>
      </w:tr>
      <w:tr w:rsidR="003D6788" w:rsidRPr="00D244E5" w14:paraId="10D52EFE" w14:textId="77777777" w:rsidTr="008502C6">
        <w:tc>
          <w:tcPr>
            <w:tcW w:w="9911" w:type="dxa"/>
          </w:tcPr>
          <w:p w14:paraId="085F4BDF" w14:textId="327AB115" w:rsidR="00D244E5" w:rsidRPr="00D244E5" w:rsidRDefault="003D6788" w:rsidP="00D244E5">
            <w:pPr>
              <w:jc w:val="both"/>
              <w:rPr>
                <w:rFonts w:ascii="Times New Roman" w:hAnsi="Times New Roman"/>
                <w:bCs/>
                <w:i/>
                <w:lang w:eastAsia="lt-LT"/>
              </w:rPr>
            </w:pPr>
            <w:r w:rsidRPr="00D244E5">
              <w:rPr>
                <w:rFonts w:ascii="Times New Roman" w:hAnsi="Times New Roman"/>
                <w:bCs/>
                <w:iCs/>
                <w:lang w:eastAsia="lt-LT"/>
              </w:rPr>
              <w:t>*</w:t>
            </w:r>
            <w:r w:rsidRPr="00D244E5">
              <w:rPr>
                <w:rFonts w:ascii="Times New Roman" w:hAnsi="Times New Roman"/>
                <w:bCs/>
                <w:i/>
                <w:iCs/>
              </w:rPr>
              <w:t xml:space="preserve"> </w:t>
            </w:r>
            <w:r w:rsidR="00D244E5" w:rsidRPr="00D244E5">
              <w:rPr>
                <w:rFonts w:ascii="Times New Roman" w:hAnsi="Times New Roman"/>
                <w:bCs/>
                <w:i/>
                <w:lang w:eastAsia="lt-LT"/>
              </w:rPr>
              <w:t>Vertinama, ar brandus inovacijų klasteris turi patirties dalyvaujant tarptautiniuose MTEPI projektuose. Siekiama įvertinti, ar brandus inovacijų klasteris vykdė ir (arba) vykdo MTEPI veiklas tarptautiniu mastu, t. y. bendradarbiaudamas su užsienyje veikiančiais subjektais.</w:t>
            </w:r>
          </w:p>
          <w:p w14:paraId="4AEE5C10" w14:textId="77777777" w:rsidR="00D244E5" w:rsidRPr="00D244E5" w:rsidRDefault="00D244E5" w:rsidP="00D244E5">
            <w:pPr>
              <w:jc w:val="both"/>
              <w:rPr>
                <w:rFonts w:ascii="Times New Roman" w:hAnsi="Times New Roman"/>
                <w:bCs/>
                <w:i/>
                <w:iCs/>
                <w:lang w:eastAsia="lt-LT"/>
              </w:rPr>
            </w:pPr>
            <w:r w:rsidRPr="00D244E5">
              <w:rPr>
                <w:rFonts w:ascii="Times New Roman" w:hAnsi="Times New Roman"/>
                <w:bCs/>
                <w:i/>
                <w:iCs/>
                <w:lang w:eastAsia="lt-LT"/>
              </w:rPr>
              <w:t>Balai suteikiami tiems projektams, kurių brandus inovacijų klasteris:</w:t>
            </w:r>
          </w:p>
          <w:p w14:paraId="354EB88A" w14:textId="77777777" w:rsidR="00D244E5" w:rsidRPr="00D244E5" w:rsidRDefault="00D244E5" w:rsidP="00D244E5">
            <w:pPr>
              <w:jc w:val="both"/>
              <w:rPr>
                <w:rFonts w:ascii="Times New Roman" w:hAnsi="Times New Roman"/>
                <w:bCs/>
                <w:i/>
                <w:iCs/>
                <w:lang w:eastAsia="lt-LT"/>
              </w:rPr>
            </w:pPr>
            <w:r w:rsidRPr="00D244E5">
              <w:rPr>
                <w:rFonts w:ascii="Times New Roman" w:hAnsi="Times New Roman"/>
                <w:bCs/>
                <w:i/>
                <w:iCs/>
                <w:lang w:eastAsia="lt-LT"/>
              </w:rPr>
              <w:t xml:space="preserve">1) yra gavęs tarptautinę klasterio žymą, kuri galioja PĮP pateikimo </w:t>
            </w:r>
            <w:r w:rsidRPr="00D244E5">
              <w:rPr>
                <w:rFonts w:ascii="Times New Roman" w:hAnsi="Times New Roman"/>
                <w:i/>
                <w:iCs/>
              </w:rPr>
              <w:t>administruojančiajai institucijai dieną</w:t>
            </w:r>
            <w:r w:rsidRPr="00D244E5">
              <w:rPr>
                <w:rFonts w:ascii="Times New Roman" w:hAnsi="Times New Roman"/>
                <w:bCs/>
                <w:i/>
                <w:iCs/>
                <w:lang w:eastAsia="lt-LT"/>
              </w:rPr>
              <w:t>;</w:t>
            </w:r>
          </w:p>
          <w:p w14:paraId="313BC331" w14:textId="27E831DF" w:rsidR="00D244E5" w:rsidRPr="00D244E5" w:rsidRDefault="00D244E5" w:rsidP="00D244E5">
            <w:pPr>
              <w:jc w:val="both"/>
              <w:rPr>
                <w:rFonts w:ascii="Times New Roman" w:hAnsi="Times New Roman"/>
                <w:bCs/>
                <w:i/>
                <w:iCs/>
                <w:lang w:eastAsia="lt-LT"/>
              </w:rPr>
            </w:pPr>
            <w:r w:rsidRPr="00D244E5">
              <w:rPr>
                <w:rFonts w:ascii="Times New Roman" w:hAnsi="Times New Roman"/>
                <w:bCs/>
                <w:i/>
                <w:iCs/>
                <w:lang w:eastAsia="lt-LT"/>
              </w:rPr>
              <w:t>2) ir (arba) turi dalyvavimo tarptautiniuose MTEPI projektuose (bent 2 klasterio nariai kartu dalyvavo tarptautiniame MTEPI projekte) patirties (vertinamas pastarųjų 3 metų iki PĮP pateikimo laikotarpis).</w:t>
            </w:r>
          </w:p>
          <w:p w14:paraId="310F5682" w14:textId="11CDF72E" w:rsidR="00D244E5" w:rsidRPr="00D244E5" w:rsidRDefault="00D244E5" w:rsidP="00D244E5">
            <w:pPr>
              <w:jc w:val="both"/>
              <w:rPr>
                <w:rFonts w:ascii="Times New Roman" w:hAnsi="Times New Roman"/>
                <w:i/>
                <w:iCs/>
              </w:rPr>
            </w:pPr>
            <w:r w:rsidRPr="00D244E5">
              <w:rPr>
                <w:rFonts w:ascii="Times New Roman" w:hAnsi="Times New Roman"/>
                <w:i/>
                <w:iCs/>
              </w:rPr>
              <w:t xml:space="preserve">Tarptautinis MTEPI projektas – tai ne mažiau kaip tarp dviejų valstybių vykdomas bendras projektas MTEPI srityje, patvirtintas dokumentais, įrodančiais, kad buvo pateikta paraiška dalyvavimui tarptautiniame MTEPI projekte. </w:t>
            </w:r>
          </w:p>
          <w:p w14:paraId="3FAD961F" w14:textId="259057E9" w:rsidR="00D244E5" w:rsidRPr="00D244E5" w:rsidRDefault="00D244E5" w:rsidP="00D244E5">
            <w:pPr>
              <w:jc w:val="both"/>
              <w:rPr>
                <w:rFonts w:ascii="Times New Roman" w:hAnsi="Times New Roman"/>
                <w:bCs/>
                <w:i/>
                <w:iCs/>
                <w:lang w:eastAsia="lt-LT"/>
              </w:rPr>
            </w:pPr>
            <w:r w:rsidRPr="00D244E5">
              <w:rPr>
                <w:rFonts w:ascii="Times New Roman" w:hAnsi="Times New Roman"/>
                <w:bCs/>
                <w:i/>
                <w:iCs/>
                <w:lang w:eastAsia="lt-LT"/>
              </w:rPr>
              <w:t>Aukštesnis prioritetinis balas suteikiamas tiems projektams,</w:t>
            </w:r>
            <w:r w:rsidRPr="00D244E5">
              <w:rPr>
                <w:rFonts w:ascii="Times New Roman" w:hAnsi="Times New Roman"/>
              </w:rPr>
              <w:t xml:space="preserve"> </w:t>
            </w:r>
            <w:r w:rsidRPr="00D244E5">
              <w:rPr>
                <w:rFonts w:ascii="Times New Roman" w:hAnsi="Times New Roman"/>
                <w:bCs/>
                <w:i/>
                <w:iCs/>
                <w:lang w:eastAsia="lt-LT"/>
              </w:rPr>
              <w:t>kurių brandus inovacijų klasteris yra gavęs tarptautinę klasterio žymą, galiojančią PĮP pateikimo metu. Jeigu brandus inovacijų klasteris atitinka abu aukščiau minėtus požymius, už kuriuos suteikiami balai, įvertinimas sumuojamas ir kriterijui suteikiamas aukščiausias balas.</w:t>
            </w:r>
          </w:p>
          <w:p w14:paraId="19D305AE" w14:textId="2D8941F7" w:rsidR="00D244E5" w:rsidRPr="00D244E5" w:rsidRDefault="00D244E5" w:rsidP="00D244E5">
            <w:pPr>
              <w:jc w:val="both"/>
              <w:rPr>
                <w:rFonts w:ascii="Times New Roman" w:hAnsi="Times New Roman"/>
                <w:bCs/>
                <w:i/>
                <w:iCs/>
                <w:lang w:eastAsia="lt-LT"/>
              </w:rPr>
            </w:pPr>
            <w:r w:rsidRPr="00D244E5">
              <w:rPr>
                <w:rFonts w:ascii="Times New Roman" w:hAnsi="Times New Roman"/>
                <w:bCs/>
                <w:i/>
                <w:iCs/>
                <w:lang w:eastAsia="lt-LT"/>
              </w:rPr>
              <w:t>Tarptautinė klasterio žyma (angl. “</w:t>
            </w:r>
            <w:r w:rsidRPr="00D244E5">
              <w:rPr>
                <w:rFonts w:ascii="Times New Roman" w:hAnsi="Times New Roman"/>
                <w:i/>
                <w:iCs/>
                <w:color w:val="000000"/>
                <w:shd w:val="clear" w:color="auto" w:fill="FFFFFF"/>
                <w:lang w:val="en-GB"/>
              </w:rPr>
              <w:t>Quality</w:t>
            </w:r>
            <w:r w:rsidRPr="00D244E5">
              <w:rPr>
                <w:rFonts w:ascii="Times New Roman" w:hAnsi="Times New Roman"/>
                <w:color w:val="000000"/>
                <w:sz w:val="22"/>
                <w:szCs w:val="22"/>
                <w:shd w:val="clear" w:color="auto" w:fill="FFFFFF"/>
                <w:lang w:val="en-GB"/>
              </w:rPr>
              <w:t xml:space="preserve"> </w:t>
            </w:r>
            <w:r w:rsidRPr="00D244E5">
              <w:rPr>
                <w:rFonts w:ascii="Times New Roman" w:hAnsi="Times New Roman"/>
                <w:bCs/>
                <w:i/>
                <w:iCs/>
                <w:lang w:val="en-GB" w:eastAsia="lt-LT"/>
              </w:rPr>
              <w:t>Label</w:t>
            </w:r>
            <w:r w:rsidRPr="00D244E5">
              <w:rPr>
                <w:rFonts w:ascii="Times New Roman" w:hAnsi="Times New Roman"/>
                <w:bCs/>
                <w:i/>
                <w:iCs/>
                <w:lang w:eastAsia="lt-LT"/>
              </w:rPr>
              <w:t>”) – tai klasterių brandos, veiklumo ir jų vadybos kokybės tarptautinis įvertinimas, patvirtinamas sertifikatu, išduotu „</w:t>
            </w:r>
            <w:hyperlink r:id="rId21" w:history="1">
              <w:r w:rsidRPr="00D244E5">
                <w:rPr>
                  <w:rStyle w:val="Hyperlink"/>
                  <w:rFonts w:ascii="Times New Roman" w:hAnsi="Times New Roman"/>
                  <w:bCs/>
                  <w:i/>
                  <w:iCs/>
                  <w:lang w:eastAsia="lt-LT"/>
                </w:rPr>
                <w:t>European Secretariat for Cluster Analysis</w:t>
              </w:r>
            </w:hyperlink>
            <w:r w:rsidRPr="00D244E5">
              <w:rPr>
                <w:rFonts w:ascii="Times New Roman" w:hAnsi="Times New Roman"/>
                <w:bCs/>
                <w:i/>
                <w:iCs/>
                <w:lang w:eastAsia="lt-LT"/>
              </w:rPr>
              <w:t>“ organizacijos.</w:t>
            </w:r>
          </w:p>
          <w:p w14:paraId="097F0FE5" w14:textId="05B45CAD" w:rsidR="00D244E5" w:rsidRPr="00D244E5" w:rsidRDefault="00D244E5" w:rsidP="00D244E5">
            <w:pPr>
              <w:jc w:val="both"/>
              <w:rPr>
                <w:rFonts w:ascii="Times New Roman" w:hAnsi="Times New Roman"/>
                <w:i/>
                <w:iCs/>
                <w:lang w:eastAsia="lt-LT"/>
              </w:rPr>
            </w:pPr>
            <w:r w:rsidRPr="00D244E5">
              <w:rPr>
                <w:rFonts w:ascii="Times New Roman" w:hAnsi="Times New Roman"/>
                <w:i/>
                <w:iCs/>
                <w:lang w:eastAsia="lt-LT"/>
              </w:rPr>
              <w:t xml:space="preserve">Atitiktis kriterijui vertinama pagal PĮP pateiktus duomenis. </w:t>
            </w:r>
          </w:p>
          <w:p w14:paraId="476BE24B" w14:textId="7354184F" w:rsidR="003D6788" w:rsidRPr="00D244E5" w:rsidRDefault="00D244E5" w:rsidP="00D244E5">
            <w:pPr>
              <w:widowControl w:val="0"/>
              <w:jc w:val="both"/>
              <w:textAlignment w:val="baseline"/>
              <w:rPr>
                <w:rFonts w:ascii="Times New Roman" w:hAnsi="Times New Roman"/>
                <w:iCs/>
              </w:rPr>
            </w:pPr>
            <w:r w:rsidRPr="00D244E5">
              <w:rPr>
                <w:rFonts w:ascii="Times New Roman" w:hAnsi="Times New Roman"/>
                <w:b/>
                <w:bCs/>
                <w:i/>
                <w:iCs/>
                <w:lang w:eastAsia="lt-LT"/>
              </w:rPr>
              <w:t>Šiam kriterijui bus nustatytas didžiausias kriterijaus vertinimo balas</w:t>
            </w:r>
            <w:r w:rsidRPr="00D244E5">
              <w:rPr>
                <w:rFonts w:ascii="Times New Roman" w:hAnsi="Times New Roman"/>
                <w:i/>
                <w:iCs/>
                <w:lang w:eastAsia="lt-LT"/>
              </w:rPr>
              <w:t>.</w:t>
            </w:r>
          </w:p>
        </w:tc>
      </w:tr>
    </w:tbl>
    <w:p w14:paraId="0F58C089" w14:textId="77777777" w:rsidR="003D6788" w:rsidRDefault="003D6788" w:rsidP="00C07297">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D244E5" w:rsidRPr="00D244E5" w14:paraId="29A8452E" w14:textId="77777777" w:rsidTr="008502C6">
        <w:tc>
          <w:tcPr>
            <w:tcW w:w="9911" w:type="dxa"/>
          </w:tcPr>
          <w:p w14:paraId="5FFA8AB6" w14:textId="0D959BFE" w:rsidR="00D244E5" w:rsidRPr="00D244E5" w:rsidRDefault="00D244E5" w:rsidP="008502C6">
            <w:pPr>
              <w:pStyle w:val="ListParagraph"/>
              <w:numPr>
                <w:ilvl w:val="0"/>
                <w:numId w:val="3"/>
              </w:numPr>
              <w:tabs>
                <w:tab w:val="left" w:pos="1134"/>
              </w:tabs>
              <w:jc w:val="both"/>
              <w:rPr>
                <w:rFonts w:ascii="Times New Roman" w:hAnsi="Times New Roman"/>
                <w:bCs/>
              </w:rPr>
            </w:pPr>
            <w:r w:rsidRPr="00D244E5">
              <w:rPr>
                <w:rFonts w:ascii="Times New Roman" w:hAnsi="Times New Roman"/>
                <w:bCs/>
              </w:rPr>
              <w:lastRenderedPageBreak/>
              <w:t>Prioritetinis projektų atrankos kriterijus.</w:t>
            </w:r>
            <w:r w:rsidRPr="00D244E5">
              <w:rPr>
                <w:rFonts w:ascii="Times New Roman" w:hAnsi="Times New Roman"/>
              </w:rPr>
              <w:t xml:space="preserve"> </w:t>
            </w:r>
            <w:r w:rsidRPr="00D244E5">
              <w:rPr>
                <w:rFonts w:ascii="Times New Roman" w:hAnsi="Times New Roman"/>
                <w:bCs/>
                <w:iCs/>
                <w:lang w:eastAsia="lt-LT"/>
              </w:rPr>
              <w:t>Brandaus inovacijų klasterio narių MTEP išlaidų padidėjimo projekto įgyvendinimo metu ir per 3 metus po projekto įgyvendinimo</w:t>
            </w:r>
            <w:r w:rsidRPr="00D244E5">
              <w:rPr>
                <w:rFonts w:ascii="Times New Roman" w:hAnsi="Times New Roman"/>
                <w:bCs/>
                <w:iCs/>
              </w:rPr>
              <w:t xml:space="preserve"> santykis su tinkamomis finansuoti išlaidomis</w:t>
            </w:r>
            <w:r w:rsidRPr="00D244E5">
              <w:rPr>
                <w:rFonts w:ascii="Times New Roman" w:hAnsi="Times New Roman"/>
                <w:bCs/>
                <w:iCs/>
                <w:lang w:eastAsia="lt-LT"/>
              </w:rPr>
              <w:t>.</w:t>
            </w:r>
            <w:r w:rsidRPr="00D244E5">
              <w:rPr>
                <w:rFonts w:ascii="Times New Roman" w:hAnsi="Times New Roman"/>
                <w:bCs/>
                <w:iCs/>
              </w:rPr>
              <w:t>*</w:t>
            </w:r>
          </w:p>
        </w:tc>
      </w:tr>
      <w:tr w:rsidR="00D244E5" w:rsidRPr="00D244E5" w14:paraId="04CAFDC5" w14:textId="77777777" w:rsidTr="008502C6">
        <w:tc>
          <w:tcPr>
            <w:tcW w:w="9911" w:type="dxa"/>
          </w:tcPr>
          <w:p w14:paraId="1B69E5FF" w14:textId="77777777" w:rsidR="00D244E5" w:rsidRPr="00D244E5" w:rsidRDefault="00D244E5" w:rsidP="00D244E5">
            <w:pPr>
              <w:jc w:val="both"/>
              <w:rPr>
                <w:rFonts w:ascii="Times New Roman" w:hAnsi="Times New Roman"/>
                <w:i/>
                <w:iCs/>
              </w:rPr>
            </w:pPr>
            <w:r w:rsidRPr="00D244E5">
              <w:rPr>
                <w:rFonts w:ascii="Times New Roman" w:hAnsi="Times New Roman"/>
                <w:bCs/>
                <w:iCs/>
                <w:lang w:eastAsia="lt-LT"/>
              </w:rPr>
              <w:t>*</w:t>
            </w:r>
            <w:r w:rsidRPr="00D244E5">
              <w:rPr>
                <w:rFonts w:ascii="Times New Roman" w:hAnsi="Times New Roman"/>
                <w:bCs/>
                <w:i/>
                <w:iCs/>
              </w:rPr>
              <w:t xml:space="preserve"> </w:t>
            </w:r>
            <w:bookmarkStart w:id="0" w:name="_Hlk116650236"/>
            <w:r w:rsidRPr="00D244E5">
              <w:rPr>
                <w:rFonts w:ascii="Times New Roman" w:hAnsi="Times New Roman"/>
                <w:i/>
                <w:iCs/>
              </w:rPr>
              <w:t>Siekiant paskatinti brandaus inovacijų klasterio narius investuoti į MTEP, aukštesnis įvertinimas suteikiamas tiems projektams, kurių įgyvendinimo metu ir per 3 metus po projekto veiklų įgyvendinimo pabaigos MTEP išlaidų padidėjimo santykis su projekto tinkamomis finansuoti išlaidomis yra didesnis. Vertinamas MTEP išlaidų padidėjimas yra pagrįstas pareiškėjo prognozėmis ir skaičiavimais.</w:t>
            </w:r>
          </w:p>
          <w:p w14:paraId="48A93111" w14:textId="77777777" w:rsidR="00D244E5" w:rsidRPr="00D244E5" w:rsidRDefault="00D244E5" w:rsidP="00D244E5">
            <w:pPr>
              <w:jc w:val="both"/>
              <w:rPr>
                <w:rFonts w:ascii="Times New Roman" w:hAnsi="Times New Roman"/>
                <w:i/>
                <w:iCs/>
              </w:rPr>
            </w:pPr>
            <w:r w:rsidRPr="00D244E5">
              <w:rPr>
                <w:rFonts w:ascii="Times New Roman" w:hAnsi="Times New Roman"/>
                <w:i/>
                <w:iCs/>
              </w:rPr>
              <w:t xml:space="preserve">Apskaičiuojama pagal formulę </w:t>
            </w:r>
          </w:p>
          <w:p w14:paraId="1DCC3351" w14:textId="77777777" w:rsidR="00D244E5" w:rsidRPr="00D244E5" w:rsidRDefault="00D244E5" w:rsidP="00D244E5">
            <w:pPr>
              <w:jc w:val="both"/>
              <w:rPr>
                <w:rFonts w:ascii="Times New Roman" w:hAnsi="Times New Roman"/>
                <w:i/>
                <w:iCs/>
              </w:rPr>
            </w:pPr>
            <w:r w:rsidRPr="00D244E5">
              <w:rPr>
                <w:rFonts w:ascii="Times New Roman" w:hAnsi="Times New Roman"/>
                <w:i/>
                <w:iCs/>
              </w:rPr>
              <w:t>X = (I(pb)-I(pr))/Ti</w:t>
            </w:r>
            <w:r w:rsidRPr="00D244E5">
              <w:rPr>
                <w:rFonts w:ascii="Times New Roman" w:hAnsi="Times New Roman"/>
                <w:i/>
                <w:iCs/>
                <w:vertAlign w:val="subscript"/>
              </w:rPr>
              <w:t xml:space="preserve"> </w:t>
            </w:r>
            <w:r w:rsidRPr="00D244E5">
              <w:rPr>
                <w:rFonts w:ascii="Times New Roman" w:hAnsi="Times New Roman"/>
                <w:i/>
                <w:iCs/>
              </w:rPr>
              <w:t>*100 proc</w:t>
            </w:r>
            <w:r w:rsidRPr="00D244E5" w:rsidDel="00861211">
              <w:rPr>
                <w:rFonts w:ascii="Times New Roman" w:hAnsi="Times New Roman"/>
                <w:i/>
                <w:iCs/>
              </w:rPr>
              <w:t xml:space="preserve"> </w:t>
            </w:r>
            <w:r w:rsidRPr="00D244E5">
              <w:rPr>
                <w:rFonts w:ascii="Times New Roman" w:hAnsi="Times New Roman"/>
                <w:i/>
                <w:iCs/>
              </w:rPr>
              <w:t xml:space="preserve">., kurioje: </w:t>
            </w:r>
          </w:p>
          <w:p w14:paraId="3DD9719C" w14:textId="77777777" w:rsidR="00D244E5" w:rsidRPr="00D244E5" w:rsidRDefault="00D244E5" w:rsidP="00D244E5">
            <w:pPr>
              <w:jc w:val="both"/>
              <w:rPr>
                <w:rFonts w:ascii="Times New Roman" w:hAnsi="Times New Roman"/>
                <w:i/>
                <w:iCs/>
              </w:rPr>
            </w:pPr>
            <w:r w:rsidRPr="00D244E5">
              <w:rPr>
                <w:rFonts w:ascii="Times New Roman" w:hAnsi="Times New Roman"/>
                <w:i/>
                <w:iCs/>
              </w:rPr>
              <w:t>I(pb) – brandaus inovacijų klasterio narių patirtų išlaidų MTEP suma</w:t>
            </w:r>
            <w:r w:rsidRPr="00D244E5">
              <w:rPr>
                <w:rFonts w:ascii="Times New Roman" w:hAnsi="Times New Roman"/>
              </w:rPr>
              <w:t xml:space="preserve"> </w:t>
            </w:r>
            <w:r w:rsidRPr="00D244E5">
              <w:rPr>
                <w:rFonts w:ascii="Times New Roman" w:hAnsi="Times New Roman"/>
                <w:i/>
                <w:iCs/>
              </w:rPr>
              <w:t xml:space="preserve">projekto įgyvendinimo metu ir per 3 metus po projekto veiklų įgyvendinimo, eurais; </w:t>
            </w:r>
          </w:p>
          <w:p w14:paraId="59E83693" w14:textId="77777777" w:rsidR="00D244E5" w:rsidRPr="00D244E5" w:rsidRDefault="00D244E5" w:rsidP="00D244E5">
            <w:pPr>
              <w:jc w:val="both"/>
              <w:rPr>
                <w:rFonts w:ascii="Times New Roman" w:hAnsi="Times New Roman"/>
                <w:i/>
                <w:iCs/>
              </w:rPr>
            </w:pPr>
            <w:r w:rsidRPr="00D244E5">
              <w:rPr>
                <w:rFonts w:ascii="Times New Roman" w:hAnsi="Times New Roman"/>
                <w:i/>
                <w:iCs/>
              </w:rPr>
              <w:t>I(pr) – brandaus inovacijų klasterio narių patirtų išlaidų MTEP suma</w:t>
            </w:r>
            <w:r w:rsidRPr="00D244E5">
              <w:rPr>
                <w:rFonts w:ascii="Times New Roman" w:hAnsi="Times New Roman"/>
              </w:rPr>
              <w:t xml:space="preserve"> </w:t>
            </w:r>
            <w:r w:rsidRPr="00D244E5">
              <w:rPr>
                <w:rFonts w:ascii="Times New Roman" w:hAnsi="Times New Roman"/>
                <w:i/>
                <w:iCs/>
              </w:rPr>
              <w:t>už paskutinius finansinius metus iki PĮP pateikimo administruojančiajai institucijai dienos.</w:t>
            </w:r>
            <w:bookmarkEnd w:id="0"/>
          </w:p>
          <w:p w14:paraId="3C829B7D" w14:textId="77777777" w:rsidR="00D244E5" w:rsidRPr="00D244E5" w:rsidRDefault="00D244E5" w:rsidP="00D244E5">
            <w:pPr>
              <w:jc w:val="both"/>
              <w:rPr>
                <w:rFonts w:ascii="Times New Roman" w:hAnsi="Times New Roman"/>
                <w:i/>
                <w:iCs/>
              </w:rPr>
            </w:pPr>
            <w:r w:rsidRPr="00D244E5">
              <w:rPr>
                <w:rFonts w:ascii="Times New Roman" w:hAnsi="Times New Roman"/>
                <w:i/>
                <w:iCs/>
              </w:rPr>
              <w:t xml:space="preserve">Ti – projekto tinkamos finansuoti išlaidos; </w:t>
            </w:r>
          </w:p>
          <w:p w14:paraId="7993EE70" w14:textId="77777777" w:rsidR="00D244E5" w:rsidRPr="00D244E5" w:rsidRDefault="00D244E5" w:rsidP="00D244E5">
            <w:pPr>
              <w:jc w:val="both"/>
              <w:rPr>
                <w:rFonts w:ascii="Times New Roman" w:hAnsi="Times New Roman"/>
                <w:i/>
                <w:iCs/>
              </w:rPr>
            </w:pPr>
            <w:r w:rsidRPr="00D244E5">
              <w:rPr>
                <w:rFonts w:ascii="Times New Roman" w:hAnsi="Times New Roman"/>
                <w:i/>
                <w:iCs/>
              </w:rPr>
              <w:t xml:space="preserve">X – santykis tarp MTEP išlaidų padidėjimo sumos projekto įgyvendinimo metu ir per 3 metus po projekto veiklų įgyvendinimo pabaigos ir išlaidų, tinkamų projektui finansuoti. </w:t>
            </w:r>
          </w:p>
          <w:p w14:paraId="3B2F2B56" w14:textId="77777777" w:rsidR="00D244E5" w:rsidRPr="00D244E5" w:rsidRDefault="00D244E5" w:rsidP="00D244E5">
            <w:pPr>
              <w:jc w:val="both"/>
              <w:rPr>
                <w:rFonts w:ascii="Times New Roman" w:hAnsi="Times New Roman"/>
                <w:i/>
                <w:iCs/>
              </w:rPr>
            </w:pPr>
          </w:p>
          <w:p w14:paraId="1B9E4468" w14:textId="77777777" w:rsidR="00D244E5" w:rsidRPr="00D244E5" w:rsidRDefault="00D244E5" w:rsidP="00D244E5">
            <w:pPr>
              <w:jc w:val="both"/>
              <w:rPr>
                <w:rFonts w:ascii="Times New Roman" w:hAnsi="Times New Roman"/>
                <w:i/>
                <w:iCs/>
              </w:rPr>
            </w:pPr>
            <w:r w:rsidRPr="00D244E5">
              <w:rPr>
                <w:rFonts w:ascii="Times New Roman" w:hAnsi="Times New Roman"/>
                <w:i/>
                <w:iCs/>
              </w:rPr>
              <w:t xml:space="preserve">Daugiau balų suteikiama tiems projektams, kurių X didesnis. </w:t>
            </w:r>
          </w:p>
          <w:p w14:paraId="21B30C2B" w14:textId="77777777" w:rsidR="00D244E5" w:rsidRPr="00D244E5" w:rsidRDefault="00D244E5" w:rsidP="00D244E5">
            <w:pPr>
              <w:jc w:val="both"/>
              <w:rPr>
                <w:rFonts w:ascii="Times New Roman" w:hAnsi="Times New Roman"/>
                <w:i/>
                <w:iCs/>
              </w:rPr>
            </w:pPr>
          </w:p>
          <w:p w14:paraId="06E470E0" w14:textId="6CE6A4E9" w:rsidR="00D244E5" w:rsidRPr="00D244E5" w:rsidRDefault="00D244E5" w:rsidP="00D244E5">
            <w:pPr>
              <w:widowControl w:val="0"/>
              <w:jc w:val="both"/>
              <w:textAlignment w:val="baseline"/>
              <w:rPr>
                <w:rFonts w:ascii="Times New Roman" w:hAnsi="Times New Roman"/>
                <w:iCs/>
              </w:rPr>
            </w:pPr>
            <w:r w:rsidRPr="00D244E5">
              <w:rPr>
                <w:rFonts w:ascii="Times New Roman" w:hAnsi="Times New Roman"/>
                <w:i/>
                <w:iCs/>
              </w:rPr>
              <w:t>Vertinama pagal PĮP pateiktą informaciją, MTEP verslo planą, brandaus inovacijų klasterio koordinatoriaus ir brandaus inovacijų klasterio narių Valstybės duomenų agentūrai teiktas ataskaitų apie deklaruotas MTEP išlaidas kopijas už paskutinius finansinius metus iki PĮP pateikimo administruojančiajai institucijai dienos.</w:t>
            </w:r>
          </w:p>
        </w:tc>
      </w:tr>
    </w:tbl>
    <w:p w14:paraId="4B10D650" w14:textId="77777777" w:rsidR="00D244E5" w:rsidRDefault="00D244E5" w:rsidP="00C07297">
      <w:pPr>
        <w:pStyle w:val="ListParagraph"/>
        <w:tabs>
          <w:tab w:val="left" w:pos="1134"/>
        </w:tabs>
        <w:jc w:val="both"/>
        <w:rPr>
          <w:bCs/>
        </w:rPr>
      </w:pPr>
    </w:p>
    <w:tbl>
      <w:tblPr>
        <w:tblStyle w:val="TableGrid"/>
        <w:tblW w:w="0" w:type="auto"/>
        <w:tblInd w:w="720" w:type="dxa"/>
        <w:tblLook w:val="04A0" w:firstRow="1" w:lastRow="0" w:firstColumn="1" w:lastColumn="0" w:noHBand="0" w:noVBand="1"/>
      </w:tblPr>
      <w:tblGrid>
        <w:gridCol w:w="9016"/>
      </w:tblGrid>
      <w:tr w:rsidR="00DC67F4" w:rsidRPr="00DC67F4" w14:paraId="4671DB10" w14:textId="77777777" w:rsidTr="008502C6">
        <w:tc>
          <w:tcPr>
            <w:tcW w:w="9911" w:type="dxa"/>
          </w:tcPr>
          <w:p w14:paraId="7D266EB4" w14:textId="27B27590" w:rsidR="00DC67F4" w:rsidRPr="00DC67F4" w:rsidRDefault="00DC67F4" w:rsidP="008502C6">
            <w:pPr>
              <w:pStyle w:val="ListParagraph"/>
              <w:numPr>
                <w:ilvl w:val="0"/>
                <w:numId w:val="3"/>
              </w:numPr>
              <w:tabs>
                <w:tab w:val="left" w:pos="1134"/>
              </w:tabs>
              <w:jc w:val="both"/>
              <w:rPr>
                <w:rFonts w:ascii="Times New Roman" w:hAnsi="Times New Roman"/>
                <w:bCs/>
              </w:rPr>
            </w:pPr>
            <w:r w:rsidRPr="00DC67F4">
              <w:rPr>
                <w:rFonts w:ascii="Times New Roman" w:hAnsi="Times New Roman"/>
                <w:bCs/>
              </w:rPr>
              <w:t xml:space="preserve">Prioritetinis projektų atrankos kriterijus. </w:t>
            </w:r>
            <w:r w:rsidRPr="00DC67F4">
              <w:rPr>
                <w:rFonts w:ascii="Times New Roman" w:hAnsi="Times New Roman"/>
                <w:bCs/>
                <w:iCs/>
                <w:lang w:eastAsia="lt-LT"/>
              </w:rPr>
              <w:t>Brandaus inovacijų klasterio užsienio narių skaičius.*</w:t>
            </w:r>
          </w:p>
        </w:tc>
      </w:tr>
      <w:tr w:rsidR="00DC67F4" w:rsidRPr="00DC67F4" w14:paraId="56683975" w14:textId="77777777" w:rsidTr="008502C6">
        <w:tc>
          <w:tcPr>
            <w:tcW w:w="9911" w:type="dxa"/>
          </w:tcPr>
          <w:p w14:paraId="09E4691B" w14:textId="7C76461E" w:rsidR="00DC67F4" w:rsidRPr="00DC67F4" w:rsidRDefault="00DC67F4" w:rsidP="00DC67F4">
            <w:pPr>
              <w:jc w:val="both"/>
              <w:rPr>
                <w:rFonts w:ascii="Times New Roman" w:hAnsi="Times New Roman"/>
                <w:bCs/>
                <w:i/>
                <w:iCs/>
                <w:lang w:eastAsia="lt-LT"/>
              </w:rPr>
            </w:pPr>
            <w:r w:rsidRPr="00DC67F4">
              <w:rPr>
                <w:rFonts w:ascii="Times New Roman" w:hAnsi="Times New Roman"/>
                <w:bCs/>
                <w:iCs/>
              </w:rPr>
              <w:t>*</w:t>
            </w:r>
            <w:r w:rsidRPr="00DC67F4">
              <w:rPr>
                <w:rFonts w:ascii="Times New Roman" w:hAnsi="Times New Roman"/>
                <w:bCs/>
                <w:i/>
                <w:iCs/>
              </w:rPr>
              <w:t xml:space="preserve"> </w:t>
            </w:r>
            <w:r w:rsidRPr="00DC67F4">
              <w:rPr>
                <w:rFonts w:ascii="Times New Roman" w:hAnsi="Times New Roman"/>
                <w:bCs/>
                <w:i/>
                <w:iCs/>
                <w:lang w:eastAsia="lt-LT"/>
              </w:rPr>
              <w:t>Vertinama, kiek naujų užsienio narių bus pritraukta į brandų inovacijų klasterį projekto įgyvendinimo metu ir per 3 metus po projekto veiklų įgyvendinimo pabaigos.</w:t>
            </w:r>
          </w:p>
          <w:p w14:paraId="27C788B0" w14:textId="606CDBA4" w:rsidR="00DC67F4" w:rsidRPr="00DC67F4" w:rsidRDefault="00DC67F4" w:rsidP="00DC67F4">
            <w:pPr>
              <w:jc w:val="both"/>
              <w:rPr>
                <w:rFonts w:ascii="Times New Roman" w:hAnsi="Times New Roman"/>
                <w:bCs/>
                <w:i/>
                <w:iCs/>
                <w:lang w:eastAsia="lt-LT"/>
              </w:rPr>
            </w:pPr>
            <w:r w:rsidRPr="00DC67F4">
              <w:rPr>
                <w:rFonts w:ascii="Times New Roman" w:hAnsi="Times New Roman"/>
                <w:bCs/>
                <w:i/>
                <w:iCs/>
                <w:lang w:eastAsia="lt-LT"/>
              </w:rPr>
              <w:t>Brandaus inovacijų klasterio užsienio narys suprantamas kaip ne Lietuvos Respublikoje registruotas juridinis asmuo, priklausantis Lietuvoje veikiančiam brandžiam inovacijų klasteriui.</w:t>
            </w:r>
          </w:p>
          <w:p w14:paraId="4A34EC08" w14:textId="4B330E66" w:rsidR="00DC67F4" w:rsidRPr="00DC67F4" w:rsidRDefault="00DC67F4" w:rsidP="00DC67F4">
            <w:pPr>
              <w:jc w:val="both"/>
              <w:rPr>
                <w:rFonts w:ascii="Times New Roman" w:hAnsi="Times New Roman"/>
                <w:bCs/>
                <w:i/>
                <w:iCs/>
                <w:lang w:eastAsia="lt-LT"/>
              </w:rPr>
            </w:pPr>
            <w:r w:rsidRPr="00DC67F4">
              <w:rPr>
                <w:rFonts w:ascii="Times New Roman" w:hAnsi="Times New Roman"/>
                <w:bCs/>
                <w:i/>
                <w:iCs/>
                <w:lang w:eastAsia="lt-LT"/>
              </w:rPr>
              <w:t>Aukštesnis įvertinimas suteikiamas tiems projektams, kuriuose įsipareigojama į brandų inovacijų klasterį pritraukti didesnį skaičių narių iš užsienio projekto įgyvendinimo metu ir per 3 metus po projekto veiklų įgyvendinimo pabaigos.</w:t>
            </w:r>
          </w:p>
          <w:p w14:paraId="388EB951" w14:textId="6B4FBF87" w:rsidR="00DC67F4" w:rsidRPr="00DC67F4" w:rsidRDefault="00DC67F4" w:rsidP="00DC67F4">
            <w:pPr>
              <w:widowControl w:val="0"/>
              <w:jc w:val="both"/>
              <w:textAlignment w:val="baseline"/>
              <w:rPr>
                <w:rFonts w:ascii="Times New Roman" w:hAnsi="Times New Roman"/>
                <w:bCs/>
                <w:iCs/>
              </w:rPr>
            </w:pPr>
            <w:r w:rsidRPr="00DC67F4">
              <w:rPr>
                <w:rFonts w:ascii="Times New Roman" w:hAnsi="Times New Roman"/>
                <w:bCs/>
                <w:i/>
                <w:iCs/>
                <w:lang w:eastAsia="lt-LT"/>
              </w:rPr>
              <w:t>Atitiktis kriterijui vertinama pagal PĮP pateiktus duomenis.</w:t>
            </w:r>
          </w:p>
        </w:tc>
      </w:tr>
    </w:tbl>
    <w:p w14:paraId="1F14D46F" w14:textId="77777777" w:rsidR="00DC67F4" w:rsidRPr="003817A0" w:rsidRDefault="00DC67F4" w:rsidP="00C07297">
      <w:pPr>
        <w:pStyle w:val="ListParagraph"/>
        <w:tabs>
          <w:tab w:val="left" w:pos="1134"/>
        </w:tabs>
        <w:jc w:val="both"/>
        <w:rPr>
          <w:bCs/>
        </w:rPr>
      </w:pPr>
    </w:p>
    <w:sectPr w:rsidR="00DC67F4" w:rsidRPr="003817A0" w:rsidSect="00A14D18">
      <w:footerReference w:type="default" r:id="rId22"/>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5346"/>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89221B"/>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176931"/>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9B54EB"/>
    <w:multiLevelType w:val="hybridMultilevel"/>
    <w:tmpl w:val="E37CC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D7E31"/>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2F3A53"/>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3297F"/>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33608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D410CA"/>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966D3A"/>
    <w:multiLevelType w:val="hybridMultilevel"/>
    <w:tmpl w:val="6B1A28F6"/>
    <w:lvl w:ilvl="0" w:tplc="AFBC73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5467C"/>
    <w:multiLevelType w:val="hybridMultilevel"/>
    <w:tmpl w:val="5166369E"/>
    <w:lvl w:ilvl="0" w:tplc="8E20C6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74558"/>
    <w:multiLevelType w:val="hybridMultilevel"/>
    <w:tmpl w:val="37869E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6C5E75"/>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ADE3B9F"/>
    <w:multiLevelType w:val="hybridMultilevel"/>
    <w:tmpl w:val="689A576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FC2C19"/>
    <w:multiLevelType w:val="hybridMultilevel"/>
    <w:tmpl w:val="60BE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E9449D"/>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5B236D"/>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6F2633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52383E"/>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3958518">
    <w:abstractNumId w:val="9"/>
  </w:num>
  <w:num w:numId="2" w16cid:durableId="373123376">
    <w:abstractNumId w:val="13"/>
  </w:num>
  <w:num w:numId="3" w16cid:durableId="1080256782">
    <w:abstractNumId w:val="5"/>
  </w:num>
  <w:num w:numId="4" w16cid:durableId="795296569">
    <w:abstractNumId w:val="7"/>
  </w:num>
  <w:num w:numId="5" w16cid:durableId="1259174724">
    <w:abstractNumId w:val="8"/>
  </w:num>
  <w:num w:numId="6" w16cid:durableId="1392465049">
    <w:abstractNumId w:val="2"/>
  </w:num>
  <w:num w:numId="7" w16cid:durableId="1963074021">
    <w:abstractNumId w:val="0"/>
  </w:num>
  <w:num w:numId="8" w16cid:durableId="786705166">
    <w:abstractNumId w:val="17"/>
  </w:num>
  <w:num w:numId="9" w16cid:durableId="799036396">
    <w:abstractNumId w:val="6"/>
  </w:num>
  <w:num w:numId="10" w16cid:durableId="1525555732">
    <w:abstractNumId w:val="18"/>
  </w:num>
  <w:num w:numId="11" w16cid:durableId="1662661786">
    <w:abstractNumId w:val="4"/>
  </w:num>
  <w:num w:numId="12" w16cid:durableId="100997861">
    <w:abstractNumId w:val="15"/>
  </w:num>
  <w:num w:numId="13" w16cid:durableId="262609723">
    <w:abstractNumId w:val="11"/>
  </w:num>
  <w:num w:numId="14" w16cid:durableId="946501300">
    <w:abstractNumId w:val="14"/>
  </w:num>
  <w:num w:numId="15" w16cid:durableId="1229026456">
    <w:abstractNumId w:val="10"/>
  </w:num>
  <w:num w:numId="16" w16cid:durableId="2081829639">
    <w:abstractNumId w:val="12"/>
  </w:num>
  <w:num w:numId="17" w16cid:durableId="499277440">
    <w:abstractNumId w:val="1"/>
  </w:num>
  <w:num w:numId="18" w16cid:durableId="1103570178">
    <w:abstractNumId w:val="16"/>
  </w:num>
  <w:num w:numId="19" w16cid:durableId="13771211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96AB4"/>
    <w:rsid w:val="000A06A3"/>
    <w:rsid w:val="000A0E46"/>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22CE"/>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235"/>
    <w:rsid w:val="001878C8"/>
    <w:rsid w:val="001878D0"/>
    <w:rsid w:val="00187A92"/>
    <w:rsid w:val="00187BE9"/>
    <w:rsid w:val="00187D1A"/>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905"/>
    <w:rsid w:val="001D6C22"/>
    <w:rsid w:val="001D710A"/>
    <w:rsid w:val="001D716E"/>
    <w:rsid w:val="001D719D"/>
    <w:rsid w:val="001D7AC2"/>
    <w:rsid w:val="001D7CA0"/>
    <w:rsid w:val="001E024C"/>
    <w:rsid w:val="001E0689"/>
    <w:rsid w:val="001E0BCE"/>
    <w:rsid w:val="001E1DF8"/>
    <w:rsid w:val="001E26A4"/>
    <w:rsid w:val="001E3077"/>
    <w:rsid w:val="001E36FF"/>
    <w:rsid w:val="001E4FFD"/>
    <w:rsid w:val="001E54F9"/>
    <w:rsid w:val="001E65AC"/>
    <w:rsid w:val="001E66E0"/>
    <w:rsid w:val="001E73D6"/>
    <w:rsid w:val="001E771D"/>
    <w:rsid w:val="001E7EE1"/>
    <w:rsid w:val="001F0343"/>
    <w:rsid w:val="001F0489"/>
    <w:rsid w:val="001F08AF"/>
    <w:rsid w:val="001F0A70"/>
    <w:rsid w:val="001F1884"/>
    <w:rsid w:val="001F1E02"/>
    <w:rsid w:val="001F2058"/>
    <w:rsid w:val="001F22C8"/>
    <w:rsid w:val="001F2418"/>
    <w:rsid w:val="001F4487"/>
    <w:rsid w:val="001F46B9"/>
    <w:rsid w:val="001F4A4F"/>
    <w:rsid w:val="001F579C"/>
    <w:rsid w:val="001F5924"/>
    <w:rsid w:val="001F6344"/>
    <w:rsid w:val="001F6412"/>
    <w:rsid w:val="002011A0"/>
    <w:rsid w:val="00202048"/>
    <w:rsid w:val="002020E2"/>
    <w:rsid w:val="00202327"/>
    <w:rsid w:val="00202342"/>
    <w:rsid w:val="002027F5"/>
    <w:rsid w:val="00202AFF"/>
    <w:rsid w:val="00203E7D"/>
    <w:rsid w:val="00204151"/>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E0486"/>
    <w:rsid w:val="002E0AE2"/>
    <w:rsid w:val="002E0ED6"/>
    <w:rsid w:val="002E2204"/>
    <w:rsid w:val="002E4C9F"/>
    <w:rsid w:val="002E4DF8"/>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63C0"/>
    <w:rsid w:val="00367D3B"/>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31E"/>
    <w:rsid w:val="004005B3"/>
    <w:rsid w:val="00401033"/>
    <w:rsid w:val="004011ED"/>
    <w:rsid w:val="00401592"/>
    <w:rsid w:val="0040386E"/>
    <w:rsid w:val="00403C0D"/>
    <w:rsid w:val="004042B5"/>
    <w:rsid w:val="00406D32"/>
    <w:rsid w:val="00407654"/>
    <w:rsid w:val="0041076A"/>
    <w:rsid w:val="00411493"/>
    <w:rsid w:val="00412A0B"/>
    <w:rsid w:val="00412A30"/>
    <w:rsid w:val="00413886"/>
    <w:rsid w:val="0041458B"/>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504E"/>
    <w:rsid w:val="0044505A"/>
    <w:rsid w:val="00445BAA"/>
    <w:rsid w:val="00446377"/>
    <w:rsid w:val="00447857"/>
    <w:rsid w:val="004506AB"/>
    <w:rsid w:val="004516D3"/>
    <w:rsid w:val="00451924"/>
    <w:rsid w:val="00451B85"/>
    <w:rsid w:val="00452737"/>
    <w:rsid w:val="00452B62"/>
    <w:rsid w:val="004531E9"/>
    <w:rsid w:val="00453619"/>
    <w:rsid w:val="004544BF"/>
    <w:rsid w:val="00454CA6"/>
    <w:rsid w:val="004553CE"/>
    <w:rsid w:val="0045557A"/>
    <w:rsid w:val="0045698E"/>
    <w:rsid w:val="00457FCC"/>
    <w:rsid w:val="004606B5"/>
    <w:rsid w:val="00461106"/>
    <w:rsid w:val="00461A41"/>
    <w:rsid w:val="00462276"/>
    <w:rsid w:val="00462348"/>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1E77"/>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6A65"/>
    <w:rsid w:val="004E7622"/>
    <w:rsid w:val="004E7F76"/>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FA9"/>
    <w:rsid w:val="0051511E"/>
    <w:rsid w:val="00515F44"/>
    <w:rsid w:val="0051636E"/>
    <w:rsid w:val="005165EA"/>
    <w:rsid w:val="00516CEE"/>
    <w:rsid w:val="0051756C"/>
    <w:rsid w:val="0052052C"/>
    <w:rsid w:val="00521D96"/>
    <w:rsid w:val="00521E8D"/>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C72"/>
    <w:rsid w:val="005E587F"/>
    <w:rsid w:val="005E5A25"/>
    <w:rsid w:val="005E5FB3"/>
    <w:rsid w:val="005E6ADA"/>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7F"/>
    <w:rsid w:val="006335E6"/>
    <w:rsid w:val="0063384E"/>
    <w:rsid w:val="00633976"/>
    <w:rsid w:val="006339D9"/>
    <w:rsid w:val="00634764"/>
    <w:rsid w:val="0063526E"/>
    <w:rsid w:val="00637F8A"/>
    <w:rsid w:val="006412C5"/>
    <w:rsid w:val="00642C2E"/>
    <w:rsid w:val="00642E2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3C8D"/>
    <w:rsid w:val="006863EC"/>
    <w:rsid w:val="00686755"/>
    <w:rsid w:val="0068687C"/>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446"/>
    <w:rsid w:val="007725B0"/>
    <w:rsid w:val="007737D8"/>
    <w:rsid w:val="0077393D"/>
    <w:rsid w:val="00774EE4"/>
    <w:rsid w:val="00774F2D"/>
    <w:rsid w:val="007758D1"/>
    <w:rsid w:val="00776123"/>
    <w:rsid w:val="00777533"/>
    <w:rsid w:val="00777C11"/>
    <w:rsid w:val="00777C66"/>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13B5"/>
    <w:rsid w:val="007D142E"/>
    <w:rsid w:val="007D16BB"/>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0FC9"/>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B05C2"/>
    <w:rsid w:val="008B1B20"/>
    <w:rsid w:val="008B3BB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27DF"/>
    <w:rsid w:val="008E3CC6"/>
    <w:rsid w:val="008E4750"/>
    <w:rsid w:val="008E5FC4"/>
    <w:rsid w:val="008E695C"/>
    <w:rsid w:val="008E6D75"/>
    <w:rsid w:val="008E6D81"/>
    <w:rsid w:val="008E7556"/>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606"/>
    <w:rsid w:val="00967F30"/>
    <w:rsid w:val="00970701"/>
    <w:rsid w:val="00970993"/>
    <w:rsid w:val="00971D67"/>
    <w:rsid w:val="00972475"/>
    <w:rsid w:val="00974A4C"/>
    <w:rsid w:val="00974CF2"/>
    <w:rsid w:val="0097623D"/>
    <w:rsid w:val="00976E35"/>
    <w:rsid w:val="00980398"/>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444"/>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207F"/>
    <w:rsid w:val="00A92E8F"/>
    <w:rsid w:val="00A9364D"/>
    <w:rsid w:val="00A93B12"/>
    <w:rsid w:val="00A9419D"/>
    <w:rsid w:val="00A94DF9"/>
    <w:rsid w:val="00A955D8"/>
    <w:rsid w:val="00A959CE"/>
    <w:rsid w:val="00A9638F"/>
    <w:rsid w:val="00A966EB"/>
    <w:rsid w:val="00A967D9"/>
    <w:rsid w:val="00A96855"/>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850"/>
    <w:rsid w:val="00AC2F2C"/>
    <w:rsid w:val="00AC45EA"/>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6197"/>
    <w:rsid w:val="00B70483"/>
    <w:rsid w:val="00B71CA8"/>
    <w:rsid w:val="00B72BAC"/>
    <w:rsid w:val="00B7529D"/>
    <w:rsid w:val="00B75A2E"/>
    <w:rsid w:val="00B75C91"/>
    <w:rsid w:val="00B7636B"/>
    <w:rsid w:val="00B764BE"/>
    <w:rsid w:val="00B7698C"/>
    <w:rsid w:val="00B773B5"/>
    <w:rsid w:val="00B77BB1"/>
    <w:rsid w:val="00B80F4B"/>
    <w:rsid w:val="00B81148"/>
    <w:rsid w:val="00B82BE0"/>
    <w:rsid w:val="00B84167"/>
    <w:rsid w:val="00B8496B"/>
    <w:rsid w:val="00B84AAB"/>
    <w:rsid w:val="00B851A0"/>
    <w:rsid w:val="00B85DAB"/>
    <w:rsid w:val="00B865ED"/>
    <w:rsid w:val="00B8683E"/>
    <w:rsid w:val="00B868AC"/>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17B5"/>
    <w:rsid w:val="00BA1A6D"/>
    <w:rsid w:val="00BA28B6"/>
    <w:rsid w:val="00BA2956"/>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67CA"/>
    <w:rsid w:val="00BF6AD7"/>
    <w:rsid w:val="00BF7092"/>
    <w:rsid w:val="00C00BE9"/>
    <w:rsid w:val="00C00E57"/>
    <w:rsid w:val="00C0176D"/>
    <w:rsid w:val="00C01A6D"/>
    <w:rsid w:val="00C01E2E"/>
    <w:rsid w:val="00C01E73"/>
    <w:rsid w:val="00C02649"/>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4CE"/>
    <w:rsid w:val="00C76A2B"/>
    <w:rsid w:val="00C76F98"/>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242C"/>
    <w:rsid w:val="00D63A73"/>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C2461"/>
    <w:rsid w:val="00DC2A54"/>
    <w:rsid w:val="00DC2ED2"/>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582"/>
    <w:rsid w:val="00DE0A2E"/>
    <w:rsid w:val="00DE125E"/>
    <w:rsid w:val="00DE188B"/>
    <w:rsid w:val="00DE1B48"/>
    <w:rsid w:val="00DE2574"/>
    <w:rsid w:val="00DE35BB"/>
    <w:rsid w:val="00DE44A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33"/>
    <w:rsid w:val="00E85DB5"/>
    <w:rsid w:val="00E85F53"/>
    <w:rsid w:val="00E9130F"/>
    <w:rsid w:val="00E9177C"/>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53C"/>
    <w:rsid w:val="00EB063F"/>
    <w:rsid w:val="00EB1E5F"/>
    <w:rsid w:val="00EB3F1B"/>
    <w:rsid w:val="00EB47F0"/>
    <w:rsid w:val="00EB7113"/>
    <w:rsid w:val="00EB7259"/>
    <w:rsid w:val="00EB7AC2"/>
    <w:rsid w:val="00EC133D"/>
    <w:rsid w:val="00EC2EBC"/>
    <w:rsid w:val="00EC52FA"/>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38F6"/>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373"/>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rsid w:val="00D91E22"/>
    <w:rPr>
      <w:sz w:val="20"/>
      <w:szCs w:val="20"/>
    </w:rPr>
  </w:style>
  <w:style w:type="character" w:customStyle="1" w:styleId="CommentTextChar">
    <w:name w:val="Comment Text Char"/>
    <w:basedOn w:val="DefaultParagraphFont"/>
    <w:link w:val="CommentTex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f349d40221011edb4cae1b158f98ea5" TargetMode="External"/><Relationship Id="rId13" Type="http://schemas.openxmlformats.org/officeDocument/2006/relationships/hyperlink" Target="https://research-and-innovation.ec.europa.eu/research-area/industrial-research-and-innovation/key-enabling-technologies_en%20" TargetMode="External"/><Relationship Id="rId18" Type="http://schemas.openxmlformats.org/officeDocument/2006/relationships/hyperlink" Target="https://e-seimas.lrs.lt/portal/legalAct/lt/TAD/TAIS.309099" TargetMode="External"/><Relationship Id="rId3" Type="http://schemas.openxmlformats.org/officeDocument/2006/relationships/styles" Target="styles.xml"/><Relationship Id="rId21" Type="http://schemas.openxmlformats.org/officeDocument/2006/relationships/hyperlink" Target="https://cluster-analysis.org/" TargetMode="External"/><Relationship Id="rId7" Type="http://schemas.openxmlformats.org/officeDocument/2006/relationships/endnotes" Target="endnotes.xml"/><Relationship Id="rId12" Type="http://schemas.openxmlformats.org/officeDocument/2006/relationships/hyperlink" Target="https://www.e-tar.lt/portal/lt/legalAct/TAR.2512A4C0E864/asr" TargetMode="External"/><Relationship Id="rId17" Type="http://schemas.openxmlformats.org/officeDocument/2006/relationships/hyperlink" Target="https://e-seimas.lrs.lt/portal/legalAct/lt/TAD/TAIS.68516/asr" TargetMode="External"/><Relationship Id="rId2" Type="http://schemas.openxmlformats.org/officeDocument/2006/relationships/numbering" Target="numbering.xml"/><Relationship Id="rId16" Type="http://schemas.openxmlformats.org/officeDocument/2006/relationships/hyperlink" Target="https://eur-lex.europa.eu/legal-content/LT/TXT/?uri=CELEX:02014R0651-20230701" TargetMode="External"/><Relationship Id="rId20" Type="http://schemas.openxmlformats.org/officeDocument/2006/relationships/hyperlink" Target="https://ec.europa.eu/eurostat/statistics-explained/index.php?title=Glossary:High-tech_classification_of_manufacturing_indust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web/products-manuals-and-guidelines/-/ks-01-18-8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9f349d40221011edb4cae1b158f98ea5" TargetMode="External"/><Relationship Id="rId23" Type="http://schemas.openxmlformats.org/officeDocument/2006/relationships/fontTable" Target="fontTable.xml"/><Relationship Id="rId10" Type="http://schemas.openxmlformats.org/officeDocument/2006/relationships/hyperlink" Target="https://e-seimas.lrs.lt/portal/legalAct/lt/TAD/TAIS.154659/asr" TargetMode="External"/><Relationship Id="rId19" Type="http://schemas.openxmlformats.org/officeDocument/2006/relationships/hyperlink" Target="https://ec.europa.eu/eurostat/statistics-explained/index.php?title=Glossary:High-tech_classification_of_manufacturing_industries" TargetMode="External"/><Relationship Id="rId4" Type="http://schemas.openxmlformats.org/officeDocument/2006/relationships/settings" Target="settings.xml"/><Relationship Id="rId9" Type="http://schemas.openxmlformats.org/officeDocument/2006/relationships/hyperlink" Target="https://e-seimas.lrs.lt/portal/legalAct/lt/TAD/TAIS.77016/asr" TargetMode="External"/><Relationship Id="rId14" Type="http://schemas.openxmlformats.org/officeDocument/2006/relationships/hyperlink" Target="https://www.europarl.europa.eu/stoa/en/document/EPRS_STU(2021)697184"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21635</Characters>
  <Application>Microsoft Office Word</Application>
  <DocSecurity>4</DocSecurity>
  <Lines>180</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24309</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Evelina Matutienė</cp:lastModifiedBy>
  <cp:revision>2</cp:revision>
  <cp:lastPrinted>2020-02-24T13:37:00Z</cp:lastPrinted>
  <dcterms:created xsi:type="dcterms:W3CDTF">2024-01-08T06:17:00Z</dcterms:created>
  <dcterms:modified xsi:type="dcterms:W3CDTF">2024-01-08T06:17:00Z</dcterms:modified>
</cp:coreProperties>
</file>