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EB0F8F" w:rsidRDefault="00EB0F8F">
      <w:pPr>
        <w:tabs>
          <w:tab w:val="center" w:pos="4819"/>
          <w:tab w:val="right" w:pos="9638"/>
        </w:tabs>
        <w:rPr>
          <w:sz w:val="22"/>
          <w:szCs w:val="22"/>
        </w:rPr>
      </w:pPr>
    </w:p>
    <w:p w14:paraId="44BAA450" w14:textId="77777777" w:rsidR="00324809" w:rsidRPr="00507DD2" w:rsidRDefault="00324809" w:rsidP="00324809">
      <w:pPr>
        <w:tabs>
          <w:tab w:val="center" w:pos="4819"/>
        </w:tabs>
        <w:ind w:left="9214"/>
        <w:jc w:val="both"/>
        <w:rPr>
          <w:szCs w:val="24"/>
        </w:rPr>
      </w:pPr>
      <w:r w:rsidRPr="00507DD2">
        <w:rPr>
          <w:szCs w:val="24"/>
          <w:shd w:val="clear" w:color="auto" w:fill="FFFFFF"/>
        </w:rPr>
        <w:t>2021–2030 metų Lietuvos Respublikos ekonomikos ir inovacijų ministerijos valstybės skaitmeninimo p</w:t>
      </w:r>
      <w:r w:rsidRPr="00507DD2">
        <w:rPr>
          <w:szCs w:val="24"/>
        </w:rPr>
        <w:t xml:space="preserve">lėtros programos pažangos priemonės </w:t>
      </w:r>
      <w:r w:rsidRPr="00507DD2">
        <w:rPr>
          <w:szCs w:val="24"/>
          <w:lang w:eastAsia="lt-LT"/>
        </w:rPr>
        <w:t>Nr.</w:t>
      </w:r>
      <w:r w:rsidRPr="00507DD2">
        <w:rPr>
          <w:i/>
          <w:szCs w:val="24"/>
          <w:lang w:eastAsia="lt-LT"/>
        </w:rPr>
        <w:t xml:space="preserve"> </w:t>
      </w:r>
      <w:r w:rsidRPr="00507DD2">
        <w:rPr>
          <w:szCs w:val="24"/>
        </w:rPr>
        <w:t>05-002-01-07-08 „</w:t>
      </w:r>
      <w:bookmarkStart w:id="0" w:name="_Hlk107401371"/>
      <w:r w:rsidRPr="00507DD2">
        <w:rPr>
          <w:szCs w:val="24"/>
        </w:rPr>
        <w:t xml:space="preserve">Kurti technologinius sprendimus </w:t>
      </w:r>
      <w:bookmarkEnd w:id="0"/>
      <w:r w:rsidRPr="00507DD2">
        <w:rPr>
          <w:szCs w:val="24"/>
        </w:rPr>
        <w:t xml:space="preserve">ir įrankius, leidžiančius saugiai ir patogiai naudotis paslaugomis“ aprašo </w:t>
      </w:r>
    </w:p>
    <w:p w14:paraId="473E717F" w14:textId="03DA093C" w:rsidR="00324809" w:rsidRDefault="00324809" w:rsidP="00324809">
      <w:pPr>
        <w:tabs>
          <w:tab w:val="center" w:pos="4819"/>
        </w:tabs>
        <w:ind w:left="9214"/>
        <w:jc w:val="both"/>
        <w:rPr>
          <w:szCs w:val="24"/>
        </w:rPr>
      </w:pPr>
      <w:r>
        <w:rPr>
          <w:szCs w:val="24"/>
          <w:lang w:val="en-US"/>
        </w:rPr>
        <w:t>11</w:t>
      </w:r>
      <w:r w:rsidRPr="00507DD2">
        <w:rPr>
          <w:szCs w:val="24"/>
        </w:rPr>
        <w:t xml:space="preserve"> priedas</w:t>
      </w:r>
    </w:p>
    <w:p w14:paraId="55B381EF" w14:textId="77777777" w:rsidR="00957F51" w:rsidRPr="00507DD2" w:rsidRDefault="00957F51" w:rsidP="00324809">
      <w:pPr>
        <w:tabs>
          <w:tab w:val="center" w:pos="4819"/>
        </w:tabs>
        <w:ind w:left="9214"/>
        <w:jc w:val="both"/>
        <w:rPr>
          <w:szCs w:val="24"/>
        </w:rPr>
      </w:pPr>
    </w:p>
    <w:p w14:paraId="2A516313" w14:textId="77777777" w:rsidR="00957F51" w:rsidRPr="00507DD2" w:rsidRDefault="00957F51" w:rsidP="00957F51">
      <w:pPr>
        <w:jc w:val="center"/>
        <w:rPr>
          <w:szCs w:val="24"/>
        </w:rPr>
      </w:pPr>
      <w:r w:rsidRPr="00507DD2">
        <w:rPr>
          <w:b/>
          <w:bCs/>
          <w:szCs w:val="24"/>
          <w:shd w:val="clear" w:color="auto" w:fill="FFFFFF"/>
        </w:rPr>
        <w:t xml:space="preserve">2021–2030 METŲ LIETUVOS RESPUBLIKOS EKONOMIKOS IR INOVACIJŲ MINISTERIJOS VALSTYBĖS SKAITMENINIMO PLĖTROS PROGRAMOS </w:t>
      </w:r>
      <w:r w:rsidRPr="00507DD2">
        <w:rPr>
          <w:b/>
          <w:bCs/>
          <w:szCs w:val="24"/>
        </w:rPr>
        <w:t xml:space="preserve">PAŽANGOS PRIEMONĖS NR. </w:t>
      </w:r>
      <w:r w:rsidRPr="00507DD2">
        <w:rPr>
          <w:b/>
          <w:bCs/>
          <w:szCs w:val="24"/>
          <w:lang w:eastAsia="lt-LT"/>
        </w:rPr>
        <w:t xml:space="preserve">05-002-01-07-08 </w:t>
      </w:r>
      <w:r w:rsidRPr="00507DD2">
        <w:rPr>
          <w:b/>
          <w:szCs w:val="24"/>
        </w:rPr>
        <w:t xml:space="preserve">„KURTI TECHNOLOGINIUS SPRENDIMUS IR ĮRANKIUS, LEIDŽIANČIUS SAUGIAI IR PATOGIAI NAUDOTIS PASLAUGOMIS“ </w:t>
      </w:r>
      <w:r w:rsidRPr="00507DD2">
        <w:rPr>
          <w:b/>
          <w:bCs/>
          <w:szCs w:val="24"/>
          <w:shd w:val="clear" w:color="auto" w:fill="FFFFFF"/>
        </w:rPr>
        <w:t>VEIKLOS „VIEŠŲJŲ INSTITUCIJŲ TEIKIAMŲ ELEKTRONINIŲ PASLAUGŲ BRANDOS LYGIO KĖLIMAS“</w:t>
      </w:r>
      <w:r w:rsidRPr="00507DD2">
        <w:rPr>
          <w:b/>
          <w:szCs w:val="24"/>
        </w:rPr>
        <w:t xml:space="preserve"> POVEIKLĖS</w:t>
      </w:r>
      <w:r w:rsidRPr="00507DD2">
        <w:rPr>
          <w:szCs w:val="24"/>
        </w:rPr>
        <w:t xml:space="preserve"> „</w:t>
      </w:r>
      <w:r w:rsidRPr="00507DD2">
        <w:rPr>
          <w:b/>
          <w:bCs/>
          <w:szCs w:val="24"/>
        </w:rPr>
        <w:t>SKAITMENINIŲ ĮGŪDŽIŲ TOBULINIMAS</w:t>
      </w:r>
      <w:r>
        <w:rPr>
          <w:b/>
          <w:bCs/>
          <w:szCs w:val="24"/>
        </w:rPr>
        <w:t xml:space="preserve">“ </w:t>
      </w:r>
      <w:r w:rsidRPr="00507DD2">
        <w:rPr>
          <w:b/>
          <w:bCs/>
          <w:szCs w:val="24"/>
        </w:rPr>
        <w:t>PROJEKTŲ FINANSAVIMO SĄLYGŲ APRAŠAS</w:t>
      </w:r>
    </w:p>
    <w:p w14:paraId="165DE661" w14:textId="77777777" w:rsidR="00EB0F8F" w:rsidRDefault="00EB0F8F">
      <w:pPr>
        <w:rPr>
          <w:i/>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tc>
          <w:tcPr>
            <w:tcW w:w="15155" w:type="dxa"/>
            <w:gridSpan w:val="13"/>
            <w:vAlign w:val="center"/>
          </w:tcPr>
          <w:p w14:paraId="34297191" w14:textId="69911FA0" w:rsidR="00EB0F8F" w:rsidRDefault="00C222C1">
            <w:pPr>
              <w:jc w:val="center"/>
              <w:rPr>
                <w:b/>
                <w:sz w:val="22"/>
                <w:szCs w:val="22"/>
              </w:rPr>
            </w:pPr>
            <w:r>
              <w:rPr>
                <w:b/>
                <w:sz w:val="22"/>
                <w:szCs w:val="22"/>
              </w:rPr>
              <w:t>VEIKLOS AR POVEIKLĖS, KURIOMS NUSTATOMOS PROJEKTŲ FINANSAVIMO SĄLYGOS</w:t>
            </w:r>
          </w:p>
        </w:tc>
      </w:tr>
      <w:tr w:rsidR="00EB0F8F" w14:paraId="44CC8440" w14:textId="34F687BE">
        <w:tc>
          <w:tcPr>
            <w:tcW w:w="1110" w:type="dxa"/>
            <w:vAlign w:val="center"/>
          </w:tcPr>
          <w:p w14:paraId="44E08642" w14:textId="77777777" w:rsidR="00EB0F8F" w:rsidRDefault="00C222C1">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EB0F8F" w:rsidRDefault="00C222C1">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EB0F8F" w:rsidRDefault="00C222C1">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EB0F8F" w:rsidRDefault="00C222C1">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EB0F8F" w:rsidRDefault="00C222C1">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EB0F8F" w:rsidRDefault="00C222C1">
            <w:pPr>
              <w:jc w:val="center"/>
              <w:rPr>
                <w:b/>
                <w:sz w:val="20"/>
              </w:rPr>
            </w:pPr>
            <w:r>
              <w:rPr>
                <w:b/>
                <w:sz w:val="20"/>
              </w:rPr>
              <w:t>Intervencinės priemonės kodas</w:t>
            </w:r>
          </w:p>
        </w:tc>
        <w:tc>
          <w:tcPr>
            <w:tcW w:w="1344" w:type="dxa"/>
            <w:vAlign w:val="center"/>
          </w:tcPr>
          <w:p w14:paraId="62B981C8" w14:textId="77777777" w:rsidR="00EB0F8F" w:rsidRDefault="00C222C1">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EB0F8F" w:rsidRDefault="00C222C1">
            <w:pPr>
              <w:jc w:val="center"/>
              <w:rPr>
                <w:b/>
                <w:sz w:val="20"/>
              </w:rPr>
            </w:pPr>
            <w:r>
              <w:rPr>
                <w:b/>
                <w:bCs/>
                <w:sz w:val="20"/>
              </w:rPr>
              <w:t>Paramos formos kodas</w:t>
            </w:r>
          </w:p>
        </w:tc>
        <w:tc>
          <w:tcPr>
            <w:tcW w:w="1344" w:type="dxa"/>
            <w:vAlign w:val="center"/>
          </w:tcPr>
          <w:p w14:paraId="106944A6" w14:textId="77777777" w:rsidR="00EB0F8F" w:rsidRDefault="00C222C1">
            <w:pPr>
              <w:jc w:val="center"/>
              <w:rPr>
                <w:b/>
                <w:sz w:val="20"/>
              </w:rPr>
            </w:pPr>
            <w:r>
              <w:rPr>
                <w:b/>
                <w:bCs/>
                <w:sz w:val="20"/>
              </w:rPr>
              <w:t>Pagrindinės teritorinės srities kodas (-ai)</w:t>
            </w:r>
          </w:p>
        </w:tc>
        <w:tc>
          <w:tcPr>
            <w:tcW w:w="1051" w:type="dxa"/>
            <w:vAlign w:val="center"/>
          </w:tcPr>
          <w:p w14:paraId="16FAC529" w14:textId="77777777" w:rsidR="00EB0F8F" w:rsidRDefault="00C222C1">
            <w:pPr>
              <w:jc w:val="center"/>
              <w:rPr>
                <w:b/>
                <w:bCs/>
                <w:sz w:val="20"/>
              </w:rPr>
            </w:pPr>
            <w:proofErr w:type="spellStart"/>
            <w:r>
              <w:rPr>
                <w:b/>
                <w:bCs/>
                <w:sz w:val="20"/>
              </w:rPr>
              <w:t>Ekono</w:t>
            </w:r>
            <w:proofErr w:type="spellEnd"/>
            <w:r>
              <w:rPr>
                <w:b/>
                <w:bCs/>
                <w:sz w:val="20"/>
              </w:rPr>
              <w:t xml:space="preserve">-minės veiklos kodas </w:t>
            </w:r>
          </w:p>
          <w:p w14:paraId="317B5592" w14:textId="2D6A73A3" w:rsidR="00EB0F8F" w:rsidRDefault="00C222C1">
            <w:pPr>
              <w:jc w:val="center"/>
              <w:rPr>
                <w:b/>
                <w:sz w:val="20"/>
              </w:rPr>
            </w:pPr>
            <w:r>
              <w:rPr>
                <w:b/>
                <w:bCs/>
                <w:sz w:val="20"/>
              </w:rPr>
              <w:t>(-ai)</w:t>
            </w:r>
          </w:p>
        </w:tc>
        <w:tc>
          <w:tcPr>
            <w:tcW w:w="1132" w:type="dxa"/>
            <w:vAlign w:val="center"/>
          </w:tcPr>
          <w:p w14:paraId="638E9489" w14:textId="77777777" w:rsidR="00EB0F8F" w:rsidRDefault="00C222C1">
            <w:pPr>
              <w:jc w:val="center"/>
              <w:rPr>
                <w:b/>
                <w:bCs/>
                <w:sz w:val="20"/>
              </w:rPr>
            </w:pPr>
            <w:r>
              <w:rPr>
                <w:b/>
                <w:bCs/>
                <w:sz w:val="20"/>
              </w:rPr>
              <w:t>„Europos socialinio fondo +“ (toliau – ESF+) antrinių temų kodai</w:t>
            </w:r>
          </w:p>
        </w:tc>
        <w:tc>
          <w:tcPr>
            <w:tcW w:w="859" w:type="dxa"/>
            <w:vAlign w:val="center"/>
          </w:tcPr>
          <w:p w14:paraId="6FE52515" w14:textId="614A57AF" w:rsidR="00EB0F8F" w:rsidRDefault="00C222C1">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EB0F8F" w:rsidRDefault="00C222C1">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EB0F8F" w:rsidRDefault="00C222C1">
            <w:pPr>
              <w:jc w:val="center"/>
              <w:rPr>
                <w:b/>
                <w:bCs/>
                <w:sz w:val="20"/>
              </w:rPr>
            </w:pPr>
            <w:r>
              <w:rPr>
                <w:b/>
                <w:sz w:val="20"/>
              </w:rPr>
              <w:t>(Taip / Ne)</w:t>
            </w:r>
          </w:p>
        </w:tc>
      </w:tr>
      <w:tr w:rsidR="00957F51" w14:paraId="65617F03" w14:textId="67958720">
        <w:trPr>
          <w:trHeight w:val="278"/>
        </w:trPr>
        <w:tc>
          <w:tcPr>
            <w:tcW w:w="1110" w:type="dxa"/>
            <w:tcMar>
              <w:left w:w="28" w:type="dxa"/>
              <w:right w:w="28" w:type="dxa"/>
            </w:tcMar>
          </w:tcPr>
          <w:p w14:paraId="2DE40FE9" w14:textId="214317F1" w:rsidR="00957F51" w:rsidRPr="00533553" w:rsidRDefault="00957F51" w:rsidP="00533553">
            <w:pPr>
              <w:rPr>
                <w:sz w:val="22"/>
                <w:szCs w:val="22"/>
              </w:rPr>
            </w:pPr>
            <w:proofErr w:type="spellStart"/>
            <w:r w:rsidRPr="00533553">
              <w:rPr>
                <w:sz w:val="22"/>
                <w:szCs w:val="22"/>
              </w:rPr>
              <w:t>Skaitmeni-nių</w:t>
            </w:r>
            <w:proofErr w:type="spellEnd"/>
            <w:r w:rsidRPr="00533553">
              <w:rPr>
                <w:sz w:val="22"/>
                <w:szCs w:val="22"/>
              </w:rPr>
              <w:t xml:space="preserve"> įgūdžių </w:t>
            </w:r>
            <w:proofErr w:type="spellStart"/>
            <w:r w:rsidRPr="00533553">
              <w:rPr>
                <w:sz w:val="22"/>
                <w:szCs w:val="22"/>
              </w:rPr>
              <w:t>tobulinim</w:t>
            </w:r>
            <w:proofErr w:type="spellEnd"/>
            <w:r w:rsidRPr="00533553">
              <w:rPr>
                <w:sz w:val="22"/>
                <w:szCs w:val="22"/>
              </w:rPr>
              <w:t>-</w:t>
            </w:r>
          </w:p>
          <w:p w14:paraId="74FA5B32" w14:textId="5258A5F9" w:rsidR="00957F51" w:rsidRPr="00533553" w:rsidRDefault="00957F51" w:rsidP="00533553">
            <w:pPr>
              <w:rPr>
                <w:i/>
                <w:sz w:val="22"/>
                <w:szCs w:val="22"/>
              </w:rPr>
            </w:pPr>
            <w:proofErr w:type="spellStart"/>
            <w:r w:rsidRPr="00533553">
              <w:rPr>
                <w:sz w:val="22"/>
                <w:szCs w:val="22"/>
              </w:rPr>
              <w:t>as</w:t>
            </w:r>
            <w:proofErr w:type="spellEnd"/>
          </w:p>
        </w:tc>
        <w:tc>
          <w:tcPr>
            <w:tcW w:w="1125" w:type="dxa"/>
            <w:tcMar>
              <w:left w:w="28" w:type="dxa"/>
              <w:right w:w="28" w:type="dxa"/>
            </w:tcMar>
          </w:tcPr>
          <w:p w14:paraId="0B498544" w14:textId="1E8A4BA9" w:rsidR="00957F51" w:rsidRPr="00533553" w:rsidRDefault="00957F51" w:rsidP="00533553">
            <w:pPr>
              <w:rPr>
                <w:rFonts w:eastAsia="Calibri"/>
                <w:bCs/>
                <w:sz w:val="22"/>
                <w:szCs w:val="22"/>
              </w:rPr>
            </w:pPr>
            <w:proofErr w:type="spellStart"/>
            <w:r w:rsidRPr="00533553">
              <w:rPr>
                <w:rFonts w:eastAsia="Calibri"/>
                <w:bCs/>
                <w:sz w:val="22"/>
                <w:szCs w:val="22"/>
              </w:rPr>
              <w:t>Ekonomi</w:t>
            </w:r>
            <w:proofErr w:type="spellEnd"/>
            <w:r w:rsidRPr="00533553">
              <w:rPr>
                <w:rFonts w:eastAsia="Calibri"/>
                <w:bCs/>
                <w:sz w:val="22"/>
                <w:szCs w:val="22"/>
              </w:rPr>
              <w:t>-</w:t>
            </w:r>
          </w:p>
          <w:p w14:paraId="2F61E84A" w14:textId="5A193533" w:rsidR="00957F51" w:rsidRPr="00533553" w:rsidRDefault="00957F51" w:rsidP="00533553">
            <w:pPr>
              <w:rPr>
                <w:sz w:val="22"/>
                <w:szCs w:val="22"/>
              </w:rPr>
            </w:pPr>
            <w:proofErr w:type="spellStart"/>
            <w:r w:rsidRPr="00533553">
              <w:rPr>
                <w:rFonts w:eastAsia="Calibri"/>
                <w:bCs/>
                <w:sz w:val="22"/>
                <w:szCs w:val="22"/>
              </w:rPr>
              <w:t>kos</w:t>
            </w:r>
            <w:proofErr w:type="spellEnd"/>
            <w:r w:rsidRPr="00533553">
              <w:rPr>
                <w:rFonts w:eastAsia="Calibri"/>
                <w:bCs/>
                <w:sz w:val="22"/>
                <w:szCs w:val="22"/>
              </w:rPr>
              <w:t xml:space="preserve"> gaivinimo ir atsparumo didinimo priemonės (toliau – EGADP) </w:t>
            </w:r>
            <w:r w:rsidRPr="00533553">
              <w:rPr>
                <w:rFonts w:eastAsia="Calibri"/>
                <w:bCs/>
                <w:sz w:val="22"/>
                <w:szCs w:val="22"/>
              </w:rPr>
              <w:lastRenderedPageBreak/>
              <w:t xml:space="preserve">lėšos </w:t>
            </w:r>
            <w:r w:rsidRPr="00533553">
              <w:rPr>
                <w:sz w:val="22"/>
                <w:szCs w:val="22"/>
              </w:rPr>
              <w:t xml:space="preserve">ir Lietuvos </w:t>
            </w:r>
            <w:proofErr w:type="spellStart"/>
            <w:r w:rsidRPr="00533553">
              <w:rPr>
                <w:sz w:val="22"/>
                <w:szCs w:val="22"/>
              </w:rPr>
              <w:t>Respubli</w:t>
            </w:r>
            <w:proofErr w:type="spellEnd"/>
            <w:r w:rsidRPr="00533553">
              <w:rPr>
                <w:sz w:val="22"/>
                <w:szCs w:val="22"/>
              </w:rPr>
              <w:t>-</w:t>
            </w:r>
          </w:p>
          <w:p w14:paraId="27715B31" w14:textId="631B74EF" w:rsidR="00957F51" w:rsidRPr="00533553" w:rsidRDefault="00957F51" w:rsidP="00533553">
            <w:pPr>
              <w:rPr>
                <w:sz w:val="22"/>
                <w:szCs w:val="22"/>
              </w:rPr>
            </w:pPr>
            <w:proofErr w:type="spellStart"/>
            <w:r w:rsidRPr="00533553">
              <w:rPr>
                <w:sz w:val="22"/>
                <w:szCs w:val="22"/>
              </w:rPr>
              <w:t>kos</w:t>
            </w:r>
            <w:proofErr w:type="spellEnd"/>
          </w:p>
          <w:p w14:paraId="629C3A44" w14:textId="1E7425B0" w:rsidR="00957F51" w:rsidRPr="00533553" w:rsidRDefault="00957F51" w:rsidP="00533553">
            <w:pPr>
              <w:rPr>
                <w:iCs/>
                <w:sz w:val="22"/>
                <w:szCs w:val="22"/>
              </w:rPr>
            </w:pPr>
            <w:proofErr w:type="spellStart"/>
            <w:r w:rsidRPr="00533553">
              <w:rPr>
                <w:sz w:val="22"/>
                <w:szCs w:val="22"/>
              </w:rPr>
              <w:t>kos</w:t>
            </w:r>
            <w:proofErr w:type="spellEnd"/>
            <w:r w:rsidRPr="00533553">
              <w:rPr>
                <w:sz w:val="22"/>
                <w:szCs w:val="22"/>
              </w:rPr>
              <w:t xml:space="preserve"> valstybės biudžeto lėšos, </w:t>
            </w:r>
            <w:r w:rsidRPr="00533553">
              <w:rPr>
                <w:iCs/>
                <w:sz w:val="22"/>
                <w:szCs w:val="22"/>
              </w:rPr>
              <w:t>skirtos Europos Sąjungos (toliau – ES) fondų lėšomis netinka-</w:t>
            </w:r>
          </w:p>
          <w:p w14:paraId="64B12AB4" w14:textId="141AC8F6" w:rsidR="00957F51" w:rsidRPr="00533553" w:rsidRDefault="00957F51" w:rsidP="00533553">
            <w:pPr>
              <w:rPr>
                <w:b/>
                <w:iCs/>
                <w:sz w:val="22"/>
                <w:szCs w:val="22"/>
              </w:rPr>
            </w:pPr>
            <w:proofErr w:type="spellStart"/>
            <w:r w:rsidRPr="00533553">
              <w:rPr>
                <w:iCs/>
                <w:sz w:val="22"/>
                <w:szCs w:val="22"/>
              </w:rPr>
              <w:t>mam</w:t>
            </w:r>
            <w:proofErr w:type="spellEnd"/>
            <w:r w:rsidRPr="00533553">
              <w:rPr>
                <w:iCs/>
                <w:sz w:val="22"/>
                <w:szCs w:val="22"/>
              </w:rPr>
              <w:t xml:space="preserve"> finansuoti pridėtinės vertės mokesčiui </w:t>
            </w:r>
            <w:r w:rsidRPr="00533553">
              <w:rPr>
                <w:sz w:val="22"/>
                <w:szCs w:val="22"/>
              </w:rPr>
              <w:t xml:space="preserve">(toliau – PVM) </w:t>
            </w:r>
            <w:r w:rsidRPr="00533553">
              <w:rPr>
                <w:iCs/>
                <w:sz w:val="22"/>
                <w:szCs w:val="22"/>
              </w:rPr>
              <w:t>apmokėti</w:t>
            </w:r>
            <w:r w:rsidRPr="00533553">
              <w:rPr>
                <w:b/>
                <w:sz w:val="22"/>
                <w:szCs w:val="22"/>
              </w:rPr>
              <w:t xml:space="preserve"> </w:t>
            </w:r>
            <w:r w:rsidRPr="00533553">
              <w:rPr>
                <w:sz w:val="22"/>
                <w:szCs w:val="22"/>
              </w:rPr>
              <w:t>(toliau – VB lėšos)</w:t>
            </w:r>
          </w:p>
          <w:p w14:paraId="70AC9206" w14:textId="12F3D53B" w:rsidR="00957F51" w:rsidRPr="00533553" w:rsidRDefault="00957F51" w:rsidP="00533553">
            <w:pPr>
              <w:rPr>
                <w:b/>
                <w:i/>
                <w:sz w:val="22"/>
                <w:szCs w:val="22"/>
              </w:rPr>
            </w:pPr>
          </w:p>
        </w:tc>
        <w:tc>
          <w:tcPr>
            <w:tcW w:w="1236" w:type="dxa"/>
            <w:tcMar>
              <w:left w:w="28" w:type="dxa"/>
              <w:right w:w="28" w:type="dxa"/>
            </w:tcMar>
          </w:tcPr>
          <w:p w14:paraId="7BC01FA4" w14:textId="77777777" w:rsidR="00957F51" w:rsidRPr="00533553" w:rsidRDefault="00957F51" w:rsidP="00533553">
            <w:pPr>
              <w:rPr>
                <w:iCs/>
                <w:sz w:val="22"/>
                <w:szCs w:val="22"/>
              </w:rPr>
            </w:pPr>
            <w:r w:rsidRPr="00533553">
              <w:rPr>
                <w:iCs/>
                <w:sz w:val="22"/>
                <w:szCs w:val="22"/>
              </w:rPr>
              <w:lastRenderedPageBreak/>
              <w:t>3</w:t>
            </w:r>
          </w:p>
          <w:p w14:paraId="29BB3EA0" w14:textId="2D1C3F0A" w:rsidR="00957F51" w:rsidRPr="00533553" w:rsidRDefault="00957F51" w:rsidP="00533553">
            <w:pPr>
              <w:rPr>
                <w:sz w:val="22"/>
                <w:szCs w:val="22"/>
              </w:rPr>
            </w:pPr>
            <w:r w:rsidRPr="00533553">
              <w:rPr>
                <w:sz w:val="22"/>
                <w:szCs w:val="22"/>
              </w:rPr>
              <w:t xml:space="preserve">Skaitmeninė </w:t>
            </w:r>
            <w:proofErr w:type="spellStart"/>
            <w:r w:rsidRPr="00533553">
              <w:rPr>
                <w:sz w:val="22"/>
                <w:szCs w:val="22"/>
              </w:rPr>
              <w:t>transforma</w:t>
            </w:r>
            <w:proofErr w:type="spellEnd"/>
            <w:r w:rsidRPr="00533553">
              <w:rPr>
                <w:sz w:val="22"/>
                <w:szCs w:val="22"/>
              </w:rPr>
              <w:t>-</w:t>
            </w:r>
          </w:p>
          <w:p w14:paraId="276ADE8D" w14:textId="0F5E3B79" w:rsidR="00957F51" w:rsidRPr="00533553" w:rsidRDefault="00957F51" w:rsidP="00533553">
            <w:pPr>
              <w:rPr>
                <w:i/>
                <w:sz w:val="22"/>
                <w:szCs w:val="22"/>
              </w:rPr>
            </w:pPr>
            <w:proofErr w:type="spellStart"/>
            <w:r w:rsidRPr="00533553">
              <w:rPr>
                <w:sz w:val="22"/>
                <w:szCs w:val="22"/>
              </w:rPr>
              <w:t>cija</w:t>
            </w:r>
            <w:proofErr w:type="spellEnd"/>
          </w:p>
        </w:tc>
        <w:tc>
          <w:tcPr>
            <w:tcW w:w="1134" w:type="dxa"/>
            <w:tcMar>
              <w:left w:w="28" w:type="dxa"/>
              <w:right w:w="28" w:type="dxa"/>
            </w:tcMar>
          </w:tcPr>
          <w:p w14:paraId="2D924614" w14:textId="77777777" w:rsidR="00957F51" w:rsidRPr="00533553" w:rsidRDefault="00957F51" w:rsidP="00533553">
            <w:pPr>
              <w:rPr>
                <w:sz w:val="22"/>
                <w:szCs w:val="22"/>
              </w:rPr>
            </w:pPr>
            <w:r w:rsidRPr="00533553">
              <w:rPr>
                <w:sz w:val="22"/>
                <w:szCs w:val="22"/>
              </w:rPr>
              <w:t>C.1.3.</w:t>
            </w:r>
          </w:p>
          <w:p w14:paraId="79EE11B5" w14:textId="5F9729CE" w:rsidR="00957F51" w:rsidRPr="00533553" w:rsidRDefault="00957F51" w:rsidP="00533553">
            <w:pPr>
              <w:rPr>
                <w:sz w:val="22"/>
                <w:szCs w:val="22"/>
              </w:rPr>
            </w:pPr>
            <w:r w:rsidRPr="00533553">
              <w:rPr>
                <w:sz w:val="22"/>
                <w:szCs w:val="22"/>
              </w:rPr>
              <w:t>Į klientą orientuotos paslaugos</w:t>
            </w:r>
          </w:p>
        </w:tc>
        <w:tc>
          <w:tcPr>
            <w:tcW w:w="1134" w:type="dxa"/>
            <w:tcMar>
              <w:left w:w="28" w:type="dxa"/>
              <w:right w:w="28" w:type="dxa"/>
            </w:tcMar>
          </w:tcPr>
          <w:p w14:paraId="452BBB0C" w14:textId="77777777" w:rsidR="00957F51" w:rsidRPr="00533553" w:rsidRDefault="00957F51" w:rsidP="00533553">
            <w:pPr>
              <w:rPr>
                <w:sz w:val="22"/>
                <w:szCs w:val="22"/>
              </w:rPr>
            </w:pPr>
            <w:r w:rsidRPr="00533553">
              <w:rPr>
                <w:sz w:val="22"/>
                <w:szCs w:val="22"/>
              </w:rPr>
              <w:t>C.1.3. 3</w:t>
            </w:r>
          </w:p>
          <w:p w14:paraId="6011FB3D" w14:textId="446BB64A" w:rsidR="00957F51" w:rsidRPr="00533553" w:rsidRDefault="00957F51" w:rsidP="00533553">
            <w:pPr>
              <w:rPr>
                <w:i/>
                <w:sz w:val="22"/>
                <w:szCs w:val="22"/>
              </w:rPr>
            </w:pPr>
          </w:p>
        </w:tc>
        <w:tc>
          <w:tcPr>
            <w:tcW w:w="1457" w:type="dxa"/>
            <w:tcMar>
              <w:left w:w="28" w:type="dxa"/>
              <w:right w:w="28" w:type="dxa"/>
            </w:tcMar>
          </w:tcPr>
          <w:p w14:paraId="2CE029DB" w14:textId="39B394D3" w:rsidR="00957F51" w:rsidRPr="00533553" w:rsidRDefault="00957F51" w:rsidP="00533553">
            <w:pPr>
              <w:rPr>
                <w:i/>
                <w:sz w:val="22"/>
                <w:szCs w:val="22"/>
              </w:rPr>
            </w:pPr>
            <w:r w:rsidRPr="00533553">
              <w:rPr>
                <w:sz w:val="22"/>
                <w:szCs w:val="22"/>
              </w:rPr>
              <w:t>011</w:t>
            </w:r>
          </w:p>
        </w:tc>
        <w:tc>
          <w:tcPr>
            <w:tcW w:w="1344" w:type="dxa"/>
            <w:tcMar>
              <w:left w:w="28" w:type="dxa"/>
              <w:right w:w="28" w:type="dxa"/>
            </w:tcMar>
          </w:tcPr>
          <w:p w14:paraId="7F10B632" w14:textId="396137D9" w:rsidR="00957F51" w:rsidRPr="00533553" w:rsidRDefault="00957F51" w:rsidP="00533553">
            <w:pPr>
              <w:rPr>
                <w:i/>
                <w:sz w:val="22"/>
                <w:szCs w:val="22"/>
              </w:rPr>
            </w:pPr>
            <w:r w:rsidRPr="00533553">
              <w:rPr>
                <w:b/>
                <w:bCs/>
                <w:sz w:val="22"/>
                <w:szCs w:val="22"/>
              </w:rPr>
              <w:t>-</w:t>
            </w:r>
          </w:p>
        </w:tc>
        <w:tc>
          <w:tcPr>
            <w:tcW w:w="1080" w:type="dxa"/>
            <w:tcMar>
              <w:left w:w="28" w:type="dxa"/>
              <w:right w:w="28" w:type="dxa"/>
            </w:tcMar>
          </w:tcPr>
          <w:p w14:paraId="3F2AA3EF" w14:textId="61A84776" w:rsidR="00957F51" w:rsidRPr="00533553" w:rsidRDefault="00957F51" w:rsidP="00533553">
            <w:pPr>
              <w:rPr>
                <w:i/>
                <w:sz w:val="22"/>
                <w:szCs w:val="22"/>
              </w:rPr>
            </w:pPr>
            <w:r w:rsidRPr="00533553">
              <w:rPr>
                <w:b/>
                <w:bCs/>
                <w:sz w:val="22"/>
                <w:szCs w:val="22"/>
              </w:rPr>
              <w:t>-</w:t>
            </w:r>
          </w:p>
        </w:tc>
        <w:tc>
          <w:tcPr>
            <w:tcW w:w="1344" w:type="dxa"/>
            <w:tcMar>
              <w:left w:w="28" w:type="dxa"/>
              <w:right w:w="28" w:type="dxa"/>
            </w:tcMar>
          </w:tcPr>
          <w:p w14:paraId="61DFE6C2" w14:textId="0FCA6C96" w:rsidR="00957F51" w:rsidRPr="00533553" w:rsidRDefault="00957F51" w:rsidP="00533553">
            <w:pPr>
              <w:rPr>
                <w:sz w:val="22"/>
                <w:szCs w:val="22"/>
              </w:rPr>
            </w:pPr>
            <w:r w:rsidRPr="00533553">
              <w:rPr>
                <w:b/>
                <w:bCs/>
                <w:sz w:val="22"/>
                <w:szCs w:val="22"/>
              </w:rPr>
              <w:t>-</w:t>
            </w:r>
          </w:p>
        </w:tc>
        <w:tc>
          <w:tcPr>
            <w:tcW w:w="1051" w:type="dxa"/>
            <w:tcMar>
              <w:left w:w="28" w:type="dxa"/>
              <w:right w:w="28" w:type="dxa"/>
            </w:tcMar>
          </w:tcPr>
          <w:p w14:paraId="72C15DEA" w14:textId="63B46D7D" w:rsidR="00957F51" w:rsidRPr="00533553" w:rsidRDefault="00957F51" w:rsidP="00533553">
            <w:pPr>
              <w:rPr>
                <w:sz w:val="22"/>
                <w:szCs w:val="22"/>
              </w:rPr>
            </w:pPr>
            <w:r w:rsidRPr="00533553">
              <w:rPr>
                <w:b/>
                <w:bCs/>
                <w:sz w:val="22"/>
                <w:szCs w:val="22"/>
              </w:rPr>
              <w:t>-</w:t>
            </w:r>
          </w:p>
        </w:tc>
        <w:tc>
          <w:tcPr>
            <w:tcW w:w="1132" w:type="dxa"/>
            <w:tcMar>
              <w:left w:w="28" w:type="dxa"/>
              <w:right w:w="28" w:type="dxa"/>
            </w:tcMar>
          </w:tcPr>
          <w:p w14:paraId="58E02594" w14:textId="1BD93AB1" w:rsidR="00957F51" w:rsidRPr="00533553" w:rsidRDefault="00957F51" w:rsidP="00533553">
            <w:pPr>
              <w:rPr>
                <w:i/>
                <w:iCs/>
                <w:sz w:val="22"/>
                <w:szCs w:val="22"/>
              </w:rPr>
            </w:pPr>
            <w:r w:rsidRPr="00533553">
              <w:rPr>
                <w:b/>
                <w:bCs/>
                <w:sz w:val="22"/>
                <w:szCs w:val="22"/>
              </w:rPr>
              <w:t>-</w:t>
            </w:r>
          </w:p>
        </w:tc>
        <w:tc>
          <w:tcPr>
            <w:tcW w:w="859" w:type="dxa"/>
            <w:tcMar>
              <w:left w:w="28" w:type="dxa"/>
              <w:right w:w="28" w:type="dxa"/>
            </w:tcMar>
          </w:tcPr>
          <w:p w14:paraId="08E21C39" w14:textId="77AD4973" w:rsidR="00957F51" w:rsidRPr="00533553" w:rsidRDefault="00957F51" w:rsidP="00533553">
            <w:pPr>
              <w:rPr>
                <w:i/>
                <w:iCs/>
                <w:sz w:val="22"/>
                <w:szCs w:val="22"/>
              </w:rPr>
            </w:pPr>
            <w:r w:rsidRPr="00533553">
              <w:rPr>
                <w:b/>
                <w:bCs/>
                <w:sz w:val="22"/>
                <w:szCs w:val="22"/>
              </w:rPr>
              <w:t>-</w:t>
            </w:r>
          </w:p>
        </w:tc>
        <w:tc>
          <w:tcPr>
            <w:tcW w:w="1149" w:type="dxa"/>
          </w:tcPr>
          <w:p w14:paraId="6E6DBD80" w14:textId="4DE7C6F9" w:rsidR="00957F51" w:rsidRPr="00533553" w:rsidRDefault="00957F51" w:rsidP="00533553">
            <w:pPr>
              <w:rPr>
                <w:i/>
                <w:iCs/>
                <w:sz w:val="22"/>
                <w:szCs w:val="22"/>
              </w:rPr>
            </w:pPr>
            <w:r w:rsidRPr="00533553">
              <w:rPr>
                <w:sz w:val="22"/>
                <w:szCs w:val="22"/>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EB0F8F" w14:paraId="7F9041C5" w14:textId="77777777">
        <w:trPr>
          <w:trHeight w:val="4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533553" w14:paraId="15701F01" w14:textId="77777777">
        <w:trPr>
          <w:trHeight w:val="416"/>
        </w:trPr>
        <w:tc>
          <w:tcPr>
            <w:tcW w:w="3783" w:type="dxa"/>
          </w:tcPr>
          <w:p w14:paraId="72219FB9" w14:textId="1BB58D8C" w:rsidR="00533553" w:rsidRPr="00533553" w:rsidRDefault="00533553" w:rsidP="00533553">
            <w:pPr>
              <w:jc w:val="center"/>
              <w:rPr>
                <w:sz w:val="18"/>
                <w:szCs w:val="18"/>
              </w:rPr>
            </w:pPr>
            <w:bookmarkStart w:id="1" w:name="_Hlk161239623"/>
            <w:r w:rsidRPr="00533553">
              <w:rPr>
                <w:lang w:eastAsia="lt-LT"/>
              </w:rPr>
              <w:t>Mokymo programų komplektų skaičius</w:t>
            </w:r>
            <w:bookmarkEnd w:id="1"/>
          </w:p>
        </w:tc>
        <w:tc>
          <w:tcPr>
            <w:tcW w:w="3784" w:type="dxa"/>
          </w:tcPr>
          <w:p w14:paraId="119FD711" w14:textId="1F03EA1C" w:rsidR="00533553" w:rsidRPr="00533553" w:rsidRDefault="00533553" w:rsidP="00533553">
            <w:pPr>
              <w:jc w:val="center"/>
              <w:rPr>
                <w:sz w:val="22"/>
                <w:szCs w:val="22"/>
              </w:rPr>
            </w:pPr>
            <w:r w:rsidRPr="00533553">
              <w:t>P.N.1.4653</w:t>
            </w:r>
          </w:p>
        </w:tc>
        <w:tc>
          <w:tcPr>
            <w:tcW w:w="3783" w:type="dxa"/>
          </w:tcPr>
          <w:p w14:paraId="3C0A6EA8" w14:textId="0D8BAE3A" w:rsidR="00533553" w:rsidRPr="00533553" w:rsidRDefault="00533553" w:rsidP="00533553">
            <w:pPr>
              <w:jc w:val="center"/>
              <w:rPr>
                <w:sz w:val="22"/>
                <w:szCs w:val="22"/>
              </w:rPr>
            </w:pPr>
            <w:r w:rsidRPr="00533553">
              <w:t>Vnt.</w:t>
            </w:r>
          </w:p>
        </w:tc>
        <w:tc>
          <w:tcPr>
            <w:tcW w:w="3784" w:type="dxa"/>
          </w:tcPr>
          <w:p w14:paraId="4906FB5A" w14:textId="77777777" w:rsidR="00533553" w:rsidRPr="00533553" w:rsidRDefault="00533553" w:rsidP="00533553">
            <w:pPr>
              <w:jc w:val="center"/>
            </w:pPr>
            <w:r w:rsidRPr="00533553">
              <w:t xml:space="preserve">1 komplektas (2026 m. I </w:t>
            </w:r>
            <w:proofErr w:type="spellStart"/>
            <w:r w:rsidRPr="00533553">
              <w:t>ketv</w:t>
            </w:r>
            <w:proofErr w:type="spellEnd"/>
            <w:r w:rsidRPr="00533553">
              <w:t>.)</w:t>
            </w:r>
          </w:p>
          <w:p w14:paraId="07EC75CE" w14:textId="6893A997" w:rsidR="00533553" w:rsidRPr="00533553" w:rsidRDefault="00533553" w:rsidP="00533553">
            <w:pPr>
              <w:jc w:val="center"/>
              <w:rPr>
                <w:sz w:val="22"/>
                <w:szCs w:val="22"/>
              </w:rPr>
            </w:pPr>
          </w:p>
        </w:tc>
      </w:tr>
      <w:tr w:rsidR="00533553" w14:paraId="1DD9E4E6" w14:textId="77777777">
        <w:trPr>
          <w:trHeight w:val="416"/>
        </w:trPr>
        <w:tc>
          <w:tcPr>
            <w:tcW w:w="3783" w:type="dxa"/>
          </w:tcPr>
          <w:p w14:paraId="712B5E5A" w14:textId="46109788" w:rsidR="00533553" w:rsidRPr="00533553" w:rsidRDefault="00533553" w:rsidP="00533553">
            <w:pPr>
              <w:jc w:val="center"/>
              <w:rPr>
                <w:lang w:eastAsia="lt-LT"/>
              </w:rPr>
            </w:pPr>
            <w:r w:rsidRPr="00533553">
              <w:t>Švietimo ar mokymo veiklos dalyvių skaičius</w:t>
            </w:r>
          </w:p>
        </w:tc>
        <w:tc>
          <w:tcPr>
            <w:tcW w:w="3784" w:type="dxa"/>
          </w:tcPr>
          <w:p w14:paraId="27CF8DD8" w14:textId="0592138D" w:rsidR="00533553" w:rsidRPr="00533553" w:rsidRDefault="00533553" w:rsidP="00533553">
            <w:pPr>
              <w:jc w:val="center"/>
            </w:pPr>
            <w:r w:rsidRPr="00533553">
              <w:t>R.B.1.2010</w:t>
            </w:r>
          </w:p>
        </w:tc>
        <w:tc>
          <w:tcPr>
            <w:tcW w:w="3783" w:type="dxa"/>
          </w:tcPr>
          <w:p w14:paraId="5004C537" w14:textId="0BD5F064" w:rsidR="00533553" w:rsidRPr="00533553" w:rsidRDefault="00533553" w:rsidP="00533553">
            <w:pPr>
              <w:jc w:val="center"/>
            </w:pPr>
            <w:r w:rsidRPr="00533553">
              <w:t>Vnt.</w:t>
            </w:r>
          </w:p>
          <w:p w14:paraId="608167B7" w14:textId="77777777" w:rsidR="00533553" w:rsidRPr="00533553" w:rsidRDefault="00533553" w:rsidP="00533553">
            <w:pPr>
              <w:jc w:val="center"/>
            </w:pPr>
          </w:p>
        </w:tc>
        <w:tc>
          <w:tcPr>
            <w:tcW w:w="3784" w:type="dxa"/>
          </w:tcPr>
          <w:p w14:paraId="620EA346" w14:textId="77777777" w:rsidR="00533553" w:rsidRPr="00533553" w:rsidRDefault="00533553" w:rsidP="00533553">
            <w:pPr>
              <w:jc w:val="center"/>
            </w:pPr>
            <w:r w:rsidRPr="00533553">
              <w:t xml:space="preserve">10 000 (2026 m. I </w:t>
            </w:r>
            <w:proofErr w:type="spellStart"/>
            <w:r w:rsidRPr="00533553">
              <w:t>ketv</w:t>
            </w:r>
            <w:proofErr w:type="spellEnd"/>
            <w:r w:rsidRPr="00533553">
              <w:t>.)</w:t>
            </w:r>
          </w:p>
          <w:p w14:paraId="5F74C5EC" w14:textId="77777777" w:rsidR="00533553" w:rsidRPr="00533553" w:rsidRDefault="00533553" w:rsidP="00533553">
            <w:pPr>
              <w:jc w:val="center"/>
            </w:pPr>
          </w:p>
        </w:tc>
      </w:tr>
      <w:tr w:rsidR="00533553" w14:paraId="38EFE20D" w14:textId="77777777">
        <w:trPr>
          <w:trHeight w:val="416"/>
        </w:trPr>
        <w:tc>
          <w:tcPr>
            <w:tcW w:w="3783" w:type="dxa"/>
          </w:tcPr>
          <w:p w14:paraId="7D2F63BA" w14:textId="669A9B87" w:rsidR="00533553" w:rsidRPr="00533553" w:rsidRDefault="00533553" w:rsidP="00533553">
            <w:pPr>
              <w:jc w:val="center"/>
              <w:rPr>
                <w:lang w:eastAsia="lt-LT"/>
              </w:rPr>
            </w:pPr>
            <w:r w:rsidRPr="00533553">
              <w:rPr>
                <w:rStyle w:val="ui-provider"/>
              </w:rPr>
              <w:lastRenderedPageBreak/>
              <w:t>Švietimo ar mokymo veiklos dalyvių skaičius iš jų: Skaitmeninių įgūdžių ugdymo veiklos dalyvių skaičius</w:t>
            </w:r>
          </w:p>
        </w:tc>
        <w:tc>
          <w:tcPr>
            <w:tcW w:w="3784" w:type="dxa"/>
          </w:tcPr>
          <w:p w14:paraId="1E11C8FD" w14:textId="544D87D9" w:rsidR="00533553" w:rsidRPr="00533553" w:rsidRDefault="00533553" w:rsidP="00533553">
            <w:pPr>
              <w:jc w:val="center"/>
            </w:pPr>
            <w:r w:rsidRPr="00533553">
              <w:t>R.B.1.2010.2</w:t>
            </w:r>
          </w:p>
        </w:tc>
        <w:tc>
          <w:tcPr>
            <w:tcW w:w="3783" w:type="dxa"/>
          </w:tcPr>
          <w:p w14:paraId="2B585379" w14:textId="25674600" w:rsidR="00533553" w:rsidRPr="00533553" w:rsidRDefault="00533553" w:rsidP="00533553">
            <w:pPr>
              <w:jc w:val="center"/>
            </w:pPr>
            <w:r w:rsidRPr="00533553">
              <w:t>Vnt.</w:t>
            </w:r>
          </w:p>
        </w:tc>
        <w:tc>
          <w:tcPr>
            <w:tcW w:w="3784" w:type="dxa"/>
          </w:tcPr>
          <w:p w14:paraId="76872052" w14:textId="5CFA5ED6" w:rsidR="00533553" w:rsidRPr="00533553" w:rsidRDefault="00533553" w:rsidP="00533553">
            <w:pPr>
              <w:jc w:val="center"/>
            </w:pPr>
            <w:r w:rsidRPr="00533553">
              <w:t xml:space="preserve">10 000 (2026 m. I </w:t>
            </w:r>
            <w:proofErr w:type="spellStart"/>
            <w:r w:rsidRPr="00533553">
              <w:t>ketv</w:t>
            </w:r>
            <w:proofErr w:type="spellEnd"/>
            <w:r w:rsidRPr="00533553">
              <w:t>.)</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trPr>
          <w:trHeight w:val="298"/>
        </w:trPr>
        <w:tc>
          <w:tcPr>
            <w:tcW w:w="15158" w:type="dxa"/>
          </w:tcPr>
          <w:p w14:paraId="28854010" w14:textId="28EBB3BA" w:rsidR="00EB0F8F" w:rsidRDefault="00533553">
            <w:pPr>
              <w:jc w:val="both"/>
              <w:rPr>
                <w:szCs w:val="24"/>
              </w:rPr>
            </w:pPr>
            <w:r w:rsidRPr="007A7523">
              <w:rPr>
                <w:iCs/>
                <w:szCs w:val="24"/>
              </w:rPr>
              <w:t xml:space="preserve">Lietuvos Respublikos ekonomikos ir inovacijų ministerijos (toliau – Ministerija) </w:t>
            </w:r>
            <w:r w:rsidRPr="007A7523">
              <w:rPr>
                <w:szCs w:val="24"/>
              </w:rPr>
              <w:t>stebėsenos rodiklių aprašymo kortelės</w:t>
            </w:r>
          </w:p>
        </w:tc>
      </w:tr>
      <w:tr w:rsidR="00EB0F8F" w14:paraId="6B38EDEA" w14:textId="77777777">
        <w:trPr>
          <w:trHeight w:val="315"/>
        </w:trPr>
        <w:tc>
          <w:tcPr>
            <w:tcW w:w="15158" w:type="dxa"/>
          </w:tcPr>
          <w:p w14:paraId="241F98E2" w14:textId="43D05B3E" w:rsidR="00EB0F8F" w:rsidRDefault="00000000">
            <w:pPr>
              <w:rPr>
                <w:i/>
                <w:szCs w:val="24"/>
              </w:rPr>
            </w:pPr>
            <w:hyperlink r:id="rId12" w:history="1">
              <w:r w:rsidR="00533553">
                <w:rPr>
                  <w:rStyle w:val="Hyperlink"/>
                </w:rPr>
                <w:t>Pažangos priemonė Nr. 05-002-01-07-08. Kurti technologinius sprendimus ir įrankius, leidžiančius saugiai naudotis paslaugomis - Lietuvos Respublikos ekonomikos ir inovacijų ministerija (</w:t>
              </w:r>
              <w:proofErr w:type="spellStart"/>
              <w:r w:rsidR="00533553">
                <w:rPr>
                  <w:rStyle w:val="Hyperlink"/>
                </w:rPr>
                <w:t>lrv.lt</w:t>
              </w:r>
              <w:proofErr w:type="spellEnd"/>
              <w:r w:rsidR="00533553">
                <w:rPr>
                  <w:rStyle w:val="Hyperlink"/>
                </w:rPr>
                <w:t>)</w:t>
              </w:r>
            </w:hyperlink>
          </w:p>
        </w:tc>
      </w:tr>
    </w:tbl>
    <w:p w14:paraId="6E15271D" w14:textId="77777777" w:rsidR="00EB0F8F" w:rsidRDefault="00EB0F8F">
      <w:pPr>
        <w:jc w:val="both"/>
        <w:rPr>
          <w:szCs w:val="24"/>
        </w:rPr>
      </w:pP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4"/>
      </w:tblGrid>
      <w:tr w:rsidR="00EB0F8F" w14:paraId="12FD5B8D" w14:textId="77777777" w:rsidTr="009A4257">
        <w:tc>
          <w:tcPr>
            <w:tcW w:w="15134" w:type="dxa"/>
          </w:tcPr>
          <w:p w14:paraId="549C8093" w14:textId="77777777" w:rsidR="00EB0F8F" w:rsidRDefault="00C222C1">
            <w:pPr>
              <w:rPr>
                <w:b/>
                <w:szCs w:val="24"/>
              </w:rPr>
            </w:pPr>
            <w:r>
              <w:rPr>
                <w:b/>
                <w:szCs w:val="24"/>
              </w:rPr>
              <w:t>SPECIALIEJI FINANSAVIMO REIKALAVIMAI</w:t>
            </w:r>
          </w:p>
        </w:tc>
      </w:tr>
      <w:tr w:rsidR="00EB0F8F" w14:paraId="55EB3CDD" w14:textId="77777777" w:rsidTr="009A4257">
        <w:tc>
          <w:tcPr>
            <w:tcW w:w="15134" w:type="dxa"/>
          </w:tcPr>
          <w:p w14:paraId="1CADE307" w14:textId="77777777" w:rsidR="00EB0F8F" w:rsidRDefault="00C222C1">
            <w:pPr>
              <w:rPr>
                <w:b/>
                <w:bCs/>
                <w:szCs w:val="24"/>
              </w:rPr>
            </w:pPr>
            <w:r>
              <w:rPr>
                <w:b/>
                <w:bCs/>
                <w:szCs w:val="24"/>
              </w:rPr>
              <w:t>1. Taikomi teisės aktai</w:t>
            </w:r>
          </w:p>
        </w:tc>
      </w:tr>
      <w:tr w:rsidR="00533553" w14:paraId="3250B446" w14:textId="77777777" w:rsidTr="009A4257">
        <w:tc>
          <w:tcPr>
            <w:tcW w:w="15134" w:type="dxa"/>
          </w:tcPr>
          <w:p w14:paraId="384A9994" w14:textId="77777777" w:rsidR="00533553" w:rsidRPr="007A7523" w:rsidRDefault="00533553" w:rsidP="00533553">
            <w:pPr>
              <w:pStyle w:val="ListParagraph"/>
              <w:numPr>
                <w:ilvl w:val="0"/>
                <w:numId w:val="1"/>
              </w:numPr>
              <w:tabs>
                <w:tab w:val="left" w:pos="314"/>
                <w:tab w:val="left" w:pos="731"/>
              </w:tabs>
              <w:jc w:val="both"/>
              <w:rPr>
                <w:szCs w:val="24"/>
              </w:rPr>
            </w:pPr>
            <w:r w:rsidRPr="007A7523">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7A7523">
              <w:rPr>
                <w:szCs w:val="24"/>
                <w:shd w:val="clear" w:color="auto" w:fill="FFFFFF"/>
              </w:rPr>
              <w:t>2021–2030 metų Lietuvos Respublikos ekonomikos ir inovacijų ministerijos valstybės skaitmeninimo p</w:t>
            </w:r>
            <w:r w:rsidRPr="007A7523">
              <w:rPr>
                <w:szCs w:val="24"/>
              </w:rPr>
              <w:t xml:space="preserve">lėtros programos pažangos priemonės </w:t>
            </w:r>
            <w:r w:rsidRPr="007A7523">
              <w:rPr>
                <w:szCs w:val="24"/>
                <w:lang w:eastAsia="lt-LT"/>
              </w:rPr>
              <w:t xml:space="preserve">05-002-01-07-08 </w:t>
            </w:r>
            <w:r w:rsidRPr="007A7523">
              <w:rPr>
                <w:szCs w:val="24"/>
              </w:rPr>
              <w:t>„Kurti technologinius sprendimus ir įrankius, leidžiančius saugiai ir patogiai naudotis paslaugomis“</w:t>
            </w:r>
            <w:r w:rsidRPr="007A7523">
              <w:rPr>
                <w:b/>
                <w:bCs/>
                <w:szCs w:val="24"/>
              </w:rPr>
              <w:t xml:space="preserve"> </w:t>
            </w:r>
            <w:r w:rsidRPr="007A7523">
              <w:rPr>
                <w:szCs w:val="24"/>
              </w:rPr>
              <w:t>veiklos</w:t>
            </w:r>
            <w:r w:rsidRPr="007A7523">
              <w:rPr>
                <w:b/>
                <w:bCs/>
                <w:szCs w:val="24"/>
              </w:rPr>
              <w:t xml:space="preserve"> </w:t>
            </w:r>
            <w:r w:rsidRPr="007A7523">
              <w:rPr>
                <w:bCs/>
                <w:szCs w:val="24"/>
              </w:rPr>
              <w:t>„</w:t>
            </w:r>
            <w:r w:rsidRPr="007A7523">
              <w:rPr>
                <w:rFonts w:eastAsia="Calibri"/>
                <w:szCs w:val="24"/>
              </w:rPr>
              <w:t>V</w:t>
            </w:r>
            <w:r w:rsidRPr="007A7523">
              <w:rPr>
                <w:szCs w:val="24"/>
              </w:rPr>
              <w:t>iešųjų institucijų teikiamų elektroninių paslaugų brandos lygio kėlimas“  projektų finansavimo sąlygų aprašą (toliau – Aprašas):</w:t>
            </w:r>
          </w:p>
          <w:p w14:paraId="20F29497" w14:textId="77777777" w:rsidR="00533553" w:rsidRPr="007A7523" w:rsidRDefault="00533553" w:rsidP="00533553">
            <w:pPr>
              <w:pStyle w:val="ListParagraph"/>
              <w:numPr>
                <w:ilvl w:val="1"/>
                <w:numId w:val="1"/>
              </w:numPr>
              <w:tabs>
                <w:tab w:val="left" w:pos="455"/>
              </w:tabs>
              <w:jc w:val="both"/>
              <w:rPr>
                <w:szCs w:val="24"/>
              </w:rPr>
            </w:pPr>
            <w:r w:rsidRPr="007A7523">
              <w:rPr>
                <w:szCs w:val="24"/>
              </w:rPr>
              <w:t>Bendrieji teisės aktai:</w:t>
            </w:r>
          </w:p>
          <w:p w14:paraId="153B25D2" w14:textId="77777777" w:rsidR="00533553" w:rsidRPr="007A7523" w:rsidRDefault="00533553" w:rsidP="00533553">
            <w:pPr>
              <w:pStyle w:val="ListParagraph"/>
              <w:numPr>
                <w:ilvl w:val="2"/>
                <w:numId w:val="1"/>
              </w:numPr>
              <w:tabs>
                <w:tab w:val="left" w:pos="597"/>
                <w:tab w:val="left" w:pos="823"/>
                <w:tab w:val="left" w:pos="977"/>
              </w:tabs>
              <w:jc w:val="both"/>
              <w:rPr>
                <w:szCs w:val="24"/>
              </w:rPr>
            </w:pPr>
            <w:r w:rsidRPr="007A7523">
              <w:rPr>
                <w:szCs w:val="24"/>
              </w:rPr>
              <w:t xml:space="preserve">2021 m. vasario 12 d. Europos Parlamento ir Tarybos reglamentas (ES) 2021/241, kuriuo nustatoma Ekonomikos gaivinimo ir atsparumo didinimo priemonė; </w:t>
            </w:r>
          </w:p>
          <w:p w14:paraId="1926AF46" w14:textId="77777777" w:rsidR="00533553" w:rsidRPr="007A7523" w:rsidRDefault="00533553" w:rsidP="00533553">
            <w:pPr>
              <w:pStyle w:val="ListParagraph"/>
              <w:numPr>
                <w:ilvl w:val="2"/>
                <w:numId w:val="1"/>
              </w:numPr>
              <w:tabs>
                <w:tab w:val="left" w:pos="597"/>
              </w:tabs>
              <w:jc w:val="both"/>
              <w:rPr>
                <w:iCs/>
                <w:szCs w:val="24"/>
              </w:rPr>
            </w:pPr>
            <w:r w:rsidRPr="007A7523">
              <w:rPr>
                <w:color w:val="000000"/>
                <w:szCs w:val="24"/>
              </w:rPr>
              <w:t>Ekonomikos gaivinimo ir atsparumo didinimo planas</w:t>
            </w:r>
            <w:r w:rsidRPr="007A7523">
              <w:rPr>
                <w:iCs/>
                <w:szCs w:val="24"/>
              </w:rPr>
              <w:t xml:space="preserve"> „Naujos kartos Lietuva“, patvirtintas 2021 m. liepos 28 d. Tarybos įgyvendinimo sprendimu dėl Lietuvos ekonomikos gaivinimo ir atsparumo didinimo plano</w:t>
            </w:r>
            <w:r w:rsidRPr="007A7523">
              <w:rPr>
                <w:szCs w:val="24"/>
              </w:rPr>
              <w:t xml:space="preserve"> </w:t>
            </w:r>
            <w:r w:rsidRPr="007A7523">
              <w:rPr>
                <w:iCs/>
                <w:szCs w:val="24"/>
              </w:rPr>
              <w:t>įvertinimo patvirtinimo (toliau – NKL planas);</w:t>
            </w:r>
          </w:p>
          <w:p w14:paraId="7C1EDCEE" w14:textId="77777777" w:rsidR="00533553" w:rsidRPr="007A7523" w:rsidRDefault="00533553" w:rsidP="00533553">
            <w:pPr>
              <w:pStyle w:val="ListParagraph"/>
              <w:numPr>
                <w:ilvl w:val="2"/>
                <w:numId w:val="1"/>
              </w:numPr>
              <w:tabs>
                <w:tab w:val="left" w:pos="597"/>
              </w:tabs>
              <w:jc w:val="both"/>
              <w:rPr>
                <w:szCs w:val="24"/>
              </w:rPr>
            </w:pPr>
            <w:r w:rsidRPr="007A7523">
              <w:rPr>
                <w:szCs w:val="24"/>
              </w:rPr>
              <w:t>2021–2027 metų Europos Sąjungos fondų investicijų programos ir Ekonomikos gaivinimo ir atsparumo didinimo plano „Naujos kartos Lietuva“ administravimo taisyklės,</w:t>
            </w:r>
            <w:r w:rsidRPr="007A7523">
              <w:rPr>
                <w:b/>
                <w:bCs/>
                <w:szCs w:val="24"/>
              </w:rPr>
              <w:t xml:space="preserve"> </w:t>
            </w:r>
            <w:r w:rsidRPr="007A7523">
              <w:rPr>
                <w:bCs/>
                <w:szCs w:val="24"/>
              </w:rPr>
              <w:t>patvirtintos</w:t>
            </w:r>
            <w:r w:rsidRPr="007A7523">
              <w:rPr>
                <w:b/>
                <w:bCs/>
                <w:szCs w:val="24"/>
              </w:rPr>
              <w:t xml:space="preserve"> </w:t>
            </w:r>
            <w:r w:rsidRPr="007A7523">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470E81C2" w14:textId="77777777" w:rsidR="00533553" w:rsidRPr="007A7523" w:rsidRDefault="00533553" w:rsidP="00533553">
            <w:pPr>
              <w:pStyle w:val="ListParagraph"/>
              <w:numPr>
                <w:ilvl w:val="2"/>
                <w:numId w:val="1"/>
              </w:numPr>
              <w:tabs>
                <w:tab w:val="left" w:pos="597"/>
              </w:tabs>
              <w:jc w:val="both"/>
              <w:rPr>
                <w:szCs w:val="24"/>
              </w:rPr>
            </w:pPr>
            <w:r w:rsidRPr="007A7523">
              <w:rPr>
                <w:rFonts w:eastAsia="Calibri"/>
                <w:szCs w:val="24"/>
                <w:lang w:eastAsia="lt-LT"/>
              </w:rPr>
              <w:t xml:space="preserve">Projektų administravimo ir finansavimo taisyklės, </w:t>
            </w:r>
            <w:r w:rsidRPr="007A7523">
              <w:rPr>
                <w:bCs/>
                <w:szCs w:val="24"/>
              </w:rPr>
              <w:t>patvirtintos</w:t>
            </w:r>
            <w:r w:rsidRPr="007A7523">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1294CD84" w14:textId="77777777" w:rsidR="00533553" w:rsidRPr="007A7523" w:rsidRDefault="00533553" w:rsidP="00533553">
            <w:pPr>
              <w:pStyle w:val="ListParagraph"/>
              <w:numPr>
                <w:ilvl w:val="1"/>
                <w:numId w:val="1"/>
              </w:numPr>
              <w:jc w:val="both"/>
              <w:rPr>
                <w:szCs w:val="24"/>
              </w:rPr>
            </w:pPr>
            <w:r w:rsidRPr="007A7523">
              <w:rPr>
                <w:szCs w:val="24"/>
              </w:rPr>
              <w:t>Specialieji teisės aktai:</w:t>
            </w:r>
          </w:p>
          <w:p w14:paraId="719CF2DA" w14:textId="77777777" w:rsidR="00533553" w:rsidRPr="007A7523" w:rsidRDefault="00533553" w:rsidP="00533553">
            <w:pPr>
              <w:pStyle w:val="ListParagraph"/>
              <w:numPr>
                <w:ilvl w:val="2"/>
                <w:numId w:val="1"/>
              </w:numPr>
              <w:spacing w:after="160"/>
              <w:jc w:val="both"/>
              <w:rPr>
                <w:szCs w:val="24"/>
              </w:rPr>
            </w:pPr>
            <w:r w:rsidRPr="007A7523">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w:t>
            </w:r>
          </w:p>
          <w:p w14:paraId="2D1D945A" w14:textId="080E863D" w:rsidR="00533553" w:rsidRPr="007A7523" w:rsidRDefault="00533553" w:rsidP="00533553">
            <w:pPr>
              <w:pStyle w:val="ListParagraph"/>
              <w:numPr>
                <w:ilvl w:val="2"/>
                <w:numId w:val="1"/>
              </w:numPr>
              <w:spacing w:after="160"/>
              <w:jc w:val="both"/>
              <w:rPr>
                <w:szCs w:val="24"/>
              </w:rPr>
            </w:pPr>
            <w:r w:rsidRPr="007A7523">
              <w:rPr>
                <w:szCs w:val="24"/>
              </w:rPr>
              <w:lastRenderedPageBreak/>
              <w:t>2021–2030 metų nacionalinis pažangos planas, patvirtintas Lietuvos Respublikos Vyriausybės 2020 m. rugsėjo 9 d. nutarimu Nr. 998 „Dėl 2021–2030 metų nacionalinio pažangos plano patvirtinimo“</w:t>
            </w:r>
            <w:r w:rsidR="00E279F4">
              <w:rPr>
                <w:szCs w:val="24"/>
              </w:rPr>
              <w:t>.</w:t>
            </w:r>
            <w:r w:rsidRPr="007A7523">
              <w:rPr>
                <w:szCs w:val="24"/>
              </w:rPr>
              <w:t xml:space="preserve"> </w:t>
            </w:r>
          </w:p>
          <w:p w14:paraId="3C8AC267" w14:textId="4A30B3A9" w:rsidR="00533553" w:rsidRPr="00533553" w:rsidRDefault="00533553" w:rsidP="00533553">
            <w:pPr>
              <w:pStyle w:val="ListParagraph"/>
              <w:numPr>
                <w:ilvl w:val="0"/>
                <w:numId w:val="1"/>
              </w:numPr>
              <w:jc w:val="both"/>
              <w:rPr>
                <w:i/>
                <w:iCs/>
                <w:sz w:val="22"/>
                <w:szCs w:val="22"/>
              </w:rPr>
            </w:pPr>
            <w:r w:rsidRPr="00533553">
              <w:rPr>
                <w:szCs w:val="24"/>
              </w:rPr>
              <w:t>Apraše vartojamos sąvokos suprantamos taip, kaip jos apibrėžtos Aprašo 1 punkte nurodytuose teisės aktuose.</w:t>
            </w:r>
          </w:p>
        </w:tc>
      </w:tr>
      <w:tr w:rsidR="00533553" w14:paraId="48A0DB90" w14:textId="77777777" w:rsidTr="009A4257">
        <w:tc>
          <w:tcPr>
            <w:tcW w:w="15134" w:type="dxa"/>
          </w:tcPr>
          <w:p w14:paraId="5D20A683" w14:textId="6E131D4E" w:rsidR="00533553" w:rsidRDefault="00533553" w:rsidP="00533553">
            <w:pPr>
              <w:rPr>
                <w:b/>
                <w:szCs w:val="24"/>
              </w:rPr>
            </w:pPr>
            <w:r>
              <w:rPr>
                <w:b/>
                <w:szCs w:val="24"/>
              </w:rPr>
              <w:lastRenderedPageBreak/>
              <w:t>2. Reikalavimai projektams, pareiškėjams ir partneriams</w:t>
            </w:r>
          </w:p>
        </w:tc>
      </w:tr>
      <w:tr w:rsidR="00533553" w14:paraId="13A47066" w14:textId="77777777" w:rsidTr="009A4257">
        <w:tc>
          <w:tcPr>
            <w:tcW w:w="15134" w:type="dxa"/>
          </w:tcPr>
          <w:p w14:paraId="462448AF" w14:textId="77777777" w:rsidR="00533553" w:rsidRPr="00AA216F" w:rsidRDefault="00533553" w:rsidP="00533553">
            <w:pPr>
              <w:numPr>
                <w:ilvl w:val="0"/>
                <w:numId w:val="2"/>
              </w:numPr>
              <w:ind w:left="426" w:hanging="426"/>
              <w:jc w:val="both"/>
              <w:rPr>
                <w:szCs w:val="24"/>
              </w:rPr>
            </w:pPr>
            <w:r w:rsidRPr="00AA216F">
              <w:rPr>
                <w:szCs w:val="24"/>
              </w:rPr>
              <w:t xml:space="preserve">Pagal Aprašą finansuojama </w:t>
            </w:r>
            <w:proofErr w:type="spellStart"/>
            <w:r w:rsidRPr="00AA216F">
              <w:rPr>
                <w:szCs w:val="24"/>
              </w:rPr>
              <w:t>poveiklė</w:t>
            </w:r>
            <w:proofErr w:type="spellEnd"/>
            <w:r w:rsidRPr="00AA216F">
              <w:rPr>
                <w:szCs w:val="24"/>
              </w:rPr>
              <w:t xml:space="preserve"> </w:t>
            </w:r>
            <w:r w:rsidRPr="00AA216F">
              <w:rPr>
                <w:rStyle w:val="cf01"/>
                <w:rFonts w:ascii="Times New Roman" w:hAnsi="Times New Roman" w:cs="Times New Roman"/>
                <w:sz w:val="24"/>
                <w:szCs w:val="24"/>
              </w:rPr>
              <w:t>–</w:t>
            </w:r>
            <w:r>
              <w:rPr>
                <w:rStyle w:val="cf01"/>
                <w:rFonts w:ascii="Times New Roman" w:hAnsi="Times New Roman" w:cs="Times New Roman"/>
                <w:sz w:val="24"/>
                <w:szCs w:val="24"/>
              </w:rPr>
              <w:t xml:space="preserve"> </w:t>
            </w:r>
            <w:r w:rsidRPr="00AA216F">
              <w:rPr>
                <w:szCs w:val="24"/>
              </w:rPr>
              <w:t xml:space="preserve">skaitmeninių įgūdžių </w:t>
            </w:r>
            <w:r>
              <w:rPr>
                <w:iCs/>
                <w:szCs w:val="24"/>
              </w:rPr>
              <w:t>tobulinimas</w:t>
            </w:r>
            <w:r w:rsidRPr="00AA216F">
              <w:rPr>
                <w:iCs/>
                <w:szCs w:val="24"/>
              </w:rPr>
              <w:t>.</w:t>
            </w:r>
            <w:r w:rsidRPr="00AA216F">
              <w:rPr>
                <w:szCs w:val="24"/>
              </w:rPr>
              <w:t xml:space="preserve"> Šia priemonės „Į klientą orientuotos paslaugos“ </w:t>
            </w:r>
            <w:proofErr w:type="spellStart"/>
            <w:r w:rsidRPr="00AA216F">
              <w:rPr>
                <w:szCs w:val="24"/>
              </w:rPr>
              <w:t>poveikle</w:t>
            </w:r>
            <w:proofErr w:type="spellEnd"/>
            <w:r w:rsidRPr="00AA216F">
              <w:rPr>
                <w:szCs w:val="24"/>
              </w:rPr>
              <w:t xml:space="preserve"> bus siekiama reaguoti į vykstančios skaitmeninės transformacijos iššūkius, ji prisidės prie 2021–2030 m. Lietuvos Respublikos ekonomikos ir inovacijų ministerijos valstybės skaitmeninimo plėtros programos uždavinių – didinti socialiai pažeidžiamų grupių skaitmeninius įgūdžius, įgyvendinimo ir ES skaitmeninio dešimtmečio programoje keliamo tikslo – </w:t>
            </w:r>
            <w:r w:rsidRPr="00E57C53">
              <w:rPr>
                <w:szCs w:val="24"/>
              </w:rPr>
              <w:t>pasiekti, jog 80 proc. (arba 1,6 mln.)</w:t>
            </w:r>
            <w:r w:rsidRPr="00AA216F">
              <w:rPr>
                <w:szCs w:val="24"/>
              </w:rPr>
              <w:t xml:space="preserve"> 16–74 m. gyventojų turėtų bent pagrindinius skaitmeninius įgūdžius. </w:t>
            </w:r>
            <w:r>
              <w:rPr>
                <w:rStyle w:val="ui-provider"/>
                <w:szCs w:val="24"/>
              </w:rPr>
              <w:t xml:space="preserve">Įgyvendinant šią </w:t>
            </w:r>
            <w:proofErr w:type="spellStart"/>
            <w:r>
              <w:rPr>
                <w:rStyle w:val="ui-provider"/>
                <w:szCs w:val="24"/>
              </w:rPr>
              <w:t>poveiklę</w:t>
            </w:r>
            <w:proofErr w:type="spellEnd"/>
            <w:r>
              <w:rPr>
                <w:rStyle w:val="ui-provider"/>
                <w:szCs w:val="24"/>
              </w:rPr>
              <w:t xml:space="preserve"> bus vykdomi skaitmeninių įgūdžių mokymai ir kitos veiklos, kurios prisidės prie gyventojų skaitmeninių įgūdžių ugdymo. Šiomis veiklomis siekiama, kad gyventojai gebėtų pilnavertiškai naudotis sukurtais skaitmeniniais sprendimais. </w:t>
            </w:r>
            <w:r w:rsidRPr="00AA216F">
              <w:rPr>
                <w:szCs w:val="24"/>
              </w:rPr>
              <w:t xml:space="preserve">Skaitmeninių įgūdžių mokymai </w:t>
            </w:r>
            <w:r>
              <w:rPr>
                <w:szCs w:val="24"/>
              </w:rPr>
              <w:t xml:space="preserve">ir kitos skaitmeninių įgūdžių tobulinimo veikos </w:t>
            </w:r>
            <w:r w:rsidRPr="00AA216F">
              <w:rPr>
                <w:szCs w:val="24"/>
              </w:rPr>
              <w:t xml:space="preserve">sudarys sąlygas elektroninėmis paslaugomis naudotis didesne apimtimi, </w:t>
            </w:r>
            <w:r>
              <w:rPr>
                <w:szCs w:val="24"/>
              </w:rPr>
              <w:t xml:space="preserve">mažės </w:t>
            </w:r>
            <w:r w:rsidRPr="00AA216F">
              <w:rPr>
                <w:szCs w:val="24"/>
              </w:rPr>
              <w:t>skaitmeninė atskirtis, bus skatinama įgyti skaitmeninių įgūdžių ar juos tobulinti nutolusių gyvenamųjų vietovių gyventojus, vyresnio amžiaus žmones, nedirbančius asmenis, neįgaliuosius ir kt. tikslines grupes, kurios vis dar nesinaudoja skaitmeninėmis technologijomis arba jų įgūdžiai efektyviai naudotis šiomis technologijomis yra nepakankami.</w:t>
            </w:r>
          </w:p>
          <w:p w14:paraId="79054839" w14:textId="77777777" w:rsidR="00533553" w:rsidRPr="00AA216F" w:rsidRDefault="00533553" w:rsidP="00533553">
            <w:pPr>
              <w:pStyle w:val="ListParagraph"/>
              <w:numPr>
                <w:ilvl w:val="0"/>
                <w:numId w:val="2"/>
              </w:numPr>
              <w:ind w:left="426" w:hanging="426"/>
              <w:rPr>
                <w:rFonts w:eastAsia="Calibri"/>
                <w:bCs/>
                <w:szCs w:val="24"/>
              </w:rPr>
            </w:pPr>
            <w:r w:rsidRPr="00AA216F">
              <w:rPr>
                <w:szCs w:val="24"/>
              </w:rPr>
              <w:t xml:space="preserve">Galimas pareiškėjas: Informacinės visuomenės plėtros komitetas. </w:t>
            </w:r>
            <w:r w:rsidRPr="00AA216F">
              <w:rPr>
                <w:iCs/>
                <w:szCs w:val="24"/>
              </w:rPr>
              <w:t xml:space="preserve"> </w:t>
            </w:r>
          </w:p>
          <w:p w14:paraId="5AB0AD10" w14:textId="77777777" w:rsidR="00533553" w:rsidRPr="00AA216F" w:rsidRDefault="00533553" w:rsidP="00533553">
            <w:pPr>
              <w:pStyle w:val="ListParagraph"/>
              <w:numPr>
                <w:ilvl w:val="0"/>
                <w:numId w:val="2"/>
              </w:numPr>
              <w:ind w:left="426" w:hanging="426"/>
              <w:rPr>
                <w:rFonts w:eastAsia="Calibri"/>
                <w:bCs/>
                <w:szCs w:val="24"/>
              </w:rPr>
            </w:pPr>
            <w:r w:rsidRPr="00AA216F">
              <w:rPr>
                <w:rFonts w:eastAsia="Calibri"/>
                <w:bCs/>
                <w:szCs w:val="24"/>
              </w:rPr>
              <w:t>Pagal Aprašą finansuojama veikla įgyvendinama valstybės planavimo būdu.</w:t>
            </w:r>
          </w:p>
          <w:p w14:paraId="46EC307B" w14:textId="77777777" w:rsidR="00533553" w:rsidRPr="00AA216F" w:rsidRDefault="00533553" w:rsidP="00533553">
            <w:pPr>
              <w:pStyle w:val="ListParagraph"/>
              <w:numPr>
                <w:ilvl w:val="0"/>
                <w:numId w:val="2"/>
              </w:numPr>
              <w:ind w:left="426" w:hanging="426"/>
              <w:jc w:val="both"/>
              <w:rPr>
                <w:szCs w:val="24"/>
              </w:rPr>
            </w:pPr>
            <w:r>
              <w:rPr>
                <w:szCs w:val="24"/>
              </w:rPr>
              <w:t>S</w:t>
            </w:r>
            <w:r w:rsidRPr="00AA216F">
              <w:rPr>
                <w:szCs w:val="24"/>
              </w:rPr>
              <w:t>kaitmeninių įgūdžių</w:t>
            </w:r>
            <w:r w:rsidRPr="00F4797B">
              <w:rPr>
                <w:szCs w:val="24"/>
              </w:rPr>
              <w:t xml:space="preserve"> </w:t>
            </w:r>
            <w:r>
              <w:rPr>
                <w:szCs w:val="24"/>
              </w:rPr>
              <w:t xml:space="preserve">tobulinimo </w:t>
            </w:r>
            <w:r w:rsidRPr="00AA216F">
              <w:rPr>
                <w:szCs w:val="24"/>
              </w:rPr>
              <w:t xml:space="preserve">projekto (toliau – projektai) veiklos </w:t>
            </w:r>
            <w:r w:rsidRPr="00AA216F">
              <w:rPr>
                <w:rFonts w:eastAsia="Calibri"/>
                <w:szCs w:val="24"/>
              </w:rPr>
              <w:t>turi būti baigtos įgyvendinti iki 2026 m. balandžio 30 d., visi Apraše nurodyti rodikliai turi būti pasiekti pirmiau Apraše nurodytos lentelės stulpelyje „Siektina reikšmė“ nustatytais terminais.</w:t>
            </w:r>
            <w:bookmarkStart w:id="2" w:name="_Hlk127347329"/>
          </w:p>
          <w:bookmarkEnd w:id="2"/>
          <w:p w14:paraId="6E0CA736" w14:textId="77777777" w:rsidR="00533553" w:rsidRPr="00AA216F" w:rsidRDefault="00533553" w:rsidP="00533553">
            <w:pPr>
              <w:pStyle w:val="ListParagraph"/>
              <w:numPr>
                <w:ilvl w:val="0"/>
                <w:numId w:val="2"/>
              </w:numPr>
              <w:ind w:left="426" w:hanging="426"/>
              <w:jc w:val="both"/>
              <w:rPr>
                <w:szCs w:val="24"/>
              </w:rPr>
            </w:pPr>
            <w:r w:rsidRPr="00AA216F">
              <w:rPr>
                <w:color w:val="000000"/>
                <w:szCs w:val="24"/>
              </w:rPr>
              <w:t xml:space="preserve">Projektų veikloms įgyvendinti numatyta skirti iki </w:t>
            </w:r>
            <w:r w:rsidRPr="00AA216F">
              <w:rPr>
                <w:szCs w:val="24"/>
                <w:lang w:eastAsia="lt-LT"/>
              </w:rPr>
              <w:t>2 000 000 </w:t>
            </w:r>
            <w:r w:rsidRPr="00AA216F">
              <w:rPr>
                <w:rStyle w:val="ui-provider"/>
                <w:szCs w:val="24"/>
              </w:rPr>
              <w:t xml:space="preserve">Eur (dviejų milijonų eurų) </w:t>
            </w:r>
            <w:r w:rsidRPr="00AA216F">
              <w:rPr>
                <w:szCs w:val="24"/>
              </w:rPr>
              <w:t xml:space="preserve">EGADP lėšų ir </w:t>
            </w:r>
            <w:r w:rsidRPr="00AA216F">
              <w:rPr>
                <w:rStyle w:val="ui-provider"/>
                <w:szCs w:val="24"/>
              </w:rPr>
              <w:t xml:space="preserve">iki 420 000 (keturių šimtų dvidešimt tūkstančių eurų) VB lėšų. </w:t>
            </w:r>
          </w:p>
          <w:p w14:paraId="7677BC39" w14:textId="77777777" w:rsidR="00533553" w:rsidRPr="00AA216F" w:rsidRDefault="00533553" w:rsidP="00533553">
            <w:pPr>
              <w:pStyle w:val="ListParagraph"/>
              <w:numPr>
                <w:ilvl w:val="0"/>
                <w:numId w:val="2"/>
              </w:numPr>
              <w:ind w:left="426" w:hanging="426"/>
              <w:jc w:val="both"/>
              <w:rPr>
                <w:rFonts w:eastAsia="Calibri"/>
                <w:szCs w:val="24"/>
              </w:rPr>
            </w:pPr>
            <w:r w:rsidRPr="00AA216F">
              <w:rPr>
                <w:bCs/>
                <w:iCs/>
                <w:szCs w:val="24"/>
              </w:rPr>
              <w:t xml:space="preserve">Projektai turi atitikti bendruosius projektų atrankos kriterijus, </w:t>
            </w:r>
            <w:r w:rsidRPr="00AA216F">
              <w:rPr>
                <w:rFonts w:eastAsia="Calibri"/>
                <w:szCs w:val="24"/>
              </w:rPr>
              <w:t xml:space="preserve">nustatytus </w:t>
            </w:r>
            <w:r w:rsidRPr="00AA216F">
              <w:rPr>
                <w:szCs w:val="24"/>
              </w:rPr>
              <w:t>Projektų administravimo ir finansavimo taisyklių 2 priede.</w:t>
            </w:r>
          </w:p>
          <w:p w14:paraId="6A7CCF6A" w14:textId="77777777" w:rsidR="00533553" w:rsidRPr="00AA216F" w:rsidRDefault="00533553" w:rsidP="00533553">
            <w:pPr>
              <w:pStyle w:val="ListParagraph"/>
              <w:numPr>
                <w:ilvl w:val="0"/>
                <w:numId w:val="2"/>
              </w:numPr>
              <w:tabs>
                <w:tab w:val="left" w:pos="426"/>
              </w:tabs>
              <w:ind w:left="426" w:hanging="426"/>
              <w:jc w:val="both"/>
              <w:rPr>
                <w:rFonts w:eastAsia="Calibri"/>
                <w:szCs w:val="24"/>
              </w:rPr>
            </w:pPr>
            <w:r w:rsidRPr="00AA216F">
              <w:rPr>
                <w:rFonts w:eastAsia="Calibri"/>
                <w:szCs w:val="24"/>
              </w:rPr>
              <w:t xml:space="preserve">Projektų komunikacijos ir informavimo apie projektą veiksmai atliekami vadovaujantis </w:t>
            </w:r>
            <w:r w:rsidRPr="00AA216F">
              <w:rPr>
                <w:szCs w:val="24"/>
              </w:rPr>
              <w:t>Projektų administravimo ir finansavimo taisyklių VIII skyriaus pirmojo skirsnio nuostatomis</w:t>
            </w:r>
            <w:r w:rsidRPr="00AA216F">
              <w:rPr>
                <w:rFonts w:eastAsia="Calibri"/>
                <w:szCs w:val="24"/>
              </w:rPr>
              <w:t>.</w:t>
            </w:r>
          </w:p>
          <w:p w14:paraId="512E0753" w14:textId="77777777" w:rsidR="00533553" w:rsidRPr="00865194" w:rsidRDefault="00533553" w:rsidP="00533553">
            <w:pPr>
              <w:pStyle w:val="ListParagraph"/>
              <w:numPr>
                <w:ilvl w:val="0"/>
                <w:numId w:val="2"/>
              </w:numPr>
              <w:tabs>
                <w:tab w:val="left" w:pos="459"/>
              </w:tabs>
              <w:ind w:left="426" w:hanging="426"/>
              <w:jc w:val="both"/>
              <w:rPr>
                <w:rFonts w:eastAsia="Calibri"/>
                <w:szCs w:val="24"/>
              </w:rPr>
            </w:pPr>
            <w:r w:rsidRPr="00865194">
              <w:rPr>
                <w:rFonts w:eastAsia="Calibri"/>
                <w:szCs w:val="24"/>
              </w:rPr>
              <w:t>Reikalavimai projektui:</w:t>
            </w:r>
          </w:p>
          <w:p w14:paraId="6DDBD19E" w14:textId="1739A4E5" w:rsidR="00533553" w:rsidRPr="00AA216F" w:rsidRDefault="00533553" w:rsidP="00533553">
            <w:pPr>
              <w:pStyle w:val="ListParagraph"/>
              <w:numPr>
                <w:ilvl w:val="0"/>
                <w:numId w:val="2"/>
              </w:numPr>
              <w:tabs>
                <w:tab w:val="left" w:pos="426"/>
              </w:tabs>
              <w:ind w:left="426" w:hanging="426"/>
              <w:jc w:val="both"/>
              <w:rPr>
                <w:i/>
                <w:iCs/>
                <w:szCs w:val="24"/>
              </w:rPr>
            </w:pPr>
            <w:bookmarkStart w:id="3" w:name="_Hlk161239667"/>
            <w:r w:rsidRPr="00AA216F">
              <w:rPr>
                <w:szCs w:val="24"/>
              </w:rPr>
              <w:t>Pagal Aprašą galimi projekto partneriai  (toliau – partneris (-</w:t>
            </w:r>
            <w:proofErr w:type="spellStart"/>
            <w:r w:rsidRPr="00AA216F">
              <w:rPr>
                <w:szCs w:val="24"/>
              </w:rPr>
              <w:t>iai</w:t>
            </w:r>
            <w:proofErr w:type="spellEnd"/>
            <w:r w:rsidRPr="00AA216F">
              <w:rPr>
                <w:szCs w:val="24"/>
              </w:rPr>
              <w:t xml:space="preserve">) – </w:t>
            </w:r>
            <w:r w:rsidRPr="00865194">
              <w:rPr>
                <w:szCs w:val="24"/>
              </w:rPr>
              <w:t>asociacija „Langas į ateitį“</w:t>
            </w:r>
            <w:r w:rsidRPr="00660209">
              <w:rPr>
                <w:szCs w:val="24"/>
              </w:rPr>
              <w:t>, Lietuvos nacionalinė Martyno Mažvydo biblioteka</w:t>
            </w:r>
            <w:r w:rsidR="0077781E">
              <w:rPr>
                <w:szCs w:val="24"/>
              </w:rPr>
              <w:t>.</w:t>
            </w:r>
          </w:p>
          <w:bookmarkEnd w:id="3"/>
          <w:p w14:paraId="25058BC4" w14:textId="77777777" w:rsidR="00533553" w:rsidRDefault="00533553" w:rsidP="00533553">
            <w:pPr>
              <w:pStyle w:val="ListParagraph"/>
              <w:numPr>
                <w:ilvl w:val="1"/>
                <w:numId w:val="2"/>
              </w:numPr>
              <w:tabs>
                <w:tab w:val="left" w:pos="34"/>
                <w:tab w:val="left" w:pos="426"/>
                <w:tab w:val="left" w:pos="732"/>
                <w:tab w:val="left" w:pos="885"/>
              </w:tabs>
              <w:jc w:val="both"/>
              <w:rPr>
                <w:bCs/>
                <w:iCs/>
                <w:szCs w:val="24"/>
              </w:rPr>
            </w:pPr>
            <w:r w:rsidRPr="00AA216F">
              <w:rPr>
                <w:szCs w:val="24"/>
              </w:rPr>
              <w:t>Jeigu projektas įgyvendinamas su partneriu (-</w:t>
            </w:r>
            <w:proofErr w:type="spellStart"/>
            <w:r w:rsidRPr="00AA216F">
              <w:rPr>
                <w:szCs w:val="24"/>
              </w:rPr>
              <w:t>iais</w:t>
            </w:r>
            <w:proofErr w:type="spellEnd"/>
            <w:r w:rsidRPr="00AA216F">
              <w:rPr>
                <w:szCs w:val="24"/>
              </w:rPr>
              <w:t>), partnerystė projekte turi būti pagrįsta, teikti naudą, prisidėti prie projekto tikslo įgyvendinimo ir iki PĮP pateikimo turi būti sudaryta jungtinės veiklos (partnerystės) sutartis. Jungtinės veiklos (partnerystės) sutartį pasirašo pareiškėjas ir partneris (-</w:t>
            </w:r>
            <w:proofErr w:type="spellStart"/>
            <w:r w:rsidRPr="00AA216F">
              <w:rPr>
                <w:szCs w:val="24"/>
              </w:rPr>
              <w:t>iai</w:t>
            </w:r>
            <w:proofErr w:type="spellEnd"/>
            <w:r w:rsidRPr="00AA216F">
              <w:rPr>
                <w:szCs w:val="24"/>
              </w:rPr>
              <w:t>).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14:paraId="60CFB14C" w14:textId="77777777" w:rsidR="00533553" w:rsidRDefault="00533553" w:rsidP="00533553">
            <w:pPr>
              <w:pStyle w:val="ListParagraph"/>
              <w:numPr>
                <w:ilvl w:val="1"/>
                <w:numId w:val="2"/>
              </w:numPr>
              <w:tabs>
                <w:tab w:val="left" w:pos="34"/>
                <w:tab w:val="left" w:pos="426"/>
                <w:tab w:val="left" w:pos="732"/>
                <w:tab w:val="left" w:pos="885"/>
              </w:tabs>
              <w:jc w:val="both"/>
              <w:rPr>
                <w:bCs/>
                <w:iCs/>
                <w:szCs w:val="24"/>
              </w:rPr>
            </w:pPr>
            <w:r w:rsidRPr="00865194">
              <w:rPr>
                <w:iCs/>
                <w:szCs w:val="24"/>
              </w:rPr>
              <w:t>partneris (-</w:t>
            </w:r>
            <w:proofErr w:type="spellStart"/>
            <w:r w:rsidRPr="00865194">
              <w:rPr>
                <w:iCs/>
                <w:szCs w:val="24"/>
              </w:rPr>
              <w:t>iai</w:t>
            </w:r>
            <w:proofErr w:type="spellEnd"/>
            <w:r w:rsidRPr="00865194">
              <w:rPr>
                <w:iCs/>
                <w:szCs w:val="24"/>
              </w:rPr>
              <w:t xml:space="preserve">) turi būti perskaitęs </w:t>
            </w:r>
            <w:r w:rsidRPr="00865194">
              <w:rPr>
                <w:szCs w:val="24"/>
              </w:rPr>
              <w:t xml:space="preserve">PĮP </w:t>
            </w:r>
            <w:r w:rsidRPr="00865194">
              <w:rPr>
                <w:iCs/>
                <w:szCs w:val="24"/>
              </w:rPr>
              <w:t>ir susipažinęs su savo teisėmis ir pareigomis įgyvendinant projektą;</w:t>
            </w:r>
          </w:p>
          <w:p w14:paraId="1AD19B4F" w14:textId="77777777" w:rsidR="00533553" w:rsidRDefault="00533553" w:rsidP="00533553">
            <w:pPr>
              <w:pStyle w:val="ListParagraph"/>
              <w:numPr>
                <w:ilvl w:val="1"/>
                <w:numId w:val="2"/>
              </w:numPr>
              <w:tabs>
                <w:tab w:val="left" w:pos="34"/>
                <w:tab w:val="left" w:pos="426"/>
                <w:tab w:val="left" w:pos="709"/>
                <w:tab w:val="left" w:pos="885"/>
              </w:tabs>
              <w:jc w:val="both"/>
              <w:rPr>
                <w:bCs/>
                <w:iCs/>
                <w:szCs w:val="24"/>
              </w:rPr>
            </w:pPr>
            <w:r w:rsidRPr="00865194">
              <w:rPr>
                <w:iCs/>
                <w:szCs w:val="24"/>
              </w:rPr>
              <w:lastRenderedPageBreak/>
              <w:t>įgyvendindamas projektą projekto vykdytojas privalo reguliariai konsultuotis su partneriu (-</w:t>
            </w:r>
            <w:proofErr w:type="spellStart"/>
            <w:r w:rsidRPr="00865194">
              <w:rPr>
                <w:iCs/>
                <w:szCs w:val="24"/>
              </w:rPr>
              <w:t>iais</w:t>
            </w:r>
            <w:proofErr w:type="spellEnd"/>
            <w:r w:rsidRPr="00865194">
              <w:rPr>
                <w:iCs/>
                <w:szCs w:val="24"/>
              </w:rPr>
              <w:t>) ir nuolat jį (juos) informuoti apie projekto įgyvendinimo eigą;</w:t>
            </w:r>
          </w:p>
          <w:p w14:paraId="763FF259" w14:textId="77777777" w:rsidR="00533553" w:rsidRPr="00865194" w:rsidRDefault="00533553" w:rsidP="00533553">
            <w:pPr>
              <w:pStyle w:val="ListParagraph"/>
              <w:numPr>
                <w:ilvl w:val="1"/>
                <w:numId w:val="2"/>
              </w:numPr>
              <w:tabs>
                <w:tab w:val="left" w:pos="34"/>
                <w:tab w:val="left" w:pos="426"/>
                <w:tab w:val="left" w:pos="709"/>
                <w:tab w:val="left" w:pos="885"/>
              </w:tabs>
              <w:jc w:val="both"/>
              <w:rPr>
                <w:bCs/>
                <w:iCs/>
                <w:szCs w:val="24"/>
              </w:rPr>
            </w:pPr>
            <w:r w:rsidRPr="00865194">
              <w:rPr>
                <w:iCs/>
                <w:szCs w:val="24"/>
              </w:rPr>
              <w:t>visi PĮP pakeitimai, turintys įtakos partnerio (-</w:t>
            </w:r>
            <w:proofErr w:type="spellStart"/>
            <w:r w:rsidRPr="00865194">
              <w:rPr>
                <w:iCs/>
                <w:szCs w:val="24"/>
              </w:rPr>
              <w:t>ių</w:t>
            </w:r>
            <w:proofErr w:type="spellEnd"/>
            <w:r w:rsidRPr="00865194">
              <w:rPr>
                <w:iCs/>
                <w:szCs w:val="24"/>
              </w:rPr>
              <w:t>) įsipareigojimams ir teisėms, prieš kreipiantis į Administruojančiąją instituciją, pirmiausia turi būti suderinti su partneriu (-</w:t>
            </w:r>
            <w:proofErr w:type="spellStart"/>
            <w:r w:rsidRPr="00865194">
              <w:rPr>
                <w:iCs/>
                <w:szCs w:val="24"/>
              </w:rPr>
              <w:t>iais</w:t>
            </w:r>
            <w:proofErr w:type="spellEnd"/>
            <w:r w:rsidRPr="00865194">
              <w:rPr>
                <w:iCs/>
                <w:szCs w:val="24"/>
              </w:rPr>
              <w:t>).</w:t>
            </w:r>
          </w:p>
          <w:p w14:paraId="0E413992" w14:textId="77777777" w:rsidR="00533553" w:rsidRPr="00AA216F" w:rsidRDefault="00533553" w:rsidP="00533553">
            <w:pPr>
              <w:numPr>
                <w:ilvl w:val="0"/>
                <w:numId w:val="2"/>
              </w:numPr>
              <w:ind w:left="426" w:hanging="426"/>
              <w:jc w:val="both"/>
              <w:rPr>
                <w:szCs w:val="24"/>
              </w:rPr>
            </w:pPr>
            <w:r w:rsidRPr="00AA216F">
              <w:rPr>
                <w:szCs w:val="24"/>
              </w:rPr>
              <w:t xml:space="preserve">Projektų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AA216F">
              <w:rPr>
                <w:i/>
                <w:iCs/>
                <w:szCs w:val="24"/>
              </w:rPr>
              <w:t>de </w:t>
            </w:r>
            <w:proofErr w:type="spellStart"/>
            <w:r w:rsidRPr="00AA216F">
              <w:rPr>
                <w:i/>
                <w:iCs/>
                <w:szCs w:val="24"/>
              </w:rPr>
              <w:t>minimis</w:t>
            </w:r>
            <w:proofErr w:type="spellEnd"/>
            <w:r w:rsidRPr="00AA216F">
              <w:rPr>
                <w:szCs w:val="24"/>
              </w:rPr>
              <w:t xml:space="preserve"> pagalbą. </w:t>
            </w:r>
          </w:p>
          <w:p w14:paraId="774A459E" w14:textId="77777777" w:rsidR="00533553" w:rsidRPr="00AA216F" w:rsidRDefault="00533553" w:rsidP="00533553">
            <w:pPr>
              <w:numPr>
                <w:ilvl w:val="0"/>
                <w:numId w:val="2"/>
              </w:numPr>
              <w:shd w:val="clear" w:color="auto" w:fill="FFFFFF"/>
              <w:ind w:left="426" w:hanging="426"/>
              <w:jc w:val="both"/>
              <w:rPr>
                <w:szCs w:val="24"/>
              </w:rPr>
            </w:pPr>
            <w:r w:rsidRPr="00AA216F">
              <w:rPr>
                <w:szCs w:val="24"/>
              </w:rPr>
              <w:t xml:space="preserve">Siekiant užtikrinti dvigubo finansavimo nebuvimą ir takoskyras, pagal Aprašą negali būti finansuojamas naujos elektroninės paslaugos kūrimas arba tokios pačios elektroninės paslaugos modernizavimas ir tos pačios išlaidos, finansuojamos </w:t>
            </w:r>
            <w:r w:rsidRPr="00AA216F">
              <w:rPr>
                <w:szCs w:val="24"/>
                <w:shd w:val="clear" w:color="auto" w:fill="FFFFFF"/>
              </w:rPr>
              <w:t>2021–2030 metų Lietuvos Respublikos ekonomikos ir inovacijų ministerijos valstybės skaitmeninimo p</w:t>
            </w:r>
            <w:r w:rsidRPr="00AA216F">
              <w:rPr>
                <w:szCs w:val="24"/>
              </w:rPr>
              <w:t xml:space="preserve">lėtros programos pažangos priemonės </w:t>
            </w:r>
            <w:r w:rsidRPr="00AA216F">
              <w:rPr>
                <w:szCs w:val="24"/>
              </w:rPr>
              <w:br/>
              <w:t xml:space="preserve">Nr. </w:t>
            </w:r>
            <w:r w:rsidRPr="00AA216F">
              <w:rPr>
                <w:szCs w:val="24"/>
                <w:lang w:eastAsia="lt-LT"/>
              </w:rPr>
              <w:t xml:space="preserve">05-002-01-07-08 </w:t>
            </w:r>
            <w:r w:rsidRPr="00AA216F">
              <w:rPr>
                <w:szCs w:val="24"/>
              </w:rPr>
              <w:t>„Kurti technologinius sprendimus ir įrankius, leidžiančius saugiai ir patogiai naudotis paslaugomis“</w:t>
            </w:r>
            <w:r w:rsidRPr="00AA216F">
              <w:rPr>
                <w:b/>
                <w:bCs/>
                <w:szCs w:val="24"/>
              </w:rPr>
              <w:t xml:space="preserve"> </w:t>
            </w:r>
            <w:r w:rsidRPr="00AA216F">
              <w:rPr>
                <w:szCs w:val="24"/>
              </w:rPr>
              <w:t xml:space="preserve">aprašo III skyriaus 7 punkte nurodytos veiklos </w:t>
            </w:r>
            <w:r w:rsidRPr="00AA216F">
              <w:rPr>
                <w:bCs/>
                <w:szCs w:val="24"/>
              </w:rPr>
              <w:t>„</w:t>
            </w:r>
            <w:r w:rsidRPr="00AA216F">
              <w:rPr>
                <w:szCs w:val="24"/>
              </w:rPr>
              <w:t xml:space="preserve">Viešųjų institucijų teikiamų elektroninių paslaugų brandos lygio kėlimas“ ir </w:t>
            </w:r>
            <w:r w:rsidRPr="00AA216F">
              <w:rPr>
                <w:color w:val="000000"/>
                <w:szCs w:val="24"/>
              </w:rPr>
              <w:t>2021–2030 metų Lietuvos Respublikos ekonomikos ir inovacijų ministerijos valstybės skaitmeninimo plėtros programos </w:t>
            </w:r>
            <w:r w:rsidRPr="00AA216F">
              <w:rPr>
                <w:szCs w:val="24"/>
              </w:rPr>
              <w:t xml:space="preserve">pažangos priemonės Nr. </w:t>
            </w:r>
            <w:r w:rsidRPr="00AA216F">
              <w:rPr>
                <w:szCs w:val="24"/>
                <w:lang w:eastAsia="lt-LT"/>
              </w:rPr>
              <w:t>05-002-01-07-09</w:t>
            </w:r>
            <w:r w:rsidRPr="00AA216F">
              <w:rPr>
                <w:szCs w:val="24"/>
              </w:rPr>
              <w:t xml:space="preserve"> „Didinti socialiai pažeidžiamų grupių skaitmeninius įgūdžius“, patvirtintos Lietuvos Respublikos ekonomikos ir inovacijų ministro 2022 m. lapkričio 24 d. įsakymu Nr. 4-1136 „D</w:t>
            </w:r>
            <w:r w:rsidRPr="00AA216F">
              <w:rPr>
                <w:color w:val="000000"/>
                <w:szCs w:val="24"/>
              </w:rPr>
              <w:t>ėl 2021–2030 metų Lietuvos Respublikos ekonomikos ir inovacijų ministerijos valstybės skaitmeninimo plėtros programos pažangos priemonės Nr. 05-002-01-07-09</w:t>
            </w:r>
            <w:r w:rsidRPr="00AA216F">
              <w:rPr>
                <w:i/>
                <w:iCs/>
                <w:color w:val="000000"/>
                <w:szCs w:val="24"/>
              </w:rPr>
              <w:t> </w:t>
            </w:r>
            <w:r w:rsidRPr="00AA216F">
              <w:rPr>
                <w:color w:val="000000"/>
                <w:szCs w:val="24"/>
              </w:rPr>
              <w:t>„Didinti socialiai pažeidžiamų grupių skaitmeninius įgūdžius“ aprašo patvirtinimo“, lėšomis</w:t>
            </w:r>
            <w:r w:rsidRPr="00AA216F">
              <w:rPr>
                <w:szCs w:val="24"/>
              </w:rPr>
              <w:t xml:space="preserve">.   </w:t>
            </w:r>
          </w:p>
          <w:p w14:paraId="775DA559" w14:textId="77777777" w:rsidR="00533553" w:rsidRPr="00AA216F" w:rsidRDefault="00533553" w:rsidP="00533553">
            <w:pPr>
              <w:pStyle w:val="ListParagraph"/>
              <w:numPr>
                <w:ilvl w:val="0"/>
                <w:numId w:val="2"/>
              </w:numPr>
              <w:ind w:left="426" w:hanging="426"/>
              <w:jc w:val="both"/>
              <w:rPr>
                <w:bCs/>
                <w:iCs/>
                <w:szCs w:val="24"/>
              </w:rPr>
            </w:pPr>
            <w:r w:rsidRPr="00AA216F">
              <w:rPr>
                <w:bCs/>
                <w:iCs/>
                <w:szCs w:val="24"/>
              </w:rPr>
              <w:t>Kartu su PĮP Administruojančiajai institucijai turi būti pateikti šie dokumentai:</w:t>
            </w:r>
          </w:p>
          <w:p w14:paraId="5E9D3759" w14:textId="77777777" w:rsidR="00533553" w:rsidRPr="00AA216F" w:rsidRDefault="00533553" w:rsidP="00533553">
            <w:pPr>
              <w:pStyle w:val="ListParagraph"/>
              <w:numPr>
                <w:ilvl w:val="1"/>
                <w:numId w:val="2"/>
              </w:numPr>
              <w:tabs>
                <w:tab w:val="left" w:pos="30"/>
                <w:tab w:val="left" w:pos="426"/>
                <w:tab w:val="left" w:pos="567"/>
                <w:tab w:val="left" w:pos="885"/>
              </w:tabs>
              <w:jc w:val="both"/>
              <w:rPr>
                <w:iCs/>
                <w:szCs w:val="24"/>
              </w:rPr>
            </w:pPr>
            <w:r w:rsidRPr="00AA216F">
              <w:rPr>
                <w:szCs w:val="24"/>
              </w:rPr>
              <w:t>Partnerio (-</w:t>
            </w:r>
            <w:proofErr w:type="spellStart"/>
            <w:r w:rsidRPr="00AA216F">
              <w:rPr>
                <w:szCs w:val="24"/>
              </w:rPr>
              <w:t>ių</w:t>
            </w:r>
            <w:proofErr w:type="spellEnd"/>
            <w:r w:rsidRPr="00AA216F">
              <w:rPr>
                <w:szCs w:val="24"/>
              </w:rPr>
              <w:t xml:space="preserve">) deklaracija, užpildyta pagal Projektų administravimo ir finansavimo taisyklių 1 priedo </w:t>
            </w:r>
            <w:r w:rsidRPr="00AA216F">
              <w:rPr>
                <w:szCs w:val="24"/>
                <w:shd w:val="clear" w:color="auto" w:fill="FFFFFF"/>
              </w:rPr>
              <w:t>1 pried</w:t>
            </w:r>
            <w:r w:rsidRPr="00AA216F">
              <w:rPr>
                <w:szCs w:val="24"/>
              </w:rPr>
              <w:t>e pateiktą formą (taikoma, jei projektas bus įgyvendinamas su partneriu (-</w:t>
            </w:r>
            <w:proofErr w:type="spellStart"/>
            <w:r w:rsidRPr="00AA216F">
              <w:rPr>
                <w:szCs w:val="24"/>
              </w:rPr>
              <w:t>iais</w:t>
            </w:r>
            <w:proofErr w:type="spellEnd"/>
            <w:r w:rsidRPr="00AA216F">
              <w:rPr>
                <w:szCs w:val="24"/>
              </w:rPr>
              <w:t>); </w:t>
            </w:r>
            <w:r w:rsidRPr="00AA216F">
              <w:rPr>
                <w:iCs/>
                <w:szCs w:val="24"/>
              </w:rPr>
              <w:t> </w:t>
            </w:r>
          </w:p>
          <w:p w14:paraId="50614073" w14:textId="77777777" w:rsidR="00533553" w:rsidRPr="00AA216F" w:rsidRDefault="00533553" w:rsidP="00533553">
            <w:pPr>
              <w:pStyle w:val="ListParagraph"/>
              <w:numPr>
                <w:ilvl w:val="1"/>
                <w:numId w:val="2"/>
              </w:numPr>
              <w:tabs>
                <w:tab w:val="left" w:pos="30"/>
                <w:tab w:val="left" w:pos="426"/>
                <w:tab w:val="left" w:pos="567"/>
                <w:tab w:val="left" w:pos="885"/>
              </w:tabs>
              <w:jc w:val="both"/>
              <w:rPr>
                <w:iCs/>
                <w:szCs w:val="24"/>
              </w:rPr>
            </w:pPr>
            <w:r w:rsidRPr="00AA216F">
              <w:rPr>
                <w:szCs w:val="24"/>
              </w:rPr>
              <w:t>informacija apie projekto biudžeto paskirstymą pagal pareiškėjus ir partnerį (-</w:t>
            </w:r>
            <w:proofErr w:type="spellStart"/>
            <w:r w:rsidRPr="00AA216F">
              <w:rPr>
                <w:szCs w:val="24"/>
              </w:rPr>
              <w:t>ius</w:t>
            </w:r>
            <w:proofErr w:type="spellEnd"/>
            <w:r w:rsidRPr="00AA216F">
              <w:rPr>
                <w:szCs w:val="24"/>
              </w:rPr>
              <w:t xml:space="preserve">), užpildyta pagal Projektų administravimo ir finansavimo taisyklių 1 priedo </w:t>
            </w:r>
            <w:r w:rsidRPr="00AA216F">
              <w:rPr>
                <w:szCs w:val="24"/>
                <w:shd w:val="clear" w:color="auto" w:fill="FFFFFF"/>
              </w:rPr>
              <w:t>2 pried</w:t>
            </w:r>
            <w:r w:rsidRPr="00AA216F">
              <w:rPr>
                <w:szCs w:val="24"/>
              </w:rPr>
              <w:t>ą (taikoma, jei projektas bus įgyvendinamas su partneriu (-</w:t>
            </w:r>
            <w:proofErr w:type="spellStart"/>
            <w:r w:rsidRPr="00AA216F">
              <w:rPr>
                <w:szCs w:val="24"/>
              </w:rPr>
              <w:t>iais</w:t>
            </w:r>
            <w:proofErr w:type="spellEnd"/>
            <w:r w:rsidRPr="00AA216F">
              <w:rPr>
                <w:szCs w:val="24"/>
              </w:rPr>
              <w:t>);</w:t>
            </w:r>
          </w:p>
          <w:p w14:paraId="3DF263EE" w14:textId="77777777" w:rsidR="00533553" w:rsidRPr="00AA216F" w:rsidRDefault="00533553" w:rsidP="00533553">
            <w:pPr>
              <w:pStyle w:val="ListParagraph"/>
              <w:numPr>
                <w:ilvl w:val="1"/>
                <w:numId w:val="2"/>
              </w:numPr>
              <w:tabs>
                <w:tab w:val="left" w:pos="30"/>
                <w:tab w:val="left" w:pos="426"/>
                <w:tab w:val="left" w:pos="567"/>
                <w:tab w:val="left" w:pos="885"/>
              </w:tabs>
              <w:jc w:val="both"/>
              <w:rPr>
                <w:szCs w:val="24"/>
              </w:rPr>
            </w:pPr>
            <w:r w:rsidRPr="00AA216F">
              <w:rPr>
                <w:iCs/>
                <w:szCs w:val="24"/>
              </w:rPr>
              <w:t>dokumentai ir informacija, pagrindžiantys projekto išlaidų pagrįstumą (</w:t>
            </w:r>
            <w:r w:rsidRPr="00AA216F">
              <w:rPr>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sidRPr="00AA216F">
              <w:rPr>
                <w:iCs/>
                <w:szCs w:val="24"/>
              </w:rPr>
              <w:t>); </w:t>
            </w:r>
          </w:p>
          <w:p w14:paraId="16F0675F" w14:textId="77777777" w:rsidR="00533553" w:rsidRPr="00E051B8" w:rsidRDefault="00533553" w:rsidP="00533553">
            <w:pPr>
              <w:pStyle w:val="ListParagraph"/>
              <w:numPr>
                <w:ilvl w:val="1"/>
                <w:numId w:val="2"/>
              </w:numPr>
              <w:tabs>
                <w:tab w:val="left" w:pos="426"/>
                <w:tab w:val="left" w:pos="567"/>
                <w:tab w:val="left" w:pos="885"/>
                <w:tab w:val="left" w:pos="1168"/>
              </w:tabs>
              <w:jc w:val="both"/>
              <w:rPr>
                <w:szCs w:val="24"/>
              </w:rPr>
            </w:pPr>
            <w:r w:rsidRPr="00AA216F">
              <w:rPr>
                <w:szCs w:val="24"/>
              </w:rPr>
              <w:t xml:space="preserve">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w:t>
            </w:r>
            <w:r w:rsidRPr="00AA216F">
              <w:rPr>
                <w:szCs w:val="24"/>
              </w:rPr>
              <w:lastRenderedPageBreak/>
              <w:t xml:space="preserve">priskaitymo-apmokėjimo žiniaraštis, įrodantis darbo užmokesčio paskyrimo ir išmokėjimo faktą. Valstybės tarnautojų ir biudžetinių įstaigų darbuotojų, </w:t>
            </w:r>
            <w:r w:rsidRPr="00AA216F">
              <w:rPr>
                <w:color w:val="000000"/>
                <w:szCs w:val="24"/>
              </w:rPr>
              <w:t>dirbančių pagal darbo sutartis, (toliau – biudžetinės įstaigos darbuotojai)</w:t>
            </w:r>
            <w:r w:rsidRPr="00AA216F">
              <w:rPr>
                <w:szCs w:val="24"/>
              </w:rPr>
              <w:t xml:space="preserve"> darbo užmokesčio valandinis įkainis turi būti apskaičiuotas vadovaujantis nacionaliniais teisės aktais, reglamentuojančiais valstybės tarnautojų ir biudžetinių įstaigų darbuotojų darbo užmokesčio apskaičiavimą</w:t>
            </w:r>
            <w:bookmarkStart w:id="4" w:name="_Hlk160028036"/>
            <w:r>
              <w:rPr>
                <w:szCs w:val="24"/>
              </w:rPr>
              <w:t>.</w:t>
            </w:r>
          </w:p>
          <w:bookmarkEnd w:id="4"/>
          <w:p w14:paraId="79127A38" w14:textId="73810E5B" w:rsidR="00533553" w:rsidRPr="00891B87" w:rsidRDefault="00533553" w:rsidP="00891B87">
            <w:pPr>
              <w:pStyle w:val="ListParagraph"/>
              <w:numPr>
                <w:ilvl w:val="0"/>
                <w:numId w:val="2"/>
              </w:numPr>
              <w:ind w:left="459" w:hanging="459"/>
              <w:jc w:val="both"/>
              <w:rPr>
                <w:szCs w:val="24"/>
              </w:rPr>
            </w:pPr>
            <w:r w:rsidRPr="00891B87">
              <w:rPr>
                <w:rFonts w:eastAsia="Calibri"/>
                <w:szCs w:val="24"/>
              </w:rPr>
              <w:t xml:space="preserve">Projekto vykdytojas nuo projekto sutarties pasirašymo dienos turi informuoti raštu </w:t>
            </w:r>
            <w:r w:rsidRPr="00891B87">
              <w:rPr>
                <w:szCs w:val="24"/>
              </w:rPr>
              <w:t xml:space="preserve">Ministerijos paskirtą atsakingą asmenį </w:t>
            </w:r>
            <w:r w:rsidRPr="00891B87">
              <w:rPr>
                <w:rFonts w:eastAsia="Calibri"/>
                <w:szCs w:val="24"/>
              </w:rPr>
              <w:t xml:space="preserve">apie projekto veiklų įgyvendinimo pažangą. Informacija apie projekto veiklų įgyvendinimo pažangą teikiama raštu už kiekvieną ketvirtį </w:t>
            </w:r>
            <w:r w:rsidRPr="00891B87">
              <w:rPr>
                <w:szCs w:val="24"/>
              </w:rPr>
              <w:t>iki kito ketvirčio pirmo mėnesio 10 dienos.</w:t>
            </w:r>
          </w:p>
          <w:p w14:paraId="12EFC6A5" w14:textId="1FBA6D0C" w:rsidR="00B2043A" w:rsidRDefault="00B2043A" w:rsidP="00533553">
            <w:pPr>
              <w:ind w:left="720" w:hanging="360"/>
              <w:jc w:val="both"/>
              <w:rPr>
                <w:i/>
                <w:iCs/>
                <w:sz w:val="22"/>
                <w:szCs w:val="22"/>
              </w:rPr>
            </w:pPr>
          </w:p>
        </w:tc>
      </w:tr>
      <w:tr w:rsidR="00533553" w14:paraId="02372446" w14:textId="77777777" w:rsidTr="009A4257">
        <w:tc>
          <w:tcPr>
            <w:tcW w:w="15134" w:type="dxa"/>
          </w:tcPr>
          <w:p w14:paraId="2678C555" w14:textId="401EE914" w:rsidR="00533553" w:rsidRDefault="00533553" w:rsidP="00533553">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533553" w14:paraId="6526F0B8" w14:textId="77777777" w:rsidTr="00B2043A">
        <w:trPr>
          <w:trHeight w:val="309"/>
        </w:trPr>
        <w:tc>
          <w:tcPr>
            <w:tcW w:w="15134" w:type="dxa"/>
          </w:tcPr>
          <w:p w14:paraId="64217F86" w14:textId="77777777" w:rsidR="00533553" w:rsidRDefault="00B2043A" w:rsidP="00533553">
            <w:pPr>
              <w:ind w:left="720" w:hanging="360"/>
              <w:jc w:val="both"/>
              <w:rPr>
                <w:szCs w:val="24"/>
              </w:rPr>
            </w:pPr>
            <w:r w:rsidRPr="00AA216F">
              <w:rPr>
                <w:szCs w:val="24"/>
              </w:rPr>
              <w:t>Netaikoma.</w:t>
            </w:r>
            <w:r>
              <w:rPr>
                <w:szCs w:val="24"/>
              </w:rPr>
              <w:t xml:space="preserve"> </w:t>
            </w:r>
          </w:p>
          <w:p w14:paraId="57C96B51" w14:textId="3C735045" w:rsidR="00B2043A" w:rsidRDefault="00B2043A" w:rsidP="00533553">
            <w:pPr>
              <w:ind w:left="720" w:hanging="360"/>
              <w:jc w:val="both"/>
              <w:rPr>
                <w:i/>
                <w:iCs/>
                <w:sz w:val="22"/>
                <w:szCs w:val="22"/>
              </w:rPr>
            </w:pPr>
          </w:p>
        </w:tc>
      </w:tr>
      <w:tr w:rsidR="00533553" w14:paraId="42201B8B" w14:textId="77777777" w:rsidTr="009A4257">
        <w:trPr>
          <w:trHeight w:val="285"/>
        </w:trPr>
        <w:tc>
          <w:tcPr>
            <w:tcW w:w="15134" w:type="dxa"/>
          </w:tcPr>
          <w:p w14:paraId="6AA7CAE8" w14:textId="71D4CA0E" w:rsidR="00533553" w:rsidRDefault="00533553" w:rsidP="00533553">
            <w:pPr>
              <w:rPr>
                <w:b/>
                <w:szCs w:val="24"/>
              </w:rPr>
            </w:pPr>
            <w:r>
              <w:rPr>
                <w:b/>
                <w:szCs w:val="24"/>
              </w:rPr>
              <w:t>4. Projekto tikslinės grupės</w:t>
            </w:r>
          </w:p>
        </w:tc>
      </w:tr>
      <w:tr w:rsidR="00533553" w14:paraId="6C723048" w14:textId="77777777" w:rsidTr="009A4257">
        <w:trPr>
          <w:trHeight w:val="285"/>
        </w:trPr>
        <w:tc>
          <w:tcPr>
            <w:tcW w:w="15134" w:type="dxa"/>
          </w:tcPr>
          <w:p w14:paraId="72252C8F" w14:textId="77777777" w:rsidR="00B2043A" w:rsidRDefault="00B2043A" w:rsidP="00B2043A">
            <w:pPr>
              <w:pStyle w:val="pf0"/>
              <w:spacing w:before="0" w:beforeAutospacing="0" w:after="0" w:afterAutospacing="0"/>
              <w:jc w:val="both"/>
            </w:pPr>
            <w:r w:rsidRPr="00AA216F">
              <w:rPr>
                <w:iCs/>
              </w:rPr>
              <w:t xml:space="preserve">Priemonės tikslinės grupės, kurioms aktuali sprendžiama problema: </w:t>
            </w:r>
            <w:r w:rsidRPr="00AA216F">
              <w:t xml:space="preserve">skaitmeninėje atskirtyje esantys gyventojai (nutolusių gyvenamųjų vietovių gyventojai, vyresnio amžiaus žmonės, nedirbantys asmenys, neįgalūs asmenys ir pan.) ir kt. tikslinės grupės, kurios vis dar nesinaudoja skaitmeninėmis technologijomis arba jų įgūdžiai efektyviai naudotis šiomis technologijomis yra nepakankami. </w:t>
            </w:r>
          </w:p>
          <w:p w14:paraId="35C89E6B" w14:textId="0949E00E" w:rsidR="00533553" w:rsidRDefault="00533553" w:rsidP="00533553">
            <w:pPr>
              <w:jc w:val="both"/>
              <w:rPr>
                <w:sz w:val="22"/>
                <w:szCs w:val="22"/>
              </w:rPr>
            </w:pPr>
          </w:p>
        </w:tc>
      </w:tr>
      <w:tr w:rsidR="00533553" w14:paraId="3B5D296B" w14:textId="77777777" w:rsidTr="009A4257">
        <w:trPr>
          <w:trHeight w:val="285"/>
        </w:trPr>
        <w:tc>
          <w:tcPr>
            <w:tcW w:w="15134" w:type="dxa"/>
          </w:tcPr>
          <w:p w14:paraId="73B329F2" w14:textId="26E55465" w:rsidR="00533553" w:rsidRDefault="00533553" w:rsidP="00533553">
            <w:pPr>
              <w:rPr>
                <w:sz w:val="22"/>
                <w:szCs w:val="22"/>
              </w:rPr>
            </w:pPr>
            <w:r>
              <w:rPr>
                <w:b/>
                <w:szCs w:val="24"/>
              </w:rPr>
              <w:t>5</w:t>
            </w:r>
            <w:r>
              <w:rPr>
                <w:szCs w:val="24"/>
              </w:rPr>
              <w:t xml:space="preserve">. </w:t>
            </w:r>
            <w:r>
              <w:rPr>
                <w:b/>
                <w:szCs w:val="24"/>
              </w:rPr>
              <w:t>Horizontaliųjų principų (toliau – HP) reikalavimai</w:t>
            </w:r>
          </w:p>
        </w:tc>
      </w:tr>
      <w:tr w:rsidR="00533553" w14:paraId="337DAD82" w14:textId="77777777" w:rsidTr="009A4257">
        <w:tc>
          <w:tcPr>
            <w:tcW w:w="15134" w:type="dxa"/>
          </w:tcPr>
          <w:p w14:paraId="16DB8F0F" w14:textId="77777777" w:rsidR="00533553" w:rsidRDefault="00B2043A" w:rsidP="00533553">
            <w:pPr>
              <w:jc w:val="both"/>
              <w:rPr>
                <w:szCs w:val="24"/>
              </w:rPr>
            </w:pPr>
            <w:r w:rsidRPr="00AA216F">
              <w:rPr>
                <w:szCs w:val="24"/>
              </w:rPr>
              <w:t xml:space="preserve">Projektų įgyvendinimo metu nepažeidžiami HP: </w:t>
            </w:r>
            <w:r w:rsidRPr="00AA216F">
              <w:rPr>
                <w:bCs/>
                <w:szCs w:val="24"/>
              </w:rPr>
              <w:t>darnaus vystymosi</w:t>
            </w:r>
            <w:r w:rsidRPr="00AA216F">
              <w:rPr>
                <w:szCs w:val="24"/>
              </w:rPr>
              <w:t>, įskaitant reikšmingos žalos nedarymo principą;</w:t>
            </w:r>
            <w:r w:rsidRPr="00AA216F">
              <w:rPr>
                <w:b/>
                <w:bCs/>
                <w:szCs w:val="24"/>
              </w:rPr>
              <w:t xml:space="preserve"> </w:t>
            </w:r>
            <w:r w:rsidRPr="00AA216F">
              <w:rPr>
                <w:bCs/>
                <w:szCs w:val="24"/>
              </w:rPr>
              <w:t>lygių galimybių ir nediskriminavimo</w:t>
            </w:r>
            <w:r w:rsidRPr="00AA216F">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AA216F">
              <w:rPr>
                <w:bCs/>
                <w:szCs w:val="24"/>
              </w:rPr>
              <w:t>inovatyvumo (kūrybingumo)</w:t>
            </w:r>
            <w:r w:rsidRPr="00AA216F">
              <w:rPr>
                <w:szCs w:val="24"/>
              </w:rPr>
              <w:t xml:space="preserve">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p w14:paraId="0E5023E4" w14:textId="1FC77431" w:rsidR="00B2043A" w:rsidRDefault="00B2043A" w:rsidP="00533553">
            <w:pPr>
              <w:jc w:val="both"/>
              <w:rPr>
                <w:i/>
                <w:iCs/>
                <w:sz w:val="22"/>
                <w:szCs w:val="22"/>
              </w:rPr>
            </w:pPr>
          </w:p>
        </w:tc>
      </w:tr>
      <w:tr w:rsidR="00533553" w14:paraId="08B2F7CE" w14:textId="77777777" w:rsidTr="009A4257">
        <w:tc>
          <w:tcPr>
            <w:tcW w:w="15134" w:type="dxa"/>
          </w:tcPr>
          <w:p w14:paraId="7776193C" w14:textId="27421141" w:rsidR="00533553" w:rsidRDefault="00533553" w:rsidP="00EB5F97">
            <w:pPr>
              <w:spacing w:line="259" w:lineRule="auto"/>
              <w:jc w:val="both"/>
              <w:rPr>
                <w:b/>
                <w:iCs/>
                <w:szCs w:val="24"/>
              </w:rPr>
            </w:pPr>
            <w:r>
              <w:rPr>
                <w:b/>
                <w:iCs/>
                <w:szCs w:val="24"/>
              </w:rPr>
              <w:t>6. Europos Sąjungos pagrindinių teisių chartijos (toliau – Chartija) reikalavimai</w:t>
            </w:r>
          </w:p>
        </w:tc>
      </w:tr>
      <w:tr w:rsidR="00533553" w14:paraId="2E9D5191" w14:textId="77777777" w:rsidTr="009A4257">
        <w:tc>
          <w:tcPr>
            <w:tcW w:w="15134" w:type="dxa"/>
          </w:tcPr>
          <w:p w14:paraId="76E3E847" w14:textId="47BCDBF5" w:rsidR="00EB5F97" w:rsidRPr="00AA216F" w:rsidRDefault="00EB5F97" w:rsidP="00EB5F97">
            <w:pPr>
              <w:jc w:val="both"/>
              <w:rPr>
                <w:bCs/>
                <w:iCs/>
                <w:szCs w:val="24"/>
              </w:rPr>
            </w:pPr>
            <w:r w:rsidRPr="00AA216F">
              <w:rPr>
                <w:bCs/>
                <w:iCs/>
                <w:szCs w:val="24"/>
              </w:rPr>
              <w:t xml:space="preserve">Pagal Aprašą numatytos veiklos </w:t>
            </w:r>
            <w:r w:rsidRPr="00AA216F">
              <w:rPr>
                <w:iCs/>
                <w:szCs w:val="24"/>
              </w:rPr>
              <w:t xml:space="preserve">nepažeidžia </w:t>
            </w:r>
            <w:r w:rsidRPr="00AA216F">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p w14:paraId="54D9479E" w14:textId="3AD0CA0B" w:rsidR="00533553" w:rsidRDefault="00533553" w:rsidP="00EB5F97">
            <w:pPr>
              <w:jc w:val="both"/>
              <w:rPr>
                <w:i/>
                <w:iCs/>
                <w:sz w:val="22"/>
                <w:szCs w:val="22"/>
              </w:rPr>
            </w:pPr>
          </w:p>
        </w:tc>
      </w:tr>
      <w:tr w:rsidR="00533553" w14:paraId="411A6EC1" w14:textId="77777777" w:rsidTr="009A4257">
        <w:tc>
          <w:tcPr>
            <w:tcW w:w="15134" w:type="dxa"/>
          </w:tcPr>
          <w:p w14:paraId="644EE0FE" w14:textId="1520C834" w:rsidR="00533553" w:rsidRDefault="00533553" w:rsidP="00533553">
            <w:pPr>
              <w:rPr>
                <w:b/>
                <w:szCs w:val="24"/>
              </w:rPr>
            </w:pPr>
            <w:r>
              <w:rPr>
                <w:b/>
                <w:szCs w:val="24"/>
              </w:rPr>
              <w:lastRenderedPageBreak/>
              <w:t>7. Apskritis, kurioje gali būti įgyvendinami projektai</w:t>
            </w:r>
          </w:p>
        </w:tc>
      </w:tr>
      <w:tr w:rsidR="00533553" w14:paraId="5D536B2D" w14:textId="77777777" w:rsidTr="009A4257">
        <w:tc>
          <w:tcPr>
            <w:tcW w:w="15134" w:type="dxa"/>
          </w:tcPr>
          <w:p w14:paraId="5573F808" w14:textId="77777777" w:rsidR="00533553" w:rsidRDefault="00EB5F97" w:rsidP="00533553">
            <w:pPr>
              <w:jc w:val="both"/>
              <w:rPr>
                <w:iCs/>
                <w:szCs w:val="24"/>
              </w:rPr>
            </w:pPr>
            <w:r w:rsidRPr="00EB5F97">
              <w:rPr>
                <w:iCs/>
                <w:szCs w:val="24"/>
              </w:rPr>
              <w:t>Netaikoma.</w:t>
            </w:r>
          </w:p>
          <w:p w14:paraId="2E17ACF8" w14:textId="783FBD5A" w:rsidR="00EB5F97" w:rsidRPr="00EB5F97" w:rsidRDefault="00EB5F97" w:rsidP="00533553">
            <w:pPr>
              <w:jc w:val="both"/>
              <w:rPr>
                <w:iCs/>
                <w:szCs w:val="24"/>
              </w:rPr>
            </w:pPr>
          </w:p>
        </w:tc>
      </w:tr>
      <w:tr w:rsidR="00533553" w14:paraId="0DF7DED1" w14:textId="77777777" w:rsidTr="009A4257">
        <w:tc>
          <w:tcPr>
            <w:tcW w:w="15134" w:type="dxa"/>
          </w:tcPr>
          <w:p w14:paraId="64438951" w14:textId="006EC143" w:rsidR="00533553" w:rsidRDefault="00533553" w:rsidP="00533553">
            <w:pPr>
              <w:jc w:val="both"/>
              <w:rPr>
                <w:szCs w:val="24"/>
              </w:rPr>
            </w:pPr>
            <w:r>
              <w:rPr>
                <w:b/>
                <w:szCs w:val="24"/>
              </w:rPr>
              <w:t>8.</w:t>
            </w:r>
            <w:r>
              <w:rPr>
                <w:szCs w:val="24"/>
              </w:rPr>
              <w:t xml:space="preserve"> </w:t>
            </w:r>
            <w:r>
              <w:rPr>
                <w:b/>
                <w:szCs w:val="24"/>
              </w:rPr>
              <w:t>Reikalavimai valstybės pagalbai (kurie nėra nurodyti kituose Aprašo punktuose)</w:t>
            </w:r>
          </w:p>
        </w:tc>
      </w:tr>
      <w:tr w:rsidR="00533553" w14:paraId="5B77D7F9" w14:textId="77777777" w:rsidTr="009A4257">
        <w:tc>
          <w:tcPr>
            <w:tcW w:w="15134" w:type="dxa"/>
          </w:tcPr>
          <w:p w14:paraId="46795B90" w14:textId="77777777" w:rsidR="00EB5F97" w:rsidRPr="00AA216F" w:rsidRDefault="00EB5F97" w:rsidP="00EB5F97">
            <w:pPr>
              <w:jc w:val="both"/>
              <w:rPr>
                <w:szCs w:val="24"/>
              </w:rPr>
            </w:pPr>
            <w:r w:rsidRPr="00AA216F">
              <w:rPr>
                <w:szCs w:val="24"/>
              </w:rPr>
              <w:t xml:space="preserve">Pagal Aprašą valstybės pagalba, kaip ji apibrėžta Sutarties dėl Europos Sąjungos veikimo 107 straipsnyje, ir </w:t>
            </w:r>
            <w:r w:rsidRPr="00AA216F">
              <w:rPr>
                <w:i/>
                <w:iCs/>
                <w:szCs w:val="24"/>
              </w:rPr>
              <w:t xml:space="preserve">de </w:t>
            </w:r>
            <w:proofErr w:type="spellStart"/>
            <w:r w:rsidRPr="00AA216F">
              <w:rPr>
                <w:i/>
                <w:iCs/>
                <w:szCs w:val="24"/>
              </w:rPr>
              <w:t>minimis</w:t>
            </w:r>
            <w:proofErr w:type="spellEnd"/>
            <w:r w:rsidRPr="00AA216F">
              <w:rPr>
                <w:szCs w:val="24"/>
              </w:rPr>
              <w:t xml:space="preserve"> pagalba, kuri atitinka 2013 m. gruodžio 18 d. Komisijos reglamento (ES) Nr. 1407/2013 dėl Sutarties dėl Europos Sąjungos veikimo 107 ir 108 straipsnių taikymo </w:t>
            </w:r>
            <w:r w:rsidRPr="00AA216F">
              <w:rPr>
                <w:i/>
                <w:iCs/>
                <w:szCs w:val="24"/>
              </w:rPr>
              <w:t xml:space="preserve">de </w:t>
            </w:r>
            <w:proofErr w:type="spellStart"/>
            <w:r w:rsidRPr="00AA216F">
              <w:rPr>
                <w:i/>
                <w:iCs/>
                <w:szCs w:val="24"/>
              </w:rPr>
              <w:t>minimis</w:t>
            </w:r>
            <w:proofErr w:type="spellEnd"/>
            <w:r w:rsidRPr="00AA216F">
              <w:rPr>
                <w:szCs w:val="24"/>
              </w:rPr>
              <w:t xml:space="preserve"> pagalbai nuostatas, neteikiama. </w:t>
            </w:r>
          </w:p>
          <w:p w14:paraId="3DCC236D" w14:textId="334F23E4" w:rsidR="00533553" w:rsidRPr="00EB5F97" w:rsidRDefault="00533553" w:rsidP="00533553">
            <w:pPr>
              <w:jc w:val="both"/>
              <w:rPr>
                <w:b/>
                <w:bCs/>
                <w:i/>
                <w:iCs/>
                <w:sz w:val="22"/>
                <w:szCs w:val="22"/>
              </w:rPr>
            </w:pPr>
          </w:p>
        </w:tc>
      </w:tr>
      <w:tr w:rsidR="00533553" w14:paraId="7D53C4A6" w14:textId="77777777" w:rsidTr="009A4257">
        <w:tc>
          <w:tcPr>
            <w:tcW w:w="15134" w:type="dxa"/>
          </w:tcPr>
          <w:p w14:paraId="1FA56152" w14:textId="2D1FE7D5" w:rsidR="00533553" w:rsidRDefault="00533553" w:rsidP="00533553">
            <w:pPr>
              <w:ind w:left="426" w:hanging="426"/>
              <w:jc w:val="both"/>
              <w:rPr>
                <w:szCs w:val="24"/>
              </w:rPr>
            </w:pPr>
            <w:r>
              <w:rPr>
                <w:b/>
                <w:szCs w:val="24"/>
              </w:rPr>
              <w:t>9.</w:t>
            </w:r>
            <w:r>
              <w:rPr>
                <w:szCs w:val="24"/>
              </w:rPr>
              <w:t xml:space="preserve"> </w:t>
            </w:r>
            <w:r>
              <w:rPr>
                <w:b/>
                <w:szCs w:val="24"/>
              </w:rPr>
              <w:t>Projektų atrankos kriterijai</w:t>
            </w:r>
          </w:p>
          <w:p w14:paraId="269355EA" w14:textId="51D4243E" w:rsidR="00533553" w:rsidRDefault="00533553" w:rsidP="0053355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533553" w14:paraId="2C1B2136" w14:textId="77777777" w:rsidTr="009A4257">
        <w:trPr>
          <w:trHeight w:val="704"/>
        </w:trPr>
        <w:tc>
          <w:tcPr>
            <w:tcW w:w="15134" w:type="dxa"/>
          </w:tcPr>
          <w:p w14:paraId="1D6AFA90" w14:textId="60DCFB59" w:rsidR="00533553" w:rsidRDefault="002E073F" w:rsidP="00533553">
            <w:pPr>
              <w:jc w:val="both"/>
              <w:rPr>
                <w:i/>
                <w:sz w:val="22"/>
                <w:szCs w:val="22"/>
              </w:rPr>
            </w:pPr>
            <w:r w:rsidRPr="00AA216F">
              <w:rPr>
                <w:szCs w:val="24"/>
              </w:rPr>
              <w:t>Specialieji ir prioritetiniai projektų atrankos kriterijai nėra nustatomi.</w:t>
            </w:r>
          </w:p>
        </w:tc>
      </w:tr>
      <w:tr w:rsidR="00533553" w14:paraId="1D4C8D0E" w14:textId="77777777" w:rsidTr="009A4257">
        <w:trPr>
          <w:trHeight w:val="309"/>
        </w:trPr>
        <w:tc>
          <w:tcPr>
            <w:tcW w:w="15134" w:type="dxa"/>
          </w:tcPr>
          <w:p w14:paraId="27D5D642" w14:textId="784B8C19" w:rsidR="00533553" w:rsidRDefault="00533553" w:rsidP="00533553">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p w14:paraId="518959F2" w14:textId="4E236A4A" w:rsidR="00533553" w:rsidRDefault="00533553" w:rsidP="00533553">
            <w:pPr>
              <w:jc w:val="both"/>
              <w:rPr>
                <w:i/>
                <w:sz w:val="22"/>
                <w:szCs w:val="22"/>
              </w:rPr>
            </w:pPr>
            <w:r>
              <w:t xml:space="preserve">(Kiekvienas jungtinio projekto projektas turi atitikti </w:t>
            </w:r>
            <w:r>
              <w:rPr>
                <w:iCs/>
                <w:color w:val="000000"/>
              </w:rPr>
              <w:t>Projektų administravimo ir finansavimo taisyklių 2 priede nustatytus projektų bendruosius atrankos kriterijus.)</w:t>
            </w:r>
          </w:p>
        </w:tc>
      </w:tr>
      <w:tr w:rsidR="00533553" w14:paraId="6EC432CB" w14:textId="77777777" w:rsidTr="002E073F">
        <w:trPr>
          <w:trHeight w:val="500"/>
        </w:trPr>
        <w:tc>
          <w:tcPr>
            <w:tcW w:w="15134" w:type="dxa"/>
          </w:tcPr>
          <w:p w14:paraId="35ADFCB3" w14:textId="0565BF1E" w:rsidR="00533553" w:rsidRPr="002E073F" w:rsidRDefault="002E073F" w:rsidP="00533553">
            <w:pPr>
              <w:jc w:val="both"/>
              <w:rPr>
                <w:iCs/>
                <w:szCs w:val="24"/>
              </w:rPr>
            </w:pPr>
            <w:r w:rsidRPr="002E073F">
              <w:rPr>
                <w:iCs/>
                <w:szCs w:val="24"/>
              </w:rPr>
              <w:t>Netaikoma.</w:t>
            </w:r>
          </w:p>
        </w:tc>
      </w:tr>
      <w:tr w:rsidR="00533553" w14:paraId="0B3B981D" w14:textId="77777777" w:rsidTr="009A4257">
        <w:tc>
          <w:tcPr>
            <w:tcW w:w="15134" w:type="dxa"/>
          </w:tcPr>
          <w:p w14:paraId="77DD98CB" w14:textId="66E6B9EA" w:rsidR="00533553" w:rsidRDefault="00533553" w:rsidP="00533553">
            <w:pPr>
              <w:rPr>
                <w:szCs w:val="24"/>
              </w:rPr>
            </w:pPr>
            <w:r>
              <w:rPr>
                <w:b/>
                <w:szCs w:val="24"/>
              </w:rPr>
              <w:t>11.</w:t>
            </w:r>
            <w:r>
              <w:rPr>
                <w:szCs w:val="24"/>
              </w:rPr>
              <w:t xml:space="preserve"> </w:t>
            </w:r>
            <w:r>
              <w:rPr>
                <w:b/>
                <w:szCs w:val="24"/>
              </w:rPr>
              <w:t>Reikalavimai įgyvendinus projektų veiklas</w:t>
            </w:r>
          </w:p>
        </w:tc>
      </w:tr>
      <w:tr w:rsidR="00533553" w14:paraId="318D32D0" w14:textId="77777777" w:rsidTr="009A4257">
        <w:tc>
          <w:tcPr>
            <w:tcW w:w="15134" w:type="dxa"/>
          </w:tcPr>
          <w:p w14:paraId="35A195DB" w14:textId="057EC743" w:rsidR="000C1675" w:rsidRPr="00AA216F" w:rsidRDefault="000C1675" w:rsidP="000C1675">
            <w:pPr>
              <w:rPr>
                <w:szCs w:val="24"/>
              </w:rPr>
            </w:pPr>
            <w:r w:rsidRPr="00AA216F">
              <w:rPr>
                <w:szCs w:val="24"/>
              </w:rPr>
              <w:t>Papildomi reikalavimai įgyvendinus projekto veiklas, kurie nenumatyti Projektų administravimo ir finansavimo taisyklių IV skyriaus dešimtajame skirsnyje, nėra taikomi.</w:t>
            </w:r>
          </w:p>
          <w:p w14:paraId="08474776" w14:textId="12FEC7AE" w:rsidR="00533553" w:rsidRDefault="00533553" w:rsidP="00533553">
            <w:pPr>
              <w:jc w:val="both"/>
              <w:rPr>
                <w:i/>
                <w:sz w:val="22"/>
                <w:szCs w:val="22"/>
              </w:rPr>
            </w:pPr>
          </w:p>
        </w:tc>
      </w:tr>
      <w:tr w:rsidR="00533553" w14:paraId="76E350FC" w14:textId="77777777" w:rsidTr="009A4257">
        <w:tc>
          <w:tcPr>
            <w:tcW w:w="15134" w:type="dxa"/>
          </w:tcPr>
          <w:p w14:paraId="10E33134" w14:textId="1D788C31" w:rsidR="00533553" w:rsidRDefault="00533553" w:rsidP="00533553">
            <w:pPr>
              <w:rPr>
                <w:szCs w:val="24"/>
              </w:rPr>
            </w:pPr>
            <w:r>
              <w:rPr>
                <w:b/>
                <w:szCs w:val="24"/>
              </w:rPr>
              <w:t>12.</w:t>
            </w:r>
            <w:r>
              <w:rPr>
                <w:szCs w:val="24"/>
              </w:rPr>
              <w:t xml:space="preserve"> </w:t>
            </w:r>
            <w:r>
              <w:rPr>
                <w:b/>
                <w:szCs w:val="24"/>
              </w:rPr>
              <w:t>Kiti reikalavimai</w:t>
            </w:r>
          </w:p>
        </w:tc>
      </w:tr>
      <w:tr w:rsidR="00533553" w14:paraId="2A47AD37" w14:textId="77777777" w:rsidTr="009A4257">
        <w:tc>
          <w:tcPr>
            <w:tcW w:w="15134" w:type="dxa"/>
          </w:tcPr>
          <w:p w14:paraId="742BDC2E" w14:textId="77777777" w:rsidR="000C1675" w:rsidRPr="00AA216F" w:rsidRDefault="000C1675" w:rsidP="000C1675">
            <w:pPr>
              <w:tabs>
                <w:tab w:val="left" w:pos="1134"/>
              </w:tabs>
              <w:rPr>
                <w:iCs/>
                <w:szCs w:val="24"/>
              </w:rPr>
            </w:pPr>
            <w:r w:rsidRPr="00AA216F">
              <w:rPr>
                <w:iCs/>
                <w:szCs w:val="24"/>
              </w:rPr>
              <w:t>Kiti reikalavimai netaikomi.</w:t>
            </w:r>
          </w:p>
          <w:p w14:paraId="6D5D2B01" w14:textId="6BAF007F" w:rsidR="00533553" w:rsidRDefault="00533553" w:rsidP="00533553">
            <w:pPr>
              <w:tabs>
                <w:tab w:val="left" w:pos="1134"/>
              </w:tabs>
              <w:jc w:val="both"/>
              <w:rPr>
                <w:i/>
                <w:sz w:val="22"/>
                <w:szCs w:val="22"/>
              </w:rPr>
            </w:pPr>
          </w:p>
        </w:tc>
      </w:tr>
      <w:tr w:rsidR="00533553" w14:paraId="41DB09FF" w14:textId="77777777" w:rsidTr="009A4257">
        <w:tc>
          <w:tcPr>
            <w:tcW w:w="15134" w:type="dxa"/>
          </w:tcPr>
          <w:p w14:paraId="1ACCE788" w14:textId="77777777" w:rsidR="00533553" w:rsidRDefault="00533553" w:rsidP="00533553">
            <w:pPr>
              <w:rPr>
                <w:b/>
                <w:szCs w:val="24"/>
              </w:rPr>
            </w:pPr>
            <w:r>
              <w:rPr>
                <w:b/>
                <w:szCs w:val="24"/>
              </w:rPr>
              <w:t>IŠLAIDŲ TINKAMUMO FINANSUOTI REIKALAVIMAI</w:t>
            </w:r>
          </w:p>
        </w:tc>
      </w:tr>
      <w:tr w:rsidR="00533553" w14:paraId="3471268F" w14:textId="77777777" w:rsidTr="009A4257">
        <w:tc>
          <w:tcPr>
            <w:tcW w:w="15134" w:type="dxa"/>
          </w:tcPr>
          <w:p w14:paraId="0B1B6151" w14:textId="084A502E" w:rsidR="00533553" w:rsidRDefault="00533553" w:rsidP="00533553">
            <w:pPr>
              <w:jc w:val="both"/>
              <w:rPr>
                <w:b/>
                <w:szCs w:val="24"/>
              </w:rPr>
            </w:pPr>
            <w:r>
              <w:rPr>
                <w:b/>
                <w:szCs w:val="24"/>
              </w:rPr>
              <w:t>13. Išlaidų tinkamumo finansuoti reikalavimai</w:t>
            </w:r>
          </w:p>
        </w:tc>
      </w:tr>
      <w:tr w:rsidR="000C1675" w14:paraId="173C6C3E" w14:textId="77777777" w:rsidTr="009A4257">
        <w:tc>
          <w:tcPr>
            <w:tcW w:w="15134" w:type="dxa"/>
          </w:tcPr>
          <w:p w14:paraId="2842014C" w14:textId="77777777" w:rsidR="000C1675" w:rsidRPr="00FD6100" w:rsidRDefault="000C1675" w:rsidP="000C1675">
            <w:pPr>
              <w:pStyle w:val="ListParagraph"/>
              <w:numPr>
                <w:ilvl w:val="0"/>
                <w:numId w:val="3"/>
              </w:numPr>
              <w:ind w:left="318" w:hanging="318"/>
              <w:jc w:val="both"/>
              <w:rPr>
                <w:szCs w:val="24"/>
              </w:rPr>
            </w:pPr>
            <w:r w:rsidRPr="00FD6100">
              <w:rPr>
                <w:szCs w:val="24"/>
              </w:rPr>
              <w:t xml:space="preserve">Projekto išlaidos turi atitikti Projektų administravimo ir finansavimo taisyklių VII skyriuje </w:t>
            </w:r>
            <w:r>
              <w:rPr>
                <w:szCs w:val="24"/>
              </w:rPr>
              <w:t xml:space="preserve">nurodytus </w:t>
            </w:r>
            <w:r w:rsidRPr="00FD6100">
              <w:rPr>
                <w:szCs w:val="24"/>
              </w:rPr>
              <w:t xml:space="preserve">projekto išlaidoms taikomus reikalavimus. </w:t>
            </w:r>
          </w:p>
          <w:p w14:paraId="07388446" w14:textId="77777777" w:rsidR="000C1675" w:rsidRPr="00FD6100" w:rsidRDefault="000C1675" w:rsidP="000C1675">
            <w:pPr>
              <w:pStyle w:val="ListParagraph"/>
              <w:numPr>
                <w:ilvl w:val="0"/>
                <w:numId w:val="3"/>
              </w:numPr>
              <w:tabs>
                <w:tab w:val="left" w:pos="314"/>
              </w:tabs>
              <w:jc w:val="both"/>
              <w:rPr>
                <w:szCs w:val="24"/>
              </w:rPr>
            </w:pPr>
            <w:r w:rsidRPr="00FD6100">
              <w:rPr>
                <w:szCs w:val="24"/>
              </w:rPr>
              <w:t xml:space="preserve">Projekto išlaidos gali būti patirtos iki projekto sutarties pasirašymo, </w:t>
            </w:r>
            <w:r>
              <w:rPr>
                <w:szCs w:val="24"/>
              </w:rPr>
              <w:t xml:space="preserve">nepažeidžiant </w:t>
            </w:r>
            <w:r w:rsidRPr="00FD6100">
              <w:rPr>
                <w:szCs w:val="24"/>
              </w:rPr>
              <w:t>Projektų administravimo ir finansavimo taisyklių 294.2.2 papunk</w:t>
            </w:r>
            <w:r>
              <w:rPr>
                <w:szCs w:val="24"/>
              </w:rPr>
              <w:t>tyje nustatyto reikalavimo</w:t>
            </w:r>
            <w:r w:rsidRPr="00FD6100">
              <w:rPr>
                <w:szCs w:val="24"/>
              </w:rPr>
              <w:t>.</w:t>
            </w:r>
          </w:p>
          <w:p w14:paraId="1E3725BB" w14:textId="77777777" w:rsidR="000C1675" w:rsidRPr="00FD6100" w:rsidRDefault="000C1675" w:rsidP="000C1675">
            <w:pPr>
              <w:pStyle w:val="ListParagraph"/>
              <w:numPr>
                <w:ilvl w:val="0"/>
                <w:numId w:val="3"/>
              </w:numPr>
              <w:jc w:val="both"/>
              <w:rPr>
                <w:szCs w:val="24"/>
              </w:rPr>
            </w:pPr>
            <w:r w:rsidRPr="00FD6100">
              <w:rPr>
                <w:iCs/>
                <w:szCs w:val="24"/>
              </w:rPr>
              <w:t xml:space="preserve">Projekto vykdytojui gali būti mokamas avansas, vadovaujantis </w:t>
            </w:r>
            <w:r w:rsidRPr="00FD6100">
              <w:rPr>
                <w:szCs w:val="24"/>
              </w:rPr>
              <w:t xml:space="preserve">Projektų administravimo ir finansavimo taisyklių </w:t>
            </w:r>
            <w:r w:rsidRPr="00FD6100">
              <w:rPr>
                <w:iCs/>
                <w:szCs w:val="24"/>
              </w:rPr>
              <w:t xml:space="preserve">153 punktu. </w:t>
            </w:r>
          </w:p>
          <w:p w14:paraId="44AF4888" w14:textId="77777777" w:rsidR="000C1675" w:rsidRPr="00FD6100" w:rsidRDefault="000C1675" w:rsidP="000C1675">
            <w:pPr>
              <w:pStyle w:val="ListParagraph"/>
              <w:numPr>
                <w:ilvl w:val="0"/>
                <w:numId w:val="3"/>
              </w:numPr>
              <w:tabs>
                <w:tab w:val="left" w:pos="30"/>
                <w:tab w:val="left" w:pos="314"/>
              </w:tabs>
              <w:jc w:val="both"/>
              <w:rPr>
                <w:szCs w:val="24"/>
              </w:rPr>
            </w:pPr>
            <w:r w:rsidRPr="00FD6100">
              <w:rPr>
                <w:szCs w:val="24"/>
              </w:rPr>
              <w:lastRenderedPageBreak/>
              <w:t xml:space="preserve">PVM nėra tinkamas finansuoti  EGADP lėšomis. PVM gali būti finansuojamas VB vadovaujantis Projektų administravimo ir finansavimo taisyklių VII </w:t>
            </w:r>
            <w:r w:rsidRPr="00FD6100">
              <w:rPr>
                <w:color w:val="000000"/>
                <w:szCs w:val="24"/>
                <w:lang w:eastAsia="lt-LT"/>
              </w:rPr>
              <w:t>skyriaus</w:t>
            </w:r>
            <w:r w:rsidRPr="00FD6100">
              <w:rPr>
                <w:szCs w:val="24"/>
              </w:rPr>
              <w:t xml:space="preserve"> ketvirtajame skirsnyje nustatyta tvarka.</w:t>
            </w:r>
          </w:p>
          <w:p w14:paraId="137E5BD5" w14:textId="77777777" w:rsidR="000C1675" w:rsidRPr="009E2A01" w:rsidRDefault="000C1675" w:rsidP="000C1675">
            <w:pPr>
              <w:pStyle w:val="ListParagraph"/>
              <w:numPr>
                <w:ilvl w:val="0"/>
                <w:numId w:val="3"/>
              </w:numPr>
              <w:tabs>
                <w:tab w:val="left" w:pos="426"/>
                <w:tab w:val="left" w:pos="709"/>
              </w:tabs>
              <w:jc w:val="both"/>
              <w:rPr>
                <w:bCs/>
                <w:szCs w:val="24"/>
              </w:rPr>
            </w:pPr>
            <w:r w:rsidRPr="009E2A01">
              <w:rPr>
                <w:bCs/>
                <w:szCs w:val="24"/>
              </w:rPr>
              <w:t>Įgyvendinant projektus, visais atvejais netinkamomis finansuoti išlaidomis laikomos PĮP rengimo išlaidos (išskyrus investicijų projekto ar kitų su PĮP privalomų teikti dokumentų rengimo išlaidas).</w:t>
            </w:r>
          </w:p>
          <w:p w14:paraId="7195A65C" w14:textId="77777777" w:rsidR="000C1675" w:rsidRPr="00B1471D" w:rsidRDefault="000C1675" w:rsidP="000C1675">
            <w:pPr>
              <w:pStyle w:val="ListParagraph"/>
              <w:numPr>
                <w:ilvl w:val="0"/>
                <w:numId w:val="3"/>
              </w:numPr>
              <w:tabs>
                <w:tab w:val="left" w:pos="426"/>
                <w:tab w:val="left" w:pos="709"/>
              </w:tabs>
              <w:jc w:val="both"/>
              <w:rPr>
                <w:szCs w:val="24"/>
              </w:rPr>
            </w:pPr>
            <w:r w:rsidRPr="00B1471D">
              <w:rPr>
                <w:szCs w:val="24"/>
              </w:rPr>
              <w:t xml:space="preserve">Netinkamos finansuoti projekto </w:t>
            </w:r>
            <w:r>
              <w:rPr>
                <w:szCs w:val="24"/>
              </w:rPr>
              <w:t>išlaidos</w:t>
            </w:r>
            <w:r w:rsidRPr="00B1471D">
              <w:rPr>
                <w:szCs w:val="24"/>
              </w:rPr>
              <w:t>:</w:t>
            </w:r>
          </w:p>
          <w:p w14:paraId="151C092A" w14:textId="77777777" w:rsidR="000C1675" w:rsidRPr="00881FB1" w:rsidRDefault="000C1675" w:rsidP="000C1675">
            <w:pPr>
              <w:pStyle w:val="ListParagraph"/>
              <w:numPr>
                <w:ilvl w:val="1"/>
                <w:numId w:val="3"/>
              </w:numPr>
              <w:tabs>
                <w:tab w:val="left" w:pos="426"/>
                <w:tab w:val="left" w:pos="455"/>
              </w:tabs>
              <w:jc w:val="both"/>
              <w:rPr>
                <w:szCs w:val="24"/>
              </w:rPr>
            </w:pPr>
            <w:r w:rsidRPr="00881FB1">
              <w:rPr>
                <w:szCs w:val="24"/>
              </w:rPr>
              <w:t>transporto priemonių pirkimo, lizingo (finansinės nuomos), eksploatavimo ir susijusios išlaidos;</w:t>
            </w:r>
          </w:p>
          <w:p w14:paraId="6F985FE7" w14:textId="77777777" w:rsidR="000C1675" w:rsidRPr="00B2678E" w:rsidRDefault="000C1675" w:rsidP="000C1675">
            <w:pPr>
              <w:pStyle w:val="ListParagraph"/>
              <w:numPr>
                <w:ilvl w:val="1"/>
                <w:numId w:val="3"/>
              </w:numPr>
              <w:tabs>
                <w:tab w:val="left" w:pos="455"/>
              </w:tabs>
              <w:jc w:val="both"/>
              <w:rPr>
                <w:szCs w:val="24"/>
              </w:rPr>
            </w:pPr>
            <w:r w:rsidRPr="00B2678E">
              <w:rPr>
                <w:szCs w:val="24"/>
              </w:rPr>
              <w:t>žemės pirkimo išlaidos;</w:t>
            </w:r>
          </w:p>
          <w:p w14:paraId="43A42458" w14:textId="77777777" w:rsidR="000C1675" w:rsidRPr="00B2678E" w:rsidRDefault="000C1675" w:rsidP="000C1675">
            <w:pPr>
              <w:pStyle w:val="ListParagraph"/>
              <w:numPr>
                <w:ilvl w:val="1"/>
                <w:numId w:val="3"/>
              </w:numPr>
              <w:tabs>
                <w:tab w:val="left" w:pos="455"/>
              </w:tabs>
              <w:jc w:val="both"/>
              <w:rPr>
                <w:szCs w:val="24"/>
              </w:rPr>
            </w:pPr>
            <w:r w:rsidRPr="00B2678E">
              <w:rPr>
                <w:szCs w:val="24"/>
              </w:rPr>
              <w:t>įgyvendinant projektą naudojamo ilgalaikio turto nusidėvėjimo (amortizacijos) sąnaudos;</w:t>
            </w:r>
          </w:p>
          <w:p w14:paraId="0B130E87" w14:textId="77777777" w:rsidR="000C1675" w:rsidRPr="00B2678E" w:rsidRDefault="000C1675" w:rsidP="000C1675">
            <w:pPr>
              <w:pStyle w:val="ListParagraph"/>
              <w:numPr>
                <w:ilvl w:val="1"/>
                <w:numId w:val="3"/>
              </w:numPr>
              <w:tabs>
                <w:tab w:val="left" w:pos="455"/>
              </w:tabs>
              <w:jc w:val="both"/>
              <w:rPr>
                <w:szCs w:val="24"/>
              </w:rPr>
            </w:pPr>
            <w:r w:rsidRPr="00B2678E">
              <w:rPr>
                <w:szCs w:val="24"/>
              </w:rPr>
              <w:t>nepiniginis projekto vykdytojo ir (arba) partnerio (-</w:t>
            </w:r>
            <w:proofErr w:type="spellStart"/>
            <w:r w:rsidRPr="00B2678E">
              <w:rPr>
                <w:szCs w:val="24"/>
              </w:rPr>
              <w:t>ių</w:t>
            </w:r>
            <w:proofErr w:type="spellEnd"/>
            <w:r w:rsidRPr="00B2678E">
              <w:rPr>
                <w:szCs w:val="24"/>
              </w:rPr>
              <w:t>) įnašas;</w:t>
            </w:r>
          </w:p>
          <w:p w14:paraId="7520FA40" w14:textId="77777777" w:rsidR="000C1675" w:rsidRPr="00ED2610" w:rsidRDefault="000C1675" w:rsidP="000C1675">
            <w:pPr>
              <w:pStyle w:val="ListParagraph"/>
              <w:numPr>
                <w:ilvl w:val="1"/>
                <w:numId w:val="3"/>
              </w:numPr>
              <w:tabs>
                <w:tab w:val="left" w:pos="455"/>
              </w:tabs>
              <w:ind w:left="743" w:hanging="383"/>
              <w:jc w:val="both"/>
              <w:rPr>
                <w:szCs w:val="24"/>
              </w:rPr>
            </w:pPr>
            <w:r w:rsidRPr="00ED2610">
              <w:rPr>
                <w:rStyle w:val="ui-provider"/>
              </w:rPr>
              <w:t xml:space="preserve">išlaidos, kuriomis pakeičiamos periodinės nacionalinės biudžeto išlaidos (pvz., valstybės tarnautojų, mokytojų, gydytojų atlyginimai už kasdienį darbą, periodinės infrastruktūros priežiūros išlaidos ir pan.) (angl. </w:t>
            </w:r>
            <w:proofErr w:type="spellStart"/>
            <w:r w:rsidRPr="00ED2610">
              <w:rPr>
                <w:rStyle w:val="ui-provider"/>
                <w:i/>
                <w:iCs/>
              </w:rPr>
              <w:t>recurrent</w:t>
            </w:r>
            <w:proofErr w:type="spellEnd"/>
            <w:r w:rsidRPr="00ED2610">
              <w:rPr>
                <w:rStyle w:val="ui-provider"/>
                <w:i/>
                <w:iCs/>
              </w:rPr>
              <w:t xml:space="preserve"> </w:t>
            </w:r>
            <w:proofErr w:type="spellStart"/>
            <w:r w:rsidRPr="00ED2610">
              <w:rPr>
                <w:rStyle w:val="ui-provider"/>
                <w:i/>
                <w:iCs/>
              </w:rPr>
              <w:t>costs</w:t>
            </w:r>
            <w:proofErr w:type="spellEnd"/>
            <w:r w:rsidRPr="00ED2610">
              <w:rPr>
                <w:rStyle w:val="ui-provider"/>
              </w:rPr>
              <w:t xml:space="preserve">), išskyrus atvejus, kai tokios išlaidos numatytos </w:t>
            </w:r>
            <w:r w:rsidRPr="00ED2610">
              <w:rPr>
                <w:iCs/>
                <w:szCs w:val="24"/>
              </w:rPr>
              <w:t>NKL plane</w:t>
            </w:r>
            <w:r w:rsidRPr="00ED2610">
              <w:rPr>
                <w:rStyle w:val="ui-provider"/>
              </w:rPr>
              <w:t xml:space="preserve"> arba suderintos su Europos Komisija.</w:t>
            </w:r>
            <w:r w:rsidRPr="00ED2610">
              <w:t xml:space="preserve"> Darbo užmokesčio išlaidos yra tinkamos finansuoti esamiems įstaigų darbuotojams tik tuo atveju, jei darbo užmokestis mokamas už papildomų funkcijų ar užduočių, nenustatytų pareigybės aprašyme, atlikimą.</w:t>
            </w:r>
          </w:p>
          <w:p w14:paraId="0D2D65B6" w14:textId="77777777" w:rsidR="000C1675" w:rsidRPr="00865194" w:rsidRDefault="000C1675" w:rsidP="000C1675">
            <w:pPr>
              <w:tabs>
                <w:tab w:val="left" w:pos="314"/>
              </w:tabs>
              <w:ind w:left="30" w:hanging="30"/>
              <w:rPr>
                <w:b/>
                <w:szCs w:val="24"/>
              </w:rPr>
            </w:pPr>
            <w:r w:rsidRPr="00865194">
              <w:rPr>
                <w:bCs/>
                <w:szCs w:val="24"/>
              </w:rPr>
              <w:t>7.</w:t>
            </w:r>
            <w:r w:rsidRPr="00865194">
              <w:rPr>
                <w:bCs/>
                <w:szCs w:val="24"/>
              </w:rPr>
              <w:tab/>
            </w:r>
            <w:r w:rsidRPr="00865194">
              <w:rPr>
                <w:szCs w:val="24"/>
              </w:rPr>
              <w:t xml:space="preserve">Didžiausia galima projekto finansuojamoji dalis sudaro iki 100 proc. visų tinkamų finansuoti projekto išlaidų. </w:t>
            </w:r>
            <w:r w:rsidRPr="00865194">
              <w:rPr>
                <w:szCs w:val="24"/>
                <w:lang w:eastAsia="lt-LT"/>
              </w:rPr>
              <w:t>Netinkamos finansuoti išlaidos ir projekto tinkamų finansuoti išlaidų dalis, kurios nepadengia projektui skiriamo finansavimo lėšos, turi būti finansuojamos iš projekto vykdytojo lėšų.</w:t>
            </w:r>
          </w:p>
          <w:p w14:paraId="21A39F5B" w14:textId="77777777" w:rsidR="000C1675" w:rsidRPr="00865194" w:rsidRDefault="000C1675" w:rsidP="000C1675">
            <w:pPr>
              <w:ind w:left="360" w:hanging="360"/>
              <w:rPr>
                <w:szCs w:val="24"/>
                <w:lang w:eastAsia="lt-LT"/>
              </w:rPr>
            </w:pPr>
            <w:r w:rsidRPr="00865194">
              <w:rPr>
                <w:bCs/>
                <w:szCs w:val="24"/>
              </w:rPr>
              <w:t>8.</w:t>
            </w:r>
            <w:r w:rsidRPr="00865194">
              <w:rPr>
                <w:bCs/>
                <w:szCs w:val="24"/>
              </w:rPr>
              <w:tab/>
            </w:r>
            <w:r w:rsidRPr="00865194">
              <w:rPr>
                <w:szCs w:val="24"/>
                <w:lang w:eastAsia="lt-LT"/>
              </w:rPr>
              <w:t>Pareiškėjas ir partneris (-</w:t>
            </w:r>
            <w:proofErr w:type="spellStart"/>
            <w:r w:rsidRPr="00865194">
              <w:rPr>
                <w:szCs w:val="24"/>
                <w:lang w:eastAsia="lt-LT"/>
              </w:rPr>
              <w:t>iai</w:t>
            </w:r>
            <w:proofErr w:type="spellEnd"/>
            <w:r w:rsidRPr="00865194">
              <w:rPr>
                <w:szCs w:val="24"/>
                <w:lang w:eastAsia="lt-LT"/>
              </w:rPr>
              <w:t>) savo iniciatyva bei savo ir (arba) kitų šaltinių lėšomis gali prisidėti prie projekto įgyvendinimo.</w:t>
            </w:r>
          </w:p>
          <w:p w14:paraId="5DE437C5" w14:textId="72C377BA" w:rsidR="000C1675" w:rsidRDefault="000C1675" w:rsidP="000C1675">
            <w:pPr>
              <w:jc w:val="both"/>
              <w:rPr>
                <w:sz w:val="22"/>
                <w:szCs w:val="22"/>
              </w:rPr>
            </w:pPr>
          </w:p>
        </w:tc>
      </w:tr>
      <w:tr w:rsidR="000C1675" w14:paraId="2404C283" w14:textId="77777777" w:rsidTr="009A4257">
        <w:trPr>
          <w:trHeight w:val="349"/>
        </w:trPr>
        <w:tc>
          <w:tcPr>
            <w:tcW w:w="15134" w:type="dxa"/>
          </w:tcPr>
          <w:p w14:paraId="04113AAD" w14:textId="1AF4C75C" w:rsidR="000C1675" w:rsidRDefault="000C1675" w:rsidP="000C1675">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0C1675" w14:paraId="047E8380" w14:textId="77777777" w:rsidTr="009A4257">
        <w:tc>
          <w:tcPr>
            <w:tcW w:w="15134" w:type="dxa"/>
          </w:tcPr>
          <w:p w14:paraId="25B1D6F5" w14:textId="77777777" w:rsidR="000C1675" w:rsidRDefault="000C1675" w:rsidP="000C1675">
            <w:pPr>
              <w:jc w:val="both"/>
              <w:rPr>
                <w:i/>
                <w:iCs/>
                <w:sz w:val="22"/>
                <w:szCs w:val="22"/>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869"/>
              <w:gridCol w:w="1864"/>
              <w:gridCol w:w="3382"/>
              <w:gridCol w:w="5589"/>
            </w:tblGrid>
            <w:tr w:rsidR="00F66968" w:rsidRPr="00865194" w14:paraId="03BEF425" w14:textId="77777777" w:rsidTr="004269A3">
              <w:tc>
                <w:tcPr>
                  <w:tcW w:w="14908" w:type="dxa"/>
                  <w:gridSpan w:val="5"/>
                  <w:tcBorders>
                    <w:top w:val="single" w:sz="8" w:space="0" w:color="auto"/>
                    <w:left w:val="single" w:sz="8" w:space="0" w:color="auto"/>
                    <w:bottom w:val="single" w:sz="8" w:space="0" w:color="auto"/>
                    <w:right w:val="single" w:sz="8" w:space="0" w:color="auto"/>
                  </w:tcBorders>
                </w:tcPr>
                <w:p w14:paraId="1E2C77DA" w14:textId="77777777" w:rsidR="00F66968" w:rsidRPr="00865194" w:rsidRDefault="00F66968" w:rsidP="00F66968">
                  <w:pPr>
                    <w:rPr>
                      <w:b/>
                      <w:bCs/>
                      <w:szCs w:val="24"/>
                    </w:rPr>
                  </w:pPr>
                  <w:r w:rsidRPr="00865194">
                    <w:rPr>
                      <w:rFonts w:ascii="Segoe UI Symbol" w:eastAsia="MS Gothic" w:hAnsi="Segoe UI Symbol" w:cs="Segoe UI Symbol"/>
                      <w:b/>
                      <w:bCs/>
                      <w:szCs w:val="24"/>
                    </w:rPr>
                    <w:t>☒</w:t>
                  </w:r>
                  <w:r w:rsidRPr="00865194">
                    <w:rPr>
                      <w:b/>
                      <w:bCs/>
                      <w:szCs w:val="24"/>
                    </w:rPr>
                    <w:t xml:space="preserve">  Indeksuojama</w:t>
                  </w:r>
                </w:p>
                <w:p w14:paraId="2AFE95A0" w14:textId="77777777" w:rsidR="00F66968" w:rsidRPr="00865194" w:rsidRDefault="00F66968" w:rsidP="00F66968">
                  <w:pPr>
                    <w:rPr>
                      <w:b/>
                      <w:bCs/>
                      <w:szCs w:val="24"/>
                    </w:rPr>
                  </w:pPr>
                  <w:r w:rsidRPr="00865194">
                    <w:rPr>
                      <w:rFonts w:ascii="Segoe UI Symbol" w:eastAsia="MS Gothic" w:hAnsi="Segoe UI Symbol" w:cs="Segoe UI Symbol"/>
                      <w:b/>
                      <w:bCs/>
                      <w:szCs w:val="24"/>
                    </w:rPr>
                    <w:t>☐</w:t>
                  </w:r>
                  <w:r w:rsidRPr="00865194">
                    <w:rPr>
                      <w:rFonts w:eastAsia="MS Gothic"/>
                      <w:b/>
                      <w:bCs/>
                      <w:szCs w:val="24"/>
                    </w:rPr>
                    <w:t xml:space="preserve"> </w:t>
                  </w:r>
                  <w:r w:rsidRPr="00865194">
                    <w:rPr>
                      <w:b/>
                      <w:bCs/>
                      <w:szCs w:val="24"/>
                    </w:rPr>
                    <w:t>Neindeksuojama</w:t>
                  </w:r>
                </w:p>
              </w:tc>
            </w:tr>
            <w:tr w:rsidR="00F66968" w:rsidRPr="00865194" w14:paraId="7EF062BD" w14:textId="77777777" w:rsidTr="004269A3">
              <w:tc>
                <w:tcPr>
                  <w:tcW w:w="2422" w:type="dxa"/>
                  <w:tcBorders>
                    <w:top w:val="single" w:sz="8" w:space="0" w:color="auto"/>
                    <w:left w:val="single" w:sz="8" w:space="0" w:color="auto"/>
                    <w:bottom w:val="single" w:sz="8" w:space="0" w:color="auto"/>
                    <w:right w:val="single" w:sz="8" w:space="0" w:color="auto"/>
                  </w:tcBorders>
                  <w:vAlign w:val="center"/>
                </w:tcPr>
                <w:p w14:paraId="4FA8DAD3" w14:textId="77777777" w:rsidR="00F66968" w:rsidRPr="00865194" w:rsidRDefault="00F66968" w:rsidP="00F66968">
                  <w:pPr>
                    <w:jc w:val="center"/>
                    <w:rPr>
                      <w:b/>
                      <w:bCs/>
                      <w:szCs w:val="24"/>
                    </w:rPr>
                  </w:pPr>
                  <w:bookmarkStart w:id="5" w:name="_Hlk135215861"/>
                  <w:r w:rsidRPr="00865194">
                    <w:rPr>
                      <w:b/>
                      <w:bCs/>
                      <w:szCs w:val="24"/>
                    </w:rPr>
                    <w:t>Veiklos ir (ar) išlaidos, kurioms taikomi supaprastintai apmokamų išlaidų dydžiai</w:t>
                  </w:r>
                </w:p>
              </w:tc>
              <w:tc>
                <w:tcPr>
                  <w:tcW w:w="1996" w:type="dxa"/>
                  <w:tcBorders>
                    <w:top w:val="single" w:sz="8" w:space="0" w:color="auto"/>
                    <w:left w:val="single" w:sz="8" w:space="0" w:color="auto"/>
                    <w:bottom w:val="single" w:sz="8" w:space="0" w:color="auto"/>
                    <w:right w:val="single" w:sz="8" w:space="0" w:color="auto"/>
                  </w:tcBorders>
                  <w:vAlign w:val="center"/>
                </w:tcPr>
                <w:p w14:paraId="1BDFB103" w14:textId="77777777" w:rsidR="00F66968" w:rsidRPr="00865194" w:rsidRDefault="00F66968" w:rsidP="00F66968">
                  <w:pPr>
                    <w:jc w:val="center"/>
                    <w:rPr>
                      <w:b/>
                      <w:bCs/>
                      <w:szCs w:val="24"/>
                    </w:rPr>
                  </w:pPr>
                  <w:r w:rsidRPr="00865194">
                    <w:rPr>
                      <w:b/>
                      <w:bCs/>
                      <w:szCs w:val="24"/>
                    </w:rPr>
                    <w:t>Supaprastintai apmokamų išlaidų dydžio kodas</w:t>
                  </w:r>
                </w:p>
              </w:tc>
              <w:tc>
                <w:tcPr>
                  <w:tcW w:w="1985" w:type="dxa"/>
                  <w:tcBorders>
                    <w:top w:val="single" w:sz="8" w:space="0" w:color="auto"/>
                    <w:left w:val="single" w:sz="8" w:space="0" w:color="auto"/>
                    <w:bottom w:val="single" w:sz="8" w:space="0" w:color="auto"/>
                    <w:right w:val="single" w:sz="8" w:space="0" w:color="auto"/>
                  </w:tcBorders>
                  <w:vAlign w:val="center"/>
                </w:tcPr>
                <w:p w14:paraId="6F968A31" w14:textId="77777777" w:rsidR="00F66968" w:rsidRPr="00865194" w:rsidRDefault="00F66968" w:rsidP="00F66968">
                  <w:pPr>
                    <w:jc w:val="center"/>
                    <w:rPr>
                      <w:b/>
                      <w:bCs/>
                      <w:i/>
                      <w:iCs/>
                      <w:szCs w:val="24"/>
                    </w:rPr>
                  </w:pPr>
                  <w:r w:rsidRPr="00865194">
                    <w:rPr>
                      <w:b/>
                      <w:bCs/>
                      <w:szCs w:val="24"/>
                    </w:rPr>
                    <w:t>Supaprastintai apmokamų išlaidų dydžio versija</w:t>
                  </w:r>
                </w:p>
              </w:tc>
              <w:tc>
                <w:tcPr>
                  <w:tcW w:w="4961" w:type="dxa"/>
                  <w:tcBorders>
                    <w:top w:val="single" w:sz="8" w:space="0" w:color="auto"/>
                    <w:left w:val="single" w:sz="8" w:space="0" w:color="auto"/>
                    <w:bottom w:val="single" w:sz="8" w:space="0" w:color="auto"/>
                    <w:right w:val="single" w:sz="8" w:space="0" w:color="auto"/>
                  </w:tcBorders>
                  <w:vAlign w:val="center"/>
                </w:tcPr>
                <w:p w14:paraId="7D406C4A" w14:textId="77777777" w:rsidR="00F66968" w:rsidRPr="00865194" w:rsidRDefault="00F66968" w:rsidP="00F66968">
                  <w:pPr>
                    <w:jc w:val="center"/>
                    <w:rPr>
                      <w:b/>
                      <w:bCs/>
                      <w:szCs w:val="24"/>
                    </w:rPr>
                  </w:pPr>
                  <w:r w:rsidRPr="00865194">
                    <w:rPr>
                      <w:b/>
                      <w:bCs/>
                      <w:szCs w:val="24"/>
                    </w:rPr>
                    <w:t>Supaprastintai apmokamų išlaidų dydžio pavadinimas</w:t>
                  </w:r>
                </w:p>
              </w:tc>
              <w:tc>
                <w:tcPr>
                  <w:tcW w:w="3544" w:type="dxa"/>
                  <w:tcBorders>
                    <w:top w:val="single" w:sz="8" w:space="0" w:color="auto"/>
                    <w:left w:val="single" w:sz="8" w:space="0" w:color="auto"/>
                    <w:bottom w:val="single" w:sz="8" w:space="0" w:color="auto"/>
                    <w:right w:val="single" w:sz="8" w:space="0" w:color="auto"/>
                  </w:tcBorders>
                  <w:vAlign w:val="center"/>
                </w:tcPr>
                <w:p w14:paraId="2B8741B4" w14:textId="77777777" w:rsidR="00F66968" w:rsidRPr="00865194" w:rsidRDefault="00F66968" w:rsidP="00F66968">
                  <w:pPr>
                    <w:jc w:val="center"/>
                    <w:rPr>
                      <w:b/>
                      <w:bCs/>
                      <w:szCs w:val="24"/>
                    </w:rPr>
                  </w:pPr>
                  <w:r w:rsidRPr="00865194">
                    <w:rPr>
                      <w:b/>
                      <w:bCs/>
                      <w:szCs w:val="24"/>
                    </w:rPr>
                    <w:t>Papildoma informacija</w:t>
                  </w:r>
                </w:p>
              </w:tc>
            </w:tr>
            <w:tr w:rsidR="00F66968" w:rsidRPr="00865194" w14:paraId="509286E6" w14:textId="77777777" w:rsidTr="004269A3">
              <w:tc>
                <w:tcPr>
                  <w:tcW w:w="2422" w:type="dxa"/>
                  <w:tcBorders>
                    <w:top w:val="single" w:sz="8" w:space="0" w:color="auto"/>
                    <w:left w:val="single" w:sz="8" w:space="0" w:color="auto"/>
                    <w:bottom w:val="single" w:sz="8" w:space="0" w:color="auto"/>
                    <w:right w:val="single" w:sz="8" w:space="0" w:color="auto"/>
                  </w:tcBorders>
                </w:tcPr>
                <w:p w14:paraId="6708F062" w14:textId="77777777" w:rsidR="00F66968" w:rsidRPr="00865194" w:rsidRDefault="00F66968" w:rsidP="00F66968">
                  <w:pPr>
                    <w:pStyle w:val="ListParagraph"/>
                    <w:numPr>
                      <w:ilvl w:val="0"/>
                      <w:numId w:val="4"/>
                    </w:numPr>
                    <w:ind w:left="339" w:hanging="283"/>
                    <w:rPr>
                      <w:i/>
                      <w:iCs/>
                      <w:szCs w:val="24"/>
                    </w:rPr>
                  </w:pPr>
                  <w:r w:rsidRPr="00865194">
                    <w:rPr>
                      <w:szCs w:val="24"/>
                    </w:rPr>
                    <w:t>Netiesioginės projekto veiklos ir išlaidos joms apmokėti</w:t>
                  </w:r>
                </w:p>
              </w:tc>
              <w:tc>
                <w:tcPr>
                  <w:tcW w:w="1996" w:type="dxa"/>
                  <w:tcBorders>
                    <w:top w:val="single" w:sz="8" w:space="0" w:color="auto"/>
                    <w:left w:val="single" w:sz="8" w:space="0" w:color="auto"/>
                    <w:bottom w:val="single" w:sz="8" w:space="0" w:color="auto"/>
                    <w:right w:val="single" w:sz="8" w:space="0" w:color="auto"/>
                  </w:tcBorders>
                </w:tcPr>
                <w:p w14:paraId="5CFAC607" w14:textId="77777777" w:rsidR="00F66968" w:rsidRPr="00865194" w:rsidRDefault="00F66968" w:rsidP="00F66968">
                  <w:pPr>
                    <w:jc w:val="center"/>
                    <w:rPr>
                      <w:i/>
                      <w:iCs/>
                      <w:szCs w:val="24"/>
                    </w:rPr>
                  </w:pPr>
                  <w:r w:rsidRPr="00865194">
                    <w:rPr>
                      <w:szCs w:val="24"/>
                    </w:rPr>
                    <w:t>FN-01</w:t>
                  </w:r>
                </w:p>
              </w:tc>
              <w:tc>
                <w:tcPr>
                  <w:tcW w:w="1985" w:type="dxa"/>
                  <w:tcBorders>
                    <w:top w:val="single" w:sz="8" w:space="0" w:color="auto"/>
                    <w:left w:val="single" w:sz="8" w:space="0" w:color="auto"/>
                    <w:bottom w:val="single" w:sz="8" w:space="0" w:color="auto"/>
                    <w:right w:val="single" w:sz="8" w:space="0" w:color="auto"/>
                  </w:tcBorders>
                </w:tcPr>
                <w:p w14:paraId="1B8BE000" w14:textId="77777777" w:rsidR="00F66968" w:rsidRPr="00865194" w:rsidRDefault="00F66968" w:rsidP="00F66968">
                  <w:pPr>
                    <w:jc w:val="center"/>
                    <w:rPr>
                      <w:i/>
                      <w:iCs/>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601D113A" w14:textId="77777777" w:rsidR="00F66968" w:rsidRPr="00865194" w:rsidRDefault="00F66968" w:rsidP="00F66968">
                  <w:pPr>
                    <w:jc w:val="center"/>
                    <w:rPr>
                      <w:i/>
                      <w:iCs/>
                      <w:szCs w:val="24"/>
                    </w:rPr>
                  </w:pPr>
                  <w:r w:rsidRPr="00865194">
                    <w:rPr>
                      <w:szCs w:val="24"/>
                    </w:rPr>
                    <w:t>Iki 7 proc.</w:t>
                  </w:r>
                  <w:r w:rsidRPr="00865194">
                    <w:rPr>
                      <w:szCs w:val="24"/>
                      <w:shd w:val="clear" w:color="auto" w:fill="FFFFFF"/>
                    </w:rPr>
                    <w:t xml:space="preserve"> netiesioginių išlaidų fiksuotoji norma.</w:t>
                  </w:r>
                </w:p>
              </w:tc>
              <w:tc>
                <w:tcPr>
                  <w:tcW w:w="3544" w:type="dxa"/>
                  <w:tcBorders>
                    <w:top w:val="single" w:sz="8" w:space="0" w:color="auto"/>
                    <w:left w:val="single" w:sz="8" w:space="0" w:color="auto"/>
                    <w:bottom w:val="single" w:sz="8" w:space="0" w:color="auto"/>
                    <w:right w:val="single" w:sz="8" w:space="0" w:color="auto"/>
                  </w:tcBorders>
                </w:tcPr>
                <w:p w14:paraId="562AC4DF" w14:textId="77777777" w:rsidR="00F66968" w:rsidRPr="00865194" w:rsidRDefault="00F66968" w:rsidP="00F66968">
                  <w:pPr>
                    <w:rPr>
                      <w:szCs w:val="24"/>
                    </w:rPr>
                  </w:pPr>
                  <w:r w:rsidRPr="00865194">
                    <w:rPr>
                      <w:szCs w:val="24"/>
                    </w:rPr>
                    <w:t>Supaprastintai apmokamų išlaidų dydžių registras yra paskelbtas ES investicijų interneto svetainėje adresu</w:t>
                  </w:r>
                </w:p>
                <w:p w14:paraId="41CF80F1" w14:textId="77777777" w:rsidR="00F66968" w:rsidRPr="00865194" w:rsidRDefault="00F66968" w:rsidP="00F66968">
                  <w:pPr>
                    <w:rPr>
                      <w:i/>
                      <w:iCs/>
                      <w:szCs w:val="24"/>
                    </w:rPr>
                  </w:pPr>
                  <w:r w:rsidRPr="00865194">
                    <w:rPr>
                      <w:szCs w:val="24"/>
                      <w:shd w:val="clear" w:color="auto" w:fill="FFFFFF"/>
                    </w:rPr>
                    <w:t>https://2021.esinvesticijos.lt/dokumentai/supaprastintai-apmokamu-islaidu-dydziu-registras</w:t>
                  </w:r>
                </w:p>
              </w:tc>
            </w:tr>
            <w:tr w:rsidR="00F66968" w:rsidRPr="00865194" w14:paraId="13C4F7E6" w14:textId="77777777" w:rsidTr="004269A3">
              <w:tc>
                <w:tcPr>
                  <w:tcW w:w="2422" w:type="dxa"/>
                  <w:tcBorders>
                    <w:top w:val="single" w:sz="8" w:space="0" w:color="auto"/>
                    <w:left w:val="single" w:sz="8" w:space="0" w:color="auto"/>
                    <w:bottom w:val="single" w:sz="8" w:space="0" w:color="auto"/>
                    <w:right w:val="single" w:sz="8" w:space="0" w:color="auto"/>
                  </w:tcBorders>
                </w:tcPr>
                <w:p w14:paraId="204E0E3B" w14:textId="77777777" w:rsidR="00F66968" w:rsidRPr="00865194" w:rsidRDefault="00F66968" w:rsidP="00F66968">
                  <w:pPr>
                    <w:pStyle w:val="ListParagraph"/>
                    <w:numPr>
                      <w:ilvl w:val="0"/>
                      <w:numId w:val="4"/>
                    </w:numPr>
                    <w:ind w:left="339" w:hanging="283"/>
                    <w:rPr>
                      <w:szCs w:val="24"/>
                    </w:rPr>
                  </w:pPr>
                  <w:r w:rsidRPr="00865194">
                    <w:rPr>
                      <w:szCs w:val="24"/>
                    </w:rPr>
                    <w:lastRenderedPageBreak/>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6D84BDC1" w14:textId="77777777" w:rsidR="00F66968" w:rsidRPr="00865194" w:rsidRDefault="00F66968" w:rsidP="00F66968">
                  <w:pPr>
                    <w:jc w:val="center"/>
                    <w:rPr>
                      <w:szCs w:val="24"/>
                    </w:rPr>
                  </w:pPr>
                  <w:r w:rsidRPr="00865194">
                    <w:rPr>
                      <w:rStyle w:val="cf01"/>
                      <w:rFonts w:ascii="Times New Roman" w:hAnsi="Times New Roman" w:cs="Times New Roman"/>
                      <w:sz w:val="24"/>
                      <w:szCs w:val="24"/>
                    </w:rPr>
                    <w:t>FS-0</w:t>
                  </w:r>
                  <w:r w:rsidRPr="00865194">
                    <w:rPr>
                      <w:rStyle w:val="cf11"/>
                      <w:szCs w:val="24"/>
                    </w:rPr>
                    <w:t>1-01</w:t>
                  </w:r>
                </w:p>
              </w:tc>
              <w:tc>
                <w:tcPr>
                  <w:tcW w:w="1985" w:type="dxa"/>
                  <w:tcBorders>
                    <w:top w:val="single" w:sz="8" w:space="0" w:color="auto"/>
                    <w:left w:val="single" w:sz="8" w:space="0" w:color="auto"/>
                    <w:bottom w:val="single" w:sz="8" w:space="0" w:color="auto"/>
                    <w:right w:val="single" w:sz="8" w:space="0" w:color="auto"/>
                  </w:tcBorders>
                </w:tcPr>
                <w:p w14:paraId="18708A87"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307F28CC" w14:textId="77777777" w:rsidR="00F66968" w:rsidRPr="00865194" w:rsidRDefault="00F66968" w:rsidP="00F66968">
                  <w:pPr>
                    <w:jc w:val="center"/>
                    <w:rPr>
                      <w:szCs w:val="24"/>
                    </w:rPr>
                  </w:pPr>
                  <w:r w:rsidRPr="00865194">
                    <w:rPr>
                      <w:szCs w:val="24"/>
                    </w:rPr>
                    <w:t>Įgyvendintų privalomų matomumo ir informavimo priemonių apie ES fondų investicijų veiklas fiksuotoji suma, pirmojo rinkinio FS be PVM.</w:t>
                  </w:r>
                </w:p>
              </w:tc>
              <w:tc>
                <w:tcPr>
                  <w:tcW w:w="3544" w:type="dxa"/>
                  <w:tcBorders>
                    <w:top w:val="single" w:sz="8" w:space="0" w:color="auto"/>
                    <w:left w:val="single" w:sz="8" w:space="0" w:color="auto"/>
                    <w:bottom w:val="single" w:sz="8" w:space="0" w:color="auto"/>
                    <w:right w:val="single" w:sz="8" w:space="0" w:color="auto"/>
                  </w:tcBorders>
                </w:tcPr>
                <w:p w14:paraId="194CE617" w14:textId="77777777" w:rsidR="00F66968" w:rsidRPr="00865194" w:rsidRDefault="00F66968" w:rsidP="00F66968">
                  <w:pPr>
                    <w:rPr>
                      <w:szCs w:val="24"/>
                    </w:rPr>
                  </w:pPr>
                  <w:r w:rsidRPr="00865194">
                    <w:rPr>
                      <w:szCs w:val="24"/>
                    </w:rPr>
                    <w:t>Supaprastintai apmokamų išlaidų dydžių registras yra paskelbtas ES investicijų interneto svetainėje adresu</w:t>
                  </w:r>
                </w:p>
                <w:p w14:paraId="3623BAE0"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5C63F660" w14:textId="77777777" w:rsidTr="004269A3">
              <w:tc>
                <w:tcPr>
                  <w:tcW w:w="2422" w:type="dxa"/>
                  <w:tcBorders>
                    <w:top w:val="single" w:sz="8" w:space="0" w:color="auto"/>
                    <w:left w:val="single" w:sz="8" w:space="0" w:color="auto"/>
                    <w:bottom w:val="single" w:sz="8" w:space="0" w:color="auto"/>
                    <w:right w:val="single" w:sz="8" w:space="0" w:color="auto"/>
                  </w:tcBorders>
                </w:tcPr>
                <w:p w14:paraId="0666E1D7" w14:textId="77777777" w:rsidR="00F66968" w:rsidRPr="00865194" w:rsidRDefault="00F66968" w:rsidP="00F66968">
                  <w:pPr>
                    <w:pStyle w:val="ListParagraph"/>
                    <w:numPr>
                      <w:ilvl w:val="0"/>
                      <w:numId w:val="4"/>
                    </w:numPr>
                    <w:tabs>
                      <w:tab w:val="left" w:pos="198"/>
                      <w:tab w:val="left" w:pos="481"/>
                    </w:tabs>
                    <w:ind w:left="339" w:right="168" w:hanging="283"/>
                    <w:rPr>
                      <w:szCs w:val="24"/>
                    </w:rPr>
                  </w:pPr>
                  <w:r w:rsidRPr="00865194">
                    <w:rPr>
                      <w:szCs w:val="24"/>
                    </w:rPr>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33F299D2" w14:textId="77777777" w:rsidR="00F66968" w:rsidRPr="00865194" w:rsidRDefault="00F66968" w:rsidP="00F66968">
                  <w:pPr>
                    <w:jc w:val="center"/>
                    <w:rPr>
                      <w:szCs w:val="24"/>
                      <w:lang w:val="en-US" w:eastAsia="lt-LT"/>
                    </w:rPr>
                  </w:pPr>
                  <w:r w:rsidRPr="00865194">
                    <w:rPr>
                      <w:rStyle w:val="cf01"/>
                      <w:rFonts w:ascii="Times New Roman" w:hAnsi="Times New Roman" w:cs="Times New Roman"/>
                      <w:sz w:val="24"/>
                      <w:szCs w:val="24"/>
                    </w:rPr>
                    <w:t>FS-0</w:t>
                  </w:r>
                  <w:r w:rsidRPr="00865194">
                    <w:rPr>
                      <w:rStyle w:val="cf11"/>
                      <w:szCs w:val="24"/>
                    </w:rPr>
                    <w:t>1-0</w:t>
                  </w:r>
                  <w:r w:rsidRPr="00865194">
                    <w:rPr>
                      <w:rStyle w:val="cf11"/>
                      <w:szCs w:val="24"/>
                      <w:lang w:val="en-US"/>
                    </w:rPr>
                    <w:t>2</w:t>
                  </w:r>
                </w:p>
              </w:tc>
              <w:tc>
                <w:tcPr>
                  <w:tcW w:w="1985" w:type="dxa"/>
                  <w:tcBorders>
                    <w:top w:val="single" w:sz="8" w:space="0" w:color="auto"/>
                    <w:left w:val="single" w:sz="8" w:space="0" w:color="auto"/>
                    <w:bottom w:val="single" w:sz="8" w:space="0" w:color="auto"/>
                    <w:right w:val="single" w:sz="8" w:space="0" w:color="auto"/>
                  </w:tcBorders>
                </w:tcPr>
                <w:p w14:paraId="7D03E746"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19CC6E67" w14:textId="77777777" w:rsidR="00F66968" w:rsidRPr="00865194" w:rsidRDefault="00F66968" w:rsidP="00F66968">
                  <w:pPr>
                    <w:jc w:val="center"/>
                    <w:rPr>
                      <w:szCs w:val="24"/>
                      <w:lang w:eastAsia="lt-LT"/>
                    </w:rPr>
                  </w:pPr>
                  <w:r w:rsidRPr="00865194">
                    <w:rPr>
                      <w:szCs w:val="24"/>
                      <w:lang w:eastAsia="lt-LT"/>
                    </w:rPr>
                    <w:t>Įgyvendintų privalomų matomumo ir informavimo priemonių apie ES fondų investicijų veiklas fiksuotoji suma, pirmojo rinkinio FS su PVM.</w:t>
                  </w:r>
                </w:p>
              </w:tc>
              <w:tc>
                <w:tcPr>
                  <w:tcW w:w="3544" w:type="dxa"/>
                  <w:tcBorders>
                    <w:top w:val="single" w:sz="8" w:space="0" w:color="auto"/>
                    <w:left w:val="single" w:sz="8" w:space="0" w:color="auto"/>
                    <w:bottom w:val="single" w:sz="8" w:space="0" w:color="auto"/>
                    <w:right w:val="single" w:sz="8" w:space="0" w:color="auto"/>
                  </w:tcBorders>
                </w:tcPr>
                <w:p w14:paraId="52B43691" w14:textId="77777777" w:rsidR="00F66968" w:rsidRPr="00865194" w:rsidRDefault="00F66968" w:rsidP="00F66968">
                  <w:pPr>
                    <w:rPr>
                      <w:szCs w:val="24"/>
                    </w:rPr>
                  </w:pPr>
                  <w:r w:rsidRPr="00865194">
                    <w:rPr>
                      <w:szCs w:val="24"/>
                    </w:rPr>
                    <w:t>Supaprastintai apmokamų išlaidų dydžių registras yra paskelbtas ES investicijų interneto svetainėje adresu</w:t>
                  </w:r>
                </w:p>
                <w:p w14:paraId="669E27A6"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25F1EF28" w14:textId="77777777" w:rsidTr="004269A3">
              <w:tc>
                <w:tcPr>
                  <w:tcW w:w="2422" w:type="dxa"/>
                  <w:tcBorders>
                    <w:top w:val="single" w:sz="8" w:space="0" w:color="auto"/>
                    <w:left w:val="single" w:sz="8" w:space="0" w:color="auto"/>
                    <w:bottom w:val="single" w:sz="8" w:space="0" w:color="auto"/>
                    <w:right w:val="single" w:sz="8" w:space="0" w:color="auto"/>
                  </w:tcBorders>
                </w:tcPr>
                <w:p w14:paraId="01EFB05F" w14:textId="77777777" w:rsidR="00F66968" w:rsidRPr="00865194" w:rsidRDefault="00F66968" w:rsidP="00F66968">
                  <w:pPr>
                    <w:pStyle w:val="ListParagraph"/>
                    <w:numPr>
                      <w:ilvl w:val="0"/>
                      <w:numId w:val="4"/>
                    </w:numPr>
                    <w:tabs>
                      <w:tab w:val="left" w:pos="198"/>
                      <w:tab w:val="left" w:pos="481"/>
                    </w:tabs>
                    <w:ind w:left="339" w:right="168" w:hanging="283"/>
                    <w:rPr>
                      <w:i/>
                      <w:iCs/>
                      <w:szCs w:val="24"/>
                    </w:rPr>
                  </w:pPr>
                  <w:r w:rsidRPr="00865194">
                    <w:rPr>
                      <w:szCs w:val="24"/>
                    </w:rPr>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634DEAC6" w14:textId="77777777" w:rsidR="00F66968" w:rsidRPr="00865194" w:rsidRDefault="00F66968" w:rsidP="00F66968">
                  <w:pPr>
                    <w:jc w:val="center"/>
                    <w:rPr>
                      <w:i/>
                      <w:iCs/>
                      <w:szCs w:val="24"/>
                    </w:rPr>
                  </w:pPr>
                  <w:r w:rsidRPr="00865194">
                    <w:rPr>
                      <w:szCs w:val="24"/>
                      <w:lang w:eastAsia="lt-LT"/>
                    </w:rPr>
                    <w:t>FS-01-04</w:t>
                  </w:r>
                </w:p>
              </w:tc>
              <w:tc>
                <w:tcPr>
                  <w:tcW w:w="1985" w:type="dxa"/>
                  <w:tcBorders>
                    <w:top w:val="single" w:sz="8" w:space="0" w:color="auto"/>
                    <w:left w:val="single" w:sz="8" w:space="0" w:color="auto"/>
                    <w:bottom w:val="single" w:sz="8" w:space="0" w:color="auto"/>
                    <w:right w:val="single" w:sz="8" w:space="0" w:color="auto"/>
                  </w:tcBorders>
                </w:tcPr>
                <w:p w14:paraId="3F34ABF6" w14:textId="77777777" w:rsidR="00F66968" w:rsidRPr="00865194" w:rsidRDefault="00F66968" w:rsidP="00F66968">
                  <w:pPr>
                    <w:jc w:val="center"/>
                    <w:rPr>
                      <w:i/>
                      <w:iCs/>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62B5DAC6" w14:textId="77777777" w:rsidR="00F66968" w:rsidRPr="00865194" w:rsidRDefault="00F66968" w:rsidP="00F66968">
                  <w:pPr>
                    <w:jc w:val="center"/>
                    <w:rPr>
                      <w:i/>
                      <w:iCs/>
                      <w:szCs w:val="24"/>
                    </w:rPr>
                  </w:pPr>
                  <w:r w:rsidRPr="00865194">
                    <w:rPr>
                      <w:szCs w:val="24"/>
                      <w:lang w:eastAsia="lt-LT"/>
                    </w:rPr>
                    <w:t>Įgyvendintų privalomų matomumo ir informavimo priemonių apie ES fondų investicijų veiklas fiksuotoji suma, antrojo rinkinio fiksuotoji suma su PVM.</w:t>
                  </w:r>
                </w:p>
              </w:tc>
              <w:tc>
                <w:tcPr>
                  <w:tcW w:w="3544" w:type="dxa"/>
                  <w:tcBorders>
                    <w:top w:val="single" w:sz="8" w:space="0" w:color="auto"/>
                    <w:left w:val="single" w:sz="8" w:space="0" w:color="auto"/>
                    <w:bottom w:val="single" w:sz="8" w:space="0" w:color="auto"/>
                    <w:right w:val="single" w:sz="8" w:space="0" w:color="auto"/>
                  </w:tcBorders>
                </w:tcPr>
                <w:p w14:paraId="7596D909"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371118D2" w14:textId="77777777" w:rsidR="00F66968" w:rsidRPr="00865194" w:rsidRDefault="00F66968" w:rsidP="00F66968">
                  <w:pPr>
                    <w:rPr>
                      <w:i/>
                      <w:iCs/>
                      <w:szCs w:val="24"/>
                    </w:rPr>
                  </w:pPr>
                  <w:r w:rsidRPr="00865194">
                    <w:rPr>
                      <w:szCs w:val="24"/>
                      <w:shd w:val="clear" w:color="auto" w:fill="FFFFFF"/>
                    </w:rPr>
                    <w:t>https://2021.esinvesticijos.lt/dokumentai/supaprastintai-apmokamu-islaidu-dydziu-registras</w:t>
                  </w:r>
                </w:p>
              </w:tc>
            </w:tr>
            <w:tr w:rsidR="00F66968" w:rsidRPr="00865194" w14:paraId="61A66EAF" w14:textId="77777777" w:rsidTr="004269A3">
              <w:tc>
                <w:tcPr>
                  <w:tcW w:w="2422" w:type="dxa"/>
                  <w:tcBorders>
                    <w:top w:val="single" w:sz="8" w:space="0" w:color="auto"/>
                    <w:left w:val="single" w:sz="8" w:space="0" w:color="auto"/>
                    <w:bottom w:val="single" w:sz="8" w:space="0" w:color="auto"/>
                    <w:right w:val="single" w:sz="8" w:space="0" w:color="auto"/>
                  </w:tcBorders>
                </w:tcPr>
                <w:p w14:paraId="4D709438" w14:textId="77777777" w:rsidR="00F66968" w:rsidRPr="00865194" w:rsidRDefault="00F66968" w:rsidP="00F66968">
                  <w:pPr>
                    <w:pStyle w:val="ListParagraph"/>
                    <w:numPr>
                      <w:ilvl w:val="0"/>
                      <w:numId w:val="4"/>
                    </w:numPr>
                    <w:ind w:left="339" w:hanging="339"/>
                    <w:rPr>
                      <w:szCs w:val="24"/>
                    </w:rPr>
                  </w:pPr>
                  <w:r w:rsidRPr="00865194">
                    <w:rPr>
                      <w:szCs w:val="24"/>
                    </w:rPr>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72F2F524" w14:textId="77777777" w:rsidR="00F66968" w:rsidRPr="00865194" w:rsidRDefault="00F66968" w:rsidP="00F66968">
                  <w:pPr>
                    <w:jc w:val="center"/>
                    <w:rPr>
                      <w:szCs w:val="24"/>
                      <w:lang w:eastAsia="lt-LT"/>
                    </w:rPr>
                  </w:pPr>
                  <w:r w:rsidRPr="00865194">
                    <w:rPr>
                      <w:szCs w:val="24"/>
                      <w:lang w:eastAsia="lt-LT"/>
                    </w:rPr>
                    <w:t>FS-01-03</w:t>
                  </w:r>
                </w:p>
              </w:tc>
              <w:tc>
                <w:tcPr>
                  <w:tcW w:w="1985" w:type="dxa"/>
                  <w:tcBorders>
                    <w:top w:val="single" w:sz="8" w:space="0" w:color="auto"/>
                    <w:left w:val="single" w:sz="8" w:space="0" w:color="auto"/>
                    <w:bottom w:val="single" w:sz="8" w:space="0" w:color="auto"/>
                    <w:right w:val="single" w:sz="8" w:space="0" w:color="auto"/>
                  </w:tcBorders>
                </w:tcPr>
                <w:p w14:paraId="6DB36D3F"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1772FDCE" w14:textId="77777777" w:rsidR="00F66968" w:rsidRPr="00865194" w:rsidRDefault="00F66968" w:rsidP="00F66968">
                  <w:pPr>
                    <w:jc w:val="center"/>
                    <w:rPr>
                      <w:szCs w:val="24"/>
                      <w:lang w:eastAsia="lt-LT"/>
                    </w:rPr>
                  </w:pPr>
                  <w:r w:rsidRPr="00865194">
                    <w:rPr>
                      <w:szCs w:val="24"/>
                      <w:lang w:eastAsia="lt-LT"/>
                    </w:rPr>
                    <w:t>Įgyvendintų privalomų matomumo ir informavimo priemonių apie ES fondų investicijų veiklas fiksuotoji suma, antrojo rinkinio fiksuotoji suma be PVM.</w:t>
                  </w:r>
                </w:p>
              </w:tc>
              <w:tc>
                <w:tcPr>
                  <w:tcW w:w="3544" w:type="dxa"/>
                  <w:tcBorders>
                    <w:top w:val="single" w:sz="8" w:space="0" w:color="auto"/>
                    <w:left w:val="single" w:sz="8" w:space="0" w:color="auto"/>
                    <w:bottom w:val="single" w:sz="8" w:space="0" w:color="auto"/>
                    <w:right w:val="single" w:sz="8" w:space="0" w:color="auto"/>
                  </w:tcBorders>
                </w:tcPr>
                <w:p w14:paraId="317F7B50"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02AA7DBD"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75A74703" w14:textId="77777777" w:rsidTr="004269A3">
              <w:tc>
                <w:tcPr>
                  <w:tcW w:w="2422" w:type="dxa"/>
                  <w:tcBorders>
                    <w:top w:val="single" w:sz="8" w:space="0" w:color="auto"/>
                    <w:left w:val="single" w:sz="8" w:space="0" w:color="auto"/>
                    <w:bottom w:val="single" w:sz="8" w:space="0" w:color="auto"/>
                    <w:right w:val="single" w:sz="8" w:space="0" w:color="auto"/>
                  </w:tcBorders>
                </w:tcPr>
                <w:p w14:paraId="48F1242A" w14:textId="77777777" w:rsidR="00F66968" w:rsidRPr="00865194" w:rsidRDefault="00F66968" w:rsidP="00F66968">
                  <w:pPr>
                    <w:pStyle w:val="ListParagraph"/>
                    <w:numPr>
                      <w:ilvl w:val="0"/>
                      <w:numId w:val="4"/>
                    </w:numPr>
                    <w:ind w:left="339" w:hanging="339"/>
                    <w:rPr>
                      <w:szCs w:val="24"/>
                      <w:shd w:val="clear" w:color="auto" w:fill="FFFFFF"/>
                    </w:rPr>
                  </w:pPr>
                  <w:r w:rsidRPr="00865194">
                    <w:rPr>
                      <w:szCs w:val="24"/>
                    </w:rPr>
                    <w:t xml:space="preserve">Projektą vykdančio personalo išlaidos už </w:t>
                  </w:r>
                  <w:r w:rsidRPr="00865194">
                    <w:rPr>
                      <w:szCs w:val="24"/>
                    </w:rPr>
                    <w:lastRenderedPageBreak/>
                    <w:t>kasmetines atostogas</w:t>
                  </w:r>
                </w:p>
              </w:tc>
              <w:tc>
                <w:tcPr>
                  <w:tcW w:w="1996" w:type="dxa"/>
                  <w:tcBorders>
                    <w:top w:val="single" w:sz="8" w:space="0" w:color="auto"/>
                    <w:left w:val="single" w:sz="8" w:space="0" w:color="auto"/>
                    <w:bottom w:val="single" w:sz="8" w:space="0" w:color="auto"/>
                    <w:right w:val="single" w:sz="8" w:space="0" w:color="auto"/>
                  </w:tcBorders>
                </w:tcPr>
                <w:p w14:paraId="66054203" w14:textId="77777777" w:rsidR="00F66968" w:rsidRPr="00865194" w:rsidRDefault="00F66968" w:rsidP="00F66968">
                  <w:pPr>
                    <w:jc w:val="center"/>
                    <w:rPr>
                      <w:szCs w:val="24"/>
                      <w:shd w:val="clear" w:color="auto" w:fill="FFFFFF"/>
                    </w:rPr>
                  </w:pPr>
                  <w:r w:rsidRPr="00865194">
                    <w:rPr>
                      <w:szCs w:val="24"/>
                      <w:shd w:val="clear" w:color="auto" w:fill="FFFFFF"/>
                    </w:rPr>
                    <w:lastRenderedPageBreak/>
                    <w:t>FN-05-01</w:t>
                  </w:r>
                </w:p>
              </w:tc>
              <w:tc>
                <w:tcPr>
                  <w:tcW w:w="1985" w:type="dxa"/>
                  <w:tcBorders>
                    <w:top w:val="single" w:sz="8" w:space="0" w:color="auto"/>
                    <w:left w:val="single" w:sz="8" w:space="0" w:color="auto"/>
                    <w:bottom w:val="single" w:sz="8" w:space="0" w:color="auto"/>
                    <w:right w:val="single" w:sz="8" w:space="0" w:color="auto"/>
                  </w:tcBorders>
                </w:tcPr>
                <w:p w14:paraId="72C2565C"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24780F7E" w14:textId="77777777" w:rsidR="00F66968" w:rsidRPr="00865194" w:rsidRDefault="00F66968" w:rsidP="00F66968">
                  <w:pPr>
                    <w:jc w:val="center"/>
                    <w:rPr>
                      <w:szCs w:val="24"/>
                      <w:shd w:val="clear" w:color="auto" w:fill="FFFFFF"/>
                    </w:rPr>
                  </w:pPr>
                  <w:r w:rsidRPr="00865194">
                    <w:rPr>
                      <w:szCs w:val="24"/>
                      <w:shd w:val="clear" w:color="auto" w:fill="FFFFFF"/>
                    </w:rPr>
                    <w:t xml:space="preserve">Fiksuotoji norma, taikoma, kai priklauso 20 d. d. (jeigu dirbama 5 d. d. per savaitę) arba 24 d. d. </w:t>
                  </w:r>
                  <w:r w:rsidRPr="00865194">
                    <w:rPr>
                      <w:szCs w:val="24"/>
                      <w:shd w:val="clear" w:color="auto" w:fill="FFFFFF"/>
                    </w:rPr>
                    <w:lastRenderedPageBreak/>
                    <w:t>(jeigu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2CF72938" w14:textId="77777777" w:rsidR="00F66968" w:rsidRPr="00865194" w:rsidRDefault="00F66968" w:rsidP="00F66968">
                  <w:pPr>
                    <w:rPr>
                      <w:szCs w:val="24"/>
                    </w:rPr>
                  </w:pPr>
                  <w:r w:rsidRPr="00865194">
                    <w:rPr>
                      <w:szCs w:val="24"/>
                    </w:rPr>
                    <w:lastRenderedPageBreak/>
                    <w:t xml:space="preserve">Supaprastintai apmokamų išlaidų dydžių registras yra paskelbtas ES investicijų interneto svetainėje adresu </w:t>
                  </w:r>
                </w:p>
                <w:p w14:paraId="20F51805"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3C2ACD1B" w14:textId="77777777" w:rsidTr="004269A3">
              <w:tc>
                <w:tcPr>
                  <w:tcW w:w="2422" w:type="dxa"/>
                  <w:tcBorders>
                    <w:top w:val="single" w:sz="8" w:space="0" w:color="auto"/>
                    <w:left w:val="single" w:sz="8" w:space="0" w:color="auto"/>
                    <w:bottom w:val="single" w:sz="8" w:space="0" w:color="auto"/>
                    <w:right w:val="single" w:sz="8" w:space="0" w:color="auto"/>
                  </w:tcBorders>
                </w:tcPr>
                <w:p w14:paraId="2D5C3E12" w14:textId="77777777" w:rsidR="00F66968" w:rsidRPr="00865194" w:rsidRDefault="00F66968" w:rsidP="00F66968">
                  <w:pPr>
                    <w:pStyle w:val="ListParagraph"/>
                    <w:numPr>
                      <w:ilvl w:val="0"/>
                      <w:numId w:val="4"/>
                    </w:numPr>
                    <w:ind w:left="339" w:hanging="339"/>
                    <w:rPr>
                      <w:szCs w:val="24"/>
                      <w:shd w:val="clear" w:color="auto" w:fill="FFFFFF"/>
                    </w:rPr>
                  </w:pPr>
                  <w:r w:rsidRPr="00865194">
                    <w:rPr>
                      <w:szCs w:val="24"/>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46C5F54E" w14:textId="77777777" w:rsidR="00F66968" w:rsidRPr="00865194" w:rsidRDefault="00F66968" w:rsidP="00F66968">
                  <w:pPr>
                    <w:jc w:val="center"/>
                    <w:rPr>
                      <w:szCs w:val="24"/>
                      <w:shd w:val="clear" w:color="auto" w:fill="FFFFFF"/>
                    </w:rPr>
                  </w:pPr>
                  <w:r w:rsidRPr="00865194">
                    <w:rPr>
                      <w:szCs w:val="24"/>
                      <w:shd w:val="clear" w:color="auto" w:fill="FFFFFF"/>
                    </w:rPr>
                    <w:t>FN-05-02</w:t>
                  </w:r>
                </w:p>
              </w:tc>
              <w:tc>
                <w:tcPr>
                  <w:tcW w:w="1985" w:type="dxa"/>
                  <w:tcBorders>
                    <w:top w:val="single" w:sz="8" w:space="0" w:color="auto"/>
                    <w:left w:val="single" w:sz="8" w:space="0" w:color="auto"/>
                    <w:bottom w:val="single" w:sz="8" w:space="0" w:color="auto"/>
                    <w:right w:val="single" w:sz="8" w:space="0" w:color="auto"/>
                  </w:tcBorders>
                </w:tcPr>
                <w:p w14:paraId="33609717"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1B911A76" w14:textId="77777777" w:rsidR="00F66968" w:rsidRPr="00865194" w:rsidRDefault="00F66968" w:rsidP="00F66968">
                  <w:pPr>
                    <w:jc w:val="center"/>
                    <w:rPr>
                      <w:szCs w:val="24"/>
                      <w:shd w:val="clear" w:color="auto" w:fill="FFFFFF"/>
                    </w:rPr>
                  </w:pPr>
                  <w:r w:rsidRPr="00865194">
                    <w:rPr>
                      <w:szCs w:val="24"/>
                      <w:shd w:val="clear" w:color="auto" w:fill="FFFFFF"/>
                    </w:rPr>
                    <w:t>Fiksuotoji norma, taikoma, kai priklauso nuo 21 iki 25 d. d. (jeigu dirbama 5 d. d. per savaitę) arba nuo 25 iki 30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28B0D0D3"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2247EBB9"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6EF7B94C" w14:textId="77777777" w:rsidTr="004269A3">
              <w:tc>
                <w:tcPr>
                  <w:tcW w:w="2422" w:type="dxa"/>
                  <w:tcBorders>
                    <w:top w:val="single" w:sz="8" w:space="0" w:color="auto"/>
                    <w:left w:val="single" w:sz="8" w:space="0" w:color="auto"/>
                    <w:bottom w:val="single" w:sz="8" w:space="0" w:color="auto"/>
                    <w:right w:val="single" w:sz="8" w:space="0" w:color="auto"/>
                  </w:tcBorders>
                </w:tcPr>
                <w:p w14:paraId="510B67CA" w14:textId="77777777" w:rsidR="00F66968" w:rsidRPr="00865194" w:rsidRDefault="00F66968" w:rsidP="00F66968">
                  <w:pPr>
                    <w:pStyle w:val="ListParagraph"/>
                    <w:numPr>
                      <w:ilvl w:val="0"/>
                      <w:numId w:val="4"/>
                    </w:numPr>
                    <w:ind w:left="339" w:hanging="339"/>
                    <w:rPr>
                      <w:szCs w:val="24"/>
                      <w:shd w:val="clear" w:color="auto" w:fill="FFFFFF"/>
                    </w:rPr>
                  </w:pPr>
                  <w:r w:rsidRPr="00865194">
                    <w:rPr>
                      <w:szCs w:val="24"/>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3D998833" w14:textId="77777777" w:rsidR="00F66968" w:rsidRPr="00865194" w:rsidRDefault="00F66968" w:rsidP="00F66968">
                  <w:pPr>
                    <w:jc w:val="center"/>
                    <w:rPr>
                      <w:szCs w:val="24"/>
                      <w:shd w:val="clear" w:color="auto" w:fill="FFFFFF"/>
                    </w:rPr>
                  </w:pPr>
                  <w:r w:rsidRPr="00865194">
                    <w:rPr>
                      <w:szCs w:val="24"/>
                      <w:shd w:val="clear" w:color="auto" w:fill="FFFFFF"/>
                    </w:rPr>
                    <w:t>FN-05-03</w:t>
                  </w:r>
                </w:p>
              </w:tc>
              <w:tc>
                <w:tcPr>
                  <w:tcW w:w="1985" w:type="dxa"/>
                  <w:tcBorders>
                    <w:top w:val="single" w:sz="8" w:space="0" w:color="auto"/>
                    <w:left w:val="single" w:sz="8" w:space="0" w:color="auto"/>
                    <w:bottom w:val="single" w:sz="8" w:space="0" w:color="auto"/>
                    <w:right w:val="single" w:sz="8" w:space="0" w:color="auto"/>
                  </w:tcBorders>
                </w:tcPr>
                <w:p w14:paraId="460AE1DF"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2A87FD95" w14:textId="77777777" w:rsidR="00F66968" w:rsidRPr="00865194" w:rsidRDefault="00F66968" w:rsidP="00F66968">
                  <w:pPr>
                    <w:jc w:val="center"/>
                    <w:rPr>
                      <w:szCs w:val="24"/>
                      <w:shd w:val="clear" w:color="auto" w:fill="FFFFFF"/>
                    </w:rPr>
                  </w:pPr>
                  <w:r w:rsidRPr="00865194">
                    <w:rPr>
                      <w:szCs w:val="24"/>
                      <w:shd w:val="clear" w:color="auto" w:fill="FFFFFF"/>
                    </w:rPr>
                    <w:t>Fiksuotoji norma, taikoma, kai priklauso nuo 26 iki 30 d. d. (jeigu dirbama 5 d. d. per savaitę) arba nuo 31 iki 36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3E18013D"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39F45F45"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2DFBAFB7" w14:textId="77777777" w:rsidTr="004269A3">
              <w:tc>
                <w:tcPr>
                  <w:tcW w:w="2422" w:type="dxa"/>
                  <w:tcBorders>
                    <w:top w:val="single" w:sz="8" w:space="0" w:color="auto"/>
                    <w:left w:val="single" w:sz="8" w:space="0" w:color="auto"/>
                    <w:bottom w:val="single" w:sz="8" w:space="0" w:color="auto"/>
                    <w:right w:val="single" w:sz="8" w:space="0" w:color="auto"/>
                  </w:tcBorders>
                </w:tcPr>
                <w:p w14:paraId="308C93A5" w14:textId="77777777" w:rsidR="00F66968" w:rsidRPr="00865194" w:rsidRDefault="00F66968" w:rsidP="00F66968">
                  <w:pPr>
                    <w:pStyle w:val="ListParagraph"/>
                    <w:numPr>
                      <w:ilvl w:val="0"/>
                      <w:numId w:val="4"/>
                    </w:numPr>
                    <w:ind w:left="339" w:hanging="339"/>
                    <w:rPr>
                      <w:szCs w:val="24"/>
                      <w:shd w:val="clear" w:color="auto" w:fill="FFFFFF"/>
                    </w:rPr>
                  </w:pPr>
                  <w:r w:rsidRPr="00865194">
                    <w:rPr>
                      <w:szCs w:val="24"/>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1C08DE4F" w14:textId="77777777" w:rsidR="00F66968" w:rsidRPr="00865194" w:rsidRDefault="00F66968" w:rsidP="00F66968">
                  <w:pPr>
                    <w:jc w:val="center"/>
                    <w:rPr>
                      <w:szCs w:val="24"/>
                      <w:shd w:val="clear" w:color="auto" w:fill="FFFFFF"/>
                    </w:rPr>
                  </w:pPr>
                  <w:r w:rsidRPr="00865194">
                    <w:rPr>
                      <w:szCs w:val="24"/>
                      <w:shd w:val="clear" w:color="auto" w:fill="FFFFFF"/>
                    </w:rPr>
                    <w:t>FN-05-04</w:t>
                  </w:r>
                </w:p>
              </w:tc>
              <w:tc>
                <w:tcPr>
                  <w:tcW w:w="1985" w:type="dxa"/>
                  <w:tcBorders>
                    <w:top w:val="single" w:sz="8" w:space="0" w:color="auto"/>
                    <w:left w:val="single" w:sz="8" w:space="0" w:color="auto"/>
                    <w:bottom w:val="single" w:sz="8" w:space="0" w:color="auto"/>
                    <w:right w:val="single" w:sz="8" w:space="0" w:color="auto"/>
                  </w:tcBorders>
                </w:tcPr>
                <w:p w14:paraId="1B454D79"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4CB9ED74" w14:textId="77777777" w:rsidR="00F66968" w:rsidRPr="00865194" w:rsidRDefault="00F66968" w:rsidP="00F66968">
                  <w:pPr>
                    <w:jc w:val="center"/>
                    <w:rPr>
                      <w:szCs w:val="24"/>
                      <w:shd w:val="clear" w:color="auto" w:fill="FFFFFF"/>
                    </w:rPr>
                  </w:pPr>
                  <w:r w:rsidRPr="00865194">
                    <w:rPr>
                      <w:szCs w:val="24"/>
                      <w:shd w:val="clear" w:color="auto" w:fill="FFFFFF"/>
                    </w:rPr>
                    <w:t>Fiksuotoji norma, taikoma, kai priklauso nuo 31 iki 36 d. d. (jeigu dirbama 5 d. d. per savaitę) arba nuo 37 iki 42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13D75475"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46CFD3C3"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070A941D" w14:textId="77777777" w:rsidTr="004269A3">
              <w:tc>
                <w:tcPr>
                  <w:tcW w:w="2422" w:type="dxa"/>
                  <w:tcBorders>
                    <w:top w:val="single" w:sz="8" w:space="0" w:color="auto"/>
                    <w:left w:val="single" w:sz="8" w:space="0" w:color="auto"/>
                    <w:bottom w:val="single" w:sz="8" w:space="0" w:color="auto"/>
                    <w:right w:val="single" w:sz="8" w:space="0" w:color="auto"/>
                  </w:tcBorders>
                </w:tcPr>
                <w:p w14:paraId="2B90CB16" w14:textId="77777777" w:rsidR="00F66968" w:rsidRPr="00865194" w:rsidRDefault="00F66968" w:rsidP="00F66968">
                  <w:pPr>
                    <w:pStyle w:val="ListParagraph"/>
                    <w:numPr>
                      <w:ilvl w:val="0"/>
                      <w:numId w:val="4"/>
                    </w:numPr>
                    <w:tabs>
                      <w:tab w:val="left" w:pos="481"/>
                    </w:tabs>
                    <w:ind w:left="339" w:hanging="339"/>
                    <w:rPr>
                      <w:szCs w:val="24"/>
                      <w:shd w:val="clear" w:color="auto" w:fill="FFFFFF"/>
                    </w:rPr>
                  </w:pPr>
                  <w:r w:rsidRPr="00865194">
                    <w:rPr>
                      <w:szCs w:val="24"/>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6CCBC908" w14:textId="77777777" w:rsidR="00F66968" w:rsidRPr="00865194" w:rsidRDefault="00F66968" w:rsidP="00F66968">
                  <w:pPr>
                    <w:jc w:val="center"/>
                    <w:rPr>
                      <w:szCs w:val="24"/>
                      <w:shd w:val="clear" w:color="auto" w:fill="FFFFFF"/>
                    </w:rPr>
                  </w:pPr>
                  <w:r w:rsidRPr="00865194">
                    <w:rPr>
                      <w:szCs w:val="24"/>
                      <w:shd w:val="clear" w:color="auto" w:fill="FFFFFF"/>
                    </w:rPr>
                    <w:t>FN-05-05</w:t>
                  </w:r>
                </w:p>
              </w:tc>
              <w:tc>
                <w:tcPr>
                  <w:tcW w:w="1985" w:type="dxa"/>
                  <w:tcBorders>
                    <w:top w:val="single" w:sz="8" w:space="0" w:color="auto"/>
                    <w:left w:val="single" w:sz="8" w:space="0" w:color="auto"/>
                    <w:bottom w:val="single" w:sz="8" w:space="0" w:color="auto"/>
                    <w:right w:val="single" w:sz="8" w:space="0" w:color="auto"/>
                  </w:tcBorders>
                </w:tcPr>
                <w:p w14:paraId="60EC2107"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5DBC03C0" w14:textId="77777777" w:rsidR="00F66968" w:rsidRPr="00865194" w:rsidRDefault="00F66968" w:rsidP="00F66968">
                  <w:pPr>
                    <w:jc w:val="center"/>
                    <w:rPr>
                      <w:szCs w:val="24"/>
                      <w:shd w:val="clear" w:color="auto" w:fill="FFFFFF"/>
                    </w:rPr>
                  </w:pPr>
                  <w:r w:rsidRPr="00865194">
                    <w:rPr>
                      <w:szCs w:val="24"/>
                      <w:shd w:val="clear" w:color="auto" w:fill="FFFFFF"/>
                    </w:rPr>
                    <w:t>Fiksuotoji norma, taikoma, kai priklauso nuo 37 iki 39 d. d. (jeigu dirbama 5 d. d. per savaitę) arba nuo 43 iki 47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10E8C068"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4C2A1F96"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5E5FC6D5" w14:textId="77777777" w:rsidTr="004269A3">
              <w:tc>
                <w:tcPr>
                  <w:tcW w:w="2422" w:type="dxa"/>
                  <w:tcBorders>
                    <w:top w:val="single" w:sz="8" w:space="0" w:color="auto"/>
                    <w:left w:val="single" w:sz="8" w:space="0" w:color="auto"/>
                    <w:bottom w:val="single" w:sz="8" w:space="0" w:color="auto"/>
                    <w:right w:val="single" w:sz="8" w:space="0" w:color="auto"/>
                  </w:tcBorders>
                </w:tcPr>
                <w:p w14:paraId="3BE0CF1D" w14:textId="77777777" w:rsidR="00F66968" w:rsidRPr="00865194" w:rsidRDefault="00F66968" w:rsidP="00F66968">
                  <w:pPr>
                    <w:pStyle w:val="ListParagraph"/>
                    <w:numPr>
                      <w:ilvl w:val="0"/>
                      <w:numId w:val="4"/>
                    </w:numPr>
                    <w:tabs>
                      <w:tab w:val="left" w:pos="623"/>
                    </w:tabs>
                    <w:ind w:left="339" w:hanging="283"/>
                    <w:rPr>
                      <w:szCs w:val="24"/>
                      <w:shd w:val="clear" w:color="auto" w:fill="FFFFFF"/>
                    </w:rPr>
                  </w:pPr>
                  <w:r w:rsidRPr="00865194">
                    <w:rPr>
                      <w:szCs w:val="24"/>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3A765650" w14:textId="77777777" w:rsidR="00F66968" w:rsidRPr="00865194" w:rsidRDefault="00F66968" w:rsidP="00F66968">
                  <w:pPr>
                    <w:jc w:val="center"/>
                    <w:rPr>
                      <w:szCs w:val="24"/>
                      <w:shd w:val="clear" w:color="auto" w:fill="FFFFFF"/>
                    </w:rPr>
                  </w:pPr>
                  <w:r w:rsidRPr="00865194">
                    <w:rPr>
                      <w:szCs w:val="24"/>
                      <w:shd w:val="clear" w:color="auto" w:fill="FFFFFF"/>
                    </w:rPr>
                    <w:t>FN-05-06</w:t>
                  </w:r>
                </w:p>
              </w:tc>
              <w:tc>
                <w:tcPr>
                  <w:tcW w:w="1985" w:type="dxa"/>
                  <w:tcBorders>
                    <w:top w:val="single" w:sz="8" w:space="0" w:color="auto"/>
                    <w:left w:val="single" w:sz="8" w:space="0" w:color="auto"/>
                    <w:bottom w:val="single" w:sz="8" w:space="0" w:color="auto"/>
                    <w:right w:val="single" w:sz="8" w:space="0" w:color="auto"/>
                  </w:tcBorders>
                </w:tcPr>
                <w:p w14:paraId="68DA1F8A"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12F8E13B" w14:textId="77777777" w:rsidR="00F66968" w:rsidRPr="00865194" w:rsidRDefault="00F66968" w:rsidP="00F66968">
                  <w:pPr>
                    <w:jc w:val="center"/>
                    <w:rPr>
                      <w:szCs w:val="24"/>
                      <w:shd w:val="clear" w:color="auto" w:fill="FFFFFF"/>
                    </w:rPr>
                  </w:pPr>
                  <w:r w:rsidRPr="00865194">
                    <w:rPr>
                      <w:szCs w:val="24"/>
                      <w:shd w:val="clear" w:color="auto" w:fill="FFFFFF"/>
                    </w:rPr>
                    <w:t>Fiksuotoji norma, taikoma, kai priklauso 40 d. d. (jeigu dirbama 5 d. d. per savaitę) arba 48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70E53DB7" w14:textId="77777777" w:rsidR="00F66968" w:rsidRPr="00865194" w:rsidRDefault="00F66968" w:rsidP="00F66968">
                  <w:pPr>
                    <w:rPr>
                      <w:szCs w:val="24"/>
                    </w:rPr>
                  </w:pPr>
                  <w:r w:rsidRPr="00865194">
                    <w:rPr>
                      <w:szCs w:val="24"/>
                    </w:rPr>
                    <w:t xml:space="preserve">Supaprastintai apmokamų išlaidų dydžių registras yra paskelbtas ES investicijų interneto svetainėje adresu </w:t>
                  </w:r>
                </w:p>
                <w:p w14:paraId="257D98E8"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tr w:rsidR="00F66968" w:rsidRPr="00865194" w14:paraId="60E282A2" w14:textId="77777777" w:rsidTr="004269A3">
              <w:tc>
                <w:tcPr>
                  <w:tcW w:w="2422" w:type="dxa"/>
                  <w:tcBorders>
                    <w:top w:val="single" w:sz="8" w:space="0" w:color="auto"/>
                    <w:left w:val="single" w:sz="8" w:space="0" w:color="auto"/>
                    <w:bottom w:val="single" w:sz="8" w:space="0" w:color="auto"/>
                    <w:right w:val="single" w:sz="8" w:space="0" w:color="auto"/>
                  </w:tcBorders>
                </w:tcPr>
                <w:p w14:paraId="1B5BCF52" w14:textId="77777777" w:rsidR="00F66968" w:rsidRPr="00865194" w:rsidRDefault="00F66968" w:rsidP="00F66968">
                  <w:pPr>
                    <w:pStyle w:val="ListParagraph"/>
                    <w:numPr>
                      <w:ilvl w:val="0"/>
                      <w:numId w:val="4"/>
                    </w:numPr>
                    <w:tabs>
                      <w:tab w:val="left" w:pos="481"/>
                      <w:tab w:val="left" w:pos="765"/>
                    </w:tabs>
                    <w:ind w:left="339" w:hanging="283"/>
                    <w:rPr>
                      <w:szCs w:val="24"/>
                      <w:shd w:val="clear" w:color="auto" w:fill="FFFFFF"/>
                    </w:rPr>
                  </w:pPr>
                  <w:r w:rsidRPr="00865194">
                    <w:rPr>
                      <w:szCs w:val="24"/>
                      <w:shd w:val="clear" w:color="auto" w:fill="FFFFFF"/>
                    </w:rPr>
                    <w:lastRenderedPageBreak/>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2C2D2C85" w14:textId="77777777" w:rsidR="00F66968" w:rsidRPr="00865194" w:rsidRDefault="00F66968" w:rsidP="00F66968">
                  <w:pPr>
                    <w:jc w:val="center"/>
                    <w:rPr>
                      <w:szCs w:val="24"/>
                      <w:shd w:val="clear" w:color="auto" w:fill="FFFFFF"/>
                    </w:rPr>
                  </w:pPr>
                  <w:r w:rsidRPr="00865194">
                    <w:rPr>
                      <w:szCs w:val="24"/>
                      <w:shd w:val="clear" w:color="auto" w:fill="FFFFFF"/>
                    </w:rPr>
                    <w:t>FN-05-07</w:t>
                  </w:r>
                </w:p>
              </w:tc>
              <w:tc>
                <w:tcPr>
                  <w:tcW w:w="1985" w:type="dxa"/>
                  <w:tcBorders>
                    <w:top w:val="single" w:sz="8" w:space="0" w:color="auto"/>
                    <w:left w:val="single" w:sz="8" w:space="0" w:color="auto"/>
                    <w:bottom w:val="single" w:sz="8" w:space="0" w:color="auto"/>
                    <w:right w:val="single" w:sz="8" w:space="0" w:color="auto"/>
                  </w:tcBorders>
                </w:tcPr>
                <w:p w14:paraId="5C11B8D7" w14:textId="77777777" w:rsidR="00F66968" w:rsidRPr="00865194" w:rsidRDefault="00F66968" w:rsidP="00F66968">
                  <w:pPr>
                    <w:jc w:val="center"/>
                    <w:rPr>
                      <w:szCs w:val="24"/>
                    </w:rPr>
                  </w:pPr>
                  <w:r w:rsidRPr="00865194">
                    <w:rPr>
                      <w:szCs w:val="24"/>
                    </w:rPr>
                    <w:t>-</w:t>
                  </w:r>
                </w:p>
              </w:tc>
              <w:tc>
                <w:tcPr>
                  <w:tcW w:w="4961" w:type="dxa"/>
                  <w:tcBorders>
                    <w:top w:val="single" w:sz="8" w:space="0" w:color="auto"/>
                    <w:left w:val="single" w:sz="8" w:space="0" w:color="auto"/>
                    <w:bottom w:val="single" w:sz="8" w:space="0" w:color="auto"/>
                    <w:right w:val="single" w:sz="8" w:space="0" w:color="auto"/>
                  </w:tcBorders>
                </w:tcPr>
                <w:p w14:paraId="2EECF7BC" w14:textId="77777777" w:rsidR="00F66968" w:rsidRPr="00865194" w:rsidRDefault="00F66968" w:rsidP="00F66968">
                  <w:pPr>
                    <w:jc w:val="center"/>
                    <w:rPr>
                      <w:szCs w:val="24"/>
                      <w:shd w:val="clear" w:color="auto" w:fill="FFFFFF"/>
                    </w:rPr>
                  </w:pPr>
                  <w:r w:rsidRPr="00865194">
                    <w:rPr>
                      <w:szCs w:val="24"/>
                      <w:shd w:val="clear" w:color="auto" w:fill="FFFFFF"/>
                    </w:rPr>
                    <w:t>Fiksuotoji norma, taikoma, kai priklauso nuo 41 d. d. (jeigu dirbama 5 d. d. per savaitę) arba nuo 49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53E8A2CA" w14:textId="77777777" w:rsidR="00F66968" w:rsidRPr="00865194" w:rsidRDefault="00F66968" w:rsidP="00F66968">
                  <w:pPr>
                    <w:rPr>
                      <w:szCs w:val="24"/>
                    </w:rPr>
                  </w:pPr>
                  <w:r w:rsidRPr="00865194">
                    <w:rPr>
                      <w:szCs w:val="24"/>
                    </w:rPr>
                    <w:t xml:space="preserve">Supaprastintai apmokamų išlaidų dydžių registras yra paskelbtas Europos Sąjungos investicijų interneto svetainėje adresu </w:t>
                  </w:r>
                </w:p>
                <w:p w14:paraId="1EBA01C4" w14:textId="77777777" w:rsidR="00F66968" w:rsidRPr="00865194" w:rsidRDefault="00F66968" w:rsidP="00F66968">
                  <w:pPr>
                    <w:rPr>
                      <w:szCs w:val="24"/>
                    </w:rPr>
                  </w:pPr>
                  <w:r w:rsidRPr="00865194">
                    <w:rPr>
                      <w:szCs w:val="24"/>
                      <w:shd w:val="clear" w:color="auto" w:fill="FFFFFF"/>
                    </w:rPr>
                    <w:t>https://2021.esinvesticijos.lt/dokumentai/supaprastintai-apmokamu-islaidu-dydziu-registras</w:t>
                  </w:r>
                </w:p>
              </w:tc>
            </w:tr>
            <w:bookmarkEnd w:id="5"/>
          </w:tbl>
          <w:p w14:paraId="2E2AA8A0" w14:textId="77777777" w:rsidR="000C1675" w:rsidRDefault="000C1675" w:rsidP="000C1675">
            <w:pPr>
              <w:jc w:val="both"/>
              <w:rPr>
                <w:i/>
                <w:iCs/>
                <w:sz w:val="22"/>
                <w:szCs w:val="22"/>
              </w:rPr>
            </w:pPr>
          </w:p>
          <w:p w14:paraId="3593DC7D" w14:textId="77777777" w:rsidR="000C1675" w:rsidRDefault="000C1675" w:rsidP="000C1675">
            <w:pPr>
              <w:jc w:val="both"/>
              <w:rPr>
                <w:i/>
                <w:iCs/>
                <w:sz w:val="22"/>
                <w:szCs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rFonts w:eastAsia="Calibri"/>
          <w:szCs w:val="24"/>
        </w:rPr>
      </w:pPr>
      <w:r>
        <w:rPr>
          <w:rFonts w:eastAsia="Calibri"/>
          <w:szCs w:val="24"/>
        </w:rPr>
        <w:t>________________</w:t>
      </w:r>
    </w:p>
    <w:p w14:paraId="40861702" w14:textId="77777777" w:rsidR="00F66968" w:rsidRDefault="00F66968">
      <w:pPr>
        <w:spacing w:line="276" w:lineRule="auto"/>
        <w:jc w:val="center"/>
        <w:rPr>
          <w:szCs w:val="24"/>
        </w:rPr>
      </w:pPr>
    </w:p>
    <w:p w14:paraId="4D277A2F" w14:textId="77777777" w:rsidR="00F66968" w:rsidRDefault="00F66968">
      <w:pPr>
        <w:spacing w:line="276" w:lineRule="auto"/>
        <w:jc w:val="center"/>
        <w:rPr>
          <w:szCs w:val="24"/>
        </w:rPr>
      </w:pPr>
    </w:p>
    <w:p w14:paraId="27353F72" w14:textId="77777777" w:rsidR="00F66968" w:rsidRDefault="00F66968">
      <w:pPr>
        <w:spacing w:line="276" w:lineRule="auto"/>
        <w:jc w:val="center"/>
        <w:rPr>
          <w:szCs w:val="24"/>
        </w:rPr>
      </w:pPr>
    </w:p>
    <w:p w14:paraId="7C358226" w14:textId="77777777" w:rsidR="00F66968" w:rsidRDefault="00F66968">
      <w:pPr>
        <w:spacing w:line="276" w:lineRule="auto"/>
        <w:jc w:val="center"/>
        <w:rPr>
          <w:szCs w:val="24"/>
        </w:rPr>
      </w:pPr>
    </w:p>
    <w:p w14:paraId="3BDF1EDF" w14:textId="77777777" w:rsidR="00F66968" w:rsidRDefault="00F66968">
      <w:pPr>
        <w:spacing w:line="276" w:lineRule="auto"/>
        <w:jc w:val="center"/>
        <w:rPr>
          <w:szCs w:val="24"/>
        </w:rPr>
      </w:pPr>
    </w:p>
    <w:p w14:paraId="75632AA2" w14:textId="77777777" w:rsidR="00F66968" w:rsidRDefault="00F66968">
      <w:pPr>
        <w:spacing w:line="276" w:lineRule="auto"/>
        <w:jc w:val="center"/>
        <w:rPr>
          <w:szCs w:val="24"/>
        </w:rPr>
      </w:pPr>
    </w:p>
    <w:p w14:paraId="35A8BF5A" w14:textId="77777777" w:rsidR="00F66968" w:rsidRDefault="00F66968">
      <w:pPr>
        <w:spacing w:line="276" w:lineRule="auto"/>
        <w:jc w:val="center"/>
        <w:rPr>
          <w:szCs w:val="24"/>
        </w:rPr>
      </w:pPr>
    </w:p>
    <w:p w14:paraId="14538A4E" w14:textId="77777777" w:rsidR="00F66968" w:rsidRDefault="00F66968">
      <w:pPr>
        <w:spacing w:line="276" w:lineRule="auto"/>
        <w:jc w:val="center"/>
        <w:rPr>
          <w:szCs w:val="24"/>
        </w:rPr>
      </w:pPr>
    </w:p>
    <w:p w14:paraId="2D5DE9C4" w14:textId="77777777" w:rsidR="00F66968" w:rsidRDefault="00F66968">
      <w:pPr>
        <w:spacing w:line="276" w:lineRule="auto"/>
        <w:jc w:val="center"/>
        <w:rPr>
          <w:szCs w:val="24"/>
        </w:rPr>
      </w:pPr>
    </w:p>
    <w:p w14:paraId="06DBB1D9" w14:textId="77777777" w:rsidR="00F66968" w:rsidRDefault="00F66968">
      <w:pPr>
        <w:spacing w:line="276" w:lineRule="auto"/>
        <w:jc w:val="center"/>
        <w:rPr>
          <w:szCs w:val="24"/>
        </w:rPr>
      </w:pPr>
    </w:p>
    <w:p w14:paraId="528B4A2F" w14:textId="77777777" w:rsidR="00F66968" w:rsidRDefault="00F66968">
      <w:pPr>
        <w:spacing w:line="276" w:lineRule="auto"/>
        <w:jc w:val="center"/>
        <w:rPr>
          <w:szCs w:val="24"/>
        </w:rPr>
      </w:pPr>
    </w:p>
    <w:p w14:paraId="3FFBD3C9" w14:textId="77777777" w:rsidR="00F66968" w:rsidRDefault="00F66968">
      <w:pPr>
        <w:spacing w:line="276" w:lineRule="auto"/>
        <w:jc w:val="center"/>
        <w:rPr>
          <w:szCs w:val="24"/>
        </w:rPr>
      </w:pPr>
    </w:p>
    <w:p w14:paraId="6C9B694D" w14:textId="77777777" w:rsidR="00F66968" w:rsidRDefault="00F66968">
      <w:pPr>
        <w:spacing w:line="276" w:lineRule="auto"/>
        <w:jc w:val="center"/>
        <w:rPr>
          <w:szCs w:val="24"/>
        </w:rPr>
      </w:pPr>
    </w:p>
    <w:p w14:paraId="7012ADF5" w14:textId="77777777" w:rsidR="00F66968" w:rsidRDefault="00F66968">
      <w:pPr>
        <w:spacing w:line="276" w:lineRule="auto"/>
        <w:jc w:val="center"/>
        <w:rPr>
          <w:szCs w:val="24"/>
        </w:rPr>
      </w:pPr>
    </w:p>
    <w:p w14:paraId="340DE87D" w14:textId="77777777" w:rsidR="00F66968" w:rsidRDefault="00F66968">
      <w:pPr>
        <w:spacing w:line="276" w:lineRule="auto"/>
        <w:jc w:val="center"/>
        <w:rPr>
          <w:szCs w:val="24"/>
        </w:rPr>
      </w:pPr>
    </w:p>
    <w:p w14:paraId="5F3FE4AC" w14:textId="77777777" w:rsidR="00F66968" w:rsidRDefault="00F66968">
      <w:pPr>
        <w:spacing w:line="276" w:lineRule="auto"/>
        <w:jc w:val="center"/>
        <w:rPr>
          <w:szCs w:val="24"/>
        </w:rPr>
      </w:pPr>
    </w:p>
    <w:p w14:paraId="479E2073" w14:textId="77777777" w:rsidR="00F66968" w:rsidRDefault="00F66968">
      <w:pPr>
        <w:spacing w:line="276" w:lineRule="auto"/>
        <w:jc w:val="center"/>
        <w:rPr>
          <w:szCs w:val="24"/>
        </w:rPr>
      </w:pPr>
    </w:p>
    <w:p w14:paraId="44A3E3D2" w14:textId="77777777" w:rsidR="00F66968" w:rsidRDefault="00F66968">
      <w:pPr>
        <w:spacing w:line="276" w:lineRule="auto"/>
        <w:jc w:val="center"/>
        <w:rPr>
          <w:szCs w:val="24"/>
        </w:rPr>
      </w:pPr>
    </w:p>
    <w:p w14:paraId="4F3421CE" w14:textId="77777777" w:rsidR="00F66968" w:rsidRDefault="00F66968">
      <w:pPr>
        <w:spacing w:line="276" w:lineRule="auto"/>
        <w:jc w:val="center"/>
        <w:rPr>
          <w:szCs w:val="24"/>
        </w:rPr>
      </w:pPr>
    </w:p>
    <w:p w14:paraId="44558BFE" w14:textId="77777777" w:rsidR="00F66968" w:rsidRDefault="00F66968">
      <w:pPr>
        <w:spacing w:line="276" w:lineRule="auto"/>
        <w:jc w:val="center"/>
        <w:rPr>
          <w:szCs w:val="24"/>
        </w:rPr>
      </w:pPr>
    </w:p>
    <w:p w14:paraId="7CD144A7" w14:textId="7F065D0D" w:rsidR="00F66968" w:rsidRPr="00865194" w:rsidRDefault="00F66968" w:rsidP="00F66968">
      <w:pPr>
        <w:tabs>
          <w:tab w:val="center" w:pos="4819"/>
        </w:tabs>
        <w:ind w:left="9214"/>
        <w:jc w:val="both"/>
        <w:rPr>
          <w:iCs/>
          <w:szCs w:val="24"/>
        </w:rPr>
      </w:pPr>
      <w:r w:rsidRPr="00865194">
        <w:rPr>
          <w:szCs w:val="24"/>
          <w:shd w:val="clear" w:color="auto" w:fill="FFFFFF"/>
        </w:rPr>
        <w:t xml:space="preserve">2021–2030 metų Lietuvos Respublikos ekonomikos ir inovacijų ministerijos valstybės skaitmeninimo plėtros programos </w:t>
      </w:r>
      <w:r w:rsidRPr="00865194">
        <w:rPr>
          <w:szCs w:val="24"/>
        </w:rPr>
        <w:t xml:space="preserve">pažangos priemonės </w:t>
      </w:r>
      <w:r w:rsidRPr="00865194">
        <w:rPr>
          <w:szCs w:val="24"/>
          <w:lang w:eastAsia="lt-LT"/>
        </w:rPr>
        <w:t>Nr.</w:t>
      </w:r>
      <w:r w:rsidRPr="00865194">
        <w:rPr>
          <w:i/>
          <w:szCs w:val="24"/>
          <w:lang w:eastAsia="lt-LT"/>
        </w:rPr>
        <w:t xml:space="preserve"> </w:t>
      </w:r>
      <w:r w:rsidRPr="00865194">
        <w:rPr>
          <w:szCs w:val="24"/>
        </w:rPr>
        <w:t>05-002-01-07-08 „Kurti technologinius sprendimus ir įrankius, leidžiančius saugiai ir patogiai naudotis paslaugomis“ veiklos „V</w:t>
      </w:r>
      <w:r w:rsidRPr="00865194">
        <w:rPr>
          <w:szCs w:val="24"/>
          <w:shd w:val="clear" w:color="auto" w:fill="FFFFFF"/>
        </w:rPr>
        <w:t>iešųjų institucijų teikiamų elektroninių paslaugų brandos lygio kėlimas“</w:t>
      </w:r>
      <w:r w:rsidRPr="00865194">
        <w:rPr>
          <w:b/>
          <w:szCs w:val="24"/>
          <w:lang w:eastAsia="lt-LT"/>
        </w:rPr>
        <w:t xml:space="preserve"> </w:t>
      </w:r>
      <w:proofErr w:type="spellStart"/>
      <w:r w:rsidRPr="00F66968">
        <w:rPr>
          <w:bCs/>
          <w:szCs w:val="24"/>
        </w:rPr>
        <w:t>poveiklės</w:t>
      </w:r>
      <w:proofErr w:type="spellEnd"/>
      <w:r w:rsidRPr="00F66968">
        <w:rPr>
          <w:bCs/>
          <w:szCs w:val="24"/>
        </w:rPr>
        <w:t xml:space="preserve"> „</w:t>
      </w:r>
      <w:r>
        <w:rPr>
          <w:bCs/>
          <w:szCs w:val="24"/>
        </w:rPr>
        <w:t>S</w:t>
      </w:r>
      <w:r w:rsidRPr="00F66968">
        <w:rPr>
          <w:bCs/>
          <w:szCs w:val="24"/>
        </w:rPr>
        <w:t>kaitmeninių įgūdžių tobulinimas“</w:t>
      </w:r>
      <w:r>
        <w:rPr>
          <w:b/>
          <w:bCs/>
          <w:szCs w:val="24"/>
        </w:rPr>
        <w:t xml:space="preserve"> </w:t>
      </w:r>
      <w:r w:rsidRPr="00865194">
        <w:rPr>
          <w:iCs/>
          <w:szCs w:val="24"/>
        </w:rPr>
        <w:t xml:space="preserve">finansavimo sąlygų aprašo </w:t>
      </w:r>
    </w:p>
    <w:p w14:paraId="0343A90B" w14:textId="77777777" w:rsidR="00F66968" w:rsidRPr="00865194" w:rsidRDefault="00F66968" w:rsidP="00F66968">
      <w:pPr>
        <w:tabs>
          <w:tab w:val="center" w:pos="4819"/>
        </w:tabs>
        <w:ind w:left="9214"/>
        <w:jc w:val="both"/>
        <w:rPr>
          <w:i/>
          <w:iCs/>
          <w:szCs w:val="24"/>
        </w:rPr>
      </w:pPr>
      <w:r w:rsidRPr="00865194">
        <w:rPr>
          <w:iCs/>
          <w:szCs w:val="24"/>
        </w:rPr>
        <w:t xml:space="preserve">1 </w:t>
      </w:r>
      <w:r w:rsidRPr="00865194">
        <w:rPr>
          <w:szCs w:val="24"/>
        </w:rPr>
        <w:t xml:space="preserve">priedas </w:t>
      </w:r>
    </w:p>
    <w:p w14:paraId="55B8AD89" w14:textId="77777777" w:rsidR="00F66968" w:rsidRPr="00865194" w:rsidRDefault="00F66968" w:rsidP="00F66968">
      <w:pPr>
        <w:jc w:val="center"/>
        <w:rPr>
          <w:rFonts w:eastAsia="Calibri"/>
          <w:b/>
          <w:bCs/>
          <w:szCs w:val="24"/>
        </w:rPr>
      </w:pPr>
    </w:p>
    <w:p w14:paraId="28E656DC" w14:textId="77777777" w:rsidR="00F66968" w:rsidRPr="00865194" w:rsidRDefault="00F66968" w:rsidP="00F66968">
      <w:pPr>
        <w:jc w:val="center"/>
        <w:rPr>
          <w:rFonts w:eastAsia="Calibri"/>
          <w:b/>
          <w:bCs/>
          <w:szCs w:val="24"/>
        </w:rPr>
      </w:pPr>
      <w:r w:rsidRPr="00865194">
        <w:rPr>
          <w:rFonts w:eastAsia="Calibri"/>
          <w:b/>
          <w:bCs/>
          <w:szCs w:val="24"/>
        </w:rPr>
        <w:t>PROJEKTO (ĮSKAITANT JUNGTINĮ PROJEKTĄ) ATITIKTIES REIKŠMINGOS ŽALOS NEDARYMO HORIZONTALIAJAM PRINCIPUI VERTINIMO REIKALAVIMŲ APRAŠAS</w:t>
      </w:r>
    </w:p>
    <w:p w14:paraId="279F0A98" w14:textId="77777777" w:rsidR="00F66968" w:rsidRPr="00865194" w:rsidRDefault="00F66968" w:rsidP="00F66968">
      <w:pPr>
        <w:jc w:val="center"/>
        <w:rPr>
          <w:rFonts w:eastAsia="Calibri"/>
          <w:b/>
          <w:bCs/>
          <w:szCs w:val="24"/>
        </w:rPr>
      </w:pPr>
    </w:p>
    <w:p w14:paraId="1B662670" w14:textId="77777777" w:rsidR="00F66968" w:rsidRPr="00865194" w:rsidRDefault="00F66968" w:rsidP="00F66968">
      <w:pPr>
        <w:spacing w:line="276" w:lineRule="auto"/>
        <w:rPr>
          <w:rFonts w:eastAsia="Calibri"/>
          <w:bCs/>
          <w:szCs w:val="24"/>
        </w:rPr>
      </w:pPr>
      <w:r w:rsidRPr="00865194">
        <w:rPr>
          <w:rFonts w:eastAsia="Calibri"/>
          <w:bCs/>
          <w:szCs w:val="24"/>
        </w:rPr>
        <w:t>Finansavimo šaltinis, pagal kurį finansuojamas projektas (</w:t>
      </w:r>
      <w:r w:rsidRPr="00865194">
        <w:rPr>
          <w:rFonts w:eastAsia="Calibri"/>
          <w:bCs/>
          <w:i/>
          <w:szCs w:val="24"/>
        </w:rPr>
        <w:t>pažymėkite tinkamą</w:t>
      </w:r>
      <w:r w:rsidRPr="00865194">
        <w:rPr>
          <w:rFonts w:eastAsia="Calibri"/>
          <w:bCs/>
          <w:szCs w:val="24"/>
        </w:rPr>
        <w:t xml:space="preserve">): </w:t>
      </w:r>
    </w:p>
    <w:p w14:paraId="38DD5986" w14:textId="77777777" w:rsidR="00F66968" w:rsidRPr="00865194" w:rsidRDefault="00F66968" w:rsidP="00F66968">
      <w:pPr>
        <w:spacing w:line="276" w:lineRule="auto"/>
        <w:rPr>
          <w:rFonts w:eastAsia="Calibri"/>
          <w:bCs/>
          <w:szCs w:val="24"/>
        </w:rPr>
      </w:pPr>
      <w:r w:rsidRPr="00865194">
        <w:rPr>
          <w:rFonts w:ascii="Segoe UI Symbol" w:hAnsi="Segoe UI Symbol" w:cs="Segoe UI Symbol"/>
          <w:szCs w:val="24"/>
        </w:rPr>
        <w:t>☒</w:t>
      </w:r>
      <w:r w:rsidRPr="00865194">
        <w:rPr>
          <w:szCs w:val="24"/>
        </w:rPr>
        <w:t xml:space="preserve"> </w:t>
      </w:r>
      <w:r w:rsidRPr="00865194">
        <w:rPr>
          <w:rFonts w:eastAsia="Calibri"/>
          <w:bCs/>
          <w:szCs w:val="24"/>
        </w:rPr>
        <w:t>Ekonomikos gaivinimo ir atsparumo didinimo priemonė (toliau – EGADP)</w:t>
      </w:r>
    </w:p>
    <w:p w14:paraId="1EC0446C" w14:textId="77777777" w:rsidR="00F66968" w:rsidRPr="00865194" w:rsidRDefault="00F66968" w:rsidP="00F66968">
      <w:pPr>
        <w:spacing w:line="276" w:lineRule="auto"/>
        <w:rPr>
          <w:rFonts w:eastAsia="Calibri"/>
          <w:bCs/>
          <w:szCs w:val="24"/>
        </w:rPr>
      </w:pPr>
      <w:r w:rsidRPr="00865194">
        <w:rPr>
          <w:rFonts w:eastAsia="Wingdings 2"/>
          <w:szCs w:val="24"/>
        </w:rPr>
        <w:t></w:t>
      </w:r>
      <w:r w:rsidRPr="00865194">
        <w:rPr>
          <w:szCs w:val="24"/>
        </w:rPr>
        <w:t xml:space="preserve"> Europos Sąjungos fondų i</w:t>
      </w:r>
      <w:r w:rsidRPr="00865194">
        <w:rPr>
          <w:rFonts w:eastAsia="Calibri"/>
          <w:bCs/>
          <w:szCs w:val="24"/>
        </w:rPr>
        <w:t>nvesticijų programa (toliau – ESFIP)</w:t>
      </w:r>
    </w:p>
    <w:p w14:paraId="510D9570" w14:textId="77777777" w:rsidR="00F66968" w:rsidRPr="00865194" w:rsidRDefault="00F66968" w:rsidP="00F66968">
      <w:pPr>
        <w:spacing w:line="276" w:lineRule="auto"/>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gridCol w:w="5331"/>
      </w:tblGrid>
      <w:tr w:rsidR="00F66968" w:rsidRPr="00865194" w14:paraId="368538A5" w14:textId="77777777" w:rsidTr="004269A3">
        <w:tc>
          <w:tcPr>
            <w:tcW w:w="3970" w:type="dxa"/>
          </w:tcPr>
          <w:p w14:paraId="112AB7FE" w14:textId="77777777" w:rsidR="00F66968" w:rsidRPr="00865194" w:rsidRDefault="00F66968" w:rsidP="0055085A">
            <w:pPr>
              <w:jc w:val="both"/>
              <w:rPr>
                <w:rFonts w:eastAsia="Calibri"/>
                <w:b/>
                <w:szCs w:val="24"/>
              </w:rPr>
            </w:pPr>
            <w:r w:rsidRPr="00865194">
              <w:rPr>
                <w:rFonts w:eastAsia="Calibri"/>
                <w:b/>
                <w:szCs w:val="24"/>
              </w:rPr>
              <w:t>Aplinkos tikslai</w:t>
            </w:r>
          </w:p>
          <w:p w14:paraId="2EE137A2" w14:textId="77777777" w:rsidR="00F66968" w:rsidRPr="00865194" w:rsidRDefault="00F66968" w:rsidP="0055085A">
            <w:pPr>
              <w:jc w:val="both"/>
              <w:rPr>
                <w:rFonts w:eastAsia="Calibri"/>
                <w:b/>
                <w:szCs w:val="24"/>
              </w:rPr>
            </w:pPr>
          </w:p>
        </w:tc>
        <w:tc>
          <w:tcPr>
            <w:tcW w:w="6095" w:type="dxa"/>
          </w:tcPr>
          <w:p w14:paraId="112009B6" w14:textId="77777777" w:rsidR="00F66968" w:rsidRPr="00865194" w:rsidRDefault="00F66968" w:rsidP="0055085A">
            <w:pPr>
              <w:jc w:val="both"/>
              <w:rPr>
                <w:rFonts w:eastAsia="Calibri"/>
                <w:strike/>
                <w:szCs w:val="24"/>
              </w:rPr>
            </w:pPr>
            <w:r w:rsidRPr="00865194">
              <w:rPr>
                <w:rFonts w:eastAsia="Calibri"/>
                <w:b/>
                <w:bCs/>
                <w:szCs w:val="24"/>
              </w:rPr>
              <w:t>Su Europos Komisija suderintas</w:t>
            </w:r>
            <w:r w:rsidRPr="00865194">
              <w:rPr>
                <w:rFonts w:eastAsia="Calibri"/>
                <w:bCs/>
                <w:szCs w:val="24"/>
              </w:rPr>
              <w:t xml:space="preserve"> </w:t>
            </w:r>
            <w:r w:rsidRPr="00865194">
              <w:rPr>
                <w:rFonts w:eastAsia="Calibri"/>
                <w:b/>
                <w:bCs/>
                <w:szCs w:val="24"/>
              </w:rPr>
              <w:t>pagrindimas</w:t>
            </w:r>
          </w:p>
          <w:p w14:paraId="15214604" w14:textId="77777777" w:rsidR="00F66968" w:rsidRPr="00865194" w:rsidRDefault="00F66968" w:rsidP="0055085A">
            <w:pPr>
              <w:jc w:val="both"/>
              <w:rPr>
                <w:rFonts w:eastAsia="Calibri"/>
                <w:b/>
                <w:szCs w:val="24"/>
              </w:rPr>
            </w:pPr>
          </w:p>
        </w:tc>
        <w:tc>
          <w:tcPr>
            <w:tcW w:w="5331" w:type="dxa"/>
          </w:tcPr>
          <w:p w14:paraId="3887B217" w14:textId="77777777" w:rsidR="00F66968" w:rsidRPr="00865194" w:rsidRDefault="00F66968" w:rsidP="0055085A">
            <w:pPr>
              <w:jc w:val="both"/>
              <w:rPr>
                <w:rFonts w:eastAsia="Calibri"/>
                <w:b/>
                <w:i/>
                <w:szCs w:val="24"/>
              </w:rPr>
            </w:pPr>
            <w:r w:rsidRPr="00865194">
              <w:rPr>
                <w:rFonts w:eastAsia="Calibri"/>
                <w:b/>
                <w:szCs w:val="24"/>
              </w:rPr>
              <w:t>Pagrindimo dokumentai</w:t>
            </w:r>
          </w:p>
          <w:p w14:paraId="48C7DD65" w14:textId="77777777" w:rsidR="00F66968" w:rsidRPr="00865194" w:rsidRDefault="00F66968" w:rsidP="0055085A">
            <w:pPr>
              <w:jc w:val="both"/>
              <w:rPr>
                <w:rFonts w:eastAsia="Calibri"/>
                <w:i/>
                <w:szCs w:val="24"/>
              </w:rPr>
            </w:pPr>
          </w:p>
        </w:tc>
      </w:tr>
      <w:tr w:rsidR="00F66968" w:rsidRPr="00865194" w14:paraId="5B884014" w14:textId="77777777" w:rsidTr="004269A3">
        <w:tc>
          <w:tcPr>
            <w:tcW w:w="3970" w:type="dxa"/>
          </w:tcPr>
          <w:p w14:paraId="2FDADA53" w14:textId="77777777" w:rsidR="00F66968" w:rsidRPr="00865194" w:rsidRDefault="00F66968" w:rsidP="0055085A">
            <w:pPr>
              <w:tabs>
                <w:tab w:val="left" w:pos="289"/>
              </w:tabs>
              <w:ind w:firstLine="5"/>
              <w:jc w:val="both"/>
              <w:rPr>
                <w:rFonts w:eastAsia="Calibri"/>
                <w:szCs w:val="24"/>
              </w:rPr>
            </w:pPr>
            <w:r w:rsidRPr="00865194">
              <w:rPr>
                <w:rFonts w:eastAsia="Calibri"/>
                <w:szCs w:val="24"/>
              </w:rPr>
              <w:t>1.</w:t>
            </w:r>
            <w:r w:rsidRPr="00865194">
              <w:rPr>
                <w:rFonts w:eastAsia="Calibri"/>
                <w:szCs w:val="24"/>
              </w:rPr>
              <w:tab/>
              <w:t>Klimato kaitos švelninimas</w:t>
            </w:r>
          </w:p>
        </w:tc>
        <w:tc>
          <w:tcPr>
            <w:tcW w:w="6095" w:type="dxa"/>
          </w:tcPr>
          <w:p w14:paraId="79F66775" w14:textId="77777777" w:rsidR="00F66968" w:rsidRPr="00865194" w:rsidRDefault="00F66968" w:rsidP="0055085A">
            <w:pPr>
              <w:jc w:val="both"/>
              <w:rPr>
                <w:szCs w:val="24"/>
              </w:rPr>
            </w:pPr>
            <w:r w:rsidRPr="00865194">
              <w:rPr>
                <w:b/>
                <w:szCs w:val="24"/>
              </w:rPr>
              <w:t xml:space="preserve">Vertinama, kad planuojama įgyvendinti reforma neturi jokio numatomo poveikio šiam aplinkos tikslui arba numatomas jos poveikis yra nereikšmingas, t. y. </w:t>
            </w:r>
            <w:r w:rsidRPr="00865194">
              <w:rPr>
                <w:bCs/>
                <w:szCs w:val="24"/>
              </w:rPr>
              <w:t>neplanuojama, kad įgyvendinant projekto veiklas, n</w:t>
            </w:r>
            <w:r w:rsidRPr="00865194">
              <w:rPr>
                <w:color w:val="000000"/>
                <w:szCs w:val="24"/>
                <w:shd w:val="clear" w:color="auto" w:fill="FFFFFF"/>
              </w:rPr>
              <w:t xml:space="preserve">umatytos priemonės galėtų turėti įtakos </w:t>
            </w:r>
            <w:r w:rsidRPr="00865194">
              <w:rPr>
                <w:rStyle w:val="jlqj4b"/>
                <w:szCs w:val="24"/>
              </w:rPr>
              <w:t xml:space="preserve">išmetamų šiltnamio efektą sukeliančių dujų išsiskyrimui, nes </w:t>
            </w:r>
            <w:r w:rsidRPr="00865194">
              <w:rPr>
                <w:szCs w:val="24"/>
              </w:rPr>
              <w:t xml:space="preserve">nenumatoma kurti jokia infrastruktūra, kuri galėtų turėti poveikį ženkliam klimato kaitos švelninimui. </w:t>
            </w:r>
          </w:p>
          <w:p w14:paraId="7CEBF461" w14:textId="77777777" w:rsidR="00F66968" w:rsidRPr="00865194" w:rsidRDefault="00F66968" w:rsidP="0055085A">
            <w:pPr>
              <w:jc w:val="both"/>
              <w:rPr>
                <w:rFonts w:eastAsia="Calibri"/>
                <w:bCs/>
                <w:i/>
                <w:szCs w:val="24"/>
              </w:rPr>
            </w:pPr>
            <w:r w:rsidRPr="00865194">
              <w:rPr>
                <w:szCs w:val="24"/>
              </w:rPr>
              <w:t xml:space="preserve">Kitos reformos veiklos (naujas veiklos modelis bei projektų priežiūra (pagal savo pobūdį) neturi jokio tiesioginio ar </w:t>
            </w:r>
            <w:r w:rsidRPr="00865194">
              <w:rPr>
                <w:szCs w:val="24"/>
              </w:rPr>
              <w:lastRenderedPageBreak/>
              <w:t>netiesioginio neigiamo poveikio klimato kaitos švelninimo tikslui.</w:t>
            </w:r>
          </w:p>
        </w:tc>
        <w:tc>
          <w:tcPr>
            <w:tcW w:w="5331" w:type="dxa"/>
          </w:tcPr>
          <w:p w14:paraId="030B1744" w14:textId="77777777" w:rsidR="00F66968" w:rsidRPr="00865194" w:rsidRDefault="00F66968" w:rsidP="0055085A">
            <w:pPr>
              <w:tabs>
                <w:tab w:val="left" w:pos="589"/>
              </w:tabs>
              <w:jc w:val="both"/>
              <w:rPr>
                <w:rFonts w:eastAsia="Calibri"/>
                <w:i/>
                <w:szCs w:val="24"/>
              </w:rPr>
            </w:pPr>
            <w:r w:rsidRPr="00865194">
              <w:rPr>
                <w:rFonts w:eastAsia="Calibri"/>
                <w:bCs/>
                <w:szCs w:val="24"/>
              </w:rPr>
              <w:lastRenderedPageBreak/>
              <w:t xml:space="preserve">Netaikoma, nes įgyvendinant projekto veiklas nebus kuriama jokia infrastruktūra, </w:t>
            </w:r>
            <w:r w:rsidRPr="00865194">
              <w:rPr>
                <w:szCs w:val="24"/>
              </w:rPr>
              <w:t>kuri galėtų turėti poveikį ženkliam klimato kaitos švelninimui. Šios veiklos (pagal savo pobūdį) neturi jokio tiesioginio ar netiesioginio neigiamo poveikio klimato kaitos švelninimo tikslui.</w:t>
            </w:r>
          </w:p>
        </w:tc>
      </w:tr>
      <w:tr w:rsidR="00F66968" w:rsidRPr="00865194" w14:paraId="06B67A31" w14:textId="77777777" w:rsidTr="004269A3">
        <w:tc>
          <w:tcPr>
            <w:tcW w:w="3970" w:type="dxa"/>
          </w:tcPr>
          <w:p w14:paraId="150F17D6" w14:textId="77777777" w:rsidR="00F66968" w:rsidRPr="00865194" w:rsidRDefault="00F66968" w:rsidP="0055085A">
            <w:pPr>
              <w:tabs>
                <w:tab w:val="left" w:pos="289"/>
              </w:tabs>
              <w:ind w:firstLine="5"/>
              <w:jc w:val="both"/>
              <w:rPr>
                <w:rFonts w:eastAsia="Calibri"/>
                <w:szCs w:val="24"/>
              </w:rPr>
            </w:pPr>
            <w:r w:rsidRPr="00865194">
              <w:rPr>
                <w:rFonts w:eastAsia="Calibri"/>
                <w:szCs w:val="24"/>
              </w:rPr>
              <w:t>2.</w:t>
            </w:r>
            <w:r w:rsidRPr="00865194">
              <w:rPr>
                <w:rFonts w:eastAsia="Calibri"/>
                <w:szCs w:val="24"/>
              </w:rPr>
              <w:tab/>
              <w:t>Prisitaikymas prie klimato kaitos</w:t>
            </w:r>
          </w:p>
        </w:tc>
        <w:tc>
          <w:tcPr>
            <w:tcW w:w="6095" w:type="dxa"/>
          </w:tcPr>
          <w:p w14:paraId="7F122BAE" w14:textId="77777777" w:rsidR="00F66968" w:rsidRPr="00865194" w:rsidRDefault="00F66968" w:rsidP="0055085A">
            <w:pPr>
              <w:jc w:val="both"/>
              <w:rPr>
                <w:rFonts w:eastAsia="Calibri"/>
                <w:bCs/>
                <w:szCs w:val="24"/>
              </w:rPr>
            </w:pPr>
            <w:r w:rsidRPr="00865194">
              <w:rPr>
                <w:b/>
                <w:szCs w:val="24"/>
              </w:rPr>
              <w:t xml:space="preserve">Vertinama, kad planuojama įgyvendinti reforma neturi jokio numatomo poveikio šiam aplinkos tikslui arba numatomas jos poveikis yra nereikšmingas, t. y. </w:t>
            </w:r>
            <w:r w:rsidRPr="00865194">
              <w:rPr>
                <w:bCs/>
                <w:szCs w:val="24"/>
              </w:rPr>
              <w:t>neplanuojama, kad įgyvendinant projekto veiklas n</w:t>
            </w:r>
            <w:r w:rsidRPr="00865194">
              <w:rPr>
                <w:color w:val="000000"/>
                <w:szCs w:val="24"/>
                <w:shd w:val="clear" w:color="auto" w:fill="FFFFFF"/>
              </w:rPr>
              <w:t xml:space="preserve">umatytos priemonės </w:t>
            </w:r>
            <w:r w:rsidRPr="00865194">
              <w:rPr>
                <w:rStyle w:val="jlqj4b"/>
                <w:szCs w:val="24"/>
              </w:rPr>
              <w:t>didins neigiamą dabartinio ir ateities klimato poveikį ar darys neigiamą poveikį žmonėms, gamtai ar turtui: veiklos (pagal savo pobūdį) neturi jokio tiesioginio ar netiesioginio neigiamo poveikio šiam aplinkos tikslui.</w:t>
            </w:r>
          </w:p>
        </w:tc>
        <w:tc>
          <w:tcPr>
            <w:tcW w:w="5331" w:type="dxa"/>
          </w:tcPr>
          <w:p w14:paraId="7722A23A" w14:textId="77777777" w:rsidR="00F66968" w:rsidRPr="00865194" w:rsidRDefault="00F66968" w:rsidP="0055085A">
            <w:pPr>
              <w:jc w:val="both"/>
              <w:rPr>
                <w:rFonts w:eastAsia="Calibri"/>
                <w:b/>
                <w:szCs w:val="24"/>
              </w:rPr>
            </w:pPr>
            <w:r w:rsidRPr="00865194">
              <w:rPr>
                <w:rFonts w:eastAsia="Calibri"/>
                <w:bCs/>
                <w:szCs w:val="24"/>
              </w:rPr>
              <w:t xml:space="preserve">Netaikoma, nes įgyvendinant projekto veiklas </w:t>
            </w:r>
            <w:r w:rsidRPr="00865194">
              <w:rPr>
                <w:bCs/>
                <w:szCs w:val="24"/>
              </w:rPr>
              <w:t xml:space="preserve">nebus kuriama jokia infrastruktūra, kuri </w:t>
            </w:r>
            <w:r w:rsidRPr="00865194">
              <w:rPr>
                <w:szCs w:val="24"/>
              </w:rPr>
              <w:t>didina neigiamą dabartinio ir ateities klimato poveikį ar daro neigiamą poveikį žmonėms, gamtai ar turtui: veiklos (pagal savo pobūdį) neturi jokio tiesioginio ar netiesioginio neigiamo poveikio šiam aplinkos tikslui.</w:t>
            </w:r>
          </w:p>
        </w:tc>
      </w:tr>
      <w:tr w:rsidR="00F66968" w:rsidRPr="00865194" w14:paraId="4531ACFE" w14:textId="77777777" w:rsidTr="004269A3">
        <w:tc>
          <w:tcPr>
            <w:tcW w:w="3970" w:type="dxa"/>
          </w:tcPr>
          <w:p w14:paraId="217A6BAA" w14:textId="77777777" w:rsidR="00F66968" w:rsidRPr="00865194" w:rsidRDefault="00F66968" w:rsidP="0055085A">
            <w:pPr>
              <w:tabs>
                <w:tab w:val="left" w:pos="289"/>
              </w:tabs>
              <w:ind w:firstLine="5"/>
              <w:jc w:val="both"/>
              <w:rPr>
                <w:rFonts w:eastAsia="Calibri"/>
                <w:szCs w:val="24"/>
              </w:rPr>
            </w:pPr>
            <w:r w:rsidRPr="00865194">
              <w:rPr>
                <w:rFonts w:eastAsia="Calibri"/>
                <w:szCs w:val="24"/>
              </w:rPr>
              <w:t>3.</w:t>
            </w:r>
            <w:r w:rsidRPr="00865194">
              <w:rPr>
                <w:rFonts w:eastAsia="Calibri"/>
                <w:szCs w:val="24"/>
              </w:rPr>
              <w:tab/>
              <w:t>Tausus vandens ir jūrų išteklių naudojimas ir apsauga</w:t>
            </w:r>
          </w:p>
        </w:tc>
        <w:tc>
          <w:tcPr>
            <w:tcW w:w="6095" w:type="dxa"/>
          </w:tcPr>
          <w:p w14:paraId="708125A2" w14:textId="77777777" w:rsidR="00F66968" w:rsidRPr="00865194" w:rsidRDefault="00F66968" w:rsidP="0055085A">
            <w:pPr>
              <w:jc w:val="both"/>
              <w:rPr>
                <w:rFonts w:eastAsia="Calibri"/>
                <w:b/>
                <w:szCs w:val="24"/>
              </w:rPr>
            </w:pPr>
            <w:r w:rsidRPr="00865194">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w:t>
            </w:r>
            <w:r w:rsidRPr="00865194">
              <w:rPr>
                <w:szCs w:val="24"/>
              </w:rPr>
              <w:t>Įgyvendinant projekto veiklas nenumatoma kurti jokia infrastruktūra, kuri galėtų turėti poveikį tausiam vandens ir jūrų išteklių naudojimui ir apsaugai: veiklos (pagal savo pobūdį) neturi jokio tiesioginio ar netiesioginio neigiamo poveikio šiam aplinkos tikslui.</w:t>
            </w:r>
          </w:p>
        </w:tc>
        <w:tc>
          <w:tcPr>
            <w:tcW w:w="5331" w:type="dxa"/>
          </w:tcPr>
          <w:p w14:paraId="258D9FA1" w14:textId="77777777" w:rsidR="00F66968" w:rsidRPr="00865194" w:rsidRDefault="00F66968" w:rsidP="0055085A">
            <w:pPr>
              <w:jc w:val="both"/>
              <w:rPr>
                <w:rFonts w:eastAsia="Calibri"/>
                <w:bCs/>
                <w:szCs w:val="24"/>
              </w:rPr>
            </w:pPr>
            <w:r w:rsidRPr="00865194">
              <w:rPr>
                <w:rFonts w:eastAsia="Calibri"/>
                <w:bCs/>
                <w:szCs w:val="24"/>
              </w:rPr>
              <w:t xml:space="preserve">Netaikoma, nes įgyvendinant projekto veiklas </w:t>
            </w:r>
            <w:r w:rsidRPr="00865194">
              <w:rPr>
                <w:szCs w:val="24"/>
              </w:rPr>
              <w:t>nebus</w:t>
            </w:r>
            <w:r w:rsidRPr="00865194">
              <w:rPr>
                <w:rFonts w:eastAsia="Calibri"/>
                <w:bCs/>
                <w:szCs w:val="24"/>
              </w:rPr>
              <w:t xml:space="preserve"> kuriama jokia infrastruktūra, </w:t>
            </w:r>
            <w:r w:rsidRPr="00865194">
              <w:rPr>
                <w:szCs w:val="24"/>
              </w:rPr>
              <w:t>kuri galėtų turėti poveikį tausiam vandens ir jūrų išteklių naudojimui ir apsaugai: veiklos (pagal savo pobūdį) neturi jokio tiesioginio ar netiesioginio neigiamo poveikio šiam aplinkos tikslui.</w:t>
            </w:r>
          </w:p>
        </w:tc>
      </w:tr>
      <w:tr w:rsidR="00F66968" w:rsidRPr="00865194" w14:paraId="30A545D6" w14:textId="77777777" w:rsidTr="004269A3">
        <w:tc>
          <w:tcPr>
            <w:tcW w:w="3970" w:type="dxa"/>
          </w:tcPr>
          <w:p w14:paraId="1DC66D62" w14:textId="77777777" w:rsidR="00F66968" w:rsidRPr="00865194" w:rsidRDefault="00F66968" w:rsidP="0055085A">
            <w:pPr>
              <w:tabs>
                <w:tab w:val="left" w:pos="289"/>
              </w:tabs>
              <w:ind w:firstLine="5"/>
              <w:jc w:val="both"/>
              <w:rPr>
                <w:rFonts w:eastAsia="Calibri"/>
                <w:szCs w:val="24"/>
              </w:rPr>
            </w:pPr>
            <w:r w:rsidRPr="00865194">
              <w:rPr>
                <w:rFonts w:eastAsia="Calibri"/>
                <w:szCs w:val="24"/>
              </w:rPr>
              <w:t>4.</w:t>
            </w:r>
            <w:r w:rsidRPr="00865194">
              <w:rPr>
                <w:rFonts w:eastAsia="Calibri"/>
                <w:szCs w:val="24"/>
              </w:rPr>
              <w:tab/>
              <w:t>Perėjimas prie žiedinės ekonomikos, įskaitant atliekų prevenciją ir perdirbimą</w:t>
            </w:r>
          </w:p>
        </w:tc>
        <w:tc>
          <w:tcPr>
            <w:tcW w:w="6095" w:type="dxa"/>
          </w:tcPr>
          <w:p w14:paraId="605F0BA9" w14:textId="77777777" w:rsidR="00F66968" w:rsidRPr="00865194" w:rsidRDefault="00F66968" w:rsidP="0055085A">
            <w:pPr>
              <w:jc w:val="both"/>
              <w:rPr>
                <w:rFonts w:eastAsia="Calibri"/>
                <w:bCs/>
                <w:szCs w:val="24"/>
              </w:rPr>
            </w:pPr>
            <w:r w:rsidRPr="00865194">
              <w:rPr>
                <w:b/>
                <w:szCs w:val="24"/>
              </w:rPr>
              <w:t xml:space="preserve">Vertinama, kad planuojama įgyvendinti reforma neturi jokio numatomo poveikio šiam aplinkos tikslui arba numatomas jos poveikis yra nereikšmingas, t. y., </w:t>
            </w:r>
            <w:r w:rsidRPr="00865194">
              <w:rPr>
                <w:bCs/>
                <w:szCs w:val="24"/>
              </w:rPr>
              <w:t xml:space="preserve">nenumatoma kurti infrastruktūros, kuri </w:t>
            </w:r>
            <w:r w:rsidRPr="00865194">
              <w:rPr>
                <w:color w:val="000000"/>
                <w:szCs w:val="24"/>
                <w:shd w:val="clear" w:color="auto" w:fill="FFFFFF"/>
              </w:rPr>
              <w:t>daro žalą žiedinei ekonomikai</w:t>
            </w:r>
            <w:r w:rsidRPr="00865194">
              <w:rPr>
                <w:rStyle w:val="jlqj4b"/>
                <w:szCs w:val="24"/>
              </w:rPr>
              <w:t>, įskaitant atliekų prevenciją ir perdirbimą: veiklos (pagal savo pobūdį) neturi jokio tiesioginio ar netiesioginio neigiamo poveikio šiam aplinkos tikslui.</w:t>
            </w:r>
          </w:p>
        </w:tc>
        <w:tc>
          <w:tcPr>
            <w:tcW w:w="5331" w:type="dxa"/>
          </w:tcPr>
          <w:p w14:paraId="394F420A" w14:textId="77777777" w:rsidR="00F66968" w:rsidRPr="00865194" w:rsidRDefault="00F66968" w:rsidP="0055085A">
            <w:pPr>
              <w:jc w:val="both"/>
              <w:rPr>
                <w:rFonts w:eastAsia="Calibri"/>
                <w:szCs w:val="24"/>
              </w:rPr>
            </w:pPr>
            <w:r w:rsidRPr="00865194">
              <w:rPr>
                <w:rFonts w:eastAsia="Calibri"/>
                <w:bCs/>
                <w:szCs w:val="24"/>
              </w:rPr>
              <w:t xml:space="preserve">Netaikoma, nes įgyvendinant projekto veiklas </w:t>
            </w:r>
            <w:r w:rsidRPr="00865194">
              <w:rPr>
                <w:bCs/>
                <w:szCs w:val="24"/>
              </w:rPr>
              <w:t xml:space="preserve">nenumatoma kurti infrastruktūros, kuri </w:t>
            </w:r>
            <w:r w:rsidRPr="00865194">
              <w:rPr>
                <w:szCs w:val="24"/>
                <w:shd w:val="clear" w:color="auto" w:fill="FFFFFF"/>
              </w:rPr>
              <w:t>daro žalą žiedinei ekonomikai</w:t>
            </w:r>
            <w:r w:rsidRPr="00865194">
              <w:rPr>
                <w:szCs w:val="24"/>
              </w:rPr>
              <w:t>, įskaitant atliekų prevenciją ir perdirbimą: veiklos (pagal savo pobūdį) neturi jokio tiesioginio ar netiesioginio neigiamo poveikio šiam aplinkos tikslui.</w:t>
            </w:r>
          </w:p>
        </w:tc>
      </w:tr>
      <w:tr w:rsidR="00F66968" w:rsidRPr="00865194" w14:paraId="4C41870D" w14:textId="77777777" w:rsidTr="004269A3">
        <w:tc>
          <w:tcPr>
            <w:tcW w:w="3970" w:type="dxa"/>
          </w:tcPr>
          <w:p w14:paraId="4F74F22A" w14:textId="77777777" w:rsidR="00F66968" w:rsidRPr="00865194" w:rsidRDefault="00F66968" w:rsidP="0055085A">
            <w:pPr>
              <w:tabs>
                <w:tab w:val="left" w:pos="289"/>
              </w:tabs>
              <w:ind w:firstLine="5"/>
              <w:jc w:val="both"/>
              <w:rPr>
                <w:rFonts w:eastAsia="Calibri"/>
                <w:szCs w:val="24"/>
              </w:rPr>
            </w:pPr>
            <w:r w:rsidRPr="00865194">
              <w:rPr>
                <w:rFonts w:eastAsia="Calibri"/>
                <w:szCs w:val="24"/>
              </w:rPr>
              <w:t>5.</w:t>
            </w:r>
            <w:r w:rsidRPr="00865194">
              <w:rPr>
                <w:rFonts w:eastAsia="Calibri"/>
                <w:szCs w:val="24"/>
              </w:rPr>
              <w:tab/>
            </w:r>
            <w:r w:rsidRPr="00865194">
              <w:rPr>
                <w:rFonts w:eastAsia="Calibri"/>
                <w:bCs/>
                <w:szCs w:val="24"/>
              </w:rPr>
              <w:t>Oro, vandens ar žemės taršos prevencija ir kontrolė</w:t>
            </w:r>
          </w:p>
        </w:tc>
        <w:tc>
          <w:tcPr>
            <w:tcW w:w="6095" w:type="dxa"/>
          </w:tcPr>
          <w:p w14:paraId="547B23C7" w14:textId="77777777" w:rsidR="00F66968" w:rsidRPr="00865194" w:rsidRDefault="00F66968" w:rsidP="0055085A">
            <w:pPr>
              <w:jc w:val="both"/>
              <w:rPr>
                <w:szCs w:val="24"/>
              </w:rPr>
            </w:pPr>
            <w:r w:rsidRPr="00865194">
              <w:rPr>
                <w:b/>
                <w:szCs w:val="24"/>
              </w:rPr>
              <w:t xml:space="preserve">Vertinama, kad planuojamos įgyvendinti reformos ir investicijos neturi jokio numatomo poveikio šiam aplinkos tikslui arba numatomas jos poveikis yra nereikšmingas, t. y. nedaro tiesioginio ir pirminio netiesioginio poveikio per </w:t>
            </w:r>
            <w:r w:rsidRPr="00865194">
              <w:rPr>
                <w:b/>
                <w:szCs w:val="24"/>
              </w:rPr>
              <w:lastRenderedPageBreak/>
              <w:t>visą gyvavimo ciklą, ir laikoma, kad jos atitinka oro, vandens ar žemės taršos prevencijos ir kontrolės tikslą:</w:t>
            </w:r>
            <w:r w:rsidRPr="00865194">
              <w:rPr>
                <w:szCs w:val="24"/>
              </w:rPr>
              <w:t xml:space="preserve"> įgyvendinant projekto veiklas nenumatoma kurti infrastruktūros, kuri turėtų įtakos ženkliai oro, vandens ir dirvožemio taršai susidaryti: veiklos (pagal savo pobūdį) neturi jokio tiesioginio ar netiesioginio neigiamo poveikio šiam aplinkos tikslui.</w:t>
            </w:r>
          </w:p>
        </w:tc>
        <w:tc>
          <w:tcPr>
            <w:tcW w:w="5331" w:type="dxa"/>
          </w:tcPr>
          <w:p w14:paraId="13186010" w14:textId="77777777" w:rsidR="00F66968" w:rsidRPr="00865194" w:rsidRDefault="00F66968" w:rsidP="0055085A">
            <w:pPr>
              <w:jc w:val="both"/>
              <w:rPr>
                <w:rFonts w:eastAsia="Calibri"/>
                <w:b/>
                <w:szCs w:val="24"/>
              </w:rPr>
            </w:pPr>
            <w:r w:rsidRPr="00865194">
              <w:rPr>
                <w:rFonts w:eastAsia="Calibri"/>
                <w:bCs/>
                <w:szCs w:val="24"/>
              </w:rPr>
              <w:lastRenderedPageBreak/>
              <w:t xml:space="preserve">Netaikoma, nes įgyvendinant veiklas </w:t>
            </w:r>
            <w:r w:rsidRPr="00865194">
              <w:rPr>
                <w:szCs w:val="24"/>
              </w:rPr>
              <w:t>nebus</w:t>
            </w:r>
            <w:r w:rsidRPr="00865194">
              <w:rPr>
                <w:rFonts w:eastAsia="Calibri"/>
                <w:bCs/>
                <w:szCs w:val="24"/>
              </w:rPr>
              <w:t xml:space="preserve"> kuriama jokia infrastruktūra, </w:t>
            </w:r>
            <w:r w:rsidRPr="00865194">
              <w:rPr>
                <w:szCs w:val="24"/>
              </w:rPr>
              <w:t xml:space="preserve">kuri turėtų įtakos ženkliai oro, vandens ir dirvožemio taršai susidaryti: veiklos (pagal </w:t>
            </w:r>
            <w:r w:rsidRPr="00865194">
              <w:rPr>
                <w:szCs w:val="24"/>
              </w:rPr>
              <w:lastRenderedPageBreak/>
              <w:t>savo pobūdį) neturi jokio tiesioginio ar netiesioginio neigiamo poveikio šiam aplinkos tikslui.</w:t>
            </w:r>
          </w:p>
          <w:p w14:paraId="292A0654" w14:textId="77777777" w:rsidR="00F66968" w:rsidRPr="00865194" w:rsidRDefault="00F66968" w:rsidP="0055085A">
            <w:pPr>
              <w:jc w:val="both"/>
              <w:rPr>
                <w:rFonts w:eastAsia="Calibri"/>
                <w:szCs w:val="24"/>
              </w:rPr>
            </w:pPr>
          </w:p>
        </w:tc>
      </w:tr>
      <w:tr w:rsidR="00F66968" w:rsidRPr="00865194" w14:paraId="3C17903C" w14:textId="77777777" w:rsidTr="004269A3">
        <w:trPr>
          <w:trHeight w:val="1882"/>
        </w:trPr>
        <w:tc>
          <w:tcPr>
            <w:tcW w:w="3970" w:type="dxa"/>
          </w:tcPr>
          <w:p w14:paraId="08E6E2F4" w14:textId="77777777" w:rsidR="00F66968" w:rsidRPr="00865194" w:rsidRDefault="00F66968" w:rsidP="0055085A">
            <w:pPr>
              <w:tabs>
                <w:tab w:val="left" w:pos="289"/>
              </w:tabs>
              <w:ind w:left="5" w:firstLine="5"/>
              <w:jc w:val="both"/>
              <w:rPr>
                <w:rFonts w:eastAsia="Calibri"/>
                <w:szCs w:val="24"/>
              </w:rPr>
            </w:pPr>
            <w:r w:rsidRPr="00865194">
              <w:rPr>
                <w:rFonts w:eastAsia="Calibri"/>
                <w:szCs w:val="24"/>
              </w:rPr>
              <w:lastRenderedPageBreak/>
              <w:t>6.</w:t>
            </w:r>
            <w:r w:rsidRPr="00865194">
              <w:rPr>
                <w:rFonts w:eastAsia="Calibri"/>
                <w:szCs w:val="24"/>
              </w:rPr>
              <w:tab/>
              <w:t>Biologinės įvairovės ir ekosistemų apsauga ir atkūrimas</w:t>
            </w:r>
          </w:p>
        </w:tc>
        <w:tc>
          <w:tcPr>
            <w:tcW w:w="6095" w:type="dxa"/>
          </w:tcPr>
          <w:p w14:paraId="1C9D6D54" w14:textId="77777777" w:rsidR="00F66968" w:rsidRPr="00865194" w:rsidRDefault="00F66968" w:rsidP="0055085A">
            <w:pPr>
              <w:jc w:val="both"/>
              <w:rPr>
                <w:rFonts w:eastAsia="Calibri"/>
                <w:b/>
                <w:szCs w:val="24"/>
              </w:rPr>
            </w:pPr>
            <w:r w:rsidRPr="00865194">
              <w:rPr>
                <w:b/>
                <w:szCs w:val="24"/>
              </w:rPr>
              <w:t xml:space="preserve">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w:t>
            </w:r>
            <w:r w:rsidRPr="00865194">
              <w:rPr>
                <w:szCs w:val="24"/>
              </w:rPr>
              <w:t>nenumatoma, kad projekto veiklos turės neigiamą poveikį biologinei įvairovei ar ekosistemų apsaugai ir atkūrimui, nes kuriama infrastruktūra jau urbanizuotoje teritorijoje.</w:t>
            </w:r>
          </w:p>
        </w:tc>
        <w:tc>
          <w:tcPr>
            <w:tcW w:w="5331" w:type="dxa"/>
          </w:tcPr>
          <w:p w14:paraId="5E77FC51" w14:textId="77777777" w:rsidR="00F66968" w:rsidRPr="00865194" w:rsidRDefault="00F66968" w:rsidP="0055085A">
            <w:pPr>
              <w:jc w:val="both"/>
              <w:rPr>
                <w:rFonts w:eastAsia="Calibri"/>
                <w:szCs w:val="24"/>
              </w:rPr>
            </w:pPr>
            <w:r w:rsidRPr="00865194">
              <w:rPr>
                <w:rFonts w:eastAsia="Calibri"/>
                <w:bCs/>
                <w:szCs w:val="24"/>
              </w:rPr>
              <w:t xml:space="preserve">Netaikoma, nes įgyvendinant projekto veiklas </w:t>
            </w:r>
            <w:r w:rsidRPr="00865194">
              <w:rPr>
                <w:szCs w:val="24"/>
              </w:rPr>
              <w:t>nebus</w:t>
            </w:r>
            <w:r w:rsidRPr="00865194">
              <w:rPr>
                <w:rFonts w:eastAsia="Calibri"/>
                <w:bCs/>
                <w:szCs w:val="24"/>
              </w:rPr>
              <w:t xml:space="preserve"> kuriama jokia infrastruktūra, </w:t>
            </w:r>
            <w:r w:rsidRPr="00865194">
              <w:rPr>
                <w:szCs w:val="24"/>
              </w:rPr>
              <w:t>kuri turėtų neigiamą poveikį biologinei įvairovei ar ekosistemų apsaugai ir atkūrimui.</w:t>
            </w:r>
          </w:p>
        </w:tc>
      </w:tr>
    </w:tbl>
    <w:p w14:paraId="6F051B58" w14:textId="77777777" w:rsidR="00F66968" w:rsidRDefault="00F66968" w:rsidP="00F66968">
      <w:pPr>
        <w:spacing w:line="276" w:lineRule="auto"/>
        <w:jc w:val="center"/>
        <w:rPr>
          <w:rFonts w:eastAsia="Calibri"/>
          <w:szCs w:val="24"/>
        </w:rPr>
      </w:pPr>
    </w:p>
    <w:p w14:paraId="31F6FF19" w14:textId="77777777" w:rsidR="00F66968" w:rsidRDefault="00F66968" w:rsidP="00F66968">
      <w:pPr>
        <w:rPr>
          <w:szCs w:val="24"/>
        </w:rPr>
      </w:pPr>
    </w:p>
    <w:p w14:paraId="6BA52CEF" w14:textId="77777777" w:rsidR="00F66968" w:rsidRDefault="00F66968" w:rsidP="00F66968">
      <w:pPr>
        <w:spacing w:line="276" w:lineRule="auto"/>
        <w:jc w:val="center"/>
        <w:rPr>
          <w:szCs w:val="24"/>
        </w:rPr>
      </w:pPr>
      <w:r>
        <w:rPr>
          <w:rFonts w:eastAsia="Calibri"/>
          <w:szCs w:val="24"/>
        </w:rPr>
        <w:t>____________________________</w:t>
      </w:r>
    </w:p>
    <w:p w14:paraId="3AB9B846" w14:textId="77777777" w:rsidR="00F66968" w:rsidRDefault="00F66968" w:rsidP="00F66968">
      <w:pPr>
        <w:spacing w:line="276" w:lineRule="auto"/>
        <w:jc w:val="center"/>
        <w:rPr>
          <w:szCs w:val="24"/>
        </w:rPr>
      </w:pPr>
    </w:p>
    <w:p w14:paraId="01DF1B31" w14:textId="77777777" w:rsidR="00F66968" w:rsidRDefault="00F66968" w:rsidP="00F66968">
      <w:pPr>
        <w:spacing w:line="276" w:lineRule="auto"/>
        <w:jc w:val="center"/>
        <w:rPr>
          <w:szCs w:val="24"/>
        </w:rPr>
      </w:pPr>
    </w:p>
    <w:p w14:paraId="6722DE65" w14:textId="77777777" w:rsidR="00F66968" w:rsidRDefault="00F66968" w:rsidP="00F66968">
      <w:pPr>
        <w:spacing w:line="276" w:lineRule="auto"/>
        <w:jc w:val="center"/>
        <w:rPr>
          <w:szCs w:val="24"/>
        </w:rPr>
      </w:pPr>
    </w:p>
    <w:p w14:paraId="3FBAC05B" w14:textId="77777777" w:rsidR="00F66968" w:rsidRPr="00284E0B" w:rsidRDefault="00F66968" w:rsidP="00F66968">
      <w:pPr>
        <w:spacing w:line="276" w:lineRule="auto"/>
        <w:jc w:val="center"/>
        <w:rPr>
          <w:szCs w:val="24"/>
          <w:lang w:val="en-US"/>
        </w:rPr>
      </w:pPr>
    </w:p>
    <w:p w14:paraId="0DBF3E9A" w14:textId="77777777" w:rsidR="00F66968" w:rsidRDefault="00F66968">
      <w:pPr>
        <w:spacing w:line="276" w:lineRule="auto"/>
        <w:jc w:val="center"/>
        <w:rPr>
          <w:szCs w:val="24"/>
        </w:rPr>
      </w:pPr>
    </w:p>
    <w:sectPr w:rsidR="00F66968">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8CC8" w14:textId="77777777" w:rsidR="00590342" w:rsidRDefault="00590342">
      <w:pPr>
        <w:rPr>
          <w:sz w:val="22"/>
          <w:szCs w:val="22"/>
        </w:rPr>
      </w:pPr>
      <w:r>
        <w:rPr>
          <w:sz w:val="22"/>
          <w:szCs w:val="22"/>
        </w:rPr>
        <w:separator/>
      </w:r>
    </w:p>
  </w:endnote>
  <w:endnote w:type="continuationSeparator" w:id="0">
    <w:p w14:paraId="1EB4A91A" w14:textId="77777777" w:rsidR="00590342" w:rsidRDefault="00590342">
      <w:pPr>
        <w:rPr>
          <w:sz w:val="22"/>
          <w:szCs w:val="22"/>
        </w:rPr>
      </w:pPr>
      <w:r>
        <w:rPr>
          <w:sz w:val="22"/>
          <w:szCs w:val="22"/>
        </w:rPr>
        <w:continuationSeparator/>
      </w:r>
    </w:p>
  </w:endnote>
  <w:endnote w:type="continuationNotice" w:id="1">
    <w:p w14:paraId="7DB51240" w14:textId="77777777" w:rsidR="00590342" w:rsidRDefault="0059034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FF05" w14:textId="77777777" w:rsidR="00590342" w:rsidRDefault="00590342">
      <w:pPr>
        <w:rPr>
          <w:sz w:val="22"/>
          <w:szCs w:val="22"/>
        </w:rPr>
      </w:pPr>
      <w:r>
        <w:rPr>
          <w:sz w:val="22"/>
          <w:szCs w:val="22"/>
        </w:rPr>
        <w:separator/>
      </w:r>
    </w:p>
  </w:footnote>
  <w:footnote w:type="continuationSeparator" w:id="0">
    <w:p w14:paraId="2C04BA39" w14:textId="77777777" w:rsidR="00590342" w:rsidRDefault="00590342">
      <w:pPr>
        <w:rPr>
          <w:sz w:val="22"/>
          <w:szCs w:val="22"/>
        </w:rPr>
      </w:pPr>
      <w:r>
        <w:rPr>
          <w:sz w:val="22"/>
          <w:szCs w:val="22"/>
        </w:rPr>
        <w:continuationSeparator/>
      </w:r>
    </w:p>
  </w:footnote>
  <w:footnote w:type="continuationNotice" w:id="1">
    <w:p w14:paraId="7006BEB4" w14:textId="77777777" w:rsidR="00590342" w:rsidRDefault="0059034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F409F">
      <w:rPr>
        <w:noProof/>
        <w:szCs w:val="22"/>
      </w:rPr>
      <w:t>7</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0828"/>
    <w:multiLevelType w:val="hybridMultilevel"/>
    <w:tmpl w:val="2BC6C3B2"/>
    <w:lvl w:ilvl="0" w:tplc="5524C20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0690910"/>
    <w:multiLevelType w:val="multilevel"/>
    <w:tmpl w:val="57F6EDB8"/>
    <w:lvl w:ilvl="0">
      <w:start w:val="1"/>
      <w:numFmt w:val="decimal"/>
      <w:lvlText w:val="%1."/>
      <w:lvlJc w:val="left"/>
      <w:pPr>
        <w:ind w:left="720" w:hanging="360"/>
      </w:pPr>
      <w:rPr>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5D00A5"/>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0803C7"/>
    <w:multiLevelType w:val="multilevel"/>
    <w:tmpl w:val="F9C23E3C"/>
    <w:lvl w:ilvl="0">
      <w:start w:val="1"/>
      <w:numFmt w:val="decimal"/>
      <w:lvlText w:val="%1."/>
      <w:lvlJc w:val="left"/>
      <w:pPr>
        <w:ind w:left="360" w:hanging="360"/>
      </w:pPr>
      <w:rPr>
        <w:rFonts w:ascii="Times New Roman" w:eastAsia="Times New Roman" w:hAnsi="Times New Roman" w:cs="Times New Roman"/>
        <w:i w:val="0"/>
        <w:iCs w:val="0"/>
      </w:r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1D1CBF"/>
    <w:multiLevelType w:val="hybridMultilevel"/>
    <w:tmpl w:val="47FE5D5C"/>
    <w:lvl w:ilvl="0" w:tplc="2326C12E">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3920409">
    <w:abstractNumId w:val="3"/>
  </w:num>
  <w:num w:numId="2" w16cid:durableId="1395155581">
    <w:abstractNumId w:val="1"/>
  </w:num>
  <w:num w:numId="3" w16cid:durableId="904296964">
    <w:abstractNumId w:val="2"/>
  </w:num>
  <w:num w:numId="4" w16cid:durableId="1344552615">
    <w:abstractNumId w:val="4"/>
  </w:num>
  <w:num w:numId="5" w16cid:durableId="21038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2738"/>
    <w:rsid w:val="000C1675"/>
    <w:rsid w:val="002E073F"/>
    <w:rsid w:val="00324809"/>
    <w:rsid w:val="00533553"/>
    <w:rsid w:val="0055085A"/>
    <w:rsid w:val="00590342"/>
    <w:rsid w:val="006F79CD"/>
    <w:rsid w:val="007456CE"/>
    <w:rsid w:val="0077781E"/>
    <w:rsid w:val="00891B87"/>
    <w:rsid w:val="008B0A89"/>
    <w:rsid w:val="00957F51"/>
    <w:rsid w:val="009A4257"/>
    <w:rsid w:val="00A361B0"/>
    <w:rsid w:val="00B2043A"/>
    <w:rsid w:val="00C222C1"/>
    <w:rsid w:val="00CC1B0E"/>
    <w:rsid w:val="00D31DC1"/>
    <w:rsid w:val="00E279F4"/>
    <w:rsid w:val="00EB0F8F"/>
    <w:rsid w:val="00EB5F97"/>
    <w:rsid w:val="00F66968"/>
    <w:rsid w:val="00FF409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24809"/>
    <w:rPr>
      <w:sz w:val="16"/>
      <w:szCs w:val="16"/>
    </w:rPr>
  </w:style>
  <w:style w:type="paragraph" w:styleId="CommentText">
    <w:name w:val="annotation text"/>
    <w:basedOn w:val="Normal"/>
    <w:link w:val="CommentTextChar"/>
    <w:unhideWhenUsed/>
    <w:rsid w:val="00324809"/>
    <w:rPr>
      <w:sz w:val="20"/>
    </w:rPr>
  </w:style>
  <w:style w:type="character" w:customStyle="1" w:styleId="CommentTextChar">
    <w:name w:val="Comment Text Char"/>
    <w:basedOn w:val="DefaultParagraphFont"/>
    <w:link w:val="CommentText"/>
    <w:rsid w:val="00324809"/>
    <w:rPr>
      <w:sz w:val="20"/>
    </w:rPr>
  </w:style>
  <w:style w:type="paragraph" w:styleId="CommentSubject">
    <w:name w:val="annotation subject"/>
    <w:basedOn w:val="CommentText"/>
    <w:next w:val="CommentText"/>
    <w:link w:val="CommentSubjectChar"/>
    <w:semiHidden/>
    <w:unhideWhenUsed/>
    <w:rsid w:val="00324809"/>
    <w:rPr>
      <w:b/>
      <w:bCs/>
    </w:rPr>
  </w:style>
  <w:style w:type="character" w:customStyle="1" w:styleId="CommentSubjectChar">
    <w:name w:val="Comment Subject Char"/>
    <w:basedOn w:val="CommentTextChar"/>
    <w:link w:val="CommentSubject"/>
    <w:semiHidden/>
    <w:rsid w:val="00324809"/>
    <w:rPr>
      <w:b/>
      <w:bCs/>
      <w:sz w:val="20"/>
    </w:rPr>
  </w:style>
  <w:style w:type="character" w:customStyle="1" w:styleId="ui-provider">
    <w:name w:val="ui-provider"/>
    <w:basedOn w:val="DefaultParagraphFont"/>
    <w:rsid w:val="00533553"/>
  </w:style>
  <w:style w:type="character" w:styleId="Hyperlink">
    <w:name w:val="Hyperlink"/>
    <w:basedOn w:val="DefaultParagraphFont"/>
    <w:uiPriority w:val="99"/>
    <w:semiHidden/>
    <w:unhideWhenUsed/>
    <w:rsid w:val="00533553"/>
    <w:rPr>
      <w:color w:val="0000FF"/>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33553"/>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533553"/>
  </w:style>
  <w:style w:type="character" w:customStyle="1" w:styleId="cf01">
    <w:name w:val="cf01"/>
    <w:rsid w:val="00533553"/>
    <w:rPr>
      <w:rFonts w:ascii="Segoe UI" w:hAnsi="Segoe UI" w:cs="Segoe UI" w:hint="default"/>
      <w:sz w:val="18"/>
      <w:szCs w:val="18"/>
    </w:rPr>
  </w:style>
  <w:style w:type="paragraph" w:customStyle="1" w:styleId="pf0">
    <w:name w:val="pf0"/>
    <w:basedOn w:val="Normal"/>
    <w:rsid w:val="00B2043A"/>
    <w:pPr>
      <w:spacing w:before="100" w:beforeAutospacing="1" w:after="100" w:afterAutospacing="1"/>
    </w:pPr>
    <w:rPr>
      <w:szCs w:val="24"/>
      <w:lang w:eastAsia="lt-LT"/>
    </w:rPr>
  </w:style>
  <w:style w:type="character" w:customStyle="1" w:styleId="cf11">
    <w:name w:val="cf11"/>
    <w:rsid w:val="000C1675"/>
    <w:rPr>
      <w:rFonts w:ascii="Segoe UI" w:hAnsi="Segoe UI" w:cs="Segoe UI" w:hint="default"/>
      <w:sz w:val="18"/>
      <w:szCs w:val="18"/>
    </w:rPr>
  </w:style>
  <w:style w:type="paragraph" w:styleId="NormalWeb">
    <w:name w:val="Normal (Web)"/>
    <w:basedOn w:val="Normal"/>
    <w:uiPriority w:val="99"/>
    <w:unhideWhenUsed/>
    <w:rsid w:val="000C1675"/>
    <w:pPr>
      <w:spacing w:before="100" w:beforeAutospacing="1" w:after="100" w:afterAutospacing="1"/>
    </w:pPr>
    <w:rPr>
      <w:szCs w:val="24"/>
      <w:lang w:eastAsia="lt-LT"/>
    </w:rPr>
  </w:style>
  <w:style w:type="character" w:customStyle="1" w:styleId="jlqj4b">
    <w:name w:val="jlqj4b"/>
    <w:basedOn w:val="DefaultParagraphFont"/>
    <w:rsid w:val="00F6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2992C-570A-4813-8FB2-C194E6B10624}">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027685E-AA1B-41CE-ACD8-D080607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19494</Words>
  <Characters>11113</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Inga Petrauskienė</cp:lastModifiedBy>
  <cp:revision>17</cp:revision>
  <dcterms:created xsi:type="dcterms:W3CDTF">2024-03-25T07:04:00Z</dcterms:created>
  <dcterms:modified xsi:type="dcterms:W3CDTF">2024-03-27T06:49:00Z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