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98F6B" w14:textId="77777777" w:rsidR="00AE1B69" w:rsidRPr="005B14B5" w:rsidRDefault="00AE1B69" w:rsidP="00AE1B69">
      <w:pPr>
        <w:widowControl w:val="0"/>
        <w:jc w:val="center"/>
        <w:textAlignment w:val="baseline"/>
        <w:rPr>
          <w:b/>
          <w:szCs w:val="24"/>
        </w:rPr>
      </w:pPr>
      <w:r w:rsidRPr="005B14B5">
        <w:rPr>
          <w:b/>
          <w:szCs w:val="24"/>
        </w:rPr>
        <w:t>LIETUVOS RESPUBLIKOS EKONOMIKOS IR INOVACIJŲ MINISTERIJA</w:t>
      </w:r>
    </w:p>
    <w:p w14:paraId="06A2625F" w14:textId="77777777" w:rsidR="00FA5662" w:rsidRPr="005B14B5" w:rsidRDefault="00FA5662">
      <w:pPr>
        <w:widowControl w:val="0"/>
        <w:textAlignment w:val="baseline"/>
        <w:rPr>
          <w:szCs w:val="24"/>
        </w:rPr>
      </w:pPr>
    </w:p>
    <w:p w14:paraId="1EA47AC8" w14:textId="0E0B3188" w:rsidR="00FA5662" w:rsidRPr="005B14B5" w:rsidRDefault="00451A9F">
      <w:pPr>
        <w:widowControl w:val="0"/>
        <w:textAlignment w:val="baseline"/>
        <w:rPr>
          <w:szCs w:val="24"/>
        </w:rPr>
      </w:pPr>
      <w:r w:rsidRPr="005B14B5">
        <w:rPr>
          <w:szCs w:val="24"/>
        </w:rPr>
        <w:t>______________________________</w:t>
      </w:r>
    </w:p>
    <w:p w14:paraId="2706FAD6" w14:textId="77777777" w:rsidR="00FA5662" w:rsidRPr="005B14B5" w:rsidRDefault="00451A9F">
      <w:pPr>
        <w:widowControl w:val="0"/>
        <w:ind w:left="1276"/>
        <w:textAlignment w:val="baseline"/>
        <w:rPr>
          <w:szCs w:val="24"/>
        </w:rPr>
      </w:pPr>
      <w:r w:rsidRPr="005B14B5">
        <w:rPr>
          <w:szCs w:val="24"/>
        </w:rPr>
        <w:t>(gavėjas)</w:t>
      </w:r>
    </w:p>
    <w:p w14:paraId="51D1B5B7" w14:textId="77777777" w:rsidR="00FA5662" w:rsidRPr="005B14B5" w:rsidRDefault="00FA5662">
      <w:pPr>
        <w:widowControl w:val="0"/>
        <w:textAlignment w:val="baseline"/>
        <w:rPr>
          <w:szCs w:val="24"/>
        </w:rPr>
      </w:pPr>
    </w:p>
    <w:p w14:paraId="7534FC61" w14:textId="4C2F64DB" w:rsidR="00FA5662" w:rsidRPr="005B14B5" w:rsidRDefault="00451A9F">
      <w:pPr>
        <w:widowControl w:val="0"/>
        <w:jc w:val="center"/>
        <w:textAlignment w:val="baseline"/>
        <w:rPr>
          <w:b/>
          <w:szCs w:val="24"/>
        </w:rPr>
      </w:pPr>
      <w:r w:rsidRPr="005B14B5"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FA5662" w:rsidRPr="005B14B5" w:rsidRDefault="00FA5662">
      <w:pPr>
        <w:widowControl w:val="0"/>
        <w:jc w:val="center"/>
        <w:textAlignment w:val="baseline"/>
        <w:rPr>
          <w:szCs w:val="24"/>
        </w:rPr>
      </w:pPr>
    </w:p>
    <w:p w14:paraId="2EE47239" w14:textId="59667B9E" w:rsidR="00FA5662" w:rsidRPr="005B14B5" w:rsidRDefault="00451A9F">
      <w:pPr>
        <w:widowControl w:val="0"/>
        <w:jc w:val="center"/>
        <w:textAlignment w:val="baseline"/>
        <w:rPr>
          <w:szCs w:val="24"/>
        </w:rPr>
      </w:pPr>
      <w:r w:rsidRPr="005B14B5">
        <w:rPr>
          <w:szCs w:val="24"/>
        </w:rPr>
        <w:t>20</w:t>
      </w:r>
      <w:r w:rsidR="00AE1B69" w:rsidRPr="00B60CB4">
        <w:rPr>
          <w:szCs w:val="24"/>
        </w:rPr>
        <w:t>24</w:t>
      </w:r>
      <w:r w:rsidRPr="005B14B5">
        <w:rPr>
          <w:szCs w:val="24"/>
        </w:rPr>
        <w:t xml:space="preserve"> m. </w:t>
      </w:r>
      <w:r w:rsidR="00543712" w:rsidRPr="005B14B5">
        <w:rPr>
          <w:szCs w:val="24"/>
        </w:rPr>
        <w:t xml:space="preserve">gegužės </w:t>
      </w:r>
      <w:r w:rsidR="00B60CB4">
        <w:rPr>
          <w:szCs w:val="24"/>
        </w:rPr>
        <w:t>28</w:t>
      </w:r>
      <w:r w:rsidR="00B60CB4" w:rsidRPr="005B14B5">
        <w:rPr>
          <w:szCs w:val="24"/>
        </w:rPr>
        <w:t xml:space="preserve"> </w:t>
      </w:r>
      <w:r w:rsidRPr="005B14B5">
        <w:rPr>
          <w:szCs w:val="24"/>
        </w:rPr>
        <w:t>d.</w:t>
      </w:r>
    </w:p>
    <w:p w14:paraId="523DCB94" w14:textId="77777777" w:rsidR="00FA5662" w:rsidRPr="005B14B5" w:rsidRDefault="00FA5662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6"/>
        <w:gridCol w:w="8871"/>
      </w:tblGrid>
      <w:tr w:rsidR="00FA5662" w:rsidRPr="005B14B5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FA5662" w:rsidRPr="005B14B5" w:rsidRDefault="00451A9F">
            <w:pPr>
              <w:widowControl w:val="0"/>
              <w:textAlignment w:val="baseline"/>
              <w:rPr>
                <w:b/>
                <w:szCs w:val="24"/>
              </w:rPr>
            </w:pPr>
            <w:r w:rsidRPr="005B14B5"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052B3A5C" w:rsidR="00FA5662" w:rsidRPr="005B14B5" w:rsidRDefault="00AE1B69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5B14B5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FA5662" w:rsidRPr="005B14B5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FA5662" w:rsidRPr="005B14B5" w:rsidRDefault="00451A9F">
            <w:pPr>
              <w:widowControl w:val="0"/>
              <w:textAlignment w:val="baseline"/>
              <w:rPr>
                <w:b/>
                <w:szCs w:val="24"/>
              </w:rPr>
            </w:pPr>
            <w:r w:rsidRPr="005B14B5">
              <w:rPr>
                <w:b/>
                <w:szCs w:val="24"/>
              </w:rPr>
              <w:t>Pažangos priemonės veiklos (</w:t>
            </w:r>
            <w:proofErr w:type="spellStart"/>
            <w:r w:rsidRPr="005B14B5">
              <w:rPr>
                <w:b/>
                <w:szCs w:val="24"/>
              </w:rPr>
              <w:t>poveiklės</w:t>
            </w:r>
            <w:proofErr w:type="spellEnd"/>
            <w:r w:rsidRPr="005B14B5">
              <w:rPr>
                <w:b/>
                <w:szCs w:val="24"/>
              </w:rPr>
              <w:t>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0BD5E92" w14:textId="0311E310" w:rsidR="00FA5662" w:rsidRPr="005B14B5" w:rsidRDefault="00AE1B69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5B14B5">
              <w:rPr>
                <w:bCs/>
                <w:i/>
                <w:iCs/>
                <w:szCs w:val="24"/>
              </w:rPr>
              <w:t xml:space="preserve">2022–2030 metų </w:t>
            </w:r>
            <w:r w:rsidRPr="005B14B5">
              <w:rPr>
                <w:i/>
                <w:iCs/>
                <w:szCs w:val="24"/>
              </w:rPr>
              <w:t xml:space="preserve">ekonomikos transformacijos ir konkurencingumo </w:t>
            </w:r>
            <w:r w:rsidRPr="005B14B5">
              <w:rPr>
                <w:bCs/>
                <w:i/>
                <w:iCs/>
                <w:szCs w:val="24"/>
              </w:rPr>
              <w:t xml:space="preserve">plėtros programos pažangos priemonės </w:t>
            </w:r>
            <w:r w:rsidRPr="005B14B5">
              <w:rPr>
                <w:i/>
                <w:szCs w:val="24"/>
              </w:rPr>
              <w:t>Nr. 05-001-</w:t>
            </w:r>
            <w:r w:rsidRPr="005B14B5">
              <w:rPr>
                <w:i/>
                <w:iCs/>
                <w:szCs w:val="24"/>
              </w:rPr>
              <w:t xml:space="preserve">01-05-07 „Sukurti nuoseklią inovacinės veiklos skatinimo sistemą“ veiklos „Skatinti inovacijas viešajame sektoriuje (ikiprekybinius pirkimus)“ </w:t>
            </w:r>
            <w:proofErr w:type="spellStart"/>
            <w:r w:rsidRPr="005B14B5">
              <w:rPr>
                <w:i/>
                <w:iCs/>
                <w:szCs w:val="24"/>
              </w:rPr>
              <w:t>poveiklės</w:t>
            </w:r>
            <w:proofErr w:type="spellEnd"/>
            <w:r w:rsidRPr="005B14B5">
              <w:rPr>
                <w:i/>
                <w:iCs/>
                <w:szCs w:val="24"/>
              </w:rPr>
              <w:t xml:space="preserve"> „Sudaryti paskatas verslui kurti naujus produktus viešojo sektoriaus poreikiams tenkinti (Sostinės regionas)“ ir „Sudaryti paskatas verslui kurti naujus produktus viešojo sektoriaus poreikiams tenkinti (Vidurio ir vakarų Lietuvos regionas)“</w:t>
            </w:r>
          </w:p>
        </w:tc>
      </w:tr>
      <w:tr w:rsidR="00FA5662" w:rsidRPr="005B14B5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FA5662" w:rsidRPr="005B14B5" w:rsidRDefault="00451A9F">
            <w:pPr>
              <w:widowControl w:val="0"/>
              <w:textAlignment w:val="baseline"/>
              <w:rPr>
                <w:b/>
                <w:szCs w:val="24"/>
              </w:rPr>
            </w:pPr>
            <w:r w:rsidRPr="005B14B5">
              <w:rPr>
                <w:b/>
                <w:szCs w:val="24"/>
              </w:rPr>
              <w:t>Pažangos priemonės veiklai (</w:t>
            </w:r>
            <w:proofErr w:type="spellStart"/>
            <w:r w:rsidRPr="005B14B5">
              <w:rPr>
                <w:b/>
                <w:szCs w:val="24"/>
              </w:rPr>
              <w:t>poveiklei</w:t>
            </w:r>
            <w:proofErr w:type="spellEnd"/>
            <w:r w:rsidRPr="005B14B5"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59C95CDE" w:rsidR="00FA5662" w:rsidRPr="005B14B5" w:rsidRDefault="00623FDD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5B14B5">
              <w:rPr>
                <w:i/>
                <w:szCs w:val="24"/>
              </w:rPr>
              <w:t xml:space="preserve">12,6 </w:t>
            </w:r>
            <w:r w:rsidR="00AE1B69" w:rsidRPr="005B14B5">
              <w:rPr>
                <w:i/>
                <w:szCs w:val="24"/>
              </w:rPr>
              <w:t>mln. Eur</w:t>
            </w:r>
            <w:r w:rsidR="006456BF">
              <w:rPr>
                <w:i/>
                <w:szCs w:val="24"/>
              </w:rPr>
              <w:t xml:space="preserve"> (</w:t>
            </w:r>
            <w:r w:rsidR="006456BF">
              <w:rPr>
                <w:i/>
                <w:iCs/>
              </w:rPr>
              <w:t xml:space="preserve">Sostinės regionas – </w:t>
            </w:r>
            <w:r w:rsidR="006456BF">
              <w:rPr>
                <w:i/>
                <w:iCs/>
              </w:rPr>
              <w:t>5,4</w:t>
            </w:r>
            <w:r w:rsidR="006456BF">
              <w:rPr>
                <w:i/>
                <w:iCs/>
              </w:rPr>
              <w:t xml:space="preserve"> mln. Eur, Vidurio ir vakarų Lietuvos regionas – </w:t>
            </w:r>
            <w:r w:rsidR="006456BF">
              <w:rPr>
                <w:i/>
                <w:iCs/>
              </w:rPr>
              <w:t>7,2</w:t>
            </w:r>
            <w:r w:rsidR="006456BF">
              <w:rPr>
                <w:i/>
                <w:iCs/>
              </w:rPr>
              <w:t>  mln. Eur)</w:t>
            </w:r>
          </w:p>
        </w:tc>
      </w:tr>
      <w:tr w:rsidR="00FA5662" w:rsidRPr="005B14B5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FA5662" w:rsidRPr="005B14B5" w:rsidRDefault="00451A9F">
            <w:pPr>
              <w:widowControl w:val="0"/>
              <w:textAlignment w:val="baseline"/>
              <w:rPr>
                <w:b/>
                <w:szCs w:val="24"/>
              </w:rPr>
            </w:pPr>
            <w:r w:rsidRPr="005B14B5">
              <w:rPr>
                <w:b/>
                <w:szCs w:val="24"/>
              </w:rPr>
              <w:t>Finansavimo šaltinis (-</w:t>
            </w:r>
            <w:proofErr w:type="spellStart"/>
            <w:r w:rsidRPr="005B14B5">
              <w:rPr>
                <w:b/>
                <w:szCs w:val="24"/>
              </w:rPr>
              <w:t>iai</w:t>
            </w:r>
            <w:proofErr w:type="spellEnd"/>
            <w:r w:rsidRPr="005B14B5">
              <w:rPr>
                <w:b/>
                <w:szCs w:val="24"/>
              </w:rPr>
              <w:t>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41CC0B63" w:rsidR="00FA5662" w:rsidRPr="005B14B5" w:rsidRDefault="00D94048" w:rsidP="00800D3F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5B14B5">
              <w:rPr>
                <w:i/>
                <w:szCs w:val="24"/>
              </w:rPr>
              <w:t>2021–2027 m. Europos Sąjungos fondų ir bendrojo finansavimo lėšos.</w:t>
            </w:r>
          </w:p>
        </w:tc>
      </w:tr>
      <w:tr w:rsidR="00FA5662" w:rsidRPr="005B14B5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FA5662" w:rsidRPr="005B14B5" w:rsidRDefault="00451A9F">
            <w:pPr>
              <w:widowControl w:val="0"/>
              <w:textAlignment w:val="baseline"/>
              <w:rPr>
                <w:b/>
                <w:szCs w:val="24"/>
              </w:rPr>
            </w:pPr>
            <w:r w:rsidRPr="005B14B5"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53370D0D" w:rsidR="00FA5662" w:rsidRPr="005B14B5" w:rsidRDefault="00451A9F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5B14B5">
              <w:rPr>
                <w:i/>
                <w:iCs/>
                <w:szCs w:val="24"/>
              </w:rPr>
              <w:t xml:space="preserve">2021–2027 metų Europos Sąjungos fondų investicijų programos </w:t>
            </w:r>
            <w:r w:rsidR="00D94048" w:rsidRPr="005B14B5">
              <w:rPr>
                <w:i/>
                <w:iCs/>
                <w:szCs w:val="24"/>
              </w:rPr>
              <w:t xml:space="preserve">(toliau – Investicijų programa) 1 </w:t>
            </w:r>
            <w:r w:rsidRPr="005B14B5">
              <w:rPr>
                <w:i/>
                <w:iCs/>
                <w:szCs w:val="24"/>
              </w:rPr>
              <w:t>prioritet</w:t>
            </w:r>
            <w:r w:rsidR="00D94048" w:rsidRPr="005B14B5">
              <w:rPr>
                <w:i/>
                <w:iCs/>
                <w:szCs w:val="24"/>
              </w:rPr>
              <w:t xml:space="preserve">as „Pažangesnė Lietuva“, </w:t>
            </w:r>
            <w:r w:rsidRPr="005B14B5">
              <w:rPr>
                <w:i/>
                <w:iCs/>
                <w:szCs w:val="24"/>
              </w:rPr>
              <w:t>konkretus uždavin</w:t>
            </w:r>
            <w:r w:rsidR="00D94048" w:rsidRPr="005B14B5">
              <w:rPr>
                <w:i/>
                <w:iCs/>
                <w:szCs w:val="24"/>
              </w:rPr>
              <w:t>ys 1.1 „Plėtoti ir stiprinti mokslinių tyrimų ir inovacinius pajėgumus ir diegti pažangiąsias technologijas“.</w:t>
            </w:r>
          </w:p>
        </w:tc>
      </w:tr>
      <w:tr w:rsidR="00FA5662" w:rsidRPr="005B14B5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FA5662" w:rsidRPr="005B14B5" w:rsidRDefault="00451A9F">
            <w:pPr>
              <w:widowControl w:val="0"/>
              <w:textAlignment w:val="baseline"/>
              <w:rPr>
                <w:b/>
                <w:szCs w:val="24"/>
              </w:rPr>
            </w:pPr>
            <w:r w:rsidRPr="005B14B5"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1BFB854A" w14:textId="77777777" w:rsidR="00FA5662" w:rsidRPr="005B14B5" w:rsidRDefault="00451A9F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5B14B5">
              <w:rPr>
                <w:bCs/>
                <w:szCs w:val="24"/>
                <w:lang w:eastAsia="lt-LT"/>
              </w:rPr>
              <w:sym w:font="Times New Roman" w:char="F07F"/>
            </w:r>
            <w:r w:rsidRPr="005B14B5">
              <w:rPr>
                <w:szCs w:val="24"/>
              </w:rPr>
              <w:t xml:space="preserve"> Planavimo</w:t>
            </w:r>
          </w:p>
          <w:p w14:paraId="1B352361" w14:textId="51D8C8B6" w:rsidR="00FA5662" w:rsidRPr="005B14B5" w:rsidRDefault="00D94048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5B14B5">
              <w:rPr>
                <w:bCs/>
                <w:szCs w:val="24"/>
                <w:lang w:eastAsia="lt-LT"/>
              </w:rPr>
              <w:t>■</w:t>
            </w:r>
            <w:r w:rsidR="00451A9F" w:rsidRPr="005B14B5">
              <w:rPr>
                <w:szCs w:val="24"/>
              </w:rPr>
              <w:t xml:space="preserve"> Konkurso</w:t>
            </w:r>
          </w:p>
          <w:p w14:paraId="609AFC41" w14:textId="77777777" w:rsidR="00FA5662" w:rsidRPr="005B14B5" w:rsidRDefault="00451A9F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5B14B5">
              <w:rPr>
                <w:bCs/>
                <w:szCs w:val="24"/>
                <w:lang w:eastAsia="lt-LT"/>
              </w:rPr>
              <w:sym w:font="Times New Roman" w:char="F07F"/>
            </w:r>
            <w:r w:rsidRPr="005B14B5">
              <w:rPr>
                <w:szCs w:val="24"/>
              </w:rPr>
              <w:t xml:space="preserve"> Tęstinės projektų atrankos</w:t>
            </w:r>
          </w:p>
          <w:p w14:paraId="19502A19" w14:textId="768C1009" w:rsidR="00FA5662" w:rsidRPr="005B14B5" w:rsidRDefault="00451A9F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5B14B5">
              <w:rPr>
                <w:bCs/>
                <w:szCs w:val="24"/>
                <w:lang w:eastAsia="lt-LT"/>
              </w:rPr>
              <w:sym w:font="Times New Roman" w:char="F07F"/>
            </w:r>
            <w:r w:rsidRPr="005B14B5">
              <w:rPr>
                <w:bCs/>
                <w:szCs w:val="24"/>
                <w:lang w:eastAsia="lt-LT"/>
              </w:rPr>
              <w:t xml:space="preserve"> Finansinė priemonė</w:t>
            </w:r>
          </w:p>
        </w:tc>
      </w:tr>
    </w:tbl>
    <w:p w14:paraId="2A20A757" w14:textId="77777777" w:rsidR="00FA5662" w:rsidRPr="005B14B5" w:rsidRDefault="00FA5662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FA5662" w:rsidRPr="005B14B5" w14:paraId="51B3363E" w14:textId="77777777" w:rsidTr="00090C48">
        <w:tc>
          <w:tcPr>
            <w:tcW w:w="6232" w:type="dxa"/>
            <w:shd w:val="clear" w:color="auto" w:fill="auto"/>
          </w:tcPr>
          <w:p w14:paraId="41C0751E" w14:textId="1A8D88E3" w:rsidR="00FA5662" w:rsidRPr="005B14B5" w:rsidRDefault="00451A9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szCs w:val="24"/>
              </w:rPr>
              <w:br w:type="page"/>
            </w:r>
            <w:r w:rsidR="00D94048" w:rsidRPr="005B14B5">
              <w:rPr>
                <w:b/>
                <w:bCs/>
                <w:szCs w:val="24"/>
                <w:lang w:eastAsia="lt-LT"/>
              </w:rPr>
              <w:t>■</w:t>
            </w:r>
            <w:r w:rsidR="007D6ED7" w:rsidRPr="005B14B5">
              <w:rPr>
                <w:b/>
                <w:bCs/>
                <w:szCs w:val="24"/>
                <w:lang w:eastAsia="lt-LT"/>
              </w:rPr>
              <w:t xml:space="preserve"> </w:t>
            </w:r>
            <w:r w:rsidRPr="005B14B5">
              <w:rPr>
                <w:b/>
                <w:bCs/>
                <w:szCs w:val="24"/>
                <w:lang w:eastAsia="lt-LT"/>
              </w:rPr>
              <w:t>SPECIALUSIS PROJEKTŲ ATRANKOS KRITERIJUS</w:t>
            </w:r>
          </w:p>
          <w:p w14:paraId="0744BF57" w14:textId="481DBA82" w:rsidR="00FA5662" w:rsidRPr="005B14B5" w:rsidRDefault="00451A9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5B14B5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736D2F4A" w14:textId="00E6CF90" w:rsidR="00FA5662" w:rsidRPr="005B14B5" w:rsidRDefault="00D94048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■</w:t>
            </w:r>
            <w:r w:rsidR="00451A9F" w:rsidRPr="005B14B5">
              <w:rPr>
                <w:b/>
                <w:bCs/>
                <w:szCs w:val="24"/>
                <w:lang w:eastAsia="lt-LT"/>
              </w:rPr>
              <w:t>Nustatymas</w:t>
            </w:r>
          </w:p>
          <w:p w14:paraId="3EBC1D0C" w14:textId="4F0CFC23" w:rsidR="00FA5662" w:rsidRPr="005B14B5" w:rsidRDefault="00451A9F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5B14B5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5B14B5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FA5662" w:rsidRPr="005B14B5" w14:paraId="6C9B72A7" w14:textId="77777777" w:rsidTr="00090C48">
        <w:tc>
          <w:tcPr>
            <w:tcW w:w="6232" w:type="dxa"/>
            <w:shd w:val="clear" w:color="auto" w:fill="auto"/>
            <w:vAlign w:val="center"/>
          </w:tcPr>
          <w:p w14:paraId="6334BD0A" w14:textId="6FE24095" w:rsidR="00FA5662" w:rsidRPr="005B14B5" w:rsidRDefault="00451A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794524A3" w14:textId="2486D0CB" w:rsidR="00FA5662" w:rsidRPr="005B14B5" w:rsidRDefault="004D0840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 w:rsidRPr="005B14B5">
              <w:rPr>
                <w:b/>
                <w:bCs/>
                <w:i/>
                <w:iCs/>
                <w:lang w:eastAsia="lt-LT"/>
              </w:rPr>
              <w:t xml:space="preserve">1. Projekte suplanuotos veiklos atitinka </w:t>
            </w:r>
            <w:hyperlink r:id="rId14">
              <w:r w:rsidRPr="005B14B5">
                <w:rPr>
                  <w:rStyle w:val="Hyperlink"/>
                  <w:b/>
                  <w:bCs/>
                  <w:i/>
                  <w:iCs/>
                  <w:lang w:eastAsia="lt-LT"/>
                </w:rPr>
                <w:t xml:space="preserve">Mokslinių tyrimų ir eksperimentinės plėtros ir inovacijų (sumaniosios specializacijos) prioritetų įgyvendinimo koncepcijos, patvirtintos </w:t>
              </w:r>
              <w:r w:rsidRPr="005B14B5">
                <w:rPr>
                  <w:rStyle w:val="Hyperlink"/>
                  <w:b/>
                  <w:bCs/>
                  <w:i/>
                  <w:iCs/>
                  <w:lang w:eastAsia="lt-LT"/>
                </w:rPr>
                <w:lastRenderedPageBreak/>
                <w:t>Lietuvos Respublikos Vyriausybės 2022 m. rugpjūčio 17 d. nutarimu Nr. 835 „Dėl Mokslinių tyrimų ir eksperimentinės plėtros ir inovacijų (sumaniosios specializacijos) koncepcijos patvirtinimo“</w:t>
              </w:r>
            </w:hyperlink>
            <w:r w:rsidRPr="005B14B5">
              <w:rPr>
                <w:b/>
                <w:bCs/>
                <w:i/>
                <w:iCs/>
                <w:lang w:eastAsia="lt-LT"/>
              </w:rPr>
              <w:t xml:space="preserve">, nuostatas (toliau </w:t>
            </w:r>
            <w:r w:rsidRPr="005B14B5">
              <w:rPr>
                <w:b/>
                <w:bCs/>
                <w:i/>
                <w:iCs/>
              </w:rPr>
              <w:t>– Koncepcija)</w:t>
            </w:r>
            <w:r w:rsidRPr="005B14B5">
              <w:rPr>
                <w:b/>
                <w:bCs/>
                <w:i/>
                <w:iCs/>
                <w:lang w:eastAsia="lt-LT"/>
              </w:rPr>
              <w:t xml:space="preserve"> ir bent vieno </w:t>
            </w:r>
            <w:r w:rsidRPr="005B14B5">
              <w:rPr>
                <w:b/>
                <w:bCs/>
                <w:i/>
                <w:iCs/>
              </w:rPr>
              <w:t>mokslinių tyrimų ir eksperimentinės plėtros ir inovacijų (toliau – MTEPI) (sumaniosios specializacijos) prioriteto (toliau – MTEPI prioritetas)</w:t>
            </w:r>
            <w:r w:rsidRPr="005B14B5">
              <w:rPr>
                <w:color w:val="000000" w:themeColor="text1"/>
              </w:rPr>
              <w:t xml:space="preserve"> </w:t>
            </w:r>
            <w:r w:rsidRPr="005B14B5">
              <w:rPr>
                <w:b/>
                <w:bCs/>
                <w:i/>
                <w:iCs/>
                <w:lang w:eastAsia="lt-LT"/>
              </w:rPr>
              <w:t>tematiką.</w:t>
            </w:r>
          </w:p>
        </w:tc>
      </w:tr>
      <w:tr w:rsidR="00FA5662" w:rsidRPr="005B14B5" w14:paraId="225452A9" w14:textId="77777777" w:rsidTr="00090C48">
        <w:tc>
          <w:tcPr>
            <w:tcW w:w="6232" w:type="dxa"/>
            <w:shd w:val="clear" w:color="auto" w:fill="auto"/>
            <w:vAlign w:val="center"/>
          </w:tcPr>
          <w:p w14:paraId="228A712C" w14:textId="56261FD1" w:rsidR="00FA5662" w:rsidRPr="005B14B5" w:rsidRDefault="00451A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lastRenderedPageBreak/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0AE6FB83" w14:textId="77777777" w:rsidR="006851D6" w:rsidRPr="005B14B5" w:rsidRDefault="006851D6" w:rsidP="00B60CB4">
            <w:pPr>
              <w:widowControl w:val="0"/>
              <w:spacing w:after="100" w:afterAutospacing="1"/>
              <w:jc w:val="both"/>
              <w:textAlignment w:val="baseline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Vertinama, ar projektas prisideda prie </w:t>
            </w:r>
            <w:hyperlink r:id="rId15" w:history="1">
              <w:r w:rsidRPr="005B14B5">
                <w:rPr>
                  <w:i/>
                  <w:iCs/>
                </w:rPr>
                <w:t>Koncepcijos</w:t>
              </w:r>
            </w:hyperlink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ir atitinka bent vieno MTEPI prioriteto tematiką.</w:t>
            </w:r>
          </w:p>
          <w:p w14:paraId="74595665" w14:textId="31D80AE8" w:rsidR="00FA5662" w:rsidRPr="005B14B5" w:rsidRDefault="006851D6" w:rsidP="001738C2">
            <w:pPr>
              <w:widowControl w:val="0"/>
              <w:spacing w:before="100" w:beforeAutospacing="1" w:after="100" w:afterAutospacing="1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Atitiktis kriterijui vertinama pagal projekto įgyvendinimo plane (toliau – PĮP) pateiktą informaciją.</w:t>
            </w:r>
          </w:p>
        </w:tc>
      </w:tr>
      <w:tr w:rsidR="00FA5662" w:rsidRPr="005B14B5" w14:paraId="394004C0" w14:textId="77777777" w:rsidTr="00090C48">
        <w:tc>
          <w:tcPr>
            <w:tcW w:w="6232" w:type="dxa"/>
            <w:shd w:val="clear" w:color="auto" w:fill="auto"/>
            <w:vAlign w:val="center"/>
          </w:tcPr>
          <w:p w14:paraId="17F3DB83" w14:textId="4623DD08" w:rsidR="00FA5662" w:rsidRPr="005B14B5" w:rsidRDefault="00451A9F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26110C5D" w14:textId="77777777" w:rsidR="006851D6" w:rsidRPr="005B14B5" w:rsidRDefault="006851D6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Nustatytas kriterijus padės atrinkti tuos projektus, kurie atitinka Koncepcijos nuostatas ir bent vieno MTEPI prioriteto tematiką ir atitinka Investicijų programos 1 prioriteto „Pažangesnė Lietuva“ 1.1 konkretaus uždavinio „Plėtoti ir stiprinti mokslinių tyrimų ir inovacinius pajėgumus ir diegti pažangiąsias technologijas“ tikslus siekiant sumaniąja specializacija grįstos ekonomikos transformacijos į aukštos pridėtinės vertės produktų kūrimo vertes.</w:t>
            </w:r>
          </w:p>
          <w:p w14:paraId="77140E05" w14:textId="77777777" w:rsidR="006851D6" w:rsidRPr="005B14B5" w:rsidRDefault="006851D6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Šis kriterijus reikalingas siekiant įgyvendinti būtiną Investicijų programos 1 prioriteto „Pažangesnė Lietuva“ 1.1 konkretaus uždavinio „Plėtoti ir stiprinti mokslinių tyrimų ir inovacinius pajėgumus ir diegti pažangiąsias technologijas“ išankstinę sąlygą.</w:t>
            </w:r>
          </w:p>
          <w:p w14:paraId="01E7EB71" w14:textId="1650F228" w:rsidR="00FA5662" w:rsidRPr="005B14B5" w:rsidRDefault="006851D6" w:rsidP="001738C2">
            <w:pPr>
              <w:spacing w:before="100" w:beforeAutospacing="1" w:after="100" w:afterAutospacing="1"/>
              <w:jc w:val="both"/>
              <w:rPr>
                <w:bCs/>
                <w:i/>
                <w:szCs w:val="24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Projektų atrankos kriterijus tiesiogiai prisideda prie inovatyvumo (kūrybingumo) horizontaliojo principo, kadangi veikla siekiama geriau naudoti viešojo sektoriaus potencialą inovacijoms, atitinkančioms Koncepciją ir bent vieno MTEPI prioriteto tematiką, šalyje skatinti: kuriamos paskatos</w:t>
            </w:r>
            <w:r w:rsidR="00800D3F" w:rsidRPr="005B14B5">
              <w:rPr>
                <w:bCs/>
                <w:i/>
                <w:iCs/>
                <w:szCs w:val="24"/>
                <w:lang w:eastAsia="lt-LT"/>
              </w:rPr>
              <w:t xml:space="preserve"> </w:t>
            </w:r>
            <w:r w:rsidR="00800D3F" w:rsidRPr="005B14B5">
              <w:rPr>
                <w:bCs/>
                <w:i/>
                <w:iCs/>
                <w:lang w:eastAsia="lt-LT"/>
              </w:rPr>
              <w:t>perkančiosioms organizacijoms vykdyti ikiprekybinius pirkimus, o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verslui kurti naujus produktus viešojo sektoriaus poreikiams tenkinti ir dalyvauti ikiprekybiniuose pirkimuose Sostinės regione (toliau – SR) ir Vidurio ir Vakarų Lietuvos regione (toliau – VVL).</w:t>
            </w:r>
          </w:p>
        </w:tc>
      </w:tr>
      <w:tr w:rsidR="009455A1" w:rsidRPr="005B14B5" w14:paraId="6710E4D3" w14:textId="77777777" w:rsidTr="00090C48">
        <w:tc>
          <w:tcPr>
            <w:tcW w:w="6232" w:type="dxa"/>
            <w:shd w:val="clear" w:color="auto" w:fill="auto"/>
          </w:tcPr>
          <w:p w14:paraId="7F5DD26F" w14:textId="61B94EB9" w:rsidR="009455A1" w:rsidRPr="005B14B5" w:rsidRDefault="009455A1" w:rsidP="009455A1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szCs w:val="24"/>
              </w:rPr>
              <w:br w:type="page"/>
            </w:r>
            <w:r w:rsidR="008D7B1A" w:rsidRPr="005B14B5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="007D6ED7" w:rsidRPr="005B14B5">
              <w:rPr>
                <w:b/>
                <w:bCs/>
                <w:szCs w:val="24"/>
                <w:lang w:eastAsia="lt-LT"/>
              </w:rPr>
              <w:t xml:space="preserve"> </w:t>
            </w:r>
            <w:r w:rsidRPr="005B14B5">
              <w:rPr>
                <w:b/>
                <w:bCs/>
                <w:szCs w:val="24"/>
                <w:lang w:eastAsia="lt-LT"/>
              </w:rPr>
              <w:t>SPECIALUSIS PROJEKTŲ ATRANKOS KRITERIJUS</w:t>
            </w:r>
          </w:p>
          <w:p w14:paraId="7A1C8580" w14:textId="1D0DEB85" w:rsidR="009455A1" w:rsidRPr="005B14B5" w:rsidRDefault="008D7B1A" w:rsidP="00090C48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■</w:t>
            </w:r>
            <w:r w:rsidR="009455A1" w:rsidRPr="005B14B5"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112D0D2" w14:textId="77777777" w:rsidR="009455A1" w:rsidRPr="005B14B5" w:rsidRDefault="009455A1" w:rsidP="009455A1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■Nustatymas</w:t>
            </w:r>
          </w:p>
          <w:p w14:paraId="333A8519" w14:textId="49E1C2CF" w:rsidR="009455A1" w:rsidRPr="005B14B5" w:rsidRDefault="009455A1" w:rsidP="009455A1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5B14B5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9455A1" w:rsidRPr="005B14B5" w14:paraId="339BB658" w14:textId="77777777" w:rsidTr="00090C48">
        <w:tc>
          <w:tcPr>
            <w:tcW w:w="6232" w:type="dxa"/>
            <w:shd w:val="clear" w:color="auto" w:fill="auto"/>
            <w:vAlign w:val="center"/>
          </w:tcPr>
          <w:p w14:paraId="5B372956" w14:textId="74FB53B7" w:rsidR="009455A1" w:rsidRPr="005B14B5" w:rsidRDefault="009455A1" w:rsidP="009455A1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6E399F28" w14:textId="1F360576" w:rsidR="009455A1" w:rsidRPr="005B14B5" w:rsidRDefault="009455A1" w:rsidP="009455A1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B60CB4">
              <w:rPr>
                <w:b/>
                <w:bCs/>
                <w:i/>
                <w:iCs/>
                <w:lang w:eastAsia="lt-LT"/>
              </w:rPr>
              <w:t>2</w:t>
            </w:r>
            <w:r w:rsidRPr="005B14B5">
              <w:rPr>
                <w:b/>
                <w:bCs/>
                <w:i/>
                <w:iCs/>
                <w:lang w:eastAsia="lt-LT"/>
              </w:rPr>
              <w:t>. Projekte suplanuotos veiklos atitinka Europos strateginių technologijų platformos (toliau – STEP) tematiką.</w:t>
            </w:r>
          </w:p>
        </w:tc>
      </w:tr>
      <w:tr w:rsidR="009455A1" w:rsidRPr="005B14B5" w14:paraId="3774308C" w14:textId="77777777" w:rsidTr="00090C48">
        <w:tc>
          <w:tcPr>
            <w:tcW w:w="6232" w:type="dxa"/>
            <w:shd w:val="clear" w:color="auto" w:fill="auto"/>
            <w:vAlign w:val="center"/>
          </w:tcPr>
          <w:p w14:paraId="0487BCD9" w14:textId="4C9045B3" w:rsidR="009455A1" w:rsidRPr="005B14B5" w:rsidRDefault="009455A1" w:rsidP="009455A1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 xml:space="preserve">Projektų atrankos kriterijaus vertinimo metodas ir </w:t>
            </w:r>
            <w:r w:rsidRPr="005B14B5">
              <w:rPr>
                <w:b/>
                <w:bCs/>
                <w:szCs w:val="24"/>
                <w:lang w:eastAsia="lt-LT"/>
              </w:rPr>
              <w:lastRenderedPageBreak/>
              <w:t>taikymas</w:t>
            </w:r>
          </w:p>
        </w:tc>
        <w:tc>
          <w:tcPr>
            <w:tcW w:w="8931" w:type="dxa"/>
            <w:shd w:val="clear" w:color="auto" w:fill="auto"/>
          </w:tcPr>
          <w:p w14:paraId="55CED3AB" w14:textId="2CA8FB0A" w:rsidR="009455A1" w:rsidRPr="005B14B5" w:rsidRDefault="008D7B1A" w:rsidP="001738C2">
            <w:pPr>
              <w:widowControl w:val="0"/>
              <w:spacing w:before="100" w:beforeAutospacing="1" w:after="100" w:afterAutospacing="1"/>
              <w:jc w:val="both"/>
              <w:textAlignment w:val="baseline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lastRenderedPageBreak/>
              <w:t>Prioritetas teikiamas tiems projektams, kuriais</w:t>
            </w:r>
            <w:r w:rsidR="009455A1" w:rsidRPr="005B14B5">
              <w:rPr>
                <w:bCs/>
                <w:i/>
                <w:iCs/>
                <w:szCs w:val="24"/>
                <w:lang w:eastAsia="lt-LT"/>
              </w:rPr>
              <w:t xml:space="preserve"> prisideda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>ma</w:t>
            </w:r>
            <w:r w:rsidR="009455A1" w:rsidRPr="005B14B5">
              <w:rPr>
                <w:bCs/>
                <w:i/>
                <w:iCs/>
                <w:szCs w:val="24"/>
                <w:lang w:eastAsia="lt-LT"/>
              </w:rPr>
              <w:t xml:space="preserve"> prie </w:t>
            </w:r>
            <w:hyperlink r:id="rId16" w:history="1">
              <w:r w:rsidR="009455A1" w:rsidRPr="005B14B5">
                <w:rPr>
                  <w:i/>
                  <w:iCs/>
                </w:rPr>
                <w:t>STEP</w:t>
              </w:r>
            </w:hyperlink>
            <w:r w:rsidR="009455A1" w:rsidRPr="005B14B5">
              <w:rPr>
                <w:bCs/>
                <w:i/>
                <w:iCs/>
                <w:szCs w:val="24"/>
                <w:lang w:eastAsia="lt-LT"/>
              </w:rPr>
              <w:t xml:space="preserve"> ir 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kurie </w:t>
            </w:r>
            <w:r w:rsidR="009455A1" w:rsidRPr="005B14B5">
              <w:rPr>
                <w:bCs/>
                <w:i/>
                <w:iCs/>
                <w:szCs w:val="24"/>
                <w:lang w:eastAsia="lt-LT"/>
              </w:rPr>
              <w:t xml:space="preserve">atitinka bent </w:t>
            </w:r>
            <w:r w:rsidR="009455A1" w:rsidRPr="005B14B5">
              <w:rPr>
                <w:bCs/>
                <w:i/>
                <w:iCs/>
                <w:szCs w:val="24"/>
                <w:lang w:eastAsia="lt-LT"/>
              </w:rPr>
              <w:lastRenderedPageBreak/>
              <w:t xml:space="preserve">vieną </w:t>
            </w:r>
            <w:r w:rsidR="008B4F17" w:rsidRPr="005B14B5">
              <w:rPr>
                <w:bCs/>
                <w:i/>
                <w:iCs/>
                <w:szCs w:val="24"/>
                <w:lang w:eastAsia="lt-LT"/>
              </w:rPr>
              <w:t>ypatingos svarbos ir besiformuojanči</w:t>
            </w:r>
            <w:r w:rsidR="001D24CA" w:rsidRPr="005B14B5">
              <w:rPr>
                <w:bCs/>
                <w:i/>
                <w:iCs/>
                <w:szCs w:val="24"/>
                <w:lang w:eastAsia="lt-LT"/>
              </w:rPr>
              <w:t>o</w:t>
            </w:r>
            <w:r w:rsidR="008B4F17" w:rsidRPr="005B14B5">
              <w:rPr>
                <w:bCs/>
                <w:i/>
                <w:iCs/>
                <w:szCs w:val="24"/>
                <w:lang w:eastAsia="lt-LT"/>
              </w:rPr>
              <w:t>s strategin</w:t>
            </w:r>
            <w:r w:rsidR="001D24CA" w:rsidRPr="005B14B5">
              <w:rPr>
                <w:bCs/>
                <w:i/>
                <w:iCs/>
                <w:szCs w:val="24"/>
                <w:lang w:eastAsia="lt-LT"/>
              </w:rPr>
              <w:t>ė</w:t>
            </w:r>
            <w:r w:rsidR="008B4F17" w:rsidRPr="005B14B5">
              <w:rPr>
                <w:bCs/>
                <w:i/>
                <w:iCs/>
                <w:szCs w:val="24"/>
                <w:lang w:eastAsia="lt-LT"/>
              </w:rPr>
              <w:t>s technologij</w:t>
            </w:r>
            <w:r w:rsidR="001D24CA" w:rsidRPr="005B14B5">
              <w:rPr>
                <w:bCs/>
                <w:i/>
                <w:iCs/>
                <w:szCs w:val="24"/>
                <w:lang w:eastAsia="lt-LT"/>
              </w:rPr>
              <w:t>o</w:t>
            </w:r>
            <w:r w:rsidR="008B4F17" w:rsidRPr="005B14B5">
              <w:rPr>
                <w:bCs/>
                <w:i/>
                <w:iCs/>
                <w:szCs w:val="24"/>
                <w:lang w:eastAsia="lt-LT"/>
              </w:rPr>
              <w:t>s</w:t>
            </w:r>
            <w:r w:rsidR="009455A1" w:rsidRPr="005B14B5">
              <w:rPr>
                <w:bCs/>
                <w:i/>
                <w:iCs/>
                <w:szCs w:val="24"/>
                <w:lang w:eastAsia="lt-LT"/>
              </w:rPr>
              <w:t xml:space="preserve"> tematiką</w:t>
            </w:r>
            <w:r w:rsidR="001D24CA" w:rsidRPr="005B14B5">
              <w:rPr>
                <w:bCs/>
                <w:i/>
                <w:iCs/>
                <w:szCs w:val="24"/>
                <w:lang w:eastAsia="lt-LT"/>
              </w:rPr>
              <w:t xml:space="preserve">, kaip nustatyta </w:t>
            </w:r>
            <w:hyperlink r:id="rId17" w:anchor="paragraph_207" w:history="1">
              <w:r w:rsidR="003738DF" w:rsidRPr="005B14B5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 xml:space="preserve">Europos Komisijos </w:t>
              </w:r>
              <w:r w:rsidR="003738DF" w:rsidRPr="00B60CB4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>2024 m. gegu</w:t>
              </w:r>
              <w:r w:rsidR="003738DF" w:rsidRPr="005B14B5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 xml:space="preserve">žės </w:t>
              </w:r>
              <w:r w:rsidR="003738DF" w:rsidRPr="00B60CB4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>8 d.</w:t>
              </w:r>
              <w:r w:rsidR="003738DF" w:rsidRPr="005B14B5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 xml:space="preserve"> komunikate </w:t>
              </w:r>
              <w:r w:rsidR="003738DF" w:rsidRPr="005B14B5">
                <w:rPr>
                  <w:rStyle w:val="Hyperlink"/>
                  <w:i/>
                  <w:iCs/>
                </w:rPr>
                <w:t xml:space="preserve">C(2024) 3148 </w:t>
              </w:r>
              <w:proofErr w:type="spellStart"/>
              <w:r w:rsidR="003738DF" w:rsidRPr="005B14B5">
                <w:rPr>
                  <w:rStyle w:val="Hyperlink"/>
                  <w:i/>
                  <w:iCs/>
                </w:rPr>
                <w:t>final</w:t>
              </w:r>
              <w:proofErr w:type="spellEnd"/>
              <w:r w:rsidR="003738DF" w:rsidRPr="005B14B5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 xml:space="preserve"> „</w:t>
              </w:r>
              <w:r w:rsidR="003738DF" w:rsidRPr="005B14B5">
                <w:rPr>
                  <w:rStyle w:val="Hyperlink"/>
                  <w:i/>
                  <w:iCs/>
                </w:rPr>
                <w:t>Tam tikrų Reglamento (ES) 2024/795, kuriuo sukuriama Europos strateginių technologijų platforma (STEP), nuostatų gairės“</w:t>
              </w:r>
            </w:hyperlink>
            <w:r w:rsidR="003738DF" w:rsidRPr="005B14B5">
              <w:rPr>
                <w:i/>
                <w:iCs/>
              </w:rPr>
              <w:t xml:space="preserve"> (toliau – Gairės).</w:t>
            </w:r>
          </w:p>
          <w:p w14:paraId="214CC235" w14:textId="77777777" w:rsidR="006706A1" w:rsidRPr="00B609A6" w:rsidRDefault="006706A1" w:rsidP="006706A1">
            <w:pPr>
              <w:widowControl w:val="0"/>
              <w:jc w:val="both"/>
              <w:textAlignment w:val="baseline"/>
              <w:rPr>
                <w:b/>
                <w:i/>
                <w:szCs w:val="24"/>
                <w:lang w:eastAsia="lt-LT"/>
              </w:rPr>
            </w:pPr>
            <w:r w:rsidRPr="00B609A6">
              <w:rPr>
                <w:b/>
                <w:i/>
                <w:szCs w:val="24"/>
                <w:lang w:eastAsia="lt-LT"/>
              </w:rPr>
              <w:t>Šiam kriterijui bus nustatytas didžiausias kriterijaus vertinimo balas.</w:t>
            </w:r>
          </w:p>
          <w:p w14:paraId="6664789E" w14:textId="19F82B45" w:rsidR="009455A1" w:rsidRPr="005B14B5" w:rsidRDefault="009455A1" w:rsidP="001738C2">
            <w:pPr>
              <w:widowControl w:val="0"/>
              <w:spacing w:before="100" w:beforeAutospacing="1" w:after="100" w:afterAutospacing="1"/>
              <w:jc w:val="both"/>
              <w:textAlignment w:val="baseline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Atitiktis kriterijui vertinama pagal PĮP pateiktą informaciją.</w:t>
            </w:r>
          </w:p>
        </w:tc>
      </w:tr>
      <w:tr w:rsidR="009455A1" w:rsidRPr="005B14B5" w14:paraId="12F87648" w14:textId="77777777" w:rsidTr="00090C48">
        <w:tc>
          <w:tcPr>
            <w:tcW w:w="6232" w:type="dxa"/>
            <w:shd w:val="clear" w:color="auto" w:fill="auto"/>
            <w:vAlign w:val="center"/>
          </w:tcPr>
          <w:p w14:paraId="4819B5F9" w14:textId="5852D14D" w:rsidR="009455A1" w:rsidRPr="005B14B5" w:rsidRDefault="009455A1" w:rsidP="009455A1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146EC26D" w14:textId="578DBE3C" w:rsidR="001F7901" w:rsidRPr="005B14B5" w:rsidRDefault="009455A1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Nustatytas kriterijus padės atrinkti tuos projektus, kurie atitinka STEP tematiką</w:t>
            </w:r>
            <w:r w:rsidR="001F7901" w:rsidRPr="005B14B5">
              <w:rPr>
                <w:bCs/>
                <w:i/>
                <w:iCs/>
                <w:szCs w:val="24"/>
                <w:lang w:eastAsia="lt-LT"/>
              </w:rPr>
              <w:t>.</w:t>
            </w:r>
          </w:p>
          <w:p w14:paraId="6B0AB448" w14:textId="7053142D" w:rsidR="009455A1" w:rsidRPr="005B14B5" w:rsidRDefault="001F7901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Nustatytas kriterijus prisidės prie</w:t>
            </w:r>
            <w:r w:rsidR="009455A1" w:rsidRPr="005B14B5">
              <w:rPr>
                <w:bCs/>
                <w:i/>
                <w:iCs/>
                <w:szCs w:val="24"/>
                <w:lang w:eastAsia="lt-LT"/>
              </w:rPr>
              <w:t xml:space="preserve"> Investicijų programos 1 prioriteto „Pažangesnė Lietuva“ 1.1 konkretaus uždavinio „Plėtoti ir stiprinti mokslinių tyrimų ir inovacinius pajėgumus ir diegti pažangiąsias technologijas“ tikslus siekiant sumaniąja specializacija grįstos ekonomikos transformacijos į aukštos pridėtinės vertės produktų kūrimo vertes.</w:t>
            </w:r>
          </w:p>
          <w:p w14:paraId="1D66FCAF" w14:textId="1F71A2AC" w:rsidR="009455A1" w:rsidRPr="005B14B5" w:rsidRDefault="009455A1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Projektų atrankos kriterijus tiesiogiai prisideda prie inovatyvumo (kūrybingumo) horizontaliojo principo, kadangi veikla siekiama geriau naudoti viešojo sektoriaus potencialą inovacijoms, atitinkančioms STEP ir bent vienos </w:t>
            </w:r>
            <w:r w:rsidR="001D24CA" w:rsidRPr="005B14B5">
              <w:rPr>
                <w:bCs/>
                <w:i/>
                <w:iCs/>
                <w:szCs w:val="24"/>
                <w:lang w:eastAsia="lt-LT"/>
              </w:rPr>
              <w:t>bent vieną ypatingos svarbos ir besiformuojančios strateginės technologijos</w:t>
            </w:r>
            <w:r w:rsidR="001D24CA" w:rsidRPr="005B14B5">
              <w:rPr>
                <w:bCs/>
                <w:i/>
                <w:iCs/>
                <w:color w:val="4F81BD" w:themeColor="accent1"/>
                <w:szCs w:val="24"/>
                <w:lang w:eastAsia="lt-LT"/>
              </w:rPr>
              <w:t xml:space="preserve"> </w:t>
            </w:r>
            <w:r w:rsidR="001D24CA" w:rsidRPr="005B14B5">
              <w:rPr>
                <w:bCs/>
                <w:i/>
                <w:iCs/>
                <w:szCs w:val="24"/>
                <w:lang w:eastAsia="lt-LT"/>
              </w:rPr>
              <w:t>tematiką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>, šalyje skatinti: kuriamos paskatos verslui kurti naujus produktus viešojo sektoriaus poreikiams</w:t>
            </w:r>
            <w:r w:rsidR="001D24CA" w:rsidRPr="005B14B5">
              <w:rPr>
                <w:bCs/>
                <w:i/>
                <w:iCs/>
                <w:szCs w:val="24"/>
                <w:lang w:eastAsia="lt-LT"/>
              </w:rPr>
              <w:t xml:space="preserve"> ypatingos svarbos ir besiformuojančiose strateginės technologijos tematikose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tenkinti ir dalyvauti ikiprekybiniuose pirkimuose SR ir VVL.</w:t>
            </w:r>
          </w:p>
        </w:tc>
      </w:tr>
      <w:tr w:rsidR="005F1963" w:rsidRPr="005B14B5" w14:paraId="3D4F703A" w14:textId="4FA28DCF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4F8F" w14:textId="58FDAE26" w:rsidR="005F1963" w:rsidRPr="005B14B5" w:rsidRDefault="005F1963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br w:type="page"/>
            </w:r>
            <w:r w:rsidRPr="005B14B5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5B14B5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0065CBEC" w14:textId="2C166964" w:rsidR="005F1963" w:rsidRPr="005B14B5" w:rsidRDefault="005F1963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■ 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BE00" w14:textId="13F50A9C" w:rsidR="005F1963" w:rsidRPr="005B14B5" w:rsidRDefault="005F1963" w:rsidP="007C2169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■Nustatymas</w:t>
            </w:r>
          </w:p>
          <w:p w14:paraId="0721F8B8" w14:textId="7A635436" w:rsidR="005F1963" w:rsidRPr="005B14B5" w:rsidRDefault="005F1963" w:rsidP="007C2169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sym w:font="Times New Roman" w:char="F07F"/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Keitimas</w:t>
            </w:r>
          </w:p>
        </w:tc>
      </w:tr>
      <w:tr w:rsidR="005F1963" w:rsidRPr="005B14B5" w14:paraId="343F03AA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428E" w14:textId="77777777" w:rsidR="005F1963" w:rsidRPr="005B14B5" w:rsidRDefault="005F1963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011F" w14:textId="3DD609B0" w:rsidR="005F1963" w:rsidRPr="005B14B5" w:rsidRDefault="008D7B1A" w:rsidP="007C2169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/>
                <w:i/>
                <w:iCs/>
                <w:szCs w:val="24"/>
                <w:lang w:eastAsia="lt-LT"/>
              </w:rPr>
              <w:t>3</w:t>
            </w:r>
            <w:r w:rsidR="005F1963" w:rsidRPr="005B14B5">
              <w:rPr>
                <w:b/>
                <w:i/>
                <w:iCs/>
                <w:szCs w:val="24"/>
                <w:lang w:eastAsia="lt-LT"/>
              </w:rPr>
              <w:t>.</w:t>
            </w:r>
            <w:r w:rsidR="005F1963" w:rsidRPr="005B14B5">
              <w:rPr>
                <w:bCs/>
                <w:i/>
                <w:iCs/>
                <w:szCs w:val="24"/>
                <w:lang w:eastAsia="lt-LT"/>
              </w:rPr>
              <w:t xml:space="preserve"> </w:t>
            </w:r>
            <w:r w:rsidR="005F1963" w:rsidRPr="005B14B5">
              <w:rPr>
                <w:b/>
                <w:i/>
                <w:szCs w:val="24"/>
                <w:lang w:eastAsia="lt-LT"/>
              </w:rPr>
              <w:t xml:space="preserve">Pareiškėjo ir </w:t>
            </w:r>
            <w:r w:rsidR="00BB2000" w:rsidRPr="005B14B5">
              <w:rPr>
                <w:b/>
                <w:i/>
                <w:szCs w:val="24"/>
                <w:lang w:eastAsia="lt-LT"/>
              </w:rPr>
              <w:t xml:space="preserve">(arba) </w:t>
            </w:r>
            <w:r w:rsidR="005F1963" w:rsidRPr="005B14B5">
              <w:rPr>
                <w:b/>
                <w:i/>
                <w:szCs w:val="24"/>
                <w:lang w:eastAsia="lt-LT"/>
              </w:rPr>
              <w:t>partnerio (-</w:t>
            </w:r>
            <w:proofErr w:type="spellStart"/>
            <w:r w:rsidR="005F1963" w:rsidRPr="005B14B5">
              <w:rPr>
                <w:b/>
                <w:i/>
                <w:szCs w:val="24"/>
                <w:lang w:eastAsia="lt-LT"/>
              </w:rPr>
              <w:t>ių</w:t>
            </w:r>
            <w:proofErr w:type="spellEnd"/>
            <w:r w:rsidR="005F1963" w:rsidRPr="005B14B5">
              <w:rPr>
                <w:b/>
                <w:i/>
                <w:szCs w:val="24"/>
                <w:lang w:eastAsia="lt-LT"/>
              </w:rPr>
              <w:t xml:space="preserve">) patirtis </w:t>
            </w:r>
            <w:r w:rsidR="00994053" w:rsidRPr="005B14B5">
              <w:rPr>
                <w:b/>
                <w:i/>
                <w:szCs w:val="24"/>
                <w:lang w:eastAsia="lt-LT"/>
              </w:rPr>
              <w:t>vykdant</w:t>
            </w:r>
            <w:r w:rsidR="005F1963" w:rsidRPr="005B14B5">
              <w:rPr>
                <w:b/>
                <w:i/>
                <w:szCs w:val="24"/>
                <w:lang w:eastAsia="lt-LT"/>
              </w:rPr>
              <w:t xml:space="preserve"> </w:t>
            </w:r>
            <w:r w:rsidR="00994053" w:rsidRPr="005B14B5">
              <w:rPr>
                <w:b/>
                <w:i/>
                <w:szCs w:val="24"/>
                <w:lang w:eastAsia="lt-LT"/>
              </w:rPr>
              <w:t>ikiprekybinius</w:t>
            </w:r>
            <w:r w:rsidR="00345F77" w:rsidRPr="005B14B5">
              <w:rPr>
                <w:b/>
                <w:i/>
                <w:szCs w:val="24"/>
                <w:lang w:eastAsia="lt-LT"/>
              </w:rPr>
              <w:t xml:space="preserve"> ir</w:t>
            </w:r>
            <w:r w:rsidRPr="005B14B5">
              <w:rPr>
                <w:b/>
                <w:i/>
                <w:szCs w:val="24"/>
                <w:lang w:eastAsia="lt-LT"/>
              </w:rPr>
              <w:t xml:space="preserve"> (arba)</w:t>
            </w:r>
            <w:r w:rsidR="00345F77" w:rsidRPr="005B14B5">
              <w:rPr>
                <w:b/>
                <w:i/>
                <w:szCs w:val="24"/>
                <w:lang w:eastAsia="lt-LT"/>
              </w:rPr>
              <w:t xml:space="preserve"> inovatyvius viešuosius pirkimus</w:t>
            </w:r>
            <w:r w:rsidR="005F1963" w:rsidRPr="005B14B5"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5F1963" w:rsidRPr="005B14B5" w14:paraId="025F458B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5EE8" w14:textId="77777777" w:rsidR="005F1963" w:rsidRPr="005B14B5" w:rsidRDefault="005F1963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D73C" w14:textId="41B82507" w:rsidR="005F1963" w:rsidRPr="005B14B5" w:rsidRDefault="005F1963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Prioritetas teikiamas projektams, kurio </w:t>
            </w:r>
            <w:r w:rsidR="00BB2000" w:rsidRPr="005B14B5">
              <w:rPr>
                <w:bCs/>
                <w:i/>
                <w:iCs/>
                <w:szCs w:val="24"/>
                <w:lang w:eastAsia="lt-LT"/>
              </w:rPr>
              <w:t xml:space="preserve">pareiškėjo 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ir </w:t>
            </w:r>
            <w:r w:rsidR="00BB2000" w:rsidRPr="005B14B5">
              <w:rPr>
                <w:bCs/>
                <w:i/>
                <w:iCs/>
                <w:szCs w:val="24"/>
                <w:lang w:eastAsia="lt-LT"/>
              </w:rPr>
              <w:t xml:space="preserve">(arba) partnerio 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>(-</w:t>
            </w:r>
            <w:proofErr w:type="spellStart"/>
            <w:r w:rsidR="00BB2000" w:rsidRPr="005B14B5">
              <w:rPr>
                <w:bCs/>
                <w:i/>
                <w:iCs/>
                <w:szCs w:val="24"/>
                <w:lang w:eastAsia="lt-LT"/>
              </w:rPr>
              <w:t>ių</w:t>
            </w:r>
            <w:proofErr w:type="spellEnd"/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) </w:t>
            </w:r>
            <w:r w:rsidR="00BB2000" w:rsidRPr="005B14B5">
              <w:rPr>
                <w:bCs/>
                <w:i/>
                <w:iCs/>
                <w:szCs w:val="24"/>
                <w:lang w:eastAsia="lt-LT"/>
              </w:rPr>
              <w:t xml:space="preserve">komandos nariai 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>turi patirties vykdant ikiprekybinius</w:t>
            </w:r>
            <w:r w:rsidR="008D7B1A" w:rsidRPr="005B14B5">
              <w:rPr>
                <w:bCs/>
                <w:i/>
                <w:iCs/>
                <w:szCs w:val="24"/>
                <w:lang w:eastAsia="lt-LT"/>
              </w:rPr>
              <w:t xml:space="preserve"> ir (arba) inovatyvius viešuosius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pirkimus.</w:t>
            </w:r>
          </w:p>
          <w:p w14:paraId="3DA8612D" w14:textId="21FC4A25" w:rsidR="005B14B5" w:rsidRPr="00B60CB4" w:rsidRDefault="002C6E46" w:rsidP="00B60CB4">
            <w:pPr>
              <w:pStyle w:val="ListParagraph"/>
              <w:tabs>
                <w:tab w:val="left" w:pos="32"/>
                <w:tab w:val="left" w:pos="741"/>
              </w:tabs>
              <w:spacing w:after="0" w:line="240" w:lineRule="auto"/>
              <w:ind w:left="0"/>
              <w:jc w:val="both"/>
              <w:rPr>
                <w:bCs/>
                <w:i/>
                <w:iCs/>
                <w:szCs w:val="24"/>
                <w:lang w:val="lt-LT" w:eastAsia="lt-LT"/>
              </w:rPr>
            </w:pPr>
            <w:r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 xml:space="preserve">Atitiktis kriterijui vertinama pagal </w:t>
            </w:r>
            <w:r w:rsidR="00564D1A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 xml:space="preserve">kartu su </w:t>
            </w:r>
            <w:r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PĮP pateiktą informaciją</w:t>
            </w:r>
            <w:r w:rsidR="00564D1A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, t. y. dokumentus, pagrindžiančius, kad pareiškėjas ir (arba) projekto partneris (-</w:t>
            </w:r>
            <w:proofErr w:type="spellStart"/>
            <w:r w:rsidR="00564D1A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iai</w:t>
            </w:r>
            <w:proofErr w:type="spellEnd"/>
            <w:r w:rsidR="00564D1A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 xml:space="preserve">) yra vykdę ikiprekybinius ir (arba) inovatyvius viešuosius pirkimus. Pavyzdžiui, vadovo sprendimas apie asmens dalyvavimą ikiprekybinio </w:t>
            </w:r>
            <w:r w:rsidR="005B14B5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ir (</w:t>
            </w:r>
            <w:r w:rsidR="00564D1A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arba</w:t>
            </w:r>
            <w:r w:rsidR="005B14B5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)</w:t>
            </w:r>
            <w:r w:rsidR="00564D1A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 xml:space="preserve"> inovatyvaus viešojo pirkimo komisijoje, pareigybės </w:t>
            </w:r>
            <w:r w:rsidR="00564D1A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lastRenderedPageBreak/>
              <w:t>aprašymas, darbo sutarties kopija ar kiti dokumentai, kuriuose būtų nustatyt</w:t>
            </w:r>
            <w:r w:rsidR="005B14B5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a</w:t>
            </w:r>
            <w:r w:rsidR="00564D1A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s su ikiprekybini</w:t>
            </w:r>
            <w:r w:rsidR="005B14B5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o (-</w:t>
            </w:r>
            <w:proofErr w:type="spellStart"/>
            <w:r w:rsidR="005B14B5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ių</w:t>
            </w:r>
            <w:proofErr w:type="spellEnd"/>
            <w:r w:rsidR="005B14B5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)</w:t>
            </w:r>
            <w:r w:rsidR="00564D1A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 xml:space="preserve"> pirkimo </w:t>
            </w:r>
            <w:r w:rsidR="005B14B5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 xml:space="preserve">(-ų) </w:t>
            </w:r>
            <w:r w:rsidR="00564D1A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ir (arba) inovatyvaus</w:t>
            </w:r>
            <w:r w:rsidR="005B14B5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 xml:space="preserve"> (-</w:t>
            </w:r>
            <w:proofErr w:type="spellStart"/>
            <w:r w:rsidR="005B14B5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ių</w:t>
            </w:r>
            <w:proofErr w:type="spellEnd"/>
            <w:r w:rsidR="005B14B5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)</w:t>
            </w:r>
            <w:r w:rsidR="00564D1A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 xml:space="preserve"> viešojo</w:t>
            </w:r>
            <w:r w:rsidR="005B14B5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 xml:space="preserve"> (-</w:t>
            </w:r>
            <w:proofErr w:type="spellStart"/>
            <w:r w:rsidR="005B14B5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ųjų</w:t>
            </w:r>
            <w:proofErr w:type="spellEnd"/>
            <w:r w:rsidR="005B14B5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>)</w:t>
            </w:r>
            <w:r w:rsidR="00564D1A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 xml:space="preserve"> pirkimo</w:t>
            </w:r>
            <w:r w:rsidR="005B14B5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 xml:space="preserve"> (-ų)</w:t>
            </w:r>
            <w:r w:rsidR="00564D1A" w:rsidRPr="00B60CB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lt-LT" w:eastAsia="lt-LT"/>
              </w:rPr>
              <w:t xml:space="preserve"> vykdymu susijusių funkcijų vykdymas.</w:t>
            </w:r>
          </w:p>
          <w:p w14:paraId="4EF75AB2" w14:textId="34296654" w:rsidR="00BB2000" w:rsidRPr="005B14B5" w:rsidRDefault="00BB2000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color w:val="4F81BD" w:themeColor="accent1"/>
                <w:szCs w:val="24"/>
                <w:lang w:eastAsia="lt-LT"/>
              </w:rPr>
            </w:pPr>
            <w:r w:rsidRPr="005B14B5">
              <w:rPr>
                <w:i/>
                <w:iCs/>
                <w:lang w:eastAsia="lt-LT"/>
              </w:rPr>
              <w:t>Kriterijus taikomas atliekant PĮP vertinimą.</w:t>
            </w:r>
          </w:p>
        </w:tc>
      </w:tr>
      <w:tr w:rsidR="005F1963" w:rsidRPr="005B14B5" w14:paraId="19A27696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A809" w14:textId="77777777" w:rsidR="005F1963" w:rsidRPr="005B14B5" w:rsidRDefault="005F1963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8F59" w14:textId="274AD50C" w:rsidR="001F7901" w:rsidRPr="005B14B5" w:rsidRDefault="00BB2000" w:rsidP="001738C2">
            <w:pPr>
              <w:widowControl w:val="0"/>
              <w:spacing w:before="100" w:beforeAutospacing="1" w:after="100" w:afterAutospacing="1"/>
              <w:jc w:val="both"/>
              <w:textAlignment w:val="baseline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Nustatytas kriterijus padės atrinkti tuos projektus, kuriuos įgyvendins patirtį turinčios komandos.</w:t>
            </w:r>
          </w:p>
          <w:p w14:paraId="0786CB8B" w14:textId="1E919246" w:rsidR="00BB2000" w:rsidRPr="005B14B5" w:rsidRDefault="001F7901" w:rsidP="001738C2">
            <w:pPr>
              <w:widowControl w:val="0"/>
              <w:spacing w:before="100" w:beforeAutospacing="1" w:after="100" w:afterAutospacing="1"/>
              <w:jc w:val="both"/>
              <w:textAlignment w:val="baseline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Nustatytu kriterijumi </w:t>
            </w:r>
            <w:r w:rsidR="00BB2000" w:rsidRPr="005B14B5">
              <w:rPr>
                <w:bCs/>
                <w:i/>
                <w:iCs/>
                <w:szCs w:val="24"/>
                <w:lang w:eastAsia="lt-LT"/>
              </w:rPr>
              <w:t>bus prisidedama prie Investicijų programos 1 prioriteto „Pažangesnė Lietuva“ 1.1 konkretaus uždavinio „Plėtoti ir stiprinti mokslinių tyrimų ir inovacinius pajėgumus ir diegti pažangiąsias technologijas“ tikslų ir nacionalinio rezultato stebėsenos rodiklio „Inicijuotų ikiprekybinių pirkimų skaičius“ pasiekimo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, </w:t>
            </w:r>
            <w:r w:rsidR="003738DF" w:rsidRPr="005B14B5">
              <w:rPr>
                <w:bCs/>
                <w:i/>
                <w:iCs/>
                <w:szCs w:val="24"/>
                <w:lang w:eastAsia="lt-LT"/>
              </w:rPr>
              <w:t>tokiu būdu bus užtikrintas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ikiprekybinių pirkimų rezultat</w:t>
            </w:r>
            <w:r w:rsidR="003738DF" w:rsidRPr="005B14B5">
              <w:rPr>
                <w:bCs/>
                <w:i/>
                <w:iCs/>
                <w:szCs w:val="24"/>
                <w:lang w:eastAsia="lt-LT"/>
              </w:rPr>
              <w:t>o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pasiekim</w:t>
            </w:r>
            <w:r w:rsidR="003738DF" w:rsidRPr="005B14B5">
              <w:rPr>
                <w:bCs/>
                <w:i/>
                <w:iCs/>
                <w:szCs w:val="24"/>
                <w:lang w:eastAsia="lt-LT"/>
              </w:rPr>
              <w:t>as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– inovatyviojo produkto sukūrim</w:t>
            </w:r>
            <w:r w:rsidR="003738DF" w:rsidRPr="005B14B5">
              <w:rPr>
                <w:bCs/>
                <w:i/>
                <w:iCs/>
                <w:szCs w:val="24"/>
                <w:lang w:eastAsia="lt-LT"/>
              </w:rPr>
              <w:t>as, taip pat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bus efektyviau investuotos </w:t>
            </w:r>
            <w:r w:rsidRPr="00B60CB4">
              <w:rPr>
                <w:bCs/>
                <w:i/>
                <w:iCs/>
                <w:szCs w:val="24"/>
                <w:lang w:eastAsia="lt-LT"/>
              </w:rPr>
              <w:t>Investicijų programos lėšos</w:t>
            </w:r>
            <w:r w:rsidR="00BB2000" w:rsidRPr="005B14B5">
              <w:rPr>
                <w:bCs/>
                <w:i/>
                <w:iCs/>
                <w:szCs w:val="24"/>
                <w:lang w:eastAsia="lt-LT"/>
              </w:rPr>
              <w:t>.</w:t>
            </w:r>
          </w:p>
          <w:p w14:paraId="646D6E9D" w14:textId="50714F84" w:rsidR="005F1963" w:rsidRPr="005B14B5" w:rsidRDefault="00BB2000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Projektų atrankos kriterijus netiesiogiai prisideda prie inovatyvumo (kūrybingumo) horizontaliojo principo, kadangi projekto veikla skatinamas ikiprekybinių pirkimų vykdymas ir dalyvavimas juose.</w:t>
            </w:r>
          </w:p>
          <w:p w14:paraId="4D323184" w14:textId="0B6FF7D0" w:rsidR="008D7B1A" w:rsidRPr="005B14B5" w:rsidRDefault="008D7B1A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color w:val="4F81BD" w:themeColor="accent1"/>
                <w:szCs w:val="24"/>
                <w:lang w:eastAsia="lt-LT"/>
              </w:rPr>
            </w:pPr>
            <w:r w:rsidRPr="005B14B5">
              <w:rPr>
                <w:i/>
                <w:iCs/>
              </w:rPr>
              <w:t xml:space="preserve">Taip pat nustatytas kriterijus netiesiogiai </w:t>
            </w:r>
            <w:r w:rsidRPr="005B14B5">
              <w:rPr>
                <w:bCs/>
                <w:i/>
                <w:iCs/>
                <w:szCs w:val="24"/>
              </w:rPr>
              <w:t xml:space="preserve">prisidės prie </w:t>
            </w:r>
            <w:hyperlink r:id="rId18" w:history="1">
              <w:r w:rsidRPr="005B14B5">
                <w:rPr>
                  <w:rStyle w:val="Hyperlink"/>
                  <w:i/>
                  <w:iCs/>
                  <w:szCs w:val="24"/>
                </w:rPr>
                <w:t>Nacionalinio pažangos plano</w:t>
              </w:r>
            </w:hyperlink>
            <w:r w:rsidRPr="005B14B5">
              <w:rPr>
                <w:bCs/>
                <w:i/>
                <w:iCs/>
                <w:szCs w:val="24"/>
              </w:rPr>
              <w:t xml:space="preserve"> 1 tikslo „Pereiti prie mokslo žiniomis, pažangiosiomis technologijomis, inovacijomis grįsto darnaus ekonomikos vystymosi ir didinti šalies tarptautinį konkurencingumą“ rodiklio „Inovatyviųjų viešųjų pirkimų vertės dalis nuo visų viešųjų pirkimų vertės“ pasiekimo.</w:t>
            </w:r>
          </w:p>
        </w:tc>
      </w:tr>
      <w:tr w:rsidR="00D52779" w:rsidRPr="005B14B5" w14:paraId="47E72DF7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9820" w14:textId="77777777" w:rsidR="00D52779" w:rsidRPr="005B14B5" w:rsidRDefault="00D52779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br w:type="page"/>
            </w:r>
            <w:r w:rsidRPr="005B14B5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5B14B5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4A98A53E" w14:textId="1BEEE674" w:rsidR="00D52779" w:rsidRPr="005B14B5" w:rsidRDefault="00D52779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■ 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0A59" w14:textId="77777777" w:rsidR="00D52779" w:rsidRPr="005B14B5" w:rsidRDefault="00D52779" w:rsidP="007C2169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■Nustatymas</w:t>
            </w:r>
          </w:p>
          <w:p w14:paraId="1881D578" w14:textId="77777777" w:rsidR="00D52779" w:rsidRPr="005B14B5" w:rsidRDefault="00D52779" w:rsidP="007C2169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sym w:font="Times New Roman" w:char="F07F"/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Keitimas</w:t>
            </w:r>
          </w:p>
        </w:tc>
      </w:tr>
      <w:tr w:rsidR="00D52779" w:rsidRPr="005B14B5" w14:paraId="7D059CDA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409D" w14:textId="77777777" w:rsidR="00D52779" w:rsidRPr="005B14B5" w:rsidRDefault="00D52779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7F62" w14:textId="260449DB" w:rsidR="00D52779" w:rsidRPr="005B14B5" w:rsidRDefault="008D7B1A" w:rsidP="007C2169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B60CB4">
              <w:rPr>
                <w:b/>
                <w:i/>
                <w:iCs/>
                <w:szCs w:val="24"/>
                <w:lang w:eastAsia="lt-LT"/>
              </w:rPr>
              <w:t>4</w:t>
            </w:r>
            <w:r w:rsidR="00D52779" w:rsidRPr="005B14B5">
              <w:rPr>
                <w:b/>
                <w:i/>
                <w:iCs/>
                <w:szCs w:val="24"/>
                <w:lang w:eastAsia="lt-LT"/>
              </w:rPr>
              <w:t>. Pareiškėj</w:t>
            </w:r>
            <w:r w:rsidR="00F65928" w:rsidRPr="005B14B5">
              <w:rPr>
                <w:b/>
                <w:i/>
                <w:iCs/>
                <w:szCs w:val="24"/>
                <w:lang w:eastAsia="lt-LT"/>
              </w:rPr>
              <w:t>ui</w:t>
            </w:r>
            <w:r w:rsidR="00D52779" w:rsidRPr="005B14B5">
              <w:rPr>
                <w:b/>
                <w:i/>
                <w:iCs/>
                <w:szCs w:val="24"/>
                <w:lang w:eastAsia="lt-LT"/>
              </w:rPr>
              <w:t xml:space="preserve"> ir (arba) partneri</w:t>
            </w:r>
            <w:r w:rsidR="00F65928" w:rsidRPr="005B14B5">
              <w:rPr>
                <w:b/>
                <w:i/>
                <w:iCs/>
                <w:szCs w:val="24"/>
                <w:lang w:eastAsia="lt-LT"/>
              </w:rPr>
              <w:t>ui</w:t>
            </w:r>
            <w:r w:rsidR="00D52779" w:rsidRPr="005B14B5">
              <w:rPr>
                <w:b/>
                <w:i/>
                <w:iCs/>
                <w:szCs w:val="24"/>
                <w:lang w:eastAsia="lt-LT"/>
              </w:rPr>
              <w:t xml:space="preserve"> (-</w:t>
            </w:r>
            <w:proofErr w:type="spellStart"/>
            <w:r w:rsidR="00D52779" w:rsidRPr="005B14B5">
              <w:rPr>
                <w:b/>
                <w:i/>
                <w:iCs/>
                <w:szCs w:val="24"/>
                <w:lang w:eastAsia="lt-LT"/>
              </w:rPr>
              <w:t>ia</w:t>
            </w:r>
            <w:r w:rsidR="00F65928" w:rsidRPr="005B14B5">
              <w:rPr>
                <w:b/>
                <w:i/>
                <w:iCs/>
                <w:szCs w:val="24"/>
                <w:lang w:eastAsia="lt-LT"/>
              </w:rPr>
              <w:t>ms</w:t>
            </w:r>
            <w:proofErr w:type="spellEnd"/>
            <w:r w:rsidR="00D52779" w:rsidRPr="005B14B5">
              <w:rPr>
                <w:b/>
                <w:i/>
                <w:iCs/>
                <w:szCs w:val="24"/>
                <w:lang w:eastAsia="lt-LT"/>
              </w:rPr>
              <w:t xml:space="preserve">) </w:t>
            </w:r>
            <w:r w:rsidR="00F65928" w:rsidRPr="005B14B5">
              <w:rPr>
                <w:b/>
                <w:i/>
                <w:iCs/>
                <w:szCs w:val="24"/>
                <w:lang w:eastAsia="lt-LT"/>
              </w:rPr>
              <w:t>buvo suteiktos konsultacijos dėl ikiprekybinio pirkimo vykdymo</w:t>
            </w:r>
            <w:r w:rsidR="00D52779" w:rsidRPr="005B14B5">
              <w:rPr>
                <w:bCs/>
                <w:i/>
                <w:iCs/>
                <w:szCs w:val="24"/>
                <w:lang w:eastAsia="lt-LT"/>
              </w:rPr>
              <w:t>.</w:t>
            </w:r>
          </w:p>
        </w:tc>
      </w:tr>
      <w:tr w:rsidR="00D52779" w:rsidRPr="005B14B5" w14:paraId="0926F18C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579F" w14:textId="77777777" w:rsidR="00D52779" w:rsidRPr="005B14B5" w:rsidRDefault="00D52779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557C" w14:textId="4BCE9C92" w:rsidR="00D52779" w:rsidRPr="005B14B5" w:rsidRDefault="00D52779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Prioritetas teikiamas projektams, kurio pareiškėjas ir </w:t>
            </w:r>
            <w:r w:rsidR="00F65928" w:rsidRPr="005B14B5">
              <w:rPr>
                <w:bCs/>
                <w:i/>
                <w:iCs/>
                <w:szCs w:val="24"/>
                <w:lang w:eastAsia="lt-LT"/>
              </w:rPr>
              <w:t xml:space="preserve">(arba) 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>partneris (-</w:t>
            </w:r>
            <w:proofErr w:type="spellStart"/>
            <w:r w:rsidRPr="005B14B5">
              <w:rPr>
                <w:bCs/>
                <w:i/>
                <w:iCs/>
                <w:szCs w:val="24"/>
                <w:lang w:eastAsia="lt-LT"/>
              </w:rPr>
              <w:t>iai</w:t>
            </w:r>
            <w:proofErr w:type="spellEnd"/>
            <w:r w:rsidRPr="005B14B5">
              <w:rPr>
                <w:bCs/>
                <w:i/>
                <w:iCs/>
                <w:szCs w:val="24"/>
                <w:lang w:eastAsia="lt-LT"/>
              </w:rPr>
              <w:t>)</w:t>
            </w:r>
            <w:r w:rsidR="008D7B1A" w:rsidRPr="005B14B5">
              <w:rPr>
                <w:bCs/>
                <w:i/>
                <w:iCs/>
                <w:szCs w:val="24"/>
                <w:lang w:eastAsia="lt-LT"/>
              </w:rPr>
              <w:t xml:space="preserve"> per paskutinius kalendorinius metus </w:t>
            </w:r>
            <w:r w:rsidR="001F7901" w:rsidRPr="005B14B5">
              <w:rPr>
                <w:bCs/>
                <w:i/>
                <w:iCs/>
                <w:szCs w:val="24"/>
                <w:lang w:eastAsia="lt-LT"/>
              </w:rPr>
              <w:t xml:space="preserve">iki PĮP pateikimo dienos </w:t>
            </w:r>
            <w:r w:rsidR="008D7B1A" w:rsidRPr="005B14B5">
              <w:rPr>
                <w:bCs/>
                <w:i/>
                <w:iCs/>
                <w:szCs w:val="24"/>
                <w:lang w:eastAsia="lt-LT"/>
              </w:rPr>
              <w:t xml:space="preserve">ne trumpiau kaip </w:t>
            </w:r>
            <w:r w:rsidR="008D7B1A" w:rsidRPr="00B60CB4">
              <w:rPr>
                <w:bCs/>
                <w:i/>
                <w:iCs/>
                <w:szCs w:val="24"/>
                <w:lang w:eastAsia="lt-LT"/>
              </w:rPr>
              <w:t>4 m</w:t>
            </w:r>
            <w:r w:rsidR="008D7B1A" w:rsidRPr="005B14B5">
              <w:rPr>
                <w:bCs/>
                <w:i/>
                <w:iCs/>
                <w:szCs w:val="24"/>
                <w:lang w:eastAsia="lt-LT"/>
              </w:rPr>
              <w:t xml:space="preserve">ėnesius </w:t>
            </w:r>
            <w:r w:rsidR="00F65928" w:rsidRPr="005B14B5">
              <w:rPr>
                <w:bCs/>
                <w:i/>
                <w:iCs/>
                <w:szCs w:val="24"/>
                <w:lang w:eastAsia="lt-LT"/>
              </w:rPr>
              <w:t>dalyvavo VšĮ Inovacijų agentūra teikiamose konsultacijose dėl ikiprekybinių pirkimų vykdymo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>.</w:t>
            </w:r>
          </w:p>
          <w:p w14:paraId="5F95994C" w14:textId="11C2A522" w:rsidR="00D52779" w:rsidRPr="005B14B5" w:rsidRDefault="002C6E46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color w:val="4F81BD" w:themeColor="accent1"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Atitiktis kriterijui vertinama pagal kartu su PĮP teikiamą informaciją.</w:t>
            </w:r>
          </w:p>
        </w:tc>
      </w:tr>
      <w:tr w:rsidR="00D52779" w:rsidRPr="005B14B5" w14:paraId="73C9B3A4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41C8" w14:textId="77777777" w:rsidR="00D52779" w:rsidRPr="005B14B5" w:rsidRDefault="00D52779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6BA3" w14:textId="2E7C567F" w:rsidR="001F7901" w:rsidRPr="005B14B5" w:rsidRDefault="008D7B1A" w:rsidP="001738C2">
            <w:pPr>
              <w:widowControl w:val="0"/>
              <w:spacing w:before="100" w:beforeAutospacing="1" w:after="100" w:afterAutospacing="1"/>
              <w:jc w:val="both"/>
              <w:textAlignment w:val="baseline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Nustatytas kriterijus padės atrinkti tuos projektus, kurių pareiškėj</w:t>
            </w:r>
            <w:r w:rsidR="00681272" w:rsidRPr="005B14B5">
              <w:rPr>
                <w:bCs/>
                <w:i/>
                <w:iCs/>
                <w:szCs w:val="24"/>
                <w:lang w:eastAsia="lt-LT"/>
              </w:rPr>
              <w:t>ui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ir (arba) 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lastRenderedPageBreak/>
              <w:t>partneri</w:t>
            </w:r>
            <w:r w:rsidR="00681272" w:rsidRPr="005B14B5">
              <w:rPr>
                <w:bCs/>
                <w:i/>
                <w:iCs/>
                <w:szCs w:val="24"/>
                <w:lang w:eastAsia="lt-LT"/>
              </w:rPr>
              <w:t>ui</w:t>
            </w:r>
            <w:r w:rsidR="005B14B5">
              <w:rPr>
                <w:bCs/>
                <w:i/>
                <w:iCs/>
                <w:szCs w:val="24"/>
                <w:lang w:val="en-US" w:eastAsia="lt-LT"/>
              </w:rPr>
              <w:t> </w:t>
            </w:r>
            <w:r w:rsidR="00681272" w:rsidRPr="005B14B5">
              <w:rPr>
                <w:bCs/>
                <w:i/>
                <w:iCs/>
                <w:szCs w:val="24"/>
                <w:lang w:eastAsia="lt-LT"/>
              </w:rPr>
              <w:t xml:space="preserve"> (-</w:t>
            </w:r>
            <w:r w:rsidR="005B14B5">
              <w:rPr>
                <w:bCs/>
                <w:i/>
                <w:iCs/>
                <w:szCs w:val="24"/>
                <w:lang w:val="en-US" w:eastAsia="lt-LT"/>
              </w:rPr>
              <w:t> </w:t>
            </w:r>
            <w:proofErr w:type="spellStart"/>
            <w:r w:rsidR="00681272" w:rsidRPr="005B14B5">
              <w:rPr>
                <w:bCs/>
                <w:i/>
                <w:iCs/>
                <w:szCs w:val="24"/>
                <w:lang w:eastAsia="lt-LT"/>
              </w:rPr>
              <w:t>iams</w:t>
            </w:r>
            <w:proofErr w:type="spellEnd"/>
            <w:r w:rsidR="00681272" w:rsidRPr="005B14B5">
              <w:rPr>
                <w:bCs/>
                <w:i/>
                <w:iCs/>
                <w:szCs w:val="24"/>
                <w:lang w:eastAsia="lt-LT"/>
              </w:rPr>
              <w:t>)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VšĮ Inovacijų agentūra teikė konsultacijos dėl ikiprekybinių pirkimų vykdymo</w:t>
            </w:r>
            <w:r w:rsidR="001F7901" w:rsidRPr="005B14B5">
              <w:rPr>
                <w:bCs/>
                <w:i/>
                <w:iCs/>
                <w:szCs w:val="24"/>
                <w:lang w:eastAsia="lt-LT"/>
              </w:rPr>
              <w:t>, tokiu būdu užtikrinant VšĮ Inovacijų agentūros teikiamų konsultacijų produktyvumą bei užtikrinant ikiprekybinių pirkimų sėkmingą įgyvendinimą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>.</w:t>
            </w:r>
          </w:p>
          <w:p w14:paraId="166C57C3" w14:textId="454D0BBF" w:rsidR="008D7B1A" w:rsidRPr="005B14B5" w:rsidRDefault="001F7901" w:rsidP="001738C2">
            <w:pPr>
              <w:widowControl w:val="0"/>
              <w:spacing w:before="100" w:beforeAutospacing="1" w:after="100" w:afterAutospacing="1"/>
              <w:jc w:val="both"/>
              <w:textAlignment w:val="baseline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Nustatytas kriterijus prisidės</w:t>
            </w:r>
            <w:r w:rsidR="008D7B1A" w:rsidRPr="005B14B5">
              <w:rPr>
                <w:bCs/>
                <w:i/>
                <w:iCs/>
                <w:szCs w:val="24"/>
                <w:lang w:eastAsia="lt-LT"/>
              </w:rPr>
              <w:t xml:space="preserve"> prie Investicijų programos 1 prioriteto „Pažangesnė Lietuva“ 1.1 konkretaus uždavinio „Plėtoti ir stiprinti mokslinių tyrimų ir inovacinius pajėgumus ir diegti pažangiąsias technologijas“ tikslų ir nacionalinio rezultato stebėsenos rodiklio „Inicijuotų ikiprekybinių pirkimų skaičius“ pasiekimo.</w:t>
            </w:r>
          </w:p>
          <w:p w14:paraId="318A6CE7" w14:textId="77777777" w:rsidR="008D7B1A" w:rsidRPr="005B14B5" w:rsidRDefault="008D7B1A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Projektų atrankos kriterijus netiesiogiai prisideda prie inovatyvumo (kūrybingumo) horizontaliojo principo, kadangi projekto veikla skatinamas ikiprekybinių pirkimų vykdymas ir dalyvavimas juose.</w:t>
            </w:r>
          </w:p>
          <w:p w14:paraId="464F85B8" w14:textId="0D92144E" w:rsidR="00D52779" w:rsidRPr="005B14B5" w:rsidRDefault="008D7B1A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color w:val="4F81BD" w:themeColor="accent1"/>
                <w:szCs w:val="24"/>
                <w:lang w:eastAsia="lt-LT"/>
              </w:rPr>
            </w:pPr>
            <w:r w:rsidRPr="005B14B5">
              <w:rPr>
                <w:i/>
                <w:iCs/>
              </w:rPr>
              <w:t xml:space="preserve">Taip pat nustatytas kriterijus netiesiogiai </w:t>
            </w:r>
            <w:r w:rsidRPr="005B14B5">
              <w:rPr>
                <w:bCs/>
                <w:i/>
                <w:iCs/>
                <w:szCs w:val="24"/>
              </w:rPr>
              <w:t xml:space="preserve">prisidės prie </w:t>
            </w:r>
            <w:hyperlink r:id="rId19" w:history="1">
              <w:r w:rsidRPr="005B14B5">
                <w:rPr>
                  <w:rStyle w:val="Hyperlink"/>
                  <w:i/>
                  <w:iCs/>
                  <w:szCs w:val="24"/>
                </w:rPr>
                <w:t>Nacionalinio pažangos plano</w:t>
              </w:r>
            </w:hyperlink>
            <w:r w:rsidRPr="005B14B5">
              <w:rPr>
                <w:bCs/>
                <w:i/>
                <w:iCs/>
                <w:szCs w:val="24"/>
              </w:rPr>
              <w:t xml:space="preserve"> 1 tikslo „Pereiti prie mokslo žiniomis, pažangiosiomis technologijomis, inovacijomis grįsto darnaus ekonomikos vystymosi ir didinti šalies tarptautinį konkurencingumą“ rodiklio „Inovatyviųjų viešųjų pirkimų vertės dalis nuo visų viešųjų pirkimų vertės“ pasiekimo.</w:t>
            </w:r>
          </w:p>
        </w:tc>
      </w:tr>
      <w:tr w:rsidR="00F65928" w:rsidRPr="005B14B5" w14:paraId="0EBEE191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6712" w14:textId="77777777" w:rsidR="00F65928" w:rsidRPr="005B14B5" w:rsidRDefault="00F65928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lastRenderedPageBreak/>
              <w:br w:type="page"/>
            </w:r>
            <w:r w:rsidRPr="005B14B5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5B14B5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722B3B27" w14:textId="55B5E8E1" w:rsidR="00F65928" w:rsidRPr="005B14B5" w:rsidRDefault="00F65928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■ 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4485" w14:textId="77777777" w:rsidR="00F65928" w:rsidRPr="005B14B5" w:rsidRDefault="00F65928" w:rsidP="007C2169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■Nustatymas</w:t>
            </w:r>
          </w:p>
          <w:p w14:paraId="50169E2C" w14:textId="77777777" w:rsidR="00F65928" w:rsidRPr="005B14B5" w:rsidRDefault="00F65928" w:rsidP="007C2169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sym w:font="Times New Roman" w:char="F07F"/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Keitimas</w:t>
            </w:r>
          </w:p>
        </w:tc>
      </w:tr>
      <w:tr w:rsidR="00F65928" w:rsidRPr="005B14B5" w14:paraId="2C2E0515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3A83" w14:textId="77777777" w:rsidR="00F65928" w:rsidRPr="005B14B5" w:rsidRDefault="00F65928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bookmarkStart w:id="0" w:name="_Hlk161851294"/>
            <w:r w:rsidRPr="005B14B5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8E53" w14:textId="2720618F" w:rsidR="00F65928" w:rsidRPr="005B14B5" w:rsidRDefault="001738C2" w:rsidP="007C2169">
            <w:pPr>
              <w:jc w:val="both"/>
              <w:rPr>
                <w:b/>
                <w:i/>
                <w:iCs/>
                <w:szCs w:val="24"/>
                <w:lang w:eastAsia="lt-LT"/>
              </w:rPr>
            </w:pPr>
            <w:r w:rsidRPr="005B14B5">
              <w:rPr>
                <w:b/>
                <w:i/>
                <w:iCs/>
                <w:szCs w:val="24"/>
                <w:lang w:eastAsia="lt-LT"/>
              </w:rPr>
              <w:t>5</w:t>
            </w:r>
            <w:r w:rsidR="00F65928" w:rsidRPr="005B14B5">
              <w:rPr>
                <w:b/>
                <w:i/>
                <w:iCs/>
                <w:szCs w:val="24"/>
                <w:lang w:eastAsia="lt-LT"/>
              </w:rPr>
              <w:t xml:space="preserve">. Projekto metu kuriamas inovatyvusis produktas </w:t>
            </w:r>
            <w:r w:rsidR="00574C61" w:rsidRPr="005B14B5">
              <w:rPr>
                <w:b/>
                <w:i/>
                <w:iCs/>
                <w:szCs w:val="24"/>
                <w:lang w:eastAsia="lt-LT"/>
              </w:rPr>
              <w:t>yra dvejopos paskirties</w:t>
            </w:r>
            <w:r w:rsidR="00F65928" w:rsidRPr="005B14B5">
              <w:rPr>
                <w:b/>
                <w:i/>
                <w:iCs/>
                <w:szCs w:val="24"/>
                <w:lang w:eastAsia="lt-LT"/>
              </w:rPr>
              <w:t>.</w:t>
            </w:r>
          </w:p>
        </w:tc>
      </w:tr>
      <w:bookmarkEnd w:id="0"/>
      <w:tr w:rsidR="00F65928" w:rsidRPr="005B14B5" w14:paraId="1DC6FABA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C513" w14:textId="77777777" w:rsidR="00F65928" w:rsidRPr="005B14B5" w:rsidRDefault="00F65928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8FE7" w14:textId="730F0BAB" w:rsidR="00F65928" w:rsidRPr="005B14B5" w:rsidRDefault="008D7B1A" w:rsidP="001738C2">
            <w:pPr>
              <w:widowControl w:val="0"/>
              <w:spacing w:before="100" w:beforeAutospacing="1" w:after="100" w:afterAutospacing="1"/>
              <w:jc w:val="both"/>
              <w:textAlignment w:val="baseline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Prioritetas teikiamas tiems projektams, kurių metu siekiama kurti dvejopos paskirties inovatyvųjį produktą, kurio antrinė paskirtis atitinka bent vieną</w:t>
            </w:r>
            <w:r w:rsidR="00F65928" w:rsidRPr="005B14B5">
              <w:rPr>
                <w:bCs/>
                <w:i/>
                <w:iCs/>
                <w:szCs w:val="24"/>
                <w:lang w:eastAsia="lt-LT"/>
              </w:rPr>
              <w:t xml:space="preserve"> gynybos</w:t>
            </w:r>
            <w:r w:rsidR="007F276D" w:rsidRPr="005B14B5">
              <w:rPr>
                <w:bCs/>
                <w:i/>
                <w:iCs/>
                <w:szCs w:val="24"/>
                <w:lang w:eastAsia="lt-LT"/>
              </w:rPr>
              <w:t xml:space="preserve"> ir saugumo</w:t>
            </w:r>
            <w:r w:rsidR="00F65928" w:rsidRPr="005B14B5">
              <w:rPr>
                <w:bCs/>
                <w:i/>
                <w:iCs/>
                <w:szCs w:val="24"/>
                <w:lang w:eastAsia="lt-LT"/>
              </w:rPr>
              <w:t xml:space="preserve"> pramonės prioritet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>inę sritį</w:t>
            </w:r>
            <w:r w:rsidR="00F65928" w:rsidRPr="005B14B5">
              <w:rPr>
                <w:bCs/>
                <w:i/>
                <w:iCs/>
                <w:szCs w:val="24"/>
                <w:lang w:eastAsia="lt-LT"/>
              </w:rPr>
              <w:t xml:space="preserve">, 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nustatytą </w:t>
            </w:r>
            <w:hyperlink r:id="rId20" w:history="1">
              <w:r w:rsidR="001B565D" w:rsidRPr="005B14B5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 xml:space="preserve">Lietuvos Respublikos gynybos ir saugumo pramonės plėtros </w:t>
              </w:r>
              <w:r w:rsidR="001B565D" w:rsidRPr="00B60CB4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>2023–2027 met</w:t>
              </w:r>
              <w:r w:rsidR="001B565D" w:rsidRPr="005B14B5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>ais gair</w:t>
              </w:r>
              <w:r w:rsidR="007F276D" w:rsidRPr="005B14B5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>i</w:t>
              </w:r>
              <w:r w:rsidR="007F276D" w:rsidRPr="005B14B5">
                <w:rPr>
                  <w:rStyle w:val="Hyperlink"/>
                  <w:i/>
                  <w:iCs/>
                </w:rPr>
                <w:t>ų</w:t>
              </w:r>
              <w:r w:rsidR="001B565D" w:rsidRPr="005B14B5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>, patvirtint</w:t>
              </w:r>
              <w:r w:rsidR="007F276D" w:rsidRPr="005B14B5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>ų</w:t>
              </w:r>
              <w:r w:rsidR="001B565D" w:rsidRPr="005B14B5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 xml:space="preserve"> Lietuvos Respublikos ekonomikos ir inovacijų ministro, Lietuvos Respublikos krašto apsaugos ministro, Lietuvos Respublikos užsienio reikalų ministro, Lietuvos Respublikos vidaus reikalų ministro </w:t>
              </w:r>
              <w:r w:rsidR="001B565D" w:rsidRPr="00B60CB4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>2023 m. gegu</w:t>
              </w:r>
              <w:r w:rsidR="001B565D" w:rsidRPr="005B14B5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 xml:space="preserve">žės </w:t>
              </w:r>
              <w:r w:rsidR="001B565D" w:rsidRPr="00B60CB4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 xml:space="preserve">31 d. </w:t>
              </w:r>
              <w:r w:rsidR="001B565D" w:rsidRPr="005B14B5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 xml:space="preserve">įsakymu Nr. 4-299/V-447/V-171/1V-331 „Dėl Lietuvos Respublikos gynybos ir saugumo pramonės plėtros </w:t>
              </w:r>
              <w:r w:rsidR="001B565D" w:rsidRPr="00B60CB4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>2023-2027 metai</w:t>
              </w:r>
              <w:r w:rsidR="001B565D" w:rsidRPr="005B14B5">
                <w:rPr>
                  <w:rStyle w:val="Hyperlink"/>
                  <w:bCs/>
                  <w:i/>
                  <w:iCs/>
                  <w:szCs w:val="24"/>
                  <w:lang w:eastAsia="lt-LT"/>
                </w:rPr>
                <w:t>s gairių patvirtinimo“</w:t>
              </w:r>
            </w:hyperlink>
            <w:r w:rsidR="00681272" w:rsidRPr="005B14B5">
              <w:rPr>
                <w:rStyle w:val="Hyperlink"/>
                <w:bCs/>
                <w:i/>
                <w:iCs/>
                <w:szCs w:val="24"/>
                <w:lang w:eastAsia="lt-LT"/>
              </w:rPr>
              <w:t>,</w:t>
            </w:r>
            <w:r w:rsidR="007F276D" w:rsidRPr="005B14B5">
              <w:rPr>
                <w:bCs/>
                <w:i/>
                <w:iCs/>
                <w:szCs w:val="24"/>
                <w:lang w:eastAsia="lt-LT"/>
              </w:rPr>
              <w:t xml:space="preserve"> (toliau – Gairės), 9</w:t>
            </w:r>
            <w:r w:rsidR="00541A3A">
              <w:rPr>
                <w:bCs/>
                <w:i/>
                <w:iCs/>
                <w:szCs w:val="24"/>
                <w:lang w:eastAsia="lt-LT"/>
              </w:rPr>
              <w:t>.1</w:t>
            </w:r>
            <w:r w:rsidR="007F276D" w:rsidRPr="005B14B5">
              <w:rPr>
                <w:bCs/>
                <w:i/>
                <w:iCs/>
                <w:szCs w:val="24"/>
                <w:lang w:eastAsia="lt-LT"/>
              </w:rPr>
              <w:t xml:space="preserve"> </w:t>
            </w:r>
            <w:r w:rsidR="00541A3A" w:rsidRPr="005B14B5">
              <w:rPr>
                <w:bCs/>
                <w:i/>
                <w:iCs/>
                <w:szCs w:val="24"/>
                <w:lang w:eastAsia="lt-LT"/>
              </w:rPr>
              <w:t>p</w:t>
            </w:r>
            <w:r w:rsidR="00541A3A">
              <w:rPr>
                <w:bCs/>
                <w:i/>
                <w:iCs/>
                <w:szCs w:val="24"/>
                <w:lang w:eastAsia="lt-LT"/>
              </w:rPr>
              <w:t>apunktyje</w:t>
            </w:r>
            <w:r w:rsidR="001B565D" w:rsidRPr="005B14B5">
              <w:rPr>
                <w:bCs/>
                <w:i/>
                <w:iCs/>
                <w:szCs w:val="24"/>
                <w:lang w:eastAsia="lt-LT"/>
              </w:rPr>
              <w:t>.</w:t>
            </w:r>
          </w:p>
          <w:p w14:paraId="1880BC5D" w14:textId="2554E002" w:rsidR="00F65928" w:rsidRPr="005B14B5" w:rsidRDefault="00F65928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Atitiktis kriterijui vertinama pagal PĮP pateiktą informaciją.</w:t>
            </w:r>
          </w:p>
        </w:tc>
      </w:tr>
      <w:tr w:rsidR="00F65928" w:rsidRPr="005B14B5" w14:paraId="4A717A80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7B39" w14:textId="77777777" w:rsidR="00F65928" w:rsidRPr="005B14B5" w:rsidRDefault="00F65928" w:rsidP="007C2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22A5" w14:textId="74652A8E" w:rsidR="001F7901" w:rsidRPr="005B14B5" w:rsidRDefault="001F7901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Nustatytas kriterijus padės atrinkti tuos</w:t>
            </w:r>
            <w:r w:rsidR="007F276D" w:rsidRPr="005B14B5">
              <w:rPr>
                <w:bCs/>
                <w:i/>
                <w:iCs/>
                <w:szCs w:val="24"/>
                <w:lang w:eastAsia="lt-LT"/>
              </w:rPr>
              <w:t xml:space="preserve"> 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>projektus</w:t>
            </w:r>
            <w:r w:rsidR="007F276D" w:rsidRPr="005B14B5">
              <w:rPr>
                <w:bCs/>
                <w:i/>
                <w:iCs/>
                <w:szCs w:val="24"/>
                <w:lang w:eastAsia="lt-LT"/>
              </w:rPr>
              <w:t xml:space="preserve">, </w:t>
            </w:r>
            <w:r w:rsidR="00CE68C6" w:rsidRPr="005B14B5">
              <w:rPr>
                <w:bCs/>
                <w:i/>
                <w:iCs/>
                <w:szCs w:val="24"/>
                <w:lang w:eastAsia="lt-LT"/>
              </w:rPr>
              <w:t>kurių metu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numatoma</w:t>
            </w:r>
            <w:r w:rsidR="00CE68C6" w:rsidRPr="005B14B5">
              <w:rPr>
                <w:bCs/>
                <w:i/>
                <w:iCs/>
                <w:szCs w:val="24"/>
                <w:lang w:eastAsia="lt-LT"/>
              </w:rPr>
              <w:t xml:space="preserve"> kurti dvejopos paskirties inovatyvųjį produktą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>.</w:t>
            </w:r>
          </w:p>
          <w:p w14:paraId="44FA4B39" w14:textId="757F28CD" w:rsidR="007F276D" w:rsidRPr="005B14B5" w:rsidRDefault="001F7901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lastRenderedPageBreak/>
              <w:t>Nustatytas kriterijus</w:t>
            </w:r>
            <w:r w:rsidR="006706A1">
              <w:rPr>
                <w:bCs/>
                <w:i/>
                <w:iCs/>
                <w:szCs w:val="24"/>
                <w:lang w:eastAsia="lt-LT"/>
              </w:rPr>
              <w:t xml:space="preserve"> 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prisidės prie </w:t>
            </w:r>
            <w:r w:rsidR="007F276D" w:rsidRPr="005B14B5">
              <w:rPr>
                <w:bCs/>
                <w:i/>
                <w:iCs/>
                <w:szCs w:val="24"/>
                <w:lang w:eastAsia="lt-LT"/>
              </w:rPr>
              <w:t xml:space="preserve">Investicijų programos 1 prioriteto „Pažangesnė Lietuva“ 1.1 konkretaus uždavinio „Plėtoti ir stiprinti mokslinių tyrimų ir inovacinius pajėgumus ir diegti pažangiąsias technologijas“ 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tikslų </w:t>
            </w:r>
            <w:r w:rsidR="007F276D" w:rsidRPr="005B14B5">
              <w:rPr>
                <w:bCs/>
                <w:i/>
                <w:iCs/>
                <w:szCs w:val="24"/>
                <w:lang w:eastAsia="lt-LT"/>
              </w:rPr>
              <w:t>siekiant sumaniąja specializacija grįstos ekonomikos transformacijos į aukštos pridėtinės vertės produktų kūrimo vertes.</w:t>
            </w:r>
          </w:p>
          <w:p w14:paraId="3C82142D" w14:textId="2A4D3510" w:rsidR="00F65928" w:rsidRPr="005B14B5" w:rsidRDefault="007F276D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Projektų atrankos kriterijus tiesiogiai prisideda prie inovatyvumo (kūrybingumo) horizontaliojo principo, kadangi veikla siekiama geriau naudoti viešojo sektoriaus potencialą inovacijoms, atitinkančioms prioritetines šalies sritis, nustatytas Gairėse, </w:t>
            </w:r>
            <w:r w:rsidR="006706A1">
              <w:rPr>
                <w:bCs/>
                <w:i/>
                <w:iCs/>
                <w:szCs w:val="24"/>
                <w:lang w:eastAsia="lt-LT"/>
              </w:rPr>
              <w:t xml:space="preserve">Lietuvoje 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skatinti: kuriamos paskatos </w:t>
            </w:r>
            <w:r w:rsidRPr="005B14B5">
              <w:rPr>
                <w:bCs/>
                <w:i/>
                <w:iCs/>
                <w:lang w:eastAsia="lt-LT"/>
              </w:rPr>
              <w:t>perkančiosioms organizacijoms vykdyti ikiprekybinius pirkimus tikslinėse, valstybei reikalingiausiose gynybos ir saugumo pramonės srityse, o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verslui kurti naujus produktus viešojo sektoriaus poreikiams tenkinti ir dalyvauti ikiprekybiniuose pirkimuose SR ir VVL.</w:t>
            </w:r>
          </w:p>
          <w:p w14:paraId="42081098" w14:textId="3F6E3695" w:rsidR="007A1E10" w:rsidRPr="005B14B5" w:rsidRDefault="007A1E10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color w:val="4F81BD" w:themeColor="accent1"/>
                <w:szCs w:val="24"/>
                <w:lang w:eastAsia="lt-LT"/>
              </w:rPr>
            </w:pPr>
            <w:r w:rsidRPr="00B60CB4">
              <w:rPr>
                <w:bCs/>
                <w:i/>
                <w:iCs/>
                <w:szCs w:val="24"/>
                <w:lang w:eastAsia="lt-LT"/>
              </w:rPr>
              <w:t xml:space="preserve">Pažymėtina, kad </w:t>
            </w:r>
            <w:proofErr w:type="spellStart"/>
            <w:r w:rsidRPr="00B60CB4">
              <w:rPr>
                <w:bCs/>
                <w:i/>
                <w:iCs/>
                <w:szCs w:val="24"/>
                <w:lang w:eastAsia="lt-LT"/>
              </w:rPr>
              <w:t>ikiprekybiniu</w:t>
            </w:r>
            <w:proofErr w:type="spellEnd"/>
            <w:r w:rsidRPr="00B60CB4">
              <w:rPr>
                <w:bCs/>
                <w:i/>
                <w:iCs/>
                <w:szCs w:val="24"/>
                <w:lang w:eastAsia="lt-LT"/>
              </w:rPr>
              <w:t xml:space="preserve"> pirkimu </w:t>
            </w:r>
            <w:r w:rsidRPr="006706A1">
              <w:rPr>
                <w:bCs/>
                <w:i/>
                <w:iCs/>
                <w:szCs w:val="24"/>
                <w:lang w:eastAsia="lt-LT"/>
              </w:rPr>
              <w:t>kuriant dvejopos paskirties</w:t>
            </w:r>
            <w:r w:rsidRPr="00B60CB4">
              <w:rPr>
                <w:bCs/>
                <w:i/>
                <w:iCs/>
                <w:szCs w:val="24"/>
                <w:lang w:eastAsia="lt-LT"/>
              </w:rPr>
              <w:t xml:space="preserve"> </w:t>
            </w:r>
            <w:r w:rsidRPr="006706A1">
              <w:rPr>
                <w:bCs/>
                <w:i/>
                <w:iCs/>
                <w:szCs w:val="24"/>
                <w:lang w:eastAsia="lt-LT"/>
              </w:rPr>
              <w:t xml:space="preserve">inovatyvųjį produktą </w:t>
            </w:r>
            <w:r w:rsidRPr="00B60CB4">
              <w:rPr>
                <w:bCs/>
                <w:i/>
                <w:iCs/>
                <w:szCs w:val="24"/>
                <w:lang w:eastAsia="lt-LT"/>
              </w:rPr>
              <w:t>Investicijų programos lėšomis bus finansuojama tik civilinei paskirčiai skirto inovatyviojo produkto sukūrimui skirta ikiprekybinio pirkimo dalis.</w:t>
            </w:r>
          </w:p>
        </w:tc>
      </w:tr>
      <w:tr w:rsidR="00F80714" w:rsidRPr="005B14B5" w14:paraId="59D82C9F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6D2E" w14:textId="77777777" w:rsidR="00F80714" w:rsidRPr="005B14B5" w:rsidRDefault="00F80714" w:rsidP="00F80714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lastRenderedPageBreak/>
              <w:br w:type="page"/>
            </w:r>
            <w:r w:rsidRPr="005B14B5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5B14B5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46A6F76F" w14:textId="541F2FFD" w:rsidR="00F80714" w:rsidRPr="005B14B5" w:rsidRDefault="00F80714" w:rsidP="00F80714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■ 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AE4A" w14:textId="77777777" w:rsidR="00F80714" w:rsidRPr="005B14B5" w:rsidRDefault="00F80714" w:rsidP="00F80714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■Nustatymas</w:t>
            </w:r>
          </w:p>
          <w:p w14:paraId="0E6F2B2E" w14:textId="2E8850FC" w:rsidR="00F80714" w:rsidRPr="005B14B5" w:rsidRDefault="00F80714" w:rsidP="00F80714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sym w:font="Times New Roman" w:char="F07F"/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Keitimas</w:t>
            </w:r>
          </w:p>
        </w:tc>
      </w:tr>
      <w:tr w:rsidR="00F80714" w:rsidRPr="005B14B5" w14:paraId="0FEF5959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6864" w14:textId="3E979004" w:rsidR="00F80714" w:rsidRPr="005B14B5" w:rsidRDefault="00F80714" w:rsidP="00F80714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6FCA" w14:textId="16A49328" w:rsidR="00F80714" w:rsidRPr="005B14B5" w:rsidRDefault="001738C2" w:rsidP="00F80714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B60CB4">
              <w:rPr>
                <w:b/>
                <w:i/>
                <w:iCs/>
                <w:szCs w:val="24"/>
                <w:lang w:eastAsia="lt-LT"/>
              </w:rPr>
              <w:t>6</w:t>
            </w:r>
            <w:r w:rsidR="00F80714" w:rsidRPr="005B14B5">
              <w:rPr>
                <w:b/>
                <w:i/>
                <w:iCs/>
                <w:szCs w:val="24"/>
                <w:lang w:eastAsia="lt-LT"/>
              </w:rPr>
              <w:t>. P</w:t>
            </w:r>
            <w:r w:rsidR="00A54043" w:rsidRPr="005B14B5">
              <w:rPr>
                <w:b/>
                <w:i/>
                <w:iCs/>
                <w:szCs w:val="24"/>
                <w:lang w:eastAsia="lt-LT"/>
              </w:rPr>
              <w:t>rojekto efektyvumas</w:t>
            </w:r>
            <w:r w:rsidR="00F80714" w:rsidRPr="005B14B5">
              <w:rPr>
                <w:b/>
                <w:i/>
                <w:iCs/>
                <w:szCs w:val="24"/>
                <w:lang w:eastAsia="lt-LT"/>
              </w:rPr>
              <w:t>.</w:t>
            </w:r>
          </w:p>
        </w:tc>
      </w:tr>
      <w:tr w:rsidR="00A54043" w:rsidRPr="005B14B5" w14:paraId="68B8037F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414D" w14:textId="0E57270D" w:rsidR="00A54043" w:rsidRPr="005B14B5" w:rsidRDefault="00A54043" w:rsidP="00A5404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0789" w14:textId="21F1C0F2" w:rsidR="00A54043" w:rsidRPr="005B14B5" w:rsidRDefault="00A54043" w:rsidP="00681272">
            <w:pPr>
              <w:pStyle w:val="pf0"/>
              <w:jc w:val="both"/>
              <w:rPr>
                <w:bCs/>
                <w:i/>
                <w:iCs/>
              </w:rPr>
            </w:pPr>
            <w:r w:rsidRPr="005B14B5">
              <w:rPr>
                <w:bCs/>
                <w:i/>
                <w:iCs/>
              </w:rPr>
              <w:t>Vertinamas pareiškėjo</w:t>
            </w:r>
            <w:r w:rsidR="001738C2" w:rsidRPr="005B14B5">
              <w:rPr>
                <w:bCs/>
                <w:i/>
                <w:iCs/>
              </w:rPr>
              <w:t xml:space="preserve"> ir (arba) partnerio (-</w:t>
            </w:r>
            <w:proofErr w:type="spellStart"/>
            <w:r w:rsidR="001738C2" w:rsidRPr="005B14B5">
              <w:rPr>
                <w:bCs/>
                <w:i/>
                <w:iCs/>
              </w:rPr>
              <w:t>ių</w:t>
            </w:r>
            <w:proofErr w:type="spellEnd"/>
            <w:r w:rsidR="001738C2" w:rsidRPr="005B14B5">
              <w:rPr>
                <w:bCs/>
                <w:i/>
                <w:iCs/>
              </w:rPr>
              <w:t>)</w:t>
            </w:r>
            <w:r w:rsidRPr="005B14B5">
              <w:rPr>
                <w:bCs/>
                <w:i/>
                <w:iCs/>
              </w:rPr>
              <w:t xml:space="preserve"> nuosavo įnašo ikiprekybinio pirkimo vykdymui ir prašomos finansavimo sumos santykis. Aukštesnis įvertinimas suteikiamas projektams, kuriuose pareiškėjo </w:t>
            </w:r>
            <w:r w:rsidR="00CE68C6" w:rsidRPr="005B14B5">
              <w:rPr>
                <w:bCs/>
                <w:i/>
                <w:iCs/>
              </w:rPr>
              <w:t xml:space="preserve">ir (arba) partnerio </w:t>
            </w:r>
            <w:r w:rsidR="001738C2" w:rsidRPr="005B14B5">
              <w:rPr>
                <w:bCs/>
                <w:i/>
                <w:iCs/>
              </w:rPr>
              <w:t>(-</w:t>
            </w:r>
            <w:proofErr w:type="spellStart"/>
            <w:r w:rsidR="001738C2" w:rsidRPr="005B14B5">
              <w:rPr>
                <w:bCs/>
                <w:i/>
                <w:iCs/>
              </w:rPr>
              <w:t>ių</w:t>
            </w:r>
            <w:proofErr w:type="spellEnd"/>
            <w:r w:rsidR="001738C2" w:rsidRPr="005B14B5">
              <w:rPr>
                <w:bCs/>
                <w:i/>
                <w:iCs/>
              </w:rPr>
              <w:t xml:space="preserve">) </w:t>
            </w:r>
            <w:r w:rsidRPr="005B14B5">
              <w:rPr>
                <w:bCs/>
                <w:i/>
                <w:iCs/>
              </w:rPr>
              <w:t>nuosavo įnašo ikiprekybinio pirkimo vykdymui ir prašomos finansavimo sumos santykis bus didesnis. Skaičiuojant nuosavą įnašą susigrąžintinas pridėtinės vertės mokestis nėra įskaičiuojamas.</w:t>
            </w:r>
          </w:p>
          <w:p w14:paraId="4822C053" w14:textId="77777777" w:rsidR="00A54043" w:rsidRPr="005B14B5" w:rsidRDefault="00A54043" w:rsidP="00681272">
            <w:pPr>
              <w:pStyle w:val="pf0"/>
              <w:jc w:val="both"/>
              <w:rPr>
                <w:bCs/>
                <w:i/>
                <w:iCs/>
              </w:rPr>
            </w:pPr>
            <w:r w:rsidRPr="005B14B5">
              <w:rPr>
                <w:bCs/>
                <w:i/>
                <w:iCs/>
              </w:rPr>
              <w:t>Formulė: Y = X1/X2*100, kurioje:</w:t>
            </w:r>
          </w:p>
          <w:p w14:paraId="78391AC6" w14:textId="580777A7" w:rsidR="00A54043" w:rsidRPr="005B14B5" w:rsidRDefault="00A54043" w:rsidP="00681272">
            <w:pPr>
              <w:pStyle w:val="pf0"/>
              <w:jc w:val="both"/>
              <w:rPr>
                <w:bCs/>
                <w:i/>
                <w:iCs/>
              </w:rPr>
            </w:pPr>
            <w:r w:rsidRPr="005B14B5">
              <w:rPr>
                <w:bCs/>
                <w:i/>
                <w:iCs/>
              </w:rPr>
              <w:t xml:space="preserve">X1 – pareiškėjo </w:t>
            </w:r>
            <w:r w:rsidR="00CE68C6" w:rsidRPr="005B14B5">
              <w:rPr>
                <w:bCs/>
                <w:i/>
                <w:iCs/>
              </w:rPr>
              <w:t>ir (arba) partnerio</w:t>
            </w:r>
            <w:r w:rsidR="001738C2" w:rsidRPr="005B14B5">
              <w:rPr>
                <w:bCs/>
                <w:i/>
                <w:iCs/>
              </w:rPr>
              <w:t xml:space="preserve"> (-</w:t>
            </w:r>
            <w:proofErr w:type="spellStart"/>
            <w:r w:rsidR="001738C2" w:rsidRPr="005B14B5">
              <w:rPr>
                <w:bCs/>
                <w:i/>
                <w:iCs/>
              </w:rPr>
              <w:t>ių</w:t>
            </w:r>
            <w:proofErr w:type="spellEnd"/>
            <w:r w:rsidR="001738C2" w:rsidRPr="005B14B5">
              <w:rPr>
                <w:bCs/>
                <w:i/>
                <w:iCs/>
              </w:rPr>
              <w:t>)</w:t>
            </w:r>
            <w:r w:rsidR="00CE68C6" w:rsidRPr="005B14B5">
              <w:rPr>
                <w:bCs/>
                <w:i/>
                <w:iCs/>
              </w:rPr>
              <w:t xml:space="preserve"> </w:t>
            </w:r>
            <w:r w:rsidRPr="005B14B5">
              <w:rPr>
                <w:bCs/>
                <w:i/>
                <w:iCs/>
              </w:rPr>
              <w:t>nuosavo įnašo ikiprekybinio pirkimo vykdymui suma Eur;</w:t>
            </w:r>
          </w:p>
          <w:p w14:paraId="41C509FA" w14:textId="38EECD56" w:rsidR="00A54043" w:rsidRPr="005B14B5" w:rsidRDefault="00A54043" w:rsidP="00681272">
            <w:pPr>
              <w:pStyle w:val="pf0"/>
              <w:jc w:val="both"/>
              <w:rPr>
                <w:bCs/>
                <w:i/>
                <w:iCs/>
              </w:rPr>
            </w:pPr>
            <w:r w:rsidRPr="005B14B5">
              <w:rPr>
                <w:bCs/>
                <w:i/>
                <w:iCs/>
              </w:rPr>
              <w:t xml:space="preserve">X2 – pareiškėjo </w:t>
            </w:r>
            <w:r w:rsidR="00CE68C6" w:rsidRPr="005B14B5">
              <w:rPr>
                <w:bCs/>
                <w:i/>
                <w:iCs/>
              </w:rPr>
              <w:t>ir (arba) partnerio</w:t>
            </w:r>
            <w:r w:rsidR="001738C2" w:rsidRPr="005B14B5">
              <w:rPr>
                <w:bCs/>
                <w:i/>
                <w:iCs/>
              </w:rPr>
              <w:t xml:space="preserve"> (-</w:t>
            </w:r>
            <w:proofErr w:type="spellStart"/>
            <w:r w:rsidR="001738C2" w:rsidRPr="005B14B5">
              <w:rPr>
                <w:bCs/>
                <w:i/>
                <w:iCs/>
              </w:rPr>
              <w:t>ių</w:t>
            </w:r>
            <w:proofErr w:type="spellEnd"/>
            <w:r w:rsidR="001738C2" w:rsidRPr="005B14B5">
              <w:rPr>
                <w:bCs/>
                <w:i/>
                <w:iCs/>
              </w:rPr>
              <w:t>)</w:t>
            </w:r>
            <w:r w:rsidR="00CE68C6" w:rsidRPr="005B14B5">
              <w:rPr>
                <w:bCs/>
                <w:i/>
                <w:iCs/>
              </w:rPr>
              <w:t xml:space="preserve"> </w:t>
            </w:r>
            <w:r w:rsidRPr="005B14B5">
              <w:rPr>
                <w:bCs/>
                <w:i/>
                <w:iCs/>
              </w:rPr>
              <w:t>prašoma finansavimo suma Eur;</w:t>
            </w:r>
          </w:p>
          <w:p w14:paraId="3F1C92F6" w14:textId="16C816C7" w:rsidR="00A54043" w:rsidRPr="005B14B5" w:rsidRDefault="00A54043" w:rsidP="00681272">
            <w:pPr>
              <w:pStyle w:val="pf0"/>
              <w:jc w:val="both"/>
              <w:rPr>
                <w:bCs/>
                <w:i/>
                <w:iCs/>
              </w:rPr>
            </w:pPr>
            <w:r w:rsidRPr="005B14B5">
              <w:rPr>
                <w:bCs/>
                <w:i/>
                <w:iCs/>
              </w:rPr>
              <w:lastRenderedPageBreak/>
              <w:t xml:space="preserve">Y – santykis tarp pareiškėjo </w:t>
            </w:r>
            <w:r w:rsidR="00CE68C6" w:rsidRPr="005B14B5">
              <w:rPr>
                <w:bCs/>
                <w:i/>
                <w:iCs/>
              </w:rPr>
              <w:t xml:space="preserve">ir (arba) partnerio </w:t>
            </w:r>
            <w:r w:rsidR="001738C2" w:rsidRPr="005B14B5">
              <w:rPr>
                <w:bCs/>
                <w:i/>
                <w:iCs/>
              </w:rPr>
              <w:t>(-</w:t>
            </w:r>
            <w:proofErr w:type="spellStart"/>
            <w:r w:rsidR="001738C2" w:rsidRPr="005B14B5">
              <w:rPr>
                <w:bCs/>
                <w:i/>
                <w:iCs/>
              </w:rPr>
              <w:t>ių</w:t>
            </w:r>
            <w:proofErr w:type="spellEnd"/>
            <w:r w:rsidR="001738C2" w:rsidRPr="005B14B5">
              <w:rPr>
                <w:bCs/>
                <w:i/>
                <w:iCs/>
              </w:rPr>
              <w:t xml:space="preserve">) </w:t>
            </w:r>
            <w:r w:rsidRPr="005B14B5">
              <w:rPr>
                <w:bCs/>
                <w:i/>
                <w:iCs/>
              </w:rPr>
              <w:t>nuosavo įnašo ikiprekybinio pirkimo vykdymui ir prašomos finansavimo sumos procentais.</w:t>
            </w:r>
          </w:p>
          <w:p w14:paraId="23900FB9" w14:textId="463ECAB9" w:rsidR="00A54043" w:rsidRPr="005B14B5" w:rsidRDefault="00A54043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lang w:eastAsia="lt-LT"/>
              </w:rPr>
              <w:t>Daugiau balų skiriama projektams, kurių nurodytas santykis Y yra didesnis.</w:t>
            </w:r>
          </w:p>
        </w:tc>
      </w:tr>
      <w:tr w:rsidR="00A54043" w:rsidRPr="005B14B5" w14:paraId="3C24F194" w14:textId="77777777" w:rsidTr="00090C4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E198" w14:textId="676229AB" w:rsidR="00A54043" w:rsidRPr="005B14B5" w:rsidRDefault="00A54043" w:rsidP="00A5404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4A0A" w14:textId="1F9BF966" w:rsidR="00A54043" w:rsidRPr="005B14B5" w:rsidRDefault="00A54043" w:rsidP="001738C2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  <w:r w:rsidRPr="005B14B5">
              <w:rPr>
                <w:bCs/>
                <w:i/>
                <w:iCs/>
                <w:szCs w:val="24"/>
              </w:rPr>
              <w:t xml:space="preserve">Nustatytas kriterijus leis </w:t>
            </w:r>
            <w:r w:rsidR="004B2BE6" w:rsidRPr="005B14B5">
              <w:rPr>
                <w:bCs/>
                <w:i/>
                <w:iCs/>
                <w:szCs w:val="24"/>
              </w:rPr>
              <w:t>atrinkti</w:t>
            </w:r>
            <w:r w:rsidRPr="005B14B5">
              <w:rPr>
                <w:bCs/>
                <w:i/>
                <w:iCs/>
                <w:szCs w:val="24"/>
              </w:rPr>
              <w:t xml:space="preserve"> efektyviausiai </w:t>
            </w:r>
            <w:r w:rsidR="001738C2" w:rsidRPr="005B14B5">
              <w:rPr>
                <w:bCs/>
                <w:i/>
                <w:iCs/>
                <w:szCs w:val="24"/>
              </w:rPr>
              <w:t>Investicijų programos</w:t>
            </w:r>
            <w:r w:rsidRPr="005B14B5">
              <w:rPr>
                <w:bCs/>
                <w:i/>
                <w:iCs/>
                <w:szCs w:val="24"/>
              </w:rPr>
              <w:t xml:space="preserve"> lėšas ir nuosavas lėšas investuosian</w:t>
            </w:r>
            <w:r w:rsidR="004B2BE6" w:rsidRPr="005B14B5">
              <w:rPr>
                <w:bCs/>
                <w:i/>
                <w:iCs/>
                <w:szCs w:val="24"/>
              </w:rPr>
              <w:t>čius p</w:t>
            </w:r>
            <w:r w:rsidR="001738C2" w:rsidRPr="005B14B5">
              <w:rPr>
                <w:bCs/>
                <w:i/>
                <w:iCs/>
                <w:szCs w:val="24"/>
              </w:rPr>
              <w:t>rojektus</w:t>
            </w:r>
            <w:r w:rsidRPr="005B14B5">
              <w:rPr>
                <w:bCs/>
                <w:i/>
                <w:iCs/>
                <w:szCs w:val="24"/>
              </w:rPr>
              <w:t>.</w:t>
            </w:r>
            <w:r w:rsidR="004B2BE6" w:rsidRPr="005B14B5">
              <w:rPr>
                <w:bCs/>
                <w:i/>
                <w:iCs/>
                <w:szCs w:val="24"/>
              </w:rPr>
              <w:t xml:space="preserve"> Taip pat perkančiosios organizacijos bus skatinamos investuoti savo lėšas ikiprekybinių pirkimų vykdymui.</w:t>
            </w:r>
            <w:r w:rsidRPr="005B14B5">
              <w:rPr>
                <w:bCs/>
                <w:i/>
                <w:iCs/>
                <w:szCs w:val="24"/>
              </w:rPr>
              <w:t xml:space="preserve"> Šiuo kriterijumi bus prisidedama prie Investicijų programos 1 prioriteto „Pažangesnė Lietuva“ 1.1. konkretaus uždavinio „Plėtoti ir stiprinti mokslinių tyrimų ir inovacinius pajėgumus ir diegti pažangiąsias technologijas“ tikslų bei </w:t>
            </w:r>
            <w:r w:rsidRPr="005B14B5">
              <w:rPr>
                <w:i/>
                <w:iCs/>
              </w:rPr>
              <w:t>rezultato stebėsenos rodiklio RCR02 „Privačiosios investicijos, papildančios viešąją paramą (iš kurių: dotacijos, finansinės priemonės)“ pasiekimo.</w:t>
            </w:r>
          </w:p>
          <w:p w14:paraId="712F3C30" w14:textId="155381BF" w:rsidR="00A54043" w:rsidRPr="005B14B5" w:rsidRDefault="00A54043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i/>
                <w:iCs/>
              </w:rPr>
              <w:t xml:space="preserve">Taip pat </w:t>
            </w:r>
            <w:r w:rsidR="004B2BE6" w:rsidRPr="005B14B5">
              <w:rPr>
                <w:i/>
                <w:iCs/>
              </w:rPr>
              <w:t xml:space="preserve">nustatytas kriterijus </w:t>
            </w:r>
            <w:r w:rsidRPr="005B14B5">
              <w:rPr>
                <w:bCs/>
                <w:i/>
                <w:iCs/>
                <w:szCs w:val="24"/>
              </w:rPr>
              <w:t xml:space="preserve">prisidės prie </w:t>
            </w:r>
            <w:hyperlink r:id="rId21" w:history="1">
              <w:r w:rsidRPr="005B14B5">
                <w:rPr>
                  <w:rStyle w:val="Hyperlink"/>
                  <w:i/>
                  <w:iCs/>
                  <w:szCs w:val="24"/>
                </w:rPr>
                <w:t>Nacionalinio pažangos plano</w:t>
              </w:r>
            </w:hyperlink>
            <w:r w:rsidRPr="005B14B5">
              <w:rPr>
                <w:bCs/>
                <w:i/>
                <w:iCs/>
                <w:szCs w:val="24"/>
              </w:rPr>
              <w:t xml:space="preserve"> </w:t>
            </w:r>
            <w:r w:rsidR="004B2BE6" w:rsidRPr="005B14B5">
              <w:rPr>
                <w:bCs/>
                <w:i/>
                <w:iCs/>
                <w:szCs w:val="24"/>
              </w:rPr>
              <w:t>1 tikslo „Pereiti prie mokslo žiniomis, pažangiosiomis technologijomis, inovacijomis grįsto darnaus ekonomikos vystymosi ir didinti šalies tarptautinį konkurencingumą“</w:t>
            </w:r>
            <w:r w:rsidRPr="005B14B5">
              <w:rPr>
                <w:bCs/>
                <w:i/>
                <w:iCs/>
                <w:szCs w:val="24"/>
              </w:rPr>
              <w:t xml:space="preserve"> rodiklio „</w:t>
            </w:r>
            <w:r w:rsidR="004B2BE6" w:rsidRPr="005B14B5">
              <w:rPr>
                <w:bCs/>
                <w:i/>
                <w:iCs/>
                <w:szCs w:val="24"/>
              </w:rPr>
              <w:t>Inovatyviųjų viešųjų pirkimų vertės dalis nuo visų viešųjų pirkimų vertės</w:t>
            </w:r>
            <w:r w:rsidRPr="005B14B5">
              <w:rPr>
                <w:bCs/>
                <w:i/>
                <w:iCs/>
                <w:szCs w:val="24"/>
              </w:rPr>
              <w:t>“ pasiekimo.</w:t>
            </w:r>
          </w:p>
        </w:tc>
      </w:tr>
      <w:tr w:rsidR="007D6ED7" w:rsidRPr="005B14B5" w14:paraId="6F535B7D" w14:textId="77777777" w:rsidTr="007D6ED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A817" w14:textId="77777777" w:rsidR="007D6ED7" w:rsidRPr="005B14B5" w:rsidRDefault="007D6ED7" w:rsidP="00AA5E6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br w:type="page"/>
            </w:r>
            <w:r w:rsidRPr="005B14B5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5B14B5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084C67" w14:textId="77777777" w:rsidR="007D6ED7" w:rsidRPr="005B14B5" w:rsidRDefault="007D6ED7" w:rsidP="00AA5E6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■ 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E14A" w14:textId="77777777" w:rsidR="007D6ED7" w:rsidRPr="005B14B5" w:rsidRDefault="007D6ED7" w:rsidP="00AA5E67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■Nustatymas</w:t>
            </w:r>
          </w:p>
          <w:p w14:paraId="663A8D80" w14:textId="77777777" w:rsidR="007D6ED7" w:rsidRPr="005B14B5" w:rsidRDefault="007D6ED7" w:rsidP="00AA5E67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sym w:font="Times New Roman" w:char="F07F"/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Keitimas</w:t>
            </w:r>
          </w:p>
        </w:tc>
      </w:tr>
      <w:tr w:rsidR="007D6ED7" w:rsidRPr="005B14B5" w14:paraId="3A0E8D51" w14:textId="77777777" w:rsidTr="007D6ED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C225" w14:textId="77777777" w:rsidR="007D6ED7" w:rsidRPr="005B14B5" w:rsidRDefault="007D6ED7" w:rsidP="00AA5E6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E97A" w14:textId="7C6266E5" w:rsidR="007D6ED7" w:rsidRPr="005B14B5" w:rsidRDefault="001738C2" w:rsidP="00AA5E67">
            <w:pPr>
              <w:jc w:val="both"/>
              <w:rPr>
                <w:b/>
                <w:i/>
                <w:iCs/>
                <w:szCs w:val="24"/>
                <w:lang w:eastAsia="lt-LT"/>
              </w:rPr>
            </w:pPr>
            <w:r w:rsidRPr="005B14B5">
              <w:rPr>
                <w:b/>
                <w:i/>
                <w:iCs/>
                <w:szCs w:val="24"/>
                <w:lang w:eastAsia="lt-LT"/>
              </w:rPr>
              <w:t>7</w:t>
            </w:r>
            <w:r w:rsidR="007D6ED7" w:rsidRPr="005B14B5">
              <w:rPr>
                <w:b/>
                <w:i/>
                <w:iCs/>
                <w:szCs w:val="24"/>
                <w:lang w:eastAsia="lt-LT"/>
              </w:rPr>
              <w:t>. Partnerio (-</w:t>
            </w:r>
            <w:proofErr w:type="spellStart"/>
            <w:r w:rsidR="007D6ED7" w:rsidRPr="005B14B5">
              <w:rPr>
                <w:b/>
                <w:i/>
                <w:iCs/>
                <w:szCs w:val="24"/>
                <w:lang w:eastAsia="lt-LT"/>
              </w:rPr>
              <w:t>ių</w:t>
            </w:r>
            <w:proofErr w:type="spellEnd"/>
            <w:r w:rsidR="007D6ED7" w:rsidRPr="005B14B5">
              <w:rPr>
                <w:b/>
                <w:i/>
                <w:iCs/>
                <w:szCs w:val="24"/>
                <w:lang w:eastAsia="lt-LT"/>
              </w:rPr>
              <w:t>) dalyvavimas projekte.</w:t>
            </w:r>
          </w:p>
        </w:tc>
      </w:tr>
      <w:tr w:rsidR="007D6ED7" w:rsidRPr="005B14B5" w14:paraId="0B8DE9BE" w14:textId="77777777" w:rsidTr="007D6ED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2568" w14:textId="77777777" w:rsidR="007D6ED7" w:rsidRPr="005B14B5" w:rsidRDefault="007D6ED7" w:rsidP="00AA5E6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F47A" w14:textId="77777777" w:rsidR="007D6ED7" w:rsidRPr="005B14B5" w:rsidRDefault="007D6ED7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Vertinama, ar projekte numatomas partnerio (-</w:t>
            </w:r>
            <w:proofErr w:type="spellStart"/>
            <w:r w:rsidRPr="005B14B5">
              <w:rPr>
                <w:bCs/>
                <w:i/>
                <w:iCs/>
                <w:szCs w:val="24"/>
                <w:lang w:eastAsia="lt-LT"/>
              </w:rPr>
              <w:t>ių</w:t>
            </w:r>
            <w:proofErr w:type="spellEnd"/>
            <w:r w:rsidRPr="005B14B5">
              <w:rPr>
                <w:bCs/>
                <w:i/>
                <w:iCs/>
                <w:szCs w:val="24"/>
                <w:lang w:eastAsia="lt-LT"/>
              </w:rPr>
              <w:t>) dalyvavimas.</w:t>
            </w:r>
          </w:p>
          <w:p w14:paraId="282AC32A" w14:textId="77777777" w:rsidR="007D6ED7" w:rsidRPr="005B14B5" w:rsidRDefault="007D6ED7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Atitiktis kriterijui vertinama pagal kartu su PĮP pateiktą jungtinės veiklos (partnerystės) sutartį.</w:t>
            </w:r>
          </w:p>
        </w:tc>
      </w:tr>
      <w:tr w:rsidR="007D6ED7" w:rsidRPr="005B14B5" w14:paraId="3D10AC12" w14:textId="77777777" w:rsidTr="007D6ED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DC70" w14:textId="77777777" w:rsidR="007D6ED7" w:rsidRPr="005B14B5" w:rsidRDefault="007D6ED7" w:rsidP="00AA5E6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5B14B5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9A4A" w14:textId="68E8629D" w:rsidR="007D6ED7" w:rsidRPr="005B14B5" w:rsidRDefault="007D6ED7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Nustatytas kriterijus padės atrinkti tuos projektus, kurių įgyvendinime dalyvaus bent vienas partneris. Partnerio (-</w:t>
            </w:r>
            <w:proofErr w:type="spellStart"/>
            <w:r w:rsidRPr="005B14B5">
              <w:rPr>
                <w:bCs/>
                <w:i/>
                <w:iCs/>
                <w:szCs w:val="24"/>
                <w:lang w:eastAsia="lt-LT"/>
              </w:rPr>
              <w:t>ių</w:t>
            </w:r>
            <w:proofErr w:type="spellEnd"/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) dalyvavimas projekte užtikrins, kad numatomu vykdyti </w:t>
            </w:r>
            <w:proofErr w:type="spellStart"/>
            <w:r w:rsidRPr="005B14B5">
              <w:rPr>
                <w:bCs/>
                <w:i/>
                <w:iCs/>
                <w:szCs w:val="24"/>
                <w:lang w:eastAsia="lt-LT"/>
              </w:rPr>
              <w:t>ikiprekybiniu</w:t>
            </w:r>
            <w:proofErr w:type="spellEnd"/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pirkimu bus siekiama išspręsti daugiau nei </w:t>
            </w:r>
            <w:r w:rsidR="001738C2" w:rsidRPr="005B14B5">
              <w:rPr>
                <w:bCs/>
                <w:i/>
                <w:iCs/>
                <w:szCs w:val="24"/>
                <w:lang w:eastAsia="lt-LT"/>
              </w:rPr>
              <w:t>vienai perkančiajai organizacijai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aktualią problemą ir sukurti </w:t>
            </w:r>
            <w:r w:rsidR="001738C2" w:rsidRPr="005B14B5">
              <w:rPr>
                <w:bCs/>
                <w:i/>
                <w:iCs/>
                <w:szCs w:val="24"/>
                <w:lang w:eastAsia="lt-LT"/>
              </w:rPr>
              <w:t xml:space="preserve">ikiprekybinio 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>pirkimo vykdytojo bei partnerio</w:t>
            </w:r>
            <w:r w:rsidR="001738C2" w:rsidRPr="005B14B5">
              <w:rPr>
                <w:bCs/>
                <w:i/>
                <w:iCs/>
                <w:szCs w:val="24"/>
                <w:lang w:eastAsia="lt-LT"/>
              </w:rPr>
              <w:t xml:space="preserve"> (-</w:t>
            </w:r>
            <w:proofErr w:type="spellStart"/>
            <w:r w:rsidR="001738C2" w:rsidRPr="005B14B5">
              <w:rPr>
                <w:bCs/>
                <w:i/>
                <w:iCs/>
                <w:szCs w:val="24"/>
                <w:lang w:eastAsia="lt-LT"/>
              </w:rPr>
              <w:t>ių</w:t>
            </w:r>
            <w:proofErr w:type="spellEnd"/>
            <w:r w:rsidR="001738C2" w:rsidRPr="005B14B5">
              <w:rPr>
                <w:bCs/>
                <w:i/>
                <w:iCs/>
                <w:szCs w:val="24"/>
                <w:lang w:eastAsia="lt-LT"/>
              </w:rPr>
              <w:t>)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t xml:space="preserve"> poreikius atitinkantį inovatyvųjį produktą. Bus sudarytos sąlygos vykdyti projektus, kurių metu bus kuriami aktualūs inovatyvieji produktai, ir atitinka Investicijų programos 1 prioriteto „Pažangesnė Lietuva“ 1.1 konkretaus uždavinio „Plėtoti ir stiprinti mokslinių tyrimų ir inovacinius pajėgumus ir diegti pažangiąsias technologijas“ tikslus siekiant sumaniąja </w:t>
            </w:r>
            <w:r w:rsidRPr="005B14B5">
              <w:rPr>
                <w:bCs/>
                <w:i/>
                <w:iCs/>
                <w:szCs w:val="24"/>
                <w:lang w:eastAsia="lt-LT"/>
              </w:rPr>
              <w:lastRenderedPageBreak/>
              <w:t>specializacija grįstos ekonomikos transformacijos į aukštos pridėtinės vertės produktų kūrimo vertes.</w:t>
            </w:r>
          </w:p>
          <w:p w14:paraId="3F5F10B4" w14:textId="77777777" w:rsidR="007D6ED7" w:rsidRPr="005B14B5" w:rsidRDefault="007D6ED7" w:rsidP="001738C2">
            <w:pPr>
              <w:spacing w:before="100" w:beforeAutospacing="1" w:after="100" w:afterAutospacing="1"/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5B14B5">
              <w:rPr>
                <w:bCs/>
                <w:i/>
                <w:iCs/>
                <w:szCs w:val="24"/>
                <w:lang w:eastAsia="lt-LT"/>
              </w:rPr>
              <w:t>Projektų atrankos kriterijus tiesiogiai prisideda prie inovatyvumo (kūrybingumo) horizontaliojo principo, kadangi veikla siekiama geriau naudoti viešojo sektoriaus potencialą inovacijoms, šalyje skatinti: kuriamos paskatos verslui kurti naujus produktus viešojo sektoriaus poreikiams tenkinti SR ir VVL.</w:t>
            </w:r>
          </w:p>
        </w:tc>
      </w:tr>
    </w:tbl>
    <w:p w14:paraId="68030FA7" w14:textId="77777777" w:rsidR="00FA5662" w:rsidRPr="005B14B5" w:rsidRDefault="00FA5662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7800384D" w14:textId="77777777" w:rsidR="001738C2" w:rsidRPr="005B14B5" w:rsidRDefault="001738C2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1"/>
        <w:gridCol w:w="1488"/>
        <w:gridCol w:w="3394"/>
        <w:gridCol w:w="1606"/>
        <w:gridCol w:w="2973"/>
      </w:tblGrid>
      <w:tr w:rsidR="001738C2" w:rsidRPr="005B14B5" w14:paraId="6B404660" w14:textId="77777777" w:rsidTr="00B921BA">
        <w:tc>
          <w:tcPr>
            <w:tcW w:w="5281" w:type="dxa"/>
          </w:tcPr>
          <w:p w14:paraId="46A3D6FB" w14:textId="77777777" w:rsidR="001738C2" w:rsidRPr="005B14B5" w:rsidRDefault="001738C2" w:rsidP="001738C2">
            <w:pPr>
              <w:widowControl w:val="0"/>
              <w:spacing w:line="240" w:lineRule="exact"/>
              <w:textAlignment w:val="baseline"/>
              <w:rPr>
                <w:szCs w:val="24"/>
              </w:rPr>
            </w:pPr>
            <w:r w:rsidRPr="005B14B5">
              <w:rPr>
                <w:szCs w:val="24"/>
              </w:rPr>
              <w:t>Ekonomikos ir inovacijų ministerijos kanclerė</w:t>
            </w:r>
          </w:p>
        </w:tc>
        <w:tc>
          <w:tcPr>
            <w:tcW w:w="1488" w:type="dxa"/>
            <w:tcBorders>
              <w:bottom w:val="nil"/>
            </w:tcBorders>
          </w:tcPr>
          <w:p w14:paraId="167B2A03" w14:textId="77777777" w:rsidR="001738C2" w:rsidRPr="005B14B5" w:rsidRDefault="001738C2" w:rsidP="001738C2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394" w:type="dxa"/>
          </w:tcPr>
          <w:p w14:paraId="0E077754" w14:textId="77777777" w:rsidR="001738C2" w:rsidRPr="005B14B5" w:rsidRDefault="001738C2" w:rsidP="001738C2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06" w:type="dxa"/>
            <w:tcBorders>
              <w:bottom w:val="nil"/>
            </w:tcBorders>
          </w:tcPr>
          <w:p w14:paraId="4F799ADF" w14:textId="77777777" w:rsidR="001738C2" w:rsidRPr="005B14B5" w:rsidRDefault="001738C2" w:rsidP="001738C2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2973" w:type="dxa"/>
          </w:tcPr>
          <w:p w14:paraId="07373030" w14:textId="77777777" w:rsidR="001738C2" w:rsidRPr="005B14B5" w:rsidRDefault="001738C2" w:rsidP="001738C2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 w:rsidRPr="005B14B5">
              <w:rPr>
                <w:szCs w:val="24"/>
              </w:rPr>
              <w:t xml:space="preserve">          Iveta Paludnevičiūtė</w:t>
            </w:r>
          </w:p>
        </w:tc>
      </w:tr>
    </w:tbl>
    <w:p w14:paraId="694D1F0E" w14:textId="7E9AA760" w:rsidR="00FA5662" w:rsidRPr="005B14B5" w:rsidRDefault="00FA5662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FA5662" w:rsidRPr="005B14B5" w:rsidRDefault="00451A9F">
      <w:pPr>
        <w:widowControl w:val="0"/>
        <w:spacing w:line="240" w:lineRule="exact"/>
        <w:jc w:val="center"/>
        <w:textAlignment w:val="baseline"/>
        <w:rPr>
          <w:szCs w:val="24"/>
        </w:rPr>
      </w:pPr>
      <w:r w:rsidRPr="005B14B5">
        <w:rPr>
          <w:szCs w:val="24"/>
        </w:rPr>
        <w:t>_____________________________________________</w:t>
      </w:r>
    </w:p>
    <w:sectPr w:rsidR="00FA5662" w:rsidRPr="005B14B5" w:rsidSect="001738C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 w:code="9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4E8E9" w14:textId="77777777" w:rsidR="00B04D19" w:rsidRDefault="00B04D19" w:rsidP="00994053">
      <w:r>
        <w:separator/>
      </w:r>
    </w:p>
  </w:endnote>
  <w:endnote w:type="continuationSeparator" w:id="0">
    <w:p w14:paraId="4BB5D117" w14:textId="77777777" w:rsidR="00B04D19" w:rsidRDefault="00B04D19" w:rsidP="00994053">
      <w:r>
        <w:continuationSeparator/>
      </w:r>
    </w:p>
  </w:endnote>
  <w:endnote w:type="continuationNotice" w:id="1">
    <w:p w14:paraId="77D49625" w14:textId="77777777" w:rsidR="00B04D19" w:rsidRDefault="00B04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1D5A9" w14:textId="77777777" w:rsidR="001738C2" w:rsidRDefault="00173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CA291" w14:textId="77777777" w:rsidR="001738C2" w:rsidRDefault="001738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3C48D" w14:textId="77777777" w:rsidR="001738C2" w:rsidRDefault="00173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35F75" w14:textId="77777777" w:rsidR="00B04D19" w:rsidRDefault="00B04D19" w:rsidP="00994053">
      <w:r>
        <w:separator/>
      </w:r>
    </w:p>
  </w:footnote>
  <w:footnote w:type="continuationSeparator" w:id="0">
    <w:p w14:paraId="1B6E4527" w14:textId="77777777" w:rsidR="00B04D19" w:rsidRDefault="00B04D19" w:rsidP="00994053">
      <w:r>
        <w:continuationSeparator/>
      </w:r>
    </w:p>
  </w:footnote>
  <w:footnote w:type="continuationNotice" w:id="1">
    <w:p w14:paraId="220B94F5" w14:textId="77777777" w:rsidR="00B04D19" w:rsidRDefault="00B04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A47DD" w14:textId="77777777" w:rsidR="001738C2" w:rsidRDefault="00173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6233567"/>
      <w:docPartObj>
        <w:docPartGallery w:val="Page Numbers (Top of Page)"/>
        <w:docPartUnique/>
      </w:docPartObj>
    </w:sdtPr>
    <w:sdtEndPr/>
    <w:sdtContent>
      <w:p w14:paraId="1168131E" w14:textId="3B300030" w:rsidR="001738C2" w:rsidRDefault="001738C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8813BC" w14:textId="77777777" w:rsidR="001738C2" w:rsidRDefault="001738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66525" w14:textId="77777777" w:rsidR="001738C2" w:rsidRDefault="00173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0CA5"/>
    <w:multiLevelType w:val="hybridMultilevel"/>
    <w:tmpl w:val="B0D09850"/>
    <w:lvl w:ilvl="0" w:tplc="A086DE06">
      <w:start w:val="1"/>
      <w:numFmt w:val="decimal"/>
      <w:lvlText w:val="%1."/>
      <w:lvlJc w:val="left"/>
      <w:pPr>
        <w:ind w:left="1020" w:hanging="360"/>
      </w:pPr>
    </w:lvl>
    <w:lvl w:ilvl="1" w:tplc="466AA21C">
      <w:start w:val="1"/>
      <w:numFmt w:val="decimal"/>
      <w:lvlText w:val="%2."/>
      <w:lvlJc w:val="left"/>
      <w:pPr>
        <w:ind w:left="1020" w:hanging="360"/>
      </w:pPr>
    </w:lvl>
    <w:lvl w:ilvl="2" w:tplc="A1108A38">
      <w:start w:val="1"/>
      <w:numFmt w:val="decimal"/>
      <w:lvlText w:val="%3."/>
      <w:lvlJc w:val="left"/>
      <w:pPr>
        <w:ind w:left="1020" w:hanging="360"/>
      </w:pPr>
    </w:lvl>
    <w:lvl w:ilvl="3" w:tplc="F1340620">
      <w:start w:val="1"/>
      <w:numFmt w:val="decimal"/>
      <w:lvlText w:val="%4."/>
      <w:lvlJc w:val="left"/>
      <w:pPr>
        <w:ind w:left="1020" w:hanging="360"/>
      </w:pPr>
    </w:lvl>
    <w:lvl w:ilvl="4" w:tplc="3A647D72">
      <w:start w:val="1"/>
      <w:numFmt w:val="decimal"/>
      <w:lvlText w:val="%5."/>
      <w:lvlJc w:val="left"/>
      <w:pPr>
        <w:ind w:left="1020" w:hanging="360"/>
      </w:pPr>
    </w:lvl>
    <w:lvl w:ilvl="5" w:tplc="F57636BE">
      <w:start w:val="1"/>
      <w:numFmt w:val="decimal"/>
      <w:lvlText w:val="%6."/>
      <w:lvlJc w:val="left"/>
      <w:pPr>
        <w:ind w:left="1020" w:hanging="360"/>
      </w:pPr>
    </w:lvl>
    <w:lvl w:ilvl="6" w:tplc="7150786E">
      <w:start w:val="1"/>
      <w:numFmt w:val="decimal"/>
      <w:lvlText w:val="%7."/>
      <w:lvlJc w:val="left"/>
      <w:pPr>
        <w:ind w:left="1020" w:hanging="360"/>
      </w:pPr>
    </w:lvl>
    <w:lvl w:ilvl="7" w:tplc="9998F860">
      <w:start w:val="1"/>
      <w:numFmt w:val="decimal"/>
      <w:lvlText w:val="%8."/>
      <w:lvlJc w:val="left"/>
      <w:pPr>
        <w:ind w:left="1020" w:hanging="360"/>
      </w:pPr>
    </w:lvl>
    <w:lvl w:ilvl="8" w:tplc="4566B46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9DB472E"/>
    <w:multiLevelType w:val="hybridMultilevel"/>
    <w:tmpl w:val="C89ED98A"/>
    <w:lvl w:ilvl="0" w:tplc="03E0EF16">
      <w:start w:val="1"/>
      <w:numFmt w:val="decimal"/>
      <w:lvlText w:val="%1."/>
      <w:lvlJc w:val="left"/>
      <w:pPr>
        <w:ind w:left="720" w:hanging="360"/>
      </w:pPr>
    </w:lvl>
    <w:lvl w:ilvl="1" w:tplc="9E583F10">
      <w:start w:val="1"/>
      <w:numFmt w:val="decimal"/>
      <w:lvlText w:val="%2."/>
      <w:lvlJc w:val="left"/>
      <w:pPr>
        <w:ind w:left="720" w:hanging="360"/>
      </w:pPr>
    </w:lvl>
    <w:lvl w:ilvl="2" w:tplc="BCFA6F30">
      <w:start w:val="1"/>
      <w:numFmt w:val="decimal"/>
      <w:lvlText w:val="%3."/>
      <w:lvlJc w:val="left"/>
      <w:pPr>
        <w:ind w:left="720" w:hanging="360"/>
      </w:pPr>
    </w:lvl>
    <w:lvl w:ilvl="3" w:tplc="E278C63E">
      <w:start w:val="1"/>
      <w:numFmt w:val="decimal"/>
      <w:lvlText w:val="%4."/>
      <w:lvlJc w:val="left"/>
      <w:pPr>
        <w:ind w:left="720" w:hanging="360"/>
      </w:pPr>
    </w:lvl>
    <w:lvl w:ilvl="4" w:tplc="B520013A">
      <w:start w:val="1"/>
      <w:numFmt w:val="decimal"/>
      <w:lvlText w:val="%5."/>
      <w:lvlJc w:val="left"/>
      <w:pPr>
        <w:ind w:left="720" w:hanging="360"/>
      </w:pPr>
    </w:lvl>
    <w:lvl w:ilvl="5" w:tplc="49F0D0A2">
      <w:start w:val="1"/>
      <w:numFmt w:val="decimal"/>
      <w:lvlText w:val="%6."/>
      <w:lvlJc w:val="left"/>
      <w:pPr>
        <w:ind w:left="720" w:hanging="360"/>
      </w:pPr>
    </w:lvl>
    <w:lvl w:ilvl="6" w:tplc="64D811FC">
      <w:start w:val="1"/>
      <w:numFmt w:val="decimal"/>
      <w:lvlText w:val="%7."/>
      <w:lvlJc w:val="left"/>
      <w:pPr>
        <w:ind w:left="720" w:hanging="360"/>
      </w:pPr>
    </w:lvl>
    <w:lvl w:ilvl="7" w:tplc="3D66CC94">
      <w:start w:val="1"/>
      <w:numFmt w:val="decimal"/>
      <w:lvlText w:val="%8."/>
      <w:lvlJc w:val="left"/>
      <w:pPr>
        <w:ind w:left="720" w:hanging="360"/>
      </w:pPr>
    </w:lvl>
    <w:lvl w:ilvl="8" w:tplc="01E88ECC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B1C60EB"/>
    <w:multiLevelType w:val="multilevel"/>
    <w:tmpl w:val="B680D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A34D43"/>
    <w:multiLevelType w:val="hybridMultilevel"/>
    <w:tmpl w:val="C854E748"/>
    <w:lvl w:ilvl="0" w:tplc="0A941F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171F8"/>
    <w:multiLevelType w:val="multilevel"/>
    <w:tmpl w:val="E2E4EA6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5" w15:restartNumberingAfterBreak="0">
    <w:nsid w:val="45633254"/>
    <w:multiLevelType w:val="hybridMultilevel"/>
    <w:tmpl w:val="E5D83E8C"/>
    <w:lvl w:ilvl="0" w:tplc="D6D2F162">
      <w:start w:val="1"/>
      <w:numFmt w:val="decimal"/>
      <w:lvlText w:val="%1."/>
      <w:lvlJc w:val="left"/>
      <w:pPr>
        <w:ind w:left="720" w:hanging="360"/>
      </w:pPr>
    </w:lvl>
    <w:lvl w:ilvl="1" w:tplc="C05AB5CC">
      <w:start w:val="1"/>
      <w:numFmt w:val="decimal"/>
      <w:lvlText w:val="%2."/>
      <w:lvlJc w:val="left"/>
      <w:pPr>
        <w:ind w:left="720" w:hanging="360"/>
      </w:pPr>
    </w:lvl>
    <w:lvl w:ilvl="2" w:tplc="D1342FC6">
      <w:start w:val="1"/>
      <w:numFmt w:val="decimal"/>
      <w:lvlText w:val="%3."/>
      <w:lvlJc w:val="left"/>
      <w:pPr>
        <w:ind w:left="720" w:hanging="360"/>
      </w:pPr>
    </w:lvl>
    <w:lvl w:ilvl="3" w:tplc="2B98AFDE">
      <w:start w:val="1"/>
      <w:numFmt w:val="decimal"/>
      <w:lvlText w:val="%4."/>
      <w:lvlJc w:val="left"/>
      <w:pPr>
        <w:ind w:left="720" w:hanging="360"/>
      </w:pPr>
    </w:lvl>
    <w:lvl w:ilvl="4" w:tplc="69901DFE">
      <w:start w:val="1"/>
      <w:numFmt w:val="decimal"/>
      <w:lvlText w:val="%5."/>
      <w:lvlJc w:val="left"/>
      <w:pPr>
        <w:ind w:left="720" w:hanging="360"/>
      </w:pPr>
    </w:lvl>
    <w:lvl w:ilvl="5" w:tplc="0C38FEE2">
      <w:start w:val="1"/>
      <w:numFmt w:val="decimal"/>
      <w:lvlText w:val="%6."/>
      <w:lvlJc w:val="left"/>
      <w:pPr>
        <w:ind w:left="720" w:hanging="360"/>
      </w:pPr>
    </w:lvl>
    <w:lvl w:ilvl="6" w:tplc="B9D24DCA">
      <w:start w:val="1"/>
      <w:numFmt w:val="decimal"/>
      <w:lvlText w:val="%7."/>
      <w:lvlJc w:val="left"/>
      <w:pPr>
        <w:ind w:left="720" w:hanging="360"/>
      </w:pPr>
    </w:lvl>
    <w:lvl w:ilvl="7" w:tplc="9244C628">
      <w:start w:val="1"/>
      <w:numFmt w:val="decimal"/>
      <w:lvlText w:val="%8."/>
      <w:lvlJc w:val="left"/>
      <w:pPr>
        <w:ind w:left="720" w:hanging="360"/>
      </w:pPr>
    </w:lvl>
    <w:lvl w:ilvl="8" w:tplc="882C88EC">
      <w:start w:val="1"/>
      <w:numFmt w:val="decimal"/>
      <w:lvlText w:val="%9."/>
      <w:lvlJc w:val="left"/>
      <w:pPr>
        <w:ind w:left="720" w:hanging="360"/>
      </w:pPr>
    </w:lvl>
  </w:abstractNum>
  <w:num w:numId="1" w16cid:durableId="1938253125">
    <w:abstractNumId w:val="4"/>
  </w:num>
  <w:num w:numId="2" w16cid:durableId="836503982">
    <w:abstractNumId w:val="0"/>
  </w:num>
  <w:num w:numId="3" w16cid:durableId="1385058168">
    <w:abstractNumId w:val="1"/>
  </w:num>
  <w:num w:numId="4" w16cid:durableId="520626201">
    <w:abstractNumId w:val="5"/>
  </w:num>
  <w:num w:numId="5" w16cid:durableId="635180049">
    <w:abstractNumId w:val="3"/>
  </w:num>
  <w:num w:numId="6" w16cid:durableId="1393504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CA"/>
    <w:rsid w:val="0000090B"/>
    <w:rsid w:val="00005EB0"/>
    <w:rsid w:val="00012280"/>
    <w:rsid w:val="00014298"/>
    <w:rsid w:val="00034C6F"/>
    <w:rsid w:val="00043748"/>
    <w:rsid w:val="000751A8"/>
    <w:rsid w:val="00086952"/>
    <w:rsid w:val="00090C48"/>
    <w:rsid w:val="00091E61"/>
    <w:rsid w:val="000971AD"/>
    <w:rsid w:val="000A2300"/>
    <w:rsid w:val="000D5342"/>
    <w:rsid w:val="000F30D7"/>
    <w:rsid w:val="000F3E36"/>
    <w:rsid w:val="00103784"/>
    <w:rsid w:val="001116CC"/>
    <w:rsid w:val="00127889"/>
    <w:rsid w:val="0015131B"/>
    <w:rsid w:val="001516B3"/>
    <w:rsid w:val="001738C2"/>
    <w:rsid w:val="00177E4D"/>
    <w:rsid w:val="001A37FB"/>
    <w:rsid w:val="001B565D"/>
    <w:rsid w:val="001D039A"/>
    <w:rsid w:val="001D24CA"/>
    <w:rsid w:val="001D77E3"/>
    <w:rsid w:val="001F7901"/>
    <w:rsid w:val="00225878"/>
    <w:rsid w:val="0023210F"/>
    <w:rsid w:val="00266554"/>
    <w:rsid w:val="002775F2"/>
    <w:rsid w:val="00281F0D"/>
    <w:rsid w:val="00282D19"/>
    <w:rsid w:val="002A1A5B"/>
    <w:rsid w:val="002A2F2D"/>
    <w:rsid w:val="002B2894"/>
    <w:rsid w:val="002C6E46"/>
    <w:rsid w:val="002D7CBB"/>
    <w:rsid w:val="002E3473"/>
    <w:rsid w:val="00327D10"/>
    <w:rsid w:val="003459A0"/>
    <w:rsid w:val="00345F77"/>
    <w:rsid w:val="003738DF"/>
    <w:rsid w:val="00390E3D"/>
    <w:rsid w:val="003929AB"/>
    <w:rsid w:val="003A4FF0"/>
    <w:rsid w:val="003F3D24"/>
    <w:rsid w:val="003F5412"/>
    <w:rsid w:val="004140AA"/>
    <w:rsid w:val="004170F0"/>
    <w:rsid w:val="00417D9C"/>
    <w:rsid w:val="00445E77"/>
    <w:rsid w:val="00451A9F"/>
    <w:rsid w:val="0049305E"/>
    <w:rsid w:val="004B2BE6"/>
    <w:rsid w:val="004B7D27"/>
    <w:rsid w:val="004C3EC5"/>
    <w:rsid w:val="004D0840"/>
    <w:rsid w:val="00512737"/>
    <w:rsid w:val="0051320D"/>
    <w:rsid w:val="005370E0"/>
    <w:rsid w:val="00541A3A"/>
    <w:rsid w:val="00543712"/>
    <w:rsid w:val="00564D1A"/>
    <w:rsid w:val="00573D34"/>
    <w:rsid w:val="00574C61"/>
    <w:rsid w:val="005A49F7"/>
    <w:rsid w:val="005A7F8A"/>
    <w:rsid w:val="005B14B5"/>
    <w:rsid w:val="005B307F"/>
    <w:rsid w:val="005C0D64"/>
    <w:rsid w:val="005F1963"/>
    <w:rsid w:val="005F2B0F"/>
    <w:rsid w:val="005F5640"/>
    <w:rsid w:val="006042FC"/>
    <w:rsid w:val="00605E66"/>
    <w:rsid w:val="00623FDD"/>
    <w:rsid w:val="00642D7D"/>
    <w:rsid w:val="006456BF"/>
    <w:rsid w:val="006508F7"/>
    <w:rsid w:val="006630B8"/>
    <w:rsid w:val="0066557D"/>
    <w:rsid w:val="006706A1"/>
    <w:rsid w:val="00681272"/>
    <w:rsid w:val="006851D6"/>
    <w:rsid w:val="006B105F"/>
    <w:rsid w:val="006C0614"/>
    <w:rsid w:val="006C3DB1"/>
    <w:rsid w:val="006E130B"/>
    <w:rsid w:val="0073691F"/>
    <w:rsid w:val="0075349E"/>
    <w:rsid w:val="00754B98"/>
    <w:rsid w:val="00765D16"/>
    <w:rsid w:val="007846BE"/>
    <w:rsid w:val="007A1E10"/>
    <w:rsid w:val="007A4D7A"/>
    <w:rsid w:val="007A5AB3"/>
    <w:rsid w:val="007B460E"/>
    <w:rsid w:val="007C03B3"/>
    <w:rsid w:val="007C2169"/>
    <w:rsid w:val="007C4C9E"/>
    <w:rsid w:val="007D6ED7"/>
    <w:rsid w:val="007F276D"/>
    <w:rsid w:val="0080034B"/>
    <w:rsid w:val="00800D3F"/>
    <w:rsid w:val="00833F0F"/>
    <w:rsid w:val="00851324"/>
    <w:rsid w:val="008A3688"/>
    <w:rsid w:val="008B4F17"/>
    <w:rsid w:val="008C235C"/>
    <w:rsid w:val="008D7B1A"/>
    <w:rsid w:val="009049DE"/>
    <w:rsid w:val="00915D68"/>
    <w:rsid w:val="009455A1"/>
    <w:rsid w:val="00946313"/>
    <w:rsid w:val="0097047A"/>
    <w:rsid w:val="009926A9"/>
    <w:rsid w:val="00994053"/>
    <w:rsid w:val="009958C2"/>
    <w:rsid w:val="009F4EDD"/>
    <w:rsid w:val="00A03E67"/>
    <w:rsid w:val="00A10B52"/>
    <w:rsid w:val="00A16B75"/>
    <w:rsid w:val="00A253DD"/>
    <w:rsid w:val="00A36BB9"/>
    <w:rsid w:val="00A54043"/>
    <w:rsid w:val="00A60911"/>
    <w:rsid w:val="00A7471E"/>
    <w:rsid w:val="00A83168"/>
    <w:rsid w:val="00A85A18"/>
    <w:rsid w:val="00A92B60"/>
    <w:rsid w:val="00AA48BF"/>
    <w:rsid w:val="00AC3A5E"/>
    <w:rsid w:val="00AD1F17"/>
    <w:rsid w:val="00AE1B69"/>
    <w:rsid w:val="00AE48DE"/>
    <w:rsid w:val="00B04D19"/>
    <w:rsid w:val="00B10C9C"/>
    <w:rsid w:val="00B2532E"/>
    <w:rsid w:val="00B37B19"/>
    <w:rsid w:val="00B41314"/>
    <w:rsid w:val="00B60CB4"/>
    <w:rsid w:val="00B60DA5"/>
    <w:rsid w:val="00B9032F"/>
    <w:rsid w:val="00B94562"/>
    <w:rsid w:val="00B95D3D"/>
    <w:rsid w:val="00BB2000"/>
    <w:rsid w:val="00BB2739"/>
    <w:rsid w:val="00BB28EB"/>
    <w:rsid w:val="00BC5834"/>
    <w:rsid w:val="00BF27D6"/>
    <w:rsid w:val="00C0044A"/>
    <w:rsid w:val="00C2288E"/>
    <w:rsid w:val="00C34E41"/>
    <w:rsid w:val="00C40F85"/>
    <w:rsid w:val="00C42720"/>
    <w:rsid w:val="00C80218"/>
    <w:rsid w:val="00C8794F"/>
    <w:rsid w:val="00CE38CE"/>
    <w:rsid w:val="00CE68C6"/>
    <w:rsid w:val="00D13682"/>
    <w:rsid w:val="00D14D07"/>
    <w:rsid w:val="00D4070B"/>
    <w:rsid w:val="00D52779"/>
    <w:rsid w:val="00D77ED9"/>
    <w:rsid w:val="00D8204B"/>
    <w:rsid w:val="00D91AB7"/>
    <w:rsid w:val="00D94048"/>
    <w:rsid w:val="00DA341C"/>
    <w:rsid w:val="00DE730B"/>
    <w:rsid w:val="00E17ECA"/>
    <w:rsid w:val="00E33DC2"/>
    <w:rsid w:val="00E34096"/>
    <w:rsid w:val="00EA0FB6"/>
    <w:rsid w:val="00EC0EAB"/>
    <w:rsid w:val="00EC2EF8"/>
    <w:rsid w:val="00EC475A"/>
    <w:rsid w:val="00EC5D9E"/>
    <w:rsid w:val="00EE1D21"/>
    <w:rsid w:val="00EE3CCC"/>
    <w:rsid w:val="00EE56AB"/>
    <w:rsid w:val="00EF2BAC"/>
    <w:rsid w:val="00F37328"/>
    <w:rsid w:val="00F44AAC"/>
    <w:rsid w:val="00F615AC"/>
    <w:rsid w:val="00F64F7B"/>
    <w:rsid w:val="00F65928"/>
    <w:rsid w:val="00F80714"/>
    <w:rsid w:val="00F9492A"/>
    <w:rsid w:val="00FA5662"/>
    <w:rsid w:val="00FB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CBCACDEE-3B71-4A39-9B7F-952BCACB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AE1B6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E1B6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E1B6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1B69"/>
    <w:rPr>
      <w:b/>
      <w:bCs/>
      <w:sz w:val="20"/>
    </w:rPr>
  </w:style>
  <w:style w:type="character" w:styleId="Hyperlink">
    <w:name w:val="Hyperlink"/>
    <w:uiPriority w:val="99"/>
    <w:unhideWhenUsed/>
    <w:rsid w:val="004D08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AB3"/>
    <w:rPr>
      <w:color w:val="605E5C"/>
      <w:shd w:val="clear" w:color="auto" w:fill="E1DFDD"/>
    </w:rPr>
  </w:style>
  <w:style w:type="paragraph" w:styleId="Revision">
    <w:name w:val="Revision"/>
    <w:hidden/>
    <w:semiHidden/>
    <w:rsid w:val="00994053"/>
  </w:style>
  <w:style w:type="paragraph" w:styleId="IntenseQuote">
    <w:name w:val="Intense Quote"/>
    <w:basedOn w:val="Normal"/>
    <w:next w:val="Normal"/>
    <w:link w:val="IntenseQuoteChar"/>
    <w:uiPriority w:val="30"/>
    <w:qFormat/>
    <w:rsid w:val="0099405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="Calibri" w:eastAsia="Calibri" w:hAnsi="Calibri"/>
      <w:i/>
      <w:iCs/>
      <w:color w:val="4F81BD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053"/>
    <w:rPr>
      <w:rFonts w:ascii="Calibri" w:eastAsia="Calibri" w:hAnsi="Calibri"/>
      <w:i/>
      <w:iCs/>
      <w:color w:val="4F81BD" w:themeColor="accent1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053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053"/>
    <w:rPr>
      <w:rFonts w:asciiTheme="minorHAnsi" w:eastAsiaTheme="minorHAnsi" w:hAnsiTheme="minorHAnsi" w:cstheme="min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4053"/>
    <w:rPr>
      <w:vertAlign w:val="superscript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Normal"/>
    <w:link w:val="ListParagraphChar"/>
    <w:uiPriority w:val="34"/>
    <w:qFormat/>
    <w:rsid w:val="009940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pf0">
    <w:name w:val="pf0"/>
    <w:basedOn w:val="Normal"/>
    <w:rsid w:val="00D5277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DefaultParagraphFont"/>
    <w:rsid w:val="00D52779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5277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F27D6"/>
    <w:pPr>
      <w:spacing w:before="100" w:beforeAutospacing="1" w:after="100" w:afterAutospacing="1"/>
    </w:pPr>
    <w:rPr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140A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0AA"/>
  </w:style>
  <w:style w:type="paragraph" w:styleId="Footer">
    <w:name w:val="footer"/>
    <w:basedOn w:val="Normal"/>
    <w:link w:val="FooterChar"/>
    <w:unhideWhenUsed/>
    <w:rsid w:val="004140A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140AA"/>
  </w:style>
  <w:style w:type="character" w:styleId="FollowedHyperlink">
    <w:name w:val="FollowedHyperlink"/>
    <w:basedOn w:val="DefaultParagraphFont"/>
    <w:semiHidden/>
    <w:unhideWhenUsed/>
    <w:rsid w:val="0066557D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2 Char"/>
    <w:link w:val="ListParagraph"/>
    <w:uiPriority w:val="34"/>
    <w:qFormat/>
    <w:locked/>
    <w:rsid w:val="00564D1A"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e-tar.lt/portal/lt/legalAct/d492e050f7dd11eaa12ad7c04a383ca0/asr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-tar.lt/portal/lt/legalAct/d492e050f7dd11eaa12ad7c04a383ca0/asr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strategic-technologies.europa.eu/about_en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9f349d40221011edb4cae1b158f98ea5" TargetMode="External"/><Relationship Id="rId20" Type="http://schemas.openxmlformats.org/officeDocument/2006/relationships/hyperlink" Target="https://www.e-tar.lt/portal/lt/legalAct/43f39430ffba11ed9978886e85107ab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-tar.lt/portal/lt/legalAct/9f349d40221011edb4cae1b158f98ea5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yperlink" Target="https://www.e-tar.lt/portal/lt/legalAct/d492e050f7dd11eaa12ad7c04a383ca0/asr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e-tar.lt/portal/lt/legalAct/9f349d40221011edb4cae1b158f98ea5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1d86d7-06e3-4eab-b1af-25fa18d5ee2d">
      <Terms xmlns="http://schemas.microsoft.com/office/infopath/2007/PartnerControls"/>
    </lcf76f155ced4ddcb4097134ff3c332f>
    <TaxCatchAll xmlns="a540233d-4edf-4f5e-8f5f-3db1c6bc0e40" xsi:nil="true"/>
    <SharedWithUsers xmlns="aaa22298-64a2-41f7-bea6-911f0da02bd3">
      <UserInfo>
        <DisplayName>Liucija Sabulytė</DisplayName>
        <AccountId>7703</AccountId>
        <AccountType/>
      </UserInfo>
      <UserInfo>
        <DisplayName>Viktoras Urbis</DisplayName>
        <AccountId>7796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57DEB30D190D4F8F707D0F0913FCB2" ma:contentTypeVersion="5" ma:contentTypeDescription="Kurkite naują dokumentą." ma:contentTypeScope="" ma:versionID="d562ff198be940a53f2acbda7ff2ff70">
  <xsd:schema xmlns:xsd="http://www.w3.org/2001/XMLSchema" xmlns:xs="http://www.w3.org/2001/XMLSchema" xmlns:p="http://schemas.microsoft.com/office/2006/metadata/properties" xmlns:ns2="281d86d7-06e3-4eab-b1af-25fa18d5ee2d" xmlns:ns3="a540233d-4edf-4f5e-8f5f-3db1c6bc0e40" xmlns:ns4="85050f47-2587-4b4e-a4d4-7f11dbfea1d6" xmlns:ns5="aaa22298-64a2-41f7-bea6-911f0da02bd3" targetNamespace="http://schemas.microsoft.com/office/2006/metadata/properties" ma:root="true" ma:fieldsID="8e731da4b6886987b80a0eb2795f7c0c" ns2:_="" ns3:_="" ns4:_="" ns5:_="">
    <xsd:import namespace="281d86d7-06e3-4eab-b1af-25fa18d5ee2d"/>
    <xsd:import namespace="a540233d-4edf-4f5e-8f5f-3db1c6bc0e40"/>
    <xsd:import namespace="85050f47-2587-4b4e-a4d4-7f11dbfea1d6"/>
    <xsd:import namespace="aaa22298-64a2-41f7-bea6-911f0da02bd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d86d7-06e3-4eab-b1af-25fa18d5ee2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Vaizdų žymės" ma:readOnly="false" ma:fieldId="{5cf76f15-5ced-4ddc-b409-7134ff3c332f}" ma:taxonomyMulti="true" ma:sspId="aab9a7e3-349a-43fc-8aab-b6deb5748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0233d-4edf-4f5e-8f5f-3db1c6bc0e4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f7ea91-0299-4cbe-b7d9-e3e346f90216}" ma:internalName="TaxCatchAll" ma:showField="CatchAllData" ma:web="a540233d-4edf-4f5e-8f5f-3db1c6bc0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50f47-2587-4b4e-a4d4-7f11dbfea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22298-64a2-41f7-bea6-911f0da02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E9936F-5F68-444F-B6DA-5324729D0286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aa22298-64a2-41f7-bea6-911f0da02bd3"/>
    <ds:schemaRef ds:uri="a540233d-4edf-4f5e-8f5f-3db1c6bc0e40"/>
    <ds:schemaRef ds:uri="http://www.w3.org/XML/1998/namespace"/>
    <ds:schemaRef ds:uri="http://purl.org/dc/dcmitype/"/>
    <ds:schemaRef ds:uri="http://schemas.microsoft.com/office/infopath/2007/PartnerControls"/>
    <ds:schemaRef ds:uri="85050f47-2587-4b4e-a4d4-7f11dbfea1d6"/>
    <ds:schemaRef ds:uri="http://schemas.microsoft.com/office/2006/documentManagement/types"/>
    <ds:schemaRef ds:uri="281d86d7-06e3-4eab-b1af-25fa18d5ee2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FC91233-9DA0-4B3D-8D23-CEA571A4C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d86d7-06e3-4eab-b1af-25fa18d5ee2d"/>
    <ds:schemaRef ds:uri="a540233d-4edf-4f5e-8f5f-3db1c6bc0e40"/>
    <ds:schemaRef ds:uri="85050f47-2587-4b4e-a4d4-7f11dbfea1d6"/>
    <ds:schemaRef ds:uri="aaa22298-64a2-41f7-bea6-911f0da02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B45E3C-4145-42E5-BCDE-0CDC1A51D17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10887</Words>
  <Characters>6207</Characters>
  <Application>Microsoft Office Word</Application>
  <DocSecurity>0</DocSecurity>
  <Lines>51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17060</CharactersWithSpaces>
  <SharedDoc>false</SharedDoc>
  <HyperlinkBase/>
  <HLinks>
    <vt:vector size="36" baseType="variant">
      <vt:variant>
        <vt:i4>1114129</vt:i4>
      </vt:variant>
      <vt:variant>
        <vt:i4>12</vt:i4>
      </vt:variant>
      <vt:variant>
        <vt:i4>0</vt:i4>
      </vt:variant>
      <vt:variant>
        <vt:i4>5</vt:i4>
      </vt:variant>
      <vt:variant>
        <vt:lpwstr>https://www.e-tar.lt/portal/lt/legalAct/43f39430ffba11ed9978886e85107ab2</vt:lpwstr>
      </vt:variant>
      <vt:variant>
        <vt:lpwstr/>
      </vt:variant>
      <vt:variant>
        <vt:i4>1966157</vt:i4>
      </vt:variant>
      <vt:variant>
        <vt:i4>9</vt:i4>
      </vt:variant>
      <vt:variant>
        <vt:i4>0</vt:i4>
      </vt:variant>
      <vt:variant>
        <vt:i4>5</vt:i4>
      </vt:variant>
      <vt:variant>
        <vt:lpwstr>https://www.e-tar.lt/portal/lt/legalAct/TAR.2512A4C0E864/asr</vt:lpwstr>
      </vt:variant>
      <vt:variant>
        <vt:lpwstr/>
      </vt:variant>
      <vt:variant>
        <vt:i4>1572889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https://www.e-tar.lt/portal/lt/legalAct/9f349d40221011edb4cae1b158f98ea5</vt:lpwstr>
      </vt:variant>
      <vt:variant>
        <vt:lpwstr/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https://www.e-tar.lt/portal/lt/legalAct/9f349d40221011edb4cae1b158f98ea5</vt:lpwstr>
      </vt:variant>
      <vt:variant>
        <vt:lpwstr/>
      </vt:variant>
      <vt:variant>
        <vt:i4>1572889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https://www.e-tar.lt/portal/lt/legalAct/9f349d40221011edb4cae1b158f98ea5</vt:lpwstr>
      </vt:variant>
      <vt:variant>
        <vt:lpwstr/>
      </vt:variant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https://core.ac.uk/download/pdf/267925559.pdf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subject/>
  <dc:creator>FM</dc:creator>
  <cp:keywords/>
  <dc:description/>
  <cp:lastModifiedBy>Aurelija Kazlauskienė</cp:lastModifiedBy>
  <cp:revision>2</cp:revision>
  <cp:lastPrinted>2017-02-14T04:49:00Z</cp:lastPrinted>
  <dcterms:created xsi:type="dcterms:W3CDTF">2024-05-28T10:46:00Z</dcterms:created>
  <dcterms:modified xsi:type="dcterms:W3CDTF">2024-05-28T10:46:00Z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0x010100F657DEB30D190D4F8F707D0F0913FCB2</vt:lpwstr>
  </property>
</Properties>
</file>