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1CB2" w14:textId="77777777" w:rsidR="0036662A" w:rsidRPr="00017566" w:rsidRDefault="0036662A" w:rsidP="0036662A">
      <w:pPr>
        <w:jc w:val="center"/>
        <w:rPr>
          <w:b/>
          <w:bCs/>
        </w:rPr>
      </w:pPr>
      <w:r w:rsidRPr="00017566">
        <w:rPr>
          <w:b/>
          <w:bCs/>
        </w:rPr>
        <w:t xml:space="preserve">LIETUVOS RESPUBLIKOS </w:t>
      </w:r>
      <w:r w:rsidR="00AA30C9" w:rsidRPr="00017566">
        <w:rPr>
          <w:b/>
          <w:bCs/>
        </w:rPr>
        <w:t>EKONOMIKOS IR INOVACIJŲ</w:t>
      </w:r>
      <w:r w:rsidRPr="00017566">
        <w:rPr>
          <w:b/>
          <w:bCs/>
        </w:rPr>
        <w:t xml:space="preserve"> MINISTERIJA</w:t>
      </w:r>
    </w:p>
    <w:p w14:paraId="4BE9C383" w14:textId="77777777" w:rsidR="0036662A" w:rsidRPr="00017566" w:rsidRDefault="0036662A" w:rsidP="0036662A">
      <w:pPr>
        <w:jc w:val="center"/>
        <w:rPr>
          <w:b/>
          <w:bCs/>
        </w:rPr>
      </w:pPr>
    </w:p>
    <w:p w14:paraId="61FE5354" w14:textId="1B4A23B3" w:rsidR="0036662A" w:rsidRPr="00017566" w:rsidRDefault="0036662A" w:rsidP="0036662A">
      <w:pPr>
        <w:jc w:val="center"/>
        <w:rPr>
          <w:b/>
          <w:bCs/>
        </w:rPr>
      </w:pPr>
      <w:r w:rsidRPr="00017566">
        <w:rPr>
          <w:b/>
          <w:bCs/>
        </w:rPr>
        <w:t xml:space="preserve">SOCIALINIŲ IR EKONOMINIŲ PARTNERIŲ PATEIKTŲ PASTABŲ IR PASIŪLYMŲ DĖL </w:t>
      </w:r>
      <w:r w:rsidR="000033A2" w:rsidRPr="000033A2">
        <w:rPr>
          <w:b/>
          <w:bCs/>
        </w:rPr>
        <w:t>2022–2030 METŲ EKONOMIKOS TRANSFORMACIJOS IR KONKURENCINGUMO PLĖTROS PROGRAMOS PAŽANGOS PRIEMONĖS NR. 05-001-01-05-07 „SUKURTI NUOSEKLIĄ INOVACINĖS VEIKLOS SKATINIMO  SISTEMĄ</w:t>
      </w:r>
      <w:r w:rsidR="00837411">
        <w:rPr>
          <w:b/>
          <w:bCs/>
        </w:rPr>
        <w:t xml:space="preserve">“ </w:t>
      </w:r>
      <w:r w:rsidR="00BF5C5F">
        <w:rPr>
          <w:b/>
          <w:bCs/>
          <w:szCs w:val="24"/>
        </w:rPr>
        <w:t>VEIKLOS „</w:t>
      </w:r>
      <w:r w:rsidR="00243516" w:rsidRPr="00243516">
        <w:rPr>
          <w:b/>
          <w:bCs/>
          <w:caps/>
          <w:szCs w:val="24"/>
        </w:rPr>
        <w:t>Skatinti inovacijų pasiūlą“ poveiklė</w:t>
      </w:r>
      <w:r w:rsidR="00243516">
        <w:rPr>
          <w:b/>
          <w:bCs/>
          <w:caps/>
          <w:szCs w:val="24"/>
        </w:rPr>
        <w:t>s</w:t>
      </w:r>
      <w:r w:rsidR="00243516" w:rsidRPr="00243516">
        <w:rPr>
          <w:b/>
          <w:bCs/>
          <w:caps/>
          <w:szCs w:val="24"/>
        </w:rPr>
        <w:t xml:space="preserve"> „Investuoti į naujų APV produktų kūrimo veiklas ir sudaryti sąlygas tyrėjams dalyvauti įmonių MTEP veiklose, skatinti intelektinę nuosavybę, ankstyvąją sukurtų naujų produktų bandomąją gamybą, parengimą rinkai“ (Vidurio ir vakarų Lietuvos regionas)“</w:t>
      </w:r>
      <w:r w:rsidR="00243516">
        <w:rPr>
          <w:b/>
          <w:bCs/>
          <w:caps/>
          <w:szCs w:val="24"/>
        </w:rPr>
        <w:t xml:space="preserve"> </w:t>
      </w:r>
      <w:r w:rsidR="00A323E0" w:rsidRPr="00017566">
        <w:rPr>
          <w:b/>
          <w:bCs/>
        </w:rPr>
        <w:t>PROJEKTŲ ATRANKOS KRITERIJŲ DERINIMAS</w:t>
      </w:r>
    </w:p>
    <w:p w14:paraId="74CF9614" w14:textId="77777777" w:rsidR="0036662A" w:rsidRPr="00017566" w:rsidRDefault="0036662A" w:rsidP="0036662A">
      <w:pPr>
        <w:rPr>
          <w:b/>
          <w:bCs/>
        </w:rPr>
      </w:pPr>
    </w:p>
    <w:tbl>
      <w:tblPr>
        <w:tblStyle w:val="Lentelstinklelis"/>
        <w:tblW w:w="14204" w:type="dxa"/>
        <w:tblInd w:w="108" w:type="dxa"/>
        <w:tblLook w:val="04A0" w:firstRow="1" w:lastRow="0" w:firstColumn="1" w:lastColumn="0" w:noHBand="0" w:noVBand="1"/>
      </w:tblPr>
      <w:tblGrid>
        <w:gridCol w:w="6804"/>
        <w:gridCol w:w="7400"/>
      </w:tblGrid>
      <w:tr w:rsidR="0036662A" w:rsidRPr="00017566" w14:paraId="186CD4CE" w14:textId="77777777" w:rsidTr="00D9586E">
        <w:tc>
          <w:tcPr>
            <w:tcW w:w="6804" w:type="dxa"/>
          </w:tcPr>
          <w:p w14:paraId="5ABD71ED" w14:textId="4A40AA2A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 xml:space="preserve">Paskelbimo </w:t>
            </w:r>
            <w:r w:rsidRPr="00017566">
              <w:t>www.</w:t>
            </w:r>
            <w:r w:rsidR="005B09A6" w:rsidRPr="005B09A6">
              <w:t>esinvesticijos.lt</w:t>
            </w:r>
            <w:r w:rsidR="005B09A6">
              <w:t xml:space="preserve"> </w:t>
            </w:r>
            <w:r w:rsidRPr="00017566">
              <w:rPr>
                <w:b/>
                <w:szCs w:val="24"/>
              </w:rPr>
              <w:t>data</w:t>
            </w:r>
          </w:p>
        </w:tc>
        <w:tc>
          <w:tcPr>
            <w:tcW w:w="7400" w:type="dxa"/>
          </w:tcPr>
          <w:p w14:paraId="30C88A42" w14:textId="02170CF8" w:rsidR="0036662A" w:rsidRPr="00241ACE" w:rsidRDefault="00F65129" w:rsidP="00335D39">
            <w:pPr>
              <w:rPr>
                <w:szCs w:val="24"/>
              </w:rPr>
            </w:pPr>
            <w:r w:rsidRPr="00017566">
              <w:rPr>
                <w:szCs w:val="24"/>
              </w:rPr>
              <w:t>202</w:t>
            </w:r>
            <w:r w:rsidR="00243516">
              <w:rPr>
                <w:szCs w:val="24"/>
              </w:rPr>
              <w:t>4</w:t>
            </w:r>
            <w:r w:rsidRPr="00017566">
              <w:rPr>
                <w:szCs w:val="24"/>
              </w:rPr>
              <w:t>-</w:t>
            </w:r>
            <w:r w:rsidR="00243516">
              <w:rPr>
                <w:szCs w:val="24"/>
              </w:rPr>
              <w:t>04</w:t>
            </w:r>
            <w:r w:rsidRPr="00017566">
              <w:rPr>
                <w:szCs w:val="24"/>
              </w:rPr>
              <w:t>-</w:t>
            </w:r>
            <w:r w:rsidR="00243516">
              <w:rPr>
                <w:szCs w:val="24"/>
              </w:rPr>
              <w:t>2</w:t>
            </w:r>
            <w:r w:rsidR="00946BC4">
              <w:rPr>
                <w:szCs w:val="24"/>
              </w:rPr>
              <w:t>3</w:t>
            </w:r>
          </w:p>
        </w:tc>
      </w:tr>
      <w:tr w:rsidR="0036662A" w:rsidRPr="00017566" w14:paraId="0B887416" w14:textId="77777777" w:rsidTr="00D9586E">
        <w:tc>
          <w:tcPr>
            <w:tcW w:w="6804" w:type="dxa"/>
          </w:tcPr>
          <w:p w14:paraId="240DC70C" w14:textId="0D52FD1E" w:rsidR="0036662A" w:rsidRPr="00946BC4" w:rsidRDefault="0036662A" w:rsidP="0036662A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gauta pastabų ir (ar) pasiūlymų?</w:t>
            </w:r>
          </w:p>
        </w:tc>
        <w:tc>
          <w:tcPr>
            <w:tcW w:w="7400" w:type="dxa"/>
          </w:tcPr>
          <w:p w14:paraId="3F99D4E0" w14:textId="39869E74" w:rsidR="0036662A" w:rsidRPr="00017566" w:rsidRDefault="008D6BB7" w:rsidP="0070221E">
            <w:sdt>
              <w:sdtPr>
                <w:id w:val="243071746"/>
              </w:sdtPr>
              <w:sdtEndPr/>
              <w:sdtContent>
                <w:r w:rsidR="00946BC4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946BC4">
                  <w:instrText xml:space="preserve"> FORMCHECKBOX </w:instrText>
                </w:r>
                <w:r>
                  <w:fldChar w:fldCharType="separate"/>
                </w:r>
                <w:r w:rsidR="00946BC4">
                  <w:fldChar w:fldCharType="end"/>
                </w:r>
              </w:sdtContent>
            </w:sdt>
            <w:r w:rsidR="0036662A" w:rsidRPr="00017566">
              <w:t xml:space="preserve"> </w:t>
            </w:r>
            <w:r w:rsidR="0036662A" w:rsidRPr="00017566">
              <w:rPr>
                <w:szCs w:val="24"/>
              </w:rPr>
              <w:t>Taip</w:t>
            </w:r>
            <w:r w:rsidR="00946BC4">
              <w:t xml:space="preserve"> </w:t>
            </w:r>
            <w:sdt>
              <w:sdtPr>
                <w:id w:val="-117310059"/>
              </w:sdtPr>
              <w:sdtEndPr/>
              <w:sdtContent>
                <w:r w:rsidR="00946BC4" w:rsidRPr="0001756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946BC4" w:rsidRPr="00017566">
                  <w:instrText xml:space="preserve"> FORMCHECKBOX </w:instrText>
                </w:r>
                <w:r>
                  <w:fldChar w:fldCharType="separate"/>
                </w:r>
                <w:r w:rsidR="00946BC4" w:rsidRPr="00017566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Ne</w:t>
            </w:r>
            <w:r w:rsidR="0036662A" w:rsidRPr="00017566">
              <w:rPr>
                <w:szCs w:val="24"/>
              </w:rPr>
              <w:fldChar w:fldCharType="begin"/>
            </w:r>
            <w:r w:rsidR="0036662A" w:rsidRPr="00017566">
              <w:rPr>
                <w:szCs w:val="24"/>
              </w:rPr>
              <w:instrText xml:space="preserve"> FILLIN   \* MERGEFORMAT </w:instrText>
            </w:r>
            <w:r w:rsidR="0036662A" w:rsidRPr="00017566">
              <w:rPr>
                <w:szCs w:val="24"/>
              </w:rPr>
              <w:fldChar w:fldCharType="end"/>
            </w:r>
          </w:p>
        </w:tc>
      </w:tr>
      <w:tr w:rsidR="0036662A" w:rsidRPr="00017566" w14:paraId="48ACEA96" w14:textId="77777777" w:rsidTr="00D9586E">
        <w:tc>
          <w:tcPr>
            <w:tcW w:w="6804" w:type="dxa"/>
          </w:tcPr>
          <w:p w14:paraId="2AF95CF4" w14:textId="7AB54F2F" w:rsidR="0036662A" w:rsidRPr="00946BC4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į visas pastabas ir (ar) pasiūlymus atsižvelgta?</w:t>
            </w:r>
          </w:p>
        </w:tc>
        <w:tc>
          <w:tcPr>
            <w:tcW w:w="7400" w:type="dxa"/>
          </w:tcPr>
          <w:p w14:paraId="3B6FBCDB" w14:textId="4CB433DA" w:rsidR="0036662A" w:rsidRPr="00017566" w:rsidRDefault="008D6BB7" w:rsidP="0070221E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 w:rsidRPr="0001756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017566">
                  <w:instrText xml:space="preserve"> FORMCHECKBOX </w:instrText>
                </w:r>
                <w:r>
                  <w:fldChar w:fldCharType="separate"/>
                </w:r>
                <w:r w:rsidR="0036662A" w:rsidRPr="00017566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sdt>
                  <w:sdtPr>
                    <w:id w:val="989447703"/>
                  </w:sdtPr>
                  <w:sdtEndPr>
                    <w:rPr>
                      <w:szCs w:val="24"/>
                    </w:rPr>
                  </w:sdtEndPr>
                  <w:sdtContent/>
                </w:sdt>
              </w:sdtContent>
            </w:sdt>
            <w:sdt>
              <w:sdtPr>
                <w:id w:val="-1767224337"/>
              </w:sdtPr>
              <w:sdtEndPr/>
              <w:sdtContent>
                <w:r w:rsidR="00946BC4" w:rsidRPr="00B258A3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946BC4" w:rsidRPr="00B258A3">
                  <w:instrText xml:space="preserve"> FORMCHECKBOX </w:instrText>
                </w:r>
                <w:r>
                  <w:fldChar w:fldCharType="separate"/>
                </w:r>
                <w:r w:rsidR="00946BC4" w:rsidRPr="00B258A3">
                  <w:fldChar w:fldCharType="end"/>
                </w:r>
              </w:sdtContent>
            </w:sdt>
            <w:r w:rsidR="00946BC4" w:rsidRPr="00B258A3">
              <w:t xml:space="preserve"> </w:t>
            </w:r>
            <w:r w:rsidR="0036662A" w:rsidRPr="00B258A3">
              <w:rPr>
                <w:szCs w:val="24"/>
              </w:rPr>
              <w:t>Ne</w:t>
            </w:r>
            <w:r w:rsidR="0036662A" w:rsidRPr="00017566">
              <w:rPr>
                <w:szCs w:val="24"/>
              </w:rPr>
              <w:t xml:space="preserve"> </w:t>
            </w:r>
          </w:p>
        </w:tc>
      </w:tr>
    </w:tbl>
    <w:p w14:paraId="2CB04BD8" w14:textId="77777777" w:rsidR="0036662A" w:rsidRPr="00017566" w:rsidRDefault="0036662A" w:rsidP="0036662A">
      <w:pPr>
        <w:rPr>
          <w:szCs w:val="24"/>
        </w:rPr>
      </w:pPr>
    </w:p>
    <w:tbl>
      <w:tblPr>
        <w:tblStyle w:val="Lentelstinklelis"/>
        <w:tblW w:w="142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4394"/>
        <w:gridCol w:w="7371"/>
      </w:tblGrid>
      <w:tr w:rsidR="0036662A" w:rsidRPr="00C85D29" w14:paraId="6A4E2F17" w14:textId="77777777" w:rsidTr="00A17145">
        <w:tc>
          <w:tcPr>
            <w:tcW w:w="567" w:type="dxa"/>
          </w:tcPr>
          <w:p w14:paraId="025A5EA9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Nr.</w:t>
            </w:r>
          </w:p>
        </w:tc>
        <w:tc>
          <w:tcPr>
            <w:tcW w:w="1872" w:type="dxa"/>
          </w:tcPr>
          <w:p w14:paraId="5FEE2DEB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Institucija</w:t>
            </w:r>
          </w:p>
        </w:tc>
        <w:tc>
          <w:tcPr>
            <w:tcW w:w="4394" w:type="dxa"/>
          </w:tcPr>
          <w:p w14:paraId="4F6476E0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Pastabos ir pasiūlymai</w:t>
            </w:r>
          </w:p>
        </w:tc>
        <w:tc>
          <w:tcPr>
            <w:tcW w:w="7371" w:type="dxa"/>
          </w:tcPr>
          <w:p w14:paraId="5C314C6F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243516" w:rsidRPr="00C85D29" w14:paraId="10734312" w14:textId="77777777" w:rsidTr="00A17145">
        <w:trPr>
          <w:trHeight w:val="495"/>
        </w:trPr>
        <w:tc>
          <w:tcPr>
            <w:tcW w:w="567" w:type="dxa"/>
            <w:vMerge w:val="restart"/>
          </w:tcPr>
          <w:p w14:paraId="006192D6" w14:textId="1EE3C815" w:rsidR="00243516" w:rsidRPr="00BA5083" w:rsidRDefault="00243516" w:rsidP="00EB77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872" w:type="dxa"/>
            <w:vMerge w:val="restart"/>
          </w:tcPr>
          <w:p w14:paraId="3A4ABF09" w14:textId="3AB80A50" w:rsidR="00243516" w:rsidRPr="009C617F" w:rsidRDefault="00243516" w:rsidP="00904C5C">
            <w:r w:rsidRPr="00243516">
              <w:t xml:space="preserve">UAB "Sintesi </w:t>
            </w:r>
            <w:proofErr w:type="spellStart"/>
            <w:r w:rsidRPr="00243516">
              <w:t>consulting</w:t>
            </w:r>
            <w:proofErr w:type="spellEnd"/>
            <w:r w:rsidRPr="00243516">
              <w:t>"</w:t>
            </w:r>
          </w:p>
        </w:tc>
        <w:tc>
          <w:tcPr>
            <w:tcW w:w="4394" w:type="dxa"/>
          </w:tcPr>
          <w:p w14:paraId="608F84F3" w14:textId="7F5D0497" w:rsidR="00243516" w:rsidRPr="00795693" w:rsidRDefault="00795693" w:rsidP="00904C5C">
            <w:pPr>
              <w:pStyle w:val="Sraopastraipa"/>
              <w:ind w:left="0"/>
              <w:jc w:val="both"/>
              <w:rPr>
                <w:szCs w:val="24"/>
              </w:rPr>
            </w:pPr>
            <w:r w:rsidRPr="00795693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43516" w:rsidRPr="00795693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Patikslinkite kiek laiko veikianti, kokias minimalias pardavimo pajamas turinti įmonė būtų tinkama šio kvietimo pareiškėja?</w:t>
            </w:r>
          </w:p>
        </w:tc>
        <w:tc>
          <w:tcPr>
            <w:tcW w:w="7371" w:type="dxa"/>
          </w:tcPr>
          <w:p w14:paraId="2D8F7DBA" w14:textId="77777777" w:rsidR="00243516" w:rsidRPr="00904C5C" w:rsidRDefault="00904C5C" w:rsidP="00887E8E">
            <w:pPr>
              <w:tabs>
                <w:tab w:val="left" w:pos="607"/>
              </w:tabs>
              <w:jc w:val="both"/>
              <w:rPr>
                <w:b/>
                <w:szCs w:val="24"/>
                <w:lang w:eastAsia="en-US"/>
              </w:rPr>
            </w:pPr>
            <w:r w:rsidRPr="00904C5C">
              <w:rPr>
                <w:b/>
                <w:szCs w:val="24"/>
                <w:lang w:eastAsia="en-US"/>
              </w:rPr>
              <w:t>Atsakyta.</w:t>
            </w:r>
          </w:p>
          <w:p w14:paraId="0398E2F5" w14:textId="56EB2B5A" w:rsidR="00904C5C" w:rsidRPr="00904C5C" w:rsidRDefault="00904C5C" w:rsidP="00887E8E">
            <w:pPr>
              <w:tabs>
                <w:tab w:val="left" w:pos="607"/>
              </w:tabs>
              <w:jc w:val="both"/>
              <w:rPr>
                <w:bCs/>
                <w:szCs w:val="24"/>
                <w:lang w:eastAsia="en-US"/>
              </w:rPr>
            </w:pPr>
            <w:r w:rsidRPr="00904C5C">
              <w:rPr>
                <w:bCs/>
                <w:szCs w:val="24"/>
                <w:lang w:eastAsia="en-US"/>
              </w:rPr>
              <w:t>Atkreipiame dėmesį, kad 2022–2030 metų ekonomikos transformacijos ir konkurencingumo plėtros programos pažangos priemonės Nr. 05-001-01-05-07 „Sukurti nuoseklią inovacinės veiklos skatinimo sistemą“ (toliau – Pažangos priemonė) veiklos „</w:t>
            </w:r>
            <w:r w:rsidRPr="00840BCE">
              <w:rPr>
                <w:bCs/>
                <w:i/>
                <w:iCs/>
                <w:szCs w:val="24"/>
                <w:lang w:eastAsia="en-US"/>
              </w:rPr>
              <w:t xml:space="preserve">6. Skatinti inovacijų pasiūlą“ </w:t>
            </w:r>
            <w:proofErr w:type="spellStart"/>
            <w:r w:rsidRPr="00840BCE">
              <w:rPr>
                <w:bCs/>
                <w:i/>
                <w:iCs/>
                <w:szCs w:val="24"/>
                <w:lang w:eastAsia="en-US"/>
              </w:rPr>
              <w:t>poveiklė</w:t>
            </w:r>
            <w:r w:rsidR="00840BCE" w:rsidRPr="00840BCE">
              <w:rPr>
                <w:bCs/>
                <w:i/>
                <w:iCs/>
                <w:szCs w:val="24"/>
                <w:lang w:eastAsia="en-US"/>
              </w:rPr>
              <w:t>s</w:t>
            </w:r>
            <w:proofErr w:type="spellEnd"/>
            <w:r w:rsidRPr="00840BCE">
              <w:rPr>
                <w:bCs/>
                <w:i/>
                <w:iCs/>
                <w:szCs w:val="24"/>
                <w:lang w:eastAsia="en-US"/>
              </w:rPr>
              <w:t xml:space="preserve"> „6.2. Investuoti į naujų APV produktų kūrimo veiklas ir sudaryti sąlygas tyrėjams dalyvauti įmonių MTEP veiklose, skatinti intelektinę nuosavybę, ankstyvąją sukurtų naujų produktų bandomąją gamybą, parengimą rinkai“ (Vidurio ir vakarų Lietuvos regionas)</w:t>
            </w:r>
            <w:r w:rsidRPr="00904C5C">
              <w:rPr>
                <w:bCs/>
                <w:szCs w:val="24"/>
                <w:lang w:eastAsia="en-US"/>
              </w:rPr>
              <w:t xml:space="preserve">“ pasiūlyme dėl projektų atrankos kriterijų nustatymo ir (arba) keitimo bei vertinimo metodikos antrajame specialiajame </w:t>
            </w:r>
            <w:r w:rsidR="004B23C4">
              <w:rPr>
                <w:bCs/>
                <w:szCs w:val="24"/>
                <w:lang w:eastAsia="en-US"/>
              </w:rPr>
              <w:t xml:space="preserve">projektų </w:t>
            </w:r>
            <w:r w:rsidRPr="00904C5C">
              <w:rPr>
                <w:bCs/>
                <w:szCs w:val="24"/>
                <w:lang w:eastAsia="en-US"/>
              </w:rPr>
              <w:t>atrankos kriterijuje</w:t>
            </w:r>
            <w:r w:rsidR="00840BCE">
              <w:rPr>
                <w:bCs/>
                <w:szCs w:val="24"/>
                <w:lang w:eastAsia="en-US"/>
              </w:rPr>
              <w:t xml:space="preserve"> </w:t>
            </w:r>
            <w:r w:rsidRPr="00904C5C">
              <w:rPr>
                <w:bCs/>
                <w:szCs w:val="24"/>
                <w:lang w:eastAsia="en-US"/>
              </w:rPr>
              <w:t>„</w:t>
            </w:r>
            <w:r w:rsidRPr="00840BCE">
              <w:rPr>
                <w:bCs/>
                <w:i/>
                <w:iCs/>
                <w:szCs w:val="24"/>
                <w:lang w:eastAsia="en-US"/>
              </w:rPr>
              <w:t>Pareiškėjas yra veikianti įmonė</w:t>
            </w:r>
            <w:r w:rsidRPr="00904C5C">
              <w:rPr>
                <w:bCs/>
                <w:szCs w:val="24"/>
                <w:lang w:eastAsia="en-US"/>
              </w:rPr>
              <w:t>“  yra nustatyta, kad  „</w:t>
            </w:r>
            <w:r w:rsidRPr="00840BCE">
              <w:rPr>
                <w:bCs/>
                <w:i/>
                <w:iCs/>
                <w:szCs w:val="24"/>
                <w:lang w:eastAsia="en-US"/>
              </w:rPr>
              <w:t>pareiškėjas PĮP pateikimo dieną yra veiklą vykdanti įmonė, neturinti patirties mokslinių tyrimų ir eksperimentinės plėtros (toliau – MTEP) srityje (t. y. neįgyvendino MTEP projektų ir (ar) nevykdė MTEP veiklų) arba įmonė, turinti MTEP patirties, o išlaidos MTEP yra ne didesnės kaip 50 000,00 (penkiasdešimt tūkstančių) eurų per paskutinius 2 (dvejus) finansinius metus iki PĮP pateikimo</w:t>
            </w:r>
            <w:r w:rsidRPr="00904C5C">
              <w:rPr>
                <w:bCs/>
                <w:szCs w:val="24"/>
                <w:lang w:eastAsia="en-US"/>
              </w:rPr>
              <w:t>“.</w:t>
            </w:r>
          </w:p>
          <w:p w14:paraId="79145536" w14:textId="77777777" w:rsidR="008D6BB7" w:rsidRDefault="00904C5C" w:rsidP="00887E8E">
            <w:pPr>
              <w:tabs>
                <w:tab w:val="left" w:pos="607"/>
              </w:tabs>
              <w:jc w:val="both"/>
            </w:pPr>
            <w:r w:rsidRPr="00904C5C">
              <w:rPr>
                <w:bCs/>
                <w:szCs w:val="24"/>
                <w:lang w:eastAsia="en-US"/>
              </w:rPr>
              <w:lastRenderedPageBreak/>
              <w:t xml:space="preserve">Taip pat Pažangos priemonės apraše prie </w:t>
            </w:r>
            <w:proofErr w:type="spellStart"/>
            <w:r w:rsidRPr="00904C5C">
              <w:rPr>
                <w:bCs/>
                <w:szCs w:val="24"/>
                <w:lang w:eastAsia="en-US"/>
              </w:rPr>
              <w:t>poveiklės</w:t>
            </w:r>
            <w:proofErr w:type="spellEnd"/>
            <w:r w:rsidRPr="00904C5C">
              <w:rPr>
                <w:bCs/>
                <w:szCs w:val="24"/>
                <w:lang w:eastAsia="en-US"/>
              </w:rPr>
              <w:t xml:space="preserve"> „</w:t>
            </w:r>
            <w:r w:rsidRPr="004D6DD9">
              <w:rPr>
                <w:bCs/>
                <w:i/>
                <w:iCs/>
                <w:szCs w:val="24"/>
                <w:lang w:eastAsia="en-US"/>
              </w:rPr>
              <w:t>6.2. Investuoti į naujų APV produktų kūrimo veiklas ir sudaryti sąlygas tyrėjams dalyvauti įmonių MTEP veiklose, skatinti intelektinę nuosavybę, ankstyvąją sukurtų naujų produktų bandomąją gamybą, parengimą rinkai“ (Vidurio ir vakarų Lietuvos regionas)“</w:t>
            </w:r>
            <w:r w:rsidRPr="00904C5C">
              <w:rPr>
                <w:bCs/>
                <w:szCs w:val="24"/>
                <w:lang w:eastAsia="en-US"/>
              </w:rPr>
              <w:t xml:space="preserve"> yra nurodyti galimi pareiškėjai t.</w:t>
            </w:r>
            <w:r w:rsidR="006176CD">
              <w:rPr>
                <w:bCs/>
                <w:szCs w:val="24"/>
                <w:lang w:eastAsia="en-US"/>
              </w:rPr>
              <w:t xml:space="preserve"> </w:t>
            </w:r>
            <w:r w:rsidRPr="00904C5C">
              <w:rPr>
                <w:bCs/>
                <w:szCs w:val="24"/>
                <w:lang w:eastAsia="en-US"/>
              </w:rPr>
              <w:t>y. labai mažos, mažos ir vidutinės įmonės (toliau – MVĮ), didelės įmonės, kai bendradarbiauja su MVĮ.</w:t>
            </w:r>
            <w:r w:rsidR="00CA3CB2">
              <w:t xml:space="preserve"> </w:t>
            </w:r>
          </w:p>
          <w:p w14:paraId="7CEC4DD8" w14:textId="7DE298FE" w:rsidR="00904C5C" w:rsidRPr="00CA3CB2" w:rsidRDefault="00CA3CB2" w:rsidP="00887E8E">
            <w:pPr>
              <w:tabs>
                <w:tab w:val="left" w:pos="607"/>
              </w:tabs>
              <w:jc w:val="both"/>
            </w:pPr>
            <w:r w:rsidRPr="00CA3CB2">
              <w:rPr>
                <w:bCs/>
                <w:szCs w:val="24"/>
                <w:lang w:eastAsia="en-US"/>
              </w:rPr>
              <w:t>Pareiškėjo veiklos trukmei ar pardavimo pajamoms šiuo kriterijumi reikalavimai nėra nustatyti</w:t>
            </w:r>
            <w:r>
              <w:rPr>
                <w:bCs/>
                <w:szCs w:val="24"/>
                <w:lang w:eastAsia="en-US"/>
              </w:rPr>
              <w:t>.</w:t>
            </w:r>
          </w:p>
        </w:tc>
      </w:tr>
      <w:tr w:rsidR="00243516" w:rsidRPr="00C85D29" w14:paraId="31858CCB" w14:textId="77777777" w:rsidTr="00A17145">
        <w:trPr>
          <w:trHeight w:val="898"/>
        </w:trPr>
        <w:tc>
          <w:tcPr>
            <w:tcW w:w="567" w:type="dxa"/>
            <w:vMerge/>
          </w:tcPr>
          <w:p w14:paraId="7789F81D" w14:textId="77777777" w:rsidR="00243516" w:rsidRDefault="00243516" w:rsidP="00EB7722">
            <w:pPr>
              <w:jc w:val="center"/>
              <w:rPr>
                <w:lang w:val="en-US"/>
              </w:rPr>
            </w:pPr>
          </w:p>
        </w:tc>
        <w:tc>
          <w:tcPr>
            <w:tcW w:w="1872" w:type="dxa"/>
            <w:vMerge/>
          </w:tcPr>
          <w:p w14:paraId="030060B5" w14:textId="77777777" w:rsidR="00243516" w:rsidRPr="009C617F" w:rsidRDefault="00243516" w:rsidP="00904C5C"/>
        </w:tc>
        <w:tc>
          <w:tcPr>
            <w:tcW w:w="4394" w:type="dxa"/>
          </w:tcPr>
          <w:p w14:paraId="408AB015" w14:textId="1682038E" w:rsidR="00243516" w:rsidRPr="00795693" w:rsidRDefault="00D14194" w:rsidP="00904C5C">
            <w:pPr>
              <w:pStyle w:val="Sraopastraipa"/>
              <w:ind w:left="0"/>
              <w:jc w:val="both"/>
              <w:rPr>
                <w:szCs w:val="24"/>
                <w:lang w:eastAsia="en-US"/>
                <w14:ligatures w14:val="standardContextual"/>
              </w:rPr>
            </w:pP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2</w:t>
            </w:r>
            <w:r w:rsidR="00795693" w:rsidRPr="00795693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3516" w:rsidRPr="00795693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Nurodykite kokiais duomenimis remiantis bus vertinama ar </w:t>
            </w:r>
            <w:r w:rsidR="00243516" w:rsidRPr="00795693">
              <w:rPr>
                <w:rStyle w:val="cf11"/>
                <w:rFonts w:ascii="Times New Roman" w:hAnsi="Times New Roman" w:cs="Times New Roman"/>
                <w:szCs w:val="24"/>
              </w:rPr>
              <w:t>įmonė turi MTEP patirties. Ar gerai suprantame, kad bus vertinamos Valstybės duomenų agentūroje deklaruotos išlaidos MTEP?</w:t>
            </w:r>
          </w:p>
        </w:tc>
        <w:tc>
          <w:tcPr>
            <w:tcW w:w="7371" w:type="dxa"/>
          </w:tcPr>
          <w:p w14:paraId="7557AAFF" w14:textId="5090BA78" w:rsidR="00243516" w:rsidRPr="004B23C4" w:rsidRDefault="004B23C4" w:rsidP="00887E8E">
            <w:pPr>
              <w:tabs>
                <w:tab w:val="left" w:pos="607"/>
              </w:tabs>
              <w:jc w:val="both"/>
              <w:rPr>
                <w:b/>
                <w:szCs w:val="24"/>
                <w:lang w:eastAsia="en-US"/>
              </w:rPr>
            </w:pPr>
            <w:r w:rsidRPr="004B23C4">
              <w:rPr>
                <w:b/>
                <w:szCs w:val="24"/>
                <w:lang w:eastAsia="en-US"/>
              </w:rPr>
              <w:t>Atsakyta</w:t>
            </w:r>
            <w:r>
              <w:rPr>
                <w:b/>
                <w:szCs w:val="24"/>
                <w:lang w:eastAsia="en-US"/>
              </w:rPr>
              <w:t>.</w:t>
            </w:r>
          </w:p>
          <w:p w14:paraId="2391F58B" w14:textId="53C57CF8" w:rsidR="004B23C4" w:rsidRPr="004B23C4" w:rsidRDefault="004B23C4" w:rsidP="00887E8E">
            <w:pPr>
              <w:tabs>
                <w:tab w:val="left" w:pos="607"/>
              </w:tabs>
              <w:jc w:val="both"/>
              <w:rPr>
                <w:bCs/>
                <w:szCs w:val="24"/>
                <w:lang w:val="en-US" w:eastAsia="en-US"/>
              </w:rPr>
            </w:pPr>
            <w:r>
              <w:rPr>
                <w:bCs/>
                <w:szCs w:val="24"/>
                <w:lang w:eastAsia="en-US"/>
              </w:rPr>
              <w:t>A</w:t>
            </w:r>
            <w:r w:rsidRPr="004B23C4">
              <w:rPr>
                <w:bCs/>
                <w:szCs w:val="24"/>
                <w:lang w:eastAsia="en-US"/>
              </w:rPr>
              <w:t>ntrajame specialiajame</w:t>
            </w:r>
            <w:r>
              <w:rPr>
                <w:bCs/>
                <w:szCs w:val="24"/>
                <w:lang w:eastAsia="en-US"/>
              </w:rPr>
              <w:t xml:space="preserve"> projektų</w:t>
            </w:r>
            <w:r w:rsidRPr="004B23C4">
              <w:rPr>
                <w:bCs/>
                <w:szCs w:val="24"/>
                <w:lang w:eastAsia="en-US"/>
              </w:rPr>
              <w:t xml:space="preserve"> atrankos kriterijuje „</w:t>
            </w:r>
            <w:r w:rsidRPr="004B23C4">
              <w:rPr>
                <w:bCs/>
                <w:i/>
                <w:iCs/>
                <w:szCs w:val="24"/>
                <w:lang w:eastAsia="en-US"/>
              </w:rPr>
              <w:t>Pareiškėjas yra veikianti įmonė</w:t>
            </w:r>
            <w:r w:rsidRPr="004B23C4">
              <w:rPr>
                <w:bCs/>
                <w:szCs w:val="24"/>
                <w:lang w:eastAsia="en-US"/>
              </w:rPr>
              <w:t xml:space="preserve">“ </w:t>
            </w:r>
            <w:r>
              <w:rPr>
                <w:bCs/>
                <w:szCs w:val="24"/>
                <w:lang w:eastAsia="en-US"/>
              </w:rPr>
              <w:t>nurodyta, kad „</w:t>
            </w:r>
            <w:r w:rsidRPr="004B23C4">
              <w:rPr>
                <w:bCs/>
                <w:i/>
                <w:iCs/>
                <w:szCs w:val="24"/>
                <w:lang w:eastAsia="en-US"/>
              </w:rPr>
              <w:t>pareiškėjų patirtis MTEP srityje vertinama pagal Valstybės duomenų agentūrai deklaruojamas išlaidas MTEP</w:t>
            </w:r>
            <w:r>
              <w:rPr>
                <w:bCs/>
                <w:szCs w:val="24"/>
                <w:lang w:eastAsia="en-US"/>
              </w:rPr>
              <w:t>“</w:t>
            </w:r>
            <w:r w:rsidRPr="004B23C4">
              <w:rPr>
                <w:bCs/>
                <w:szCs w:val="24"/>
                <w:lang w:eastAsia="en-US"/>
              </w:rPr>
              <w:t>.</w:t>
            </w:r>
          </w:p>
        </w:tc>
      </w:tr>
      <w:tr w:rsidR="00243516" w:rsidRPr="00C85D29" w14:paraId="4750B0D9" w14:textId="77777777" w:rsidTr="00A17145">
        <w:trPr>
          <w:trHeight w:val="557"/>
        </w:trPr>
        <w:tc>
          <w:tcPr>
            <w:tcW w:w="567" w:type="dxa"/>
            <w:vMerge/>
          </w:tcPr>
          <w:p w14:paraId="5688D509" w14:textId="77777777" w:rsidR="00243516" w:rsidRDefault="00243516" w:rsidP="00EB7722">
            <w:pPr>
              <w:jc w:val="center"/>
              <w:rPr>
                <w:lang w:val="en-US"/>
              </w:rPr>
            </w:pPr>
          </w:p>
        </w:tc>
        <w:tc>
          <w:tcPr>
            <w:tcW w:w="1872" w:type="dxa"/>
            <w:vMerge/>
          </w:tcPr>
          <w:p w14:paraId="5A619A40" w14:textId="77777777" w:rsidR="00243516" w:rsidRPr="009C617F" w:rsidRDefault="00243516" w:rsidP="00904C5C"/>
        </w:tc>
        <w:tc>
          <w:tcPr>
            <w:tcW w:w="4394" w:type="dxa"/>
          </w:tcPr>
          <w:p w14:paraId="6D677D3D" w14:textId="21826757" w:rsidR="00243516" w:rsidRPr="00795693" w:rsidRDefault="00D14194" w:rsidP="00904C5C">
            <w:pPr>
              <w:pStyle w:val="Sraopastraipa"/>
              <w:ind w:left="0"/>
              <w:jc w:val="both"/>
              <w:rPr>
                <w:rFonts w:eastAsiaTheme="minorHAnsi"/>
                <w:szCs w:val="24"/>
              </w:rPr>
            </w:pP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3</w:t>
            </w:r>
            <w:r w:rsidR="00795693" w:rsidRPr="00795693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3516" w:rsidRPr="00795693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Nurodykite kokiais duomenimis remiantis bus nustatytos įmonės išlaidos MTEP per paskutinius </w:t>
            </w:r>
            <w:r w:rsidR="00243516" w:rsidRPr="00795693">
              <w:rPr>
                <w:rStyle w:val="cf11"/>
                <w:rFonts w:ascii="Times New Roman" w:hAnsi="Times New Roman" w:cs="Times New Roman"/>
                <w:szCs w:val="24"/>
              </w:rPr>
              <w:t>2 FA ?</w:t>
            </w:r>
          </w:p>
        </w:tc>
        <w:tc>
          <w:tcPr>
            <w:tcW w:w="7371" w:type="dxa"/>
          </w:tcPr>
          <w:p w14:paraId="20562EB1" w14:textId="5D0C8F55" w:rsidR="004B23C4" w:rsidRPr="004B23C4" w:rsidRDefault="004B23C4" w:rsidP="004B23C4">
            <w:pPr>
              <w:tabs>
                <w:tab w:val="left" w:pos="607"/>
              </w:tabs>
              <w:jc w:val="both"/>
              <w:rPr>
                <w:b/>
                <w:szCs w:val="24"/>
                <w:lang w:eastAsia="en-US"/>
              </w:rPr>
            </w:pPr>
            <w:r w:rsidRPr="004B23C4">
              <w:rPr>
                <w:b/>
                <w:szCs w:val="24"/>
                <w:lang w:eastAsia="en-US"/>
              </w:rPr>
              <w:t>Atsakyta.</w:t>
            </w:r>
          </w:p>
          <w:p w14:paraId="2A77FFDA" w14:textId="100EB806" w:rsidR="00243516" w:rsidRDefault="004B23C4" w:rsidP="004B23C4">
            <w:pPr>
              <w:tabs>
                <w:tab w:val="left" w:pos="607"/>
              </w:tabs>
              <w:jc w:val="both"/>
              <w:rPr>
                <w:bCs/>
                <w:szCs w:val="24"/>
                <w:lang w:eastAsia="en-US"/>
              </w:rPr>
            </w:pPr>
            <w:r w:rsidRPr="004B23C4">
              <w:rPr>
                <w:bCs/>
                <w:szCs w:val="24"/>
                <w:lang w:eastAsia="en-US"/>
              </w:rPr>
              <w:t>Antrajame specialiajame projektų atrankos kriterijuje „</w:t>
            </w:r>
            <w:r w:rsidRPr="004B23C4">
              <w:rPr>
                <w:bCs/>
                <w:i/>
                <w:iCs/>
                <w:szCs w:val="24"/>
                <w:lang w:eastAsia="en-US"/>
              </w:rPr>
              <w:t>Pareiškėjas yra veikianti įmonė</w:t>
            </w:r>
            <w:r w:rsidRPr="004B23C4">
              <w:rPr>
                <w:bCs/>
                <w:szCs w:val="24"/>
                <w:lang w:eastAsia="en-US"/>
              </w:rPr>
              <w:t>“  nurodyta, kad „</w:t>
            </w:r>
            <w:r w:rsidRPr="004B23C4">
              <w:rPr>
                <w:bCs/>
                <w:i/>
                <w:iCs/>
                <w:szCs w:val="24"/>
                <w:lang w:eastAsia="en-US"/>
              </w:rPr>
              <w:t>pareiškėjų patirtis MTEP srityje vertinama pagal Valstybės duomenų agentūrai deklaruojamas išlaidas MTEP</w:t>
            </w:r>
            <w:r w:rsidRPr="004B23C4">
              <w:rPr>
                <w:bCs/>
                <w:szCs w:val="24"/>
                <w:lang w:eastAsia="en-US"/>
              </w:rPr>
              <w:t>“.</w:t>
            </w:r>
            <w:r>
              <w:rPr>
                <w:bCs/>
                <w:szCs w:val="24"/>
                <w:lang w:eastAsia="en-US"/>
              </w:rPr>
              <w:t xml:space="preserve"> Taip pat nustatyta</w:t>
            </w:r>
            <w:r w:rsidR="00CA3B3D">
              <w:rPr>
                <w:bCs/>
                <w:szCs w:val="24"/>
                <w:lang w:eastAsia="en-US"/>
              </w:rPr>
              <w:t xml:space="preserve">, jog </w:t>
            </w:r>
            <w:r>
              <w:rPr>
                <w:bCs/>
                <w:szCs w:val="24"/>
                <w:lang w:eastAsia="en-US"/>
              </w:rPr>
              <w:t>„</w:t>
            </w:r>
            <w:r w:rsidRPr="004B23C4">
              <w:rPr>
                <w:bCs/>
                <w:i/>
                <w:iCs/>
                <w:szCs w:val="24"/>
                <w:lang w:eastAsia="en-US"/>
              </w:rPr>
              <w:t>atitiktis kriterijui vertinama pagal paskutinį patvirtintą metinių finansinių ataskaitų rinkinį ir (ar</w:t>
            </w:r>
            <w:r w:rsidR="008D6BB7">
              <w:rPr>
                <w:bCs/>
                <w:i/>
                <w:iCs/>
                <w:szCs w:val="24"/>
                <w:lang w:eastAsia="en-US"/>
              </w:rPr>
              <w:t>ba</w:t>
            </w:r>
            <w:r w:rsidRPr="004B23C4">
              <w:rPr>
                <w:bCs/>
                <w:i/>
                <w:iCs/>
                <w:szCs w:val="24"/>
                <w:lang w:eastAsia="en-US"/>
              </w:rPr>
              <w:t>) kitus įmonės ekonominę veiklą pagrindžiančius buhalterinės apskaitos dokumentus. Tikrinama pagal PĮP pateiktą informaciją, Valstybės duomenų agentūros, Juridinių asmenų registro duomenis</w:t>
            </w:r>
            <w:r>
              <w:rPr>
                <w:bCs/>
                <w:i/>
                <w:iCs/>
                <w:szCs w:val="24"/>
                <w:lang w:eastAsia="en-US"/>
              </w:rPr>
              <w:t>“</w:t>
            </w:r>
            <w:r w:rsidRPr="004B23C4">
              <w:rPr>
                <w:bCs/>
                <w:szCs w:val="24"/>
                <w:lang w:eastAsia="en-US"/>
              </w:rPr>
              <w:t>.</w:t>
            </w:r>
          </w:p>
          <w:p w14:paraId="363C6DE5" w14:textId="49858010" w:rsidR="003E12B9" w:rsidRPr="004B23C4" w:rsidRDefault="003E12B9" w:rsidP="004B23C4">
            <w:pPr>
              <w:tabs>
                <w:tab w:val="left" w:pos="607"/>
              </w:tabs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D</w:t>
            </w:r>
            <w:r w:rsidRPr="003E12B9">
              <w:rPr>
                <w:bCs/>
                <w:szCs w:val="24"/>
                <w:lang w:eastAsia="en-US"/>
              </w:rPr>
              <w:t>etalesnė informacija, susijusi su projektų finansavimo sąlygomis, bus pateikta Pažangos priemonės veiklos „</w:t>
            </w:r>
            <w:r w:rsidRPr="003E12B9">
              <w:rPr>
                <w:bCs/>
                <w:i/>
                <w:iCs/>
                <w:szCs w:val="24"/>
                <w:lang w:eastAsia="en-US"/>
              </w:rPr>
              <w:t xml:space="preserve">6. Skatinti inovacijų pasiūlą“ </w:t>
            </w:r>
            <w:proofErr w:type="spellStart"/>
            <w:r w:rsidRPr="003E12B9">
              <w:rPr>
                <w:bCs/>
                <w:i/>
                <w:iCs/>
                <w:szCs w:val="24"/>
                <w:lang w:eastAsia="en-US"/>
              </w:rPr>
              <w:t>poveiklės</w:t>
            </w:r>
            <w:proofErr w:type="spellEnd"/>
            <w:r w:rsidRPr="003E12B9">
              <w:rPr>
                <w:bCs/>
                <w:i/>
                <w:iCs/>
                <w:szCs w:val="24"/>
                <w:lang w:eastAsia="en-US"/>
              </w:rPr>
              <w:t xml:space="preserve"> „6.2. Investuoti į naujų APV produktų kūrimo veiklas ir sudaryti sąlygas tyrėjams dalyvauti įmonių MTEP veiklose, skatinti intelektinę nuosavybę, ankstyvąją sukurtų naujų produktų bandomąją gamybą, parengimą rinkai“ (Vidurio ir vakarų Lietuvos regionas)</w:t>
            </w:r>
            <w:r w:rsidRPr="003E12B9">
              <w:rPr>
                <w:bCs/>
                <w:szCs w:val="24"/>
                <w:lang w:eastAsia="en-US"/>
              </w:rPr>
              <w:t>“ projektų finansavimo sąlygų apraše</w:t>
            </w:r>
            <w:r>
              <w:rPr>
                <w:bCs/>
                <w:szCs w:val="24"/>
                <w:lang w:eastAsia="en-US"/>
              </w:rPr>
              <w:t xml:space="preserve"> (toliau – PFSA)</w:t>
            </w:r>
            <w:r w:rsidRPr="003E12B9">
              <w:rPr>
                <w:bCs/>
                <w:szCs w:val="24"/>
                <w:lang w:eastAsia="en-US"/>
              </w:rPr>
              <w:t>, kuris netrukus bus paskelbtas viešam aptarimui su socialiniais</w:t>
            </w:r>
            <w:r w:rsidR="008D6BB7">
              <w:rPr>
                <w:bCs/>
                <w:szCs w:val="24"/>
                <w:lang w:eastAsia="en-US"/>
              </w:rPr>
              <w:t xml:space="preserve"> </w:t>
            </w:r>
            <w:r w:rsidRPr="003E12B9">
              <w:rPr>
                <w:bCs/>
                <w:szCs w:val="24"/>
                <w:lang w:eastAsia="en-US"/>
              </w:rPr>
              <w:t>ekonominiais partneriais Europos Sąjungos investicijų interneto svetainėje https://esinvesticijos.lt/.</w:t>
            </w:r>
          </w:p>
        </w:tc>
      </w:tr>
      <w:tr w:rsidR="00243516" w:rsidRPr="00C85D29" w14:paraId="767CD596" w14:textId="77777777" w:rsidTr="00A17145">
        <w:trPr>
          <w:trHeight w:val="706"/>
        </w:trPr>
        <w:tc>
          <w:tcPr>
            <w:tcW w:w="567" w:type="dxa"/>
            <w:vMerge/>
          </w:tcPr>
          <w:p w14:paraId="50193AA0" w14:textId="77777777" w:rsidR="00243516" w:rsidRDefault="00243516" w:rsidP="00EB7722">
            <w:pPr>
              <w:jc w:val="center"/>
              <w:rPr>
                <w:lang w:val="en-US"/>
              </w:rPr>
            </w:pPr>
          </w:p>
        </w:tc>
        <w:tc>
          <w:tcPr>
            <w:tcW w:w="1872" w:type="dxa"/>
            <w:vMerge/>
          </w:tcPr>
          <w:p w14:paraId="72EADBC5" w14:textId="77777777" w:rsidR="00243516" w:rsidRPr="009C617F" w:rsidRDefault="00243516" w:rsidP="00335D39"/>
        </w:tc>
        <w:tc>
          <w:tcPr>
            <w:tcW w:w="4394" w:type="dxa"/>
          </w:tcPr>
          <w:p w14:paraId="36FE17FE" w14:textId="37448E78" w:rsidR="00243516" w:rsidRDefault="003E12B9" w:rsidP="00795693">
            <w:pPr>
              <w:jc w:val="both"/>
              <w:textAlignment w:val="baseline"/>
            </w:pPr>
            <w:r>
              <w:rPr>
                <w:lang w:val="en-US"/>
              </w:rPr>
              <w:t>4</w:t>
            </w:r>
            <w:r w:rsidR="00243516">
              <w:t xml:space="preserve">. </w:t>
            </w:r>
            <w:r w:rsidR="00243516" w:rsidRPr="00243516">
              <w:t xml:space="preserve">Atsižvelgiant į tai, kad šio kvietimo atveju siekiama MTEP patirties neturinčias </w:t>
            </w:r>
            <w:r w:rsidR="00243516" w:rsidRPr="00243516">
              <w:lastRenderedPageBreak/>
              <w:t xml:space="preserve">įmones skatinti investuoti į MTEP, manome, kad atrankos kriterijaus - </w:t>
            </w:r>
            <w:r w:rsidR="00243516" w:rsidRPr="00243516">
              <w:rPr>
                <w:b/>
                <w:bCs/>
              </w:rPr>
              <w:t xml:space="preserve">Projekto įgyvendinimo metu sukurtų produktų </w:t>
            </w:r>
            <w:proofErr w:type="spellStart"/>
            <w:r w:rsidR="00243516" w:rsidRPr="00243516">
              <w:rPr>
                <w:b/>
                <w:bCs/>
              </w:rPr>
              <w:t>komercinimo</w:t>
            </w:r>
            <w:proofErr w:type="spellEnd"/>
            <w:r w:rsidR="00243516" w:rsidRPr="00243516">
              <w:rPr>
                <w:b/>
                <w:bCs/>
              </w:rPr>
              <w:t xml:space="preserve"> potencialas</w:t>
            </w:r>
            <w:r w:rsidR="00243516" w:rsidRPr="00243516">
              <w:t>, vertinimo metodika, suteikiant aukštesnį atrankos balų skaičių projektams, kurių technologinį parengties lygį projekto pradžioje yra aukštesnis yra nekorektiškas, atsižvelgiant į tai, kad įmonės šiuo atveju turi turėti patirties MTEP veiklų vykdyme. Siūlome šio kriterijaus atveju vertinti tik projekto pabaigoje numatomą pasiekti TPL.</w:t>
            </w:r>
          </w:p>
        </w:tc>
        <w:tc>
          <w:tcPr>
            <w:tcW w:w="7371" w:type="dxa"/>
          </w:tcPr>
          <w:p w14:paraId="7BB4AF0C" w14:textId="77777777" w:rsidR="00D14194" w:rsidRPr="00D14194" w:rsidRDefault="00D14194" w:rsidP="006643D7">
            <w:pPr>
              <w:tabs>
                <w:tab w:val="left" w:pos="607"/>
              </w:tabs>
              <w:jc w:val="both"/>
              <w:rPr>
                <w:b/>
                <w:szCs w:val="24"/>
                <w:lang w:eastAsia="en-US"/>
              </w:rPr>
            </w:pPr>
            <w:r w:rsidRPr="00D14194">
              <w:rPr>
                <w:b/>
                <w:szCs w:val="24"/>
                <w:lang w:eastAsia="en-US"/>
              </w:rPr>
              <w:lastRenderedPageBreak/>
              <w:t>Neatsižvelgta.</w:t>
            </w:r>
          </w:p>
          <w:p w14:paraId="7E88D419" w14:textId="2592B1BD" w:rsidR="00B258A3" w:rsidRDefault="00D14194" w:rsidP="00D14194">
            <w:pPr>
              <w:tabs>
                <w:tab w:val="left" w:pos="607"/>
              </w:tabs>
              <w:jc w:val="both"/>
              <w:rPr>
                <w:bCs/>
                <w:szCs w:val="24"/>
                <w:lang w:eastAsia="en-US"/>
              </w:rPr>
            </w:pPr>
            <w:r w:rsidRPr="008D5E6E">
              <w:rPr>
                <w:bCs/>
                <w:szCs w:val="24"/>
                <w:lang w:eastAsia="en-US"/>
              </w:rPr>
              <w:lastRenderedPageBreak/>
              <w:t>Atkreipiame dėmesį, jog trečiuoju prioritetiniu projektų atrankos kriterijumi „</w:t>
            </w:r>
            <w:r w:rsidRPr="008D5E6E">
              <w:rPr>
                <w:bCs/>
                <w:i/>
                <w:iCs/>
                <w:szCs w:val="24"/>
                <w:lang w:eastAsia="en-US"/>
              </w:rPr>
              <w:t xml:space="preserve">Projekto įgyvendinimo metu sukurtų produktų </w:t>
            </w:r>
            <w:proofErr w:type="spellStart"/>
            <w:r w:rsidRPr="008D5E6E">
              <w:rPr>
                <w:bCs/>
                <w:i/>
                <w:iCs/>
                <w:szCs w:val="24"/>
                <w:lang w:eastAsia="en-US"/>
              </w:rPr>
              <w:t>komercinimo</w:t>
            </w:r>
            <w:proofErr w:type="spellEnd"/>
            <w:r w:rsidRPr="008D5E6E">
              <w:rPr>
                <w:bCs/>
                <w:i/>
                <w:iCs/>
                <w:szCs w:val="24"/>
                <w:lang w:eastAsia="en-US"/>
              </w:rPr>
              <w:t xml:space="preserve"> potencialas</w:t>
            </w:r>
            <w:r w:rsidRPr="008D5E6E">
              <w:rPr>
                <w:bCs/>
                <w:szCs w:val="24"/>
                <w:lang w:eastAsia="en-US"/>
              </w:rPr>
              <w:t>“ siekiama atrinkti projektus, kuri</w:t>
            </w:r>
            <w:r w:rsidR="008D5E6E" w:rsidRPr="008D5E6E">
              <w:rPr>
                <w:bCs/>
                <w:szCs w:val="24"/>
                <w:lang w:eastAsia="en-US"/>
              </w:rPr>
              <w:t xml:space="preserve">uos įgyvendinant bus kuriami </w:t>
            </w:r>
            <w:r w:rsidR="004D6DD9">
              <w:rPr>
                <w:bCs/>
                <w:szCs w:val="24"/>
                <w:lang w:eastAsia="en-US"/>
              </w:rPr>
              <w:t>MTEP</w:t>
            </w:r>
            <w:r w:rsidR="008D5E6E" w:rsidRPr="008D5E6E">
              <w:rPr>
                <w:bCs/>
                <w:szCs w:val="24"/>
                <w:lang w:eastAsia="en-US"/>
              </w:rPr>
              <w:t xml:space="preserve"> produktai, </w:t>
            </w:r>
            <w:r w:rsidR="004D6DD9">
              <w:rPr>
                <w:bCs/>
                <w:szCs w:val="24"/>
                <w:lang w:eastAsia="en-US"/>
              </w:rPr>
              <w:t>generuojantys</w:t>
            </w:r>
            <w:r w:rsidR="003E12B9">
              <w:rPr>
                <w:bCs/>
                <w:szCs w:val="24"/>
                <w:lang w:eastAsia="en-US"/>
              </w:rPr>
              <w:t xml:space="preserve"> aukštą pridėtinę vert</w:t>
            </w:r>
            <w:r w:rsidR="004D6DD9">
              <w:rPr>
                <w:bCs/>
                <w:szCs w:val="24"/>
                <w:lang w:eastAsia="en-US"/>
              </w:rPr>
              <w:t>ę</w:t>
            </w:r>
            <w:r w:rsidR="003E12B9">
              <w:rPr>
                <w:bCs/>
                <w:szCs w:val="24"/>
                <w:lang w:eastAsia="en-US"/>
              </w:rPr>
              <w:t xml:space="preserve"> ir </w:t>
            </w:r>
            <w:r w:rsidR="008D5E6E" w:rsidRPr="008D5E6E">
              <w:rPr>
                <w:bCs/>
                <w:szCs w:val="24"/>
                <w:lang w:eastAsia="en-US"/>
              </w:rPr>
              <w:t xml:space="preserve">turintys potencialą būti komercializuoti </w:t>
            </w:r>
            <w:r w:rsidR="004D6DD9">
              <w:rPr>
                <w:bCs/>
                <w:szCs w:val="24"/>
                <w:lang w:eastAsia="en-US"/>
              </w:rPr>
              <w:t xml:space="preserve">rinkoje </w:t>
            </w:r>
            <w:r w:rsidR="008D5E6E" w:rsidRPr="008D5E6E">
              <w:rPr>
                <w:bCs/>
                <w:szCs w:val="24"/>
                <w:lang w:eastAsia="en-US"/>
              </w:rPr>
              <w:t xml:space="preserve">bei efektyviausiai prisidedantys prie </w:t>
            </w:r>
            <w:r w:rsidR="00C038EA">
              <w:rPr>
                <w:bCs/>
                <w:szCs w:val="24"/>
                <w:lang w:eastAsia="en-US"/>
              </w:rPr>
              <w:t xml:space="preserve">         </w:t>
            </w:r>
            <w:r w:rsidR="008D5E6E" w:rsidRPr="008D5E6E">
              <w:rPr>
                <w:bCs/>
                <w:szCs w:val="24"/>
                <w:lang w:eastAsia="en-US"/>
              </w:rPr>
              <w:t>2021–2027 metų Europos Sąjungos fondų investicijų programa 1 prioriteto „</w:t>
            </w:r>
            <w:r w:rsidR="008D5E6E" w:rsidRPr="003E12B9">
              <w:rPr>
                <w:bCs/>
                <w:i/>
                <w:iCs/>
                <w:szCs w:val="24"/>
                <w:lang w:eastAsia="en-US"/>
              </w:rPr>
              <w:t>Pažangesnė Lietuva</w:t>
            </w:r>
            <w:r w:rsidR="008D5E6E" w:rsidRPr="008D5E6E">
              <w:rPr>
                <w:bCs/>
                <w:szCs w:val="24"/>
                <w:lang w:eastAsia="en-US"/>
              </w:rPr>
              <w:t>“ 1.1 konkretaus uždavinio „</w:t>
            </w:r>
            <w:r w:rsidR="008D5E6E" w:rsidRPr="003E12B9">
              <w:rPr>
                <w:bCs/>
                <w:i/>
                <w:iCs/>
                <w:szCs w:val="24"/>
                <w:lang w:eastAsia="en-US"/>
              </w:rPr>
              <w:t>Plėtoti ir stiprinti mokslinių tyrimų ir inovacinius pajėgumus ir diegti pažangiąsias technologijas</w:t>
            </w:r>
            <w:r w:rsidR="008D5E6E" w:rsidRPr="008D5E6E">
              <w:rPr>
                <w:bCs/>
                <w:szCs w:val="24"/>
                <w:lang w:eastAsia="en-US"/>
              </w:rPr>
              <w:t>“ tikslų pasiekimo.</w:t>
            </w:r>
            <w:r w:rsidR="008D5E6E">
              <w:rPr>
                <w:bCs/>
                <w:szCs w:val="24"/>
                <w:lang w:eastAsia="en-US"/>
              </w:rPr>
              <w:t xml:space="preserve"> Todėl šiuo kriterijumi ir siekiama įvertinti </w:t>
            </w:r>
            <w:r w:rsidR="008D5E6E" w:rsidRPr="008D5E6E">
              <w:rPr>
                <w:bCs/>
                <w:szCs w:val="24"/>
                <w:lang w:eastAsia="en-US"/>
              </w:rPr>
              <w:t>technologinės parengties lyg</w:t>
            </w:r>
            <w:r w:rsidR="008D5E6E">
              <w:rPr>
                <w:bCs/>
                <w:szCs w:val="24"/>
                <w:lang w:eastAsia="en-US"/>
              </w:rPr>
              <w:t>į</w:t>
            </w:r>
            <w:r w:rsidR="008D5E6E" w:rsidRPr="008D5E6E">
              <w:rPr>
                <w:bCs/>
                <w:szCs w:val="24"/>
                <w:lang w:eastAsia="en-US"/>
              </w:rPr>
              <w:t xml:space="preserve"> projekto pradžioje ir pabaigoje</w:t>
            </w:r>
            <w:r w:rsidR="008D5E6E">
              <w:rPr>
                <w:bCs/>
                <w:szCs w:val="24"/>
                <w:lang w:eastAsia="en-US"/>
              </w:rPr>
              <w:t>.</w:t>
            </w:r>
          </w:p>
          <w:p w14:paraId="4CEB35D4" w14:textId="388C8E70" w:rsidR="008D5E6E" w:rsidRDefault="00EC22E0" w:rsidP="00D14194">
            <w:pPr>
              <w:tabs>
                <w:tab w:val="left" w:pos="607"/>
              </w:tabs>
              <w:jc w:val="both"/>
              <w:rPr>
                <w:b/>
                <w:i/>
                <w:i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Taip pat i</w:t>
            </w:r>
            <w:r w:rsidR="008D5E6E">
              <w:rPr>
                <w:bCs/>
                <w:szCs w:val="24"/>
                <w:lang w:eastAsia="en-US"/>
              </w:rPr>
              <w:t xml:space="preserve">nformuojame, kad detalesnė informacija, susijusi su </w:t>
            </w:r>
            <w:r>
              <w:rPr>
                <w:bCs/>
                <w:szCs w:val="24"/>
                <w:lang w:eastAsia="en-US"/>
              </w:rPr>
              <w:t xml:space="preserve">projektų finansavimo sąlygomis, bus pateikta </w:t>
            </w:r>
            <w:r w:rsidR="003E12B9">
              <w:rPr>
                <w:bCs/>
                <w:szCs w:val="24"/>
                <w:lang w:eastAsia="en-US"/>
              </w:rPr>
              <w:t xml:space="preserve">PFSA, </w:t>
            </w:r>
            <w:r>
              <w:rPr>
                <w:bCs/>
                <w:szCs w:val="24"/>
                <w:lang w:eastAsia="en-US"/>
              </w:rPr>
              <w:t xml:space="preserve">kuris netrukus bus paskelbtas viešam aptarimui </w:t>
            </w:r>
            <w:r w:rsidRPr="00EC22E0">
              <w:rPr>
                <w:bCs/>
                <w:szCs w:val="24"/>
                <w:lang w:eastAsia="en-US"/>
              </w:rPr>
              <w:t>su socialiniais ekonominiais partneriais Europos Sąjungos investicijų interneto svetainėje https://esinvesticijos.lt/</w:t>
            </w:r>
            <w:r>
              <w:rPr>
                <w:bCs/>
                <w:szCs w:val="24"/>
                <w:lang w:eastAsia="en-US"/>
              </w:rPr>
              <w:t>.</w:t>
            </w:r>
          </w:p>
        </w:tc>
      </w:tr>
      <w:tr w:rsidR="00243516" w:rsidRPr="00C85D29" w14:paraId="14B28ACF" w14:textId="77777777" w:rsidTr="00A17145">
        <w:trPr>
          <w:trHeight w:val="706"/>
        </w:trPr>
        <w:tc>
          <w:tcPr>
            <w:tcW w:w="567" w:type="dxa"/>
            <w:vMerge/>
          </w:tcPr>
          <w:p w14:paraId="49C888C5" w14:textId="77777777" w:rsidR="00243516" w:rsidRDefault="00243516" w:rsidP="00EB7722">
            <w:pPr>
              <w:jc w:val="center"/>
              <w:rPr>
                <w:lang w:val="en-US"/>
              </w:rPr>
            </w:pPr>
          </w:p>
        </w:tc>
        <w:tc>
          <w:tcPr>
            <w:tcW w:w="1872" w:type="dxa"/>
            <w:vMerge/>
          </w:tcPr>
          <w:p w14:paraId="2D33D6FE" w14:textId="77777777" w:rsidR="00243516" w:rsidRPr="009C617F" w:rsidRDefault="00243516" w:rsidP="00335D39"/>
        </w:tc>
        <w:tc>
          <w:tcPr>
            <w:tcW w:w="4394" w:type="dxa"/>
          </w:tcPr>
          <w:p w14:paraId="38CB978E" w14:textId="2CF60A05" w:rsidR="00243516" w:rsidRDefault="003E12B9" w:rsidP="00795693">
            <w:pPr>
              <w:jc w:val="both"/>
              <w:textAlignment w:val="baseline"/>
            </w:pPr>
            <w:r>
              <w:t>5</w:t>
            </w:r>
            <w:r w:rsidR="00243516">
              <w:t>.</w:t>
            </w:r>
            <w:r w:rsidR="00795693">
              <w:t xml:space="preserve"> </w:t>
            </w:r>
            <w:r w:rsidR="00795693" w:rsidRPr="00795693">
              <w:t xml:space="preserve">Siūlome koreguoti atrankos kriterijų - Įmonėje sukurtų mokslo tiriamojo darbo vietų skaičius projekto įgyvendinimo metu ir per 1 metus po projekto įgyvendinimo, vertinant numatomų sukurti darbo vietų skaičių projekto įgyvendinimo metu ir 3 metai po projekto įgyvendinimo, atsižvelgiant į tai, kad dažnu atveju 1 m. laikotarpis yra nepakankamas siekiant </w:t>
            </w:r>
            <w:proofErr w:type="spellStart"/>
            <w:r w:rsidR="00795693" w:rsidRPr="00795693">
              <w:t>startuoliui</w:t>
            </w:r>
            <w:proofErr w:type="spellEnd"/>
            <w:r w:rsidR="00795693" w:rsidRPr="00795693">
              <w:t xml:space="preserve"> sėkmingai įsitvirtinti rinkoje, generuoti pajamas, kad galėtų užtikrinti įmonės plėtrą.</w:t>
            </w:r>
          </w:p>
        </w:tc>
        <w:tc>
          <w:tcPr>
            <w:tcW w:w="7371" w:type="dxa"/>
          </w:tcPr>
          <w:p w14:paraId="7217B19B" w14:textId="60418DEA" w:rsidR="00B258A3" w:rsidRPr="008D5E6E" w:rsidRDefault="008D5E6E" w:rsidP="006643D7">
            <w:pPr>
              <w:tabs>
                <w:tab w:val="left" w:pos="607"/>
              </w:tabs>
              <w:jc w:val="both"/>
              <w:rPr>
                <w:b/>
                <w:szCs w:val="24"/>
                <w:lang w:eastAsia="en-US"/>
              </w:rPr>
            </w:pPr>
            <w:r w:rsidRPr="008D5E6E">
              <w:rPr>
                <w:b/>
                <w:szCs w:val="24"/>
                <w:lang w:eastAsia="en-US"/>
              </w:rPr>
              <w:t>Neatsižvelgta.</w:t>
            </w:r>
          </w:p>
          <w:p w14:paraId="39D39576" w14:textId="685BF095" w:rsidR="003E12B9" w:rsidRDefault="00FB11B0" w:rsidP="006643D7">
            <w:pPr>
              <w:tabs>
                <w:tab w:val="left" w:pos="607"/>
              </w:tabs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Informuojame, kad p</w:t>
            </w:r>
            <w:r w:rsidRPr="00FB11B0">
              <w:rPr>
                <w:bCs/>
                <w:szCs w:val="24"/>
                <w:lang w:eastAsia="en-US"/>
              </w:rPr>
              <w:t>enkt</w:t>
            </w:r>
            <w:r>
              <w:rPr>
                <w:bCs/>
                <w:szCs w:val="24"/>
                <w:lang w:eastAsia="en-US"/>
              </w:rPr>
              <w:t>ąjį</w:t>
            </w:r>
            <w:r w:rsidRPr="00FB11B0">
              <w:rPr>
                <w:bCs/>
                <w:szCs w:val="24"/>
                <w:lang w:eastAsia="en-US"/>
              </w:rPr>
              <w:t xml:space="preserve"> prioritetin</w:t>
            </w:r>
            <w:r>
              <w:rPr>
                <w:bCs/>
                <w:szCs w:val="24"/>
                <w:lang w:eastAsia="en-US"/>
              </w:rPr>
              <w:t>į</w:t>
            </w:r>
            <w:r w:rsidRPr="00FB11B0">
              <w:rPr>
                <w:bCs/>
                <w:szCs w:val="24"/>
                <w:lang w:eastAsia="en-US"/>
              </w:rPr>
              <w:t xml:space="preserve"> projektų atrankos kriterij</w:t>
            </w:r>
            <w:r>
              <w:rPr>
                <w:bCs/>
                <w:szCs w:val="24"/>
                <w:lang w:eastAsia="en-US"/>
              </w:rPr>
              <w:t>ų</w:t>
            </w:r>
            <w:r w:rsidRPr="00FB11B0">
              <w:rPr>
                <w:bCs/>
                <w:szCs w:val="24"/>
                <w:lang w:eastAsia="en-US"/>
              </w:rPr>
              <w:t xml:space="preserve"> „</w:t>
            </w:r>
            <w:r w:rsidRPr="00FB11B0">
              <w:rPr>
                <w:bCs/>
                <w:i/>
                <w:iCs/>
                <w:szCs w:val="24"/>
                <w:lang w:eastAsia="en-US"/>
              </w:rPr>
              <w:t>Įmonėje sukurtų mokslo tiriamojo darbo vietų skaičius projekto įgyvendinimo metu ir per 1 metus po projekto įgyvendinimo</w:t>
            </w:r>
            <w:r w:rsidRPr="00FB11B0">
              <w:rPr>
                <w:bCs/>
                <w:szCs w:val="24"/>
                <w:lang w:eastAsia="en-US"/>
              </w:rPr>
              <w:t xml:space="preserve">“ </w:t>
            </w:r>
            <w:r w:rsidR="00B258A3" w:rsidRPr="00FB11B0">
              <w:rPr>
                <w:bCs/>
                <w:szCs w:val="24"/>
                <w:lang w:eastAsia="en-US"/>
              </w:rPr>
              <w:t>siekiama suvienodinti su rezultato stebėsenos rodikliu R-05-001-01-05-07-05 (RCR102) „</w:t>
            </w:r>
            <w:r w:rsidR="00B258A3" w:rsidRPr="00FB11B0">
              <w:rPr>
                <w:bCs/>
                <w:i/>
                <w:iCs/>
                <w:szCs w:val="24"/>
                <w:lang w:eastAsia="en-US"/>
              </w:rPr>
              <w:t>R – Paramą gavusiuose subjektuose sukurtos mokslo tiriamojo darbo vietos</w:t>
            </w:r>
            <w:r w:rsidR="00B258A3" w:rsidRPr="00FB11B0">
              <w:rPr>
                <w:bCs/>
                <w:szCs w:val="24"/>
                <w:lang w:eastAsia="en-US"/>
              </w:rPr>
              <w:t>“</w:t>
            </w:r>
            <w:r>
              <w:rPr>
                <w:bCs/>
                <w:szCs w:val="24"/>
                <w:lang w:eastAsia="en-US"/>
              </w:rPr>
              <w:t xml:space="preserve">, kuris </w:t>
            </w:r>
            <w:r w:rsidRPr="00FB11B0">
              <w:rPr>
                <w:bCs/>
                <w:szCs w:val="24"/>
                <w:lang w:eastAsia="en-US"/>
              </w:rPr>
              <w:t>parengtas remiantis Europos Komisijos skelbiamu 2021–2027 m. Europos regioninės plėtros ir Sanglaudos fondų rodiklių aprašymu.</w:t>
            </w:r>
          </w:p>
          <w:p w14:paraId="7581EEC9" w14:textId="2A2974E6" w:rsidR="00243516" w:rsidRDefault="00FB11B0" w:rsidP="006643D7">
            <w:pPr>
              <w:tabs>
                <w:tab w:val="left" w:pos="607"/>
              </w:tabs>
              <w:jc w:val="both"/>
              <w:rPr>
                <w:b/>
                <w:i/>
                <w:i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Taip pat siekiama sumažinti administracinę naštą administruojančiajai institucijai</w:t>
            </w:r>
            <w:r w:rsidR="003E12B9">
              <w:rPr>
                <w:bCs/>
                <w:szCs w:val="24"/>
                <w:lang w:eastAsia="en-US"/>
              </w:rPr>
              <w:t xml:space="preserve"> ir užtikrinti, kad pareiškėjas „realiai“ pasiektų </w:t>
            </w:r>
            <w:r w:rsidRPr="00FB11B0">
              <w:rPr>
                <w:bCs/>
                <w:szCs w:val="24"/>
                <w:lang w:eastAsia="en-US"/>
              </w:rPr>
              <w:t xml:space="preserve"> </w:t>
            </w:r>
            <w:r>
              <w:rPr>
                <w:bCs/>
                <w:szCs w:val="24"/>
                <w:lang w:eastAsia="en-US"/>
              </w:rPr>
              <w:t>projekto įgyvendinimo plane</w:t>
            </w:r>
            <w:r w:rsidRPr="00FB11B0">
              <w:rPr>
                <w:bCs/>
                <w:szCs w:val="24"/>
                <w:lang w:eastAsia="en-US"/>
              </w:rPr>
              <w:t xml:space="preserve"> numatyt</w:t>
            </w:r>
            <w:r w:rsidR="003E12B9">
              <w:rPr>
                <w:bCs/>
                <w:szCs w:val="24"/>
                <w:lang w:eastAsia="en-US"/>
              </w:rPr>
              <w:t>a</w:t>
            </w:r>
            <w:r w:rsidRPr="00FB11B0">
              <w:rPr>
                <w:bCs/>
                <w:szCs w:val="24"/>
                <w:lang w:eastAsia="en-US"/>
              </w:rPr>
              <w:t>s</w:t>
            </w:r>
            <w:r w:rsidR="003E12B9">
              <w:rPr>
                <w:bCs/>
                <w:szCs w:val="24"/>
                <w:lang w:eastAsia="en-US"/>
              </w:rPr>
              <w:t xml:space="preserve"> šio</w:t>
            </w:r>
            <w:r w:rsidRPr="00FB11B0">
              <w:rPr>
                <w:bCs/>
                <w:szCs w:val="24"/>
                <w:lang w:eastAsia="en-US"/>
              </w:rPr>
              <w:t xml:space="preserve"> kriterijaus reikšm</w:t>
            </w:r>
            <w:r w:rsidR="003E12B9">
              <w:rPr>
                <w:bCs/>
                <w:szCs w:val="24"/>
                <w:lang w:eastAsia="en-US"/>
              </w:rPr>
              <w:t>es</w:t>
            </w:r>
            <w:r w:rsidRPr="00FB11B0">
              <w:rPr>
                <w:bCs/>
                <w:szCs w:val="24"/>
                <w:lang w:eastAsia="en-US"/>
              </w:rPr>
              <w:t>.</w:t>
            </w:r>
          </w:p>
        </w:tc>
      </w:tr>
    </w:tbl>
    <w:p w14:paraId="00AABEA2" w14:textId="3FF70220" w:rsidR="005C5ECB" w:rsidRDefault="005C5ECB">
      <w:pPr>
        <w:rPr>
          <w:b/>
          <w:bCs/>
          <w:caps/>
          <w:szCs w:val="24"/>
        </w:rPr>
      </w:pPr>
    </w:p>
    <w:p w14:paraId="65044EB7" w14:textId="714C9D4A" w:rsidR="00887E8E" w:rsidRDefault="00887E8E">
      <w:pPr>
        <w:rPr>
          <w:b/>
          <w:bCs/>
          <w:caps/>
          <w:szCs w:val="24"/>
        </w:rPr>
      </w:pPr>
    </w:p>
    <w:p w14:paraId="233B25C8" w14:textId="2F2533E9" w:rsidR="00887E8E" w:rsidRDefault="00887E8E">
      <w:pPr>
        <w:rPr>
          <w:b/>
          <w:bCs/>
          <w:caps/>
          <w:szCs w:val="24"/>
        </w:rPr>
      </w:pPr>
    </w:p>
    <w:p w14:paraId="41454BB5" w14:textId="5819116B" w:rsidR="00887E8E" w:rsidRPr="00A17145" w:rsidRDefault="00F92810" w:rsidP="00887E8E">
      <w:pPr>
        <w:jc w:val="center"/>
        <w:rPr>
          <w:caps/>
          <w:szCs w:val="24"/>
        </w:rPr>
      </w:pPr>
      <w:r w:rsidRPr="00A17145">
        <w:rPr>
          <w:caps/>
          <w:szCs w:val="24"/>
        </w:rPr>
        <w:t>_______________________________________</w:t>
      </w:r>
    </w:p>
    <w:sectPr w:rsidR="00887E8E" w:rsidRPr="00A17145" w:rsidSect="00BE40D2">
      <w:headerReference w:type="default" r:id="rId11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FC61" w14:textId="77777777" w:rsidR="00BE40D2" w:rsidRDefault="00BE40D2" w:rsidP="00A52651">
      <w:r>
        <w:separator/>
      </w:r>
    </w:p>
  </w:endnote>
  <w:endnote w:type="continuationSeparator" w:id="0">
    <w:p w14:paraId="45DCCA84" w14:textId="77777777" w:rsidR="00BE40D2" w:rsidRDefault="00BE40D2" w:rsidP="00A5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E1002" w14:textId="77777777" w:rsidR="00BE40D2" w:rsidRDefault="00BE40D2" w:rsidP="00A52651">
      <w:r>
        <w:separator/>
      </w:r>
    </w:p>
  </w:footnote>
  <w:footnote w:type="continuationSeparator" w:id="0">
    <w:p w14:paraId="7CD49259" w14:textId="77777777" w:rsidR="00BE40D2" w:rsidRDefault="00BE40D2" w:rsidP="00A52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626087"/>
      <w:docPartObj>
        <w:docPartGallery w:val="Page Numbers (Top of Page)"/>
        <w:docPartUnique/>
      </w:docPartObj>
    </w:sdtPr>
    <w:sdtEndPr/>
    <w:sdtContent>
      <w:p w14:paraId="1144F4D5" w14:textId="466CA834" w:rsidR="00A52651" w:rsidRDefault="00A5265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9D341A" w14:textId="77777777" w:rsidR="00A52651" w:rsidRDefault="00A526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E2E"/>
    <w:multiLevelType w:val="multilevel"/>
    <w:tmpl w:val="253A8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A54BA"/>
    <w:multiLevelType w:val="hybridMultilevel"/>
    <w:tmpl w:val="79B0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1839"/>
    <w:multiLevelType w:val="hybridMultilevel"/>
    <w:tmpl w:val="4E9A0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10BF5"/>
    <w:multiLevelType w:val="multilevel"/>
    <w:tmpl w:val="DB0E24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C0D85"/>
    <w:multiLevelType w:val="hybridMultilevel"/>
    <w:tmpl w:val="3D2057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AB0"/>
    <w:multiLevelType w:val="hybridMultilevel"/>
    <w:tmpl w:val="9752D0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A0720"/>
    <w:multiLevelType w:val="hybridMultilevel"/>
    <w:tmpl w:val="3B12ACF2"/>
    <w:lvl w:ilvl="0" w:tplc="F904D03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34F72D24"/>
    <w:multiLevelType w:val="hybridMultilevel"/>
    <w:tmpl w:val="C762A306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46D1E"/>
    <w:multiLevelType w:val="multilevel"/>
    <w:tmpl w:val="B786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3B6E62"/>
    <w:multiLevelType w:val="hybridMultilevel"/>
    <w:tmpl w:val="73645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D2669"/>
    <w:multiLevelType w:val="multilevel"/>
    <w:tmpl w:val="9146BE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32BFF"/>
    <w:multiLevelType w:val="hybridMultilevel"/>
    <w:tmpl w:val="A10CB4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054D28"/>
    <w:multiLevelType w:val="hybridMultilevel"/>
    <w:tmpl w:val="7DEC5A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803EB"/>
    <w:multiLevelType w:val="hybridMultilevel"/>
    <w:tmpl w:val="E43A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213EC"/>
    <w:multiLevelType w:val="hybridMultilevel"/>
    <w:tmpl w:val="B5B67670"/>
    <w:lvl w:ilvl="0" w:tplc="199847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F1F2A98"/>
    <w:multiLevelType w:val="multilevel"/>
    <w:tmpl w:val="A1000C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 w16cid:durableId="387610207">
    <w:abstractNumId w:val="12"/>
  </w:num>
  <w:num w:numId="2" w16cid:durableId="965311760">
    <w:abstractNumId w:val="11"/>
  </w:num>
  <w:num w:numId="3" w16cid:durableId="1530945241">
    <w:abstractNumId w:val="14"/>
  </w:num>
  <w:num w:numId="4" w16cid:durableId="1619675043">
    <w:abstractNumId w:val="2"/>
  </w:num>
  <w:num w:numId="5" w16cid:durableId="1361930317">
    <w:abstractNumId w:val="5"/>
  </w:num>
  <w:num w:numId="6" w16cid:durableId="222757995">
    <w:abstractNumId w:val="1"/>
  </w:num>
  <w:num w:numId="7" w16cid:durableId="2083680277">
    <w:abstractNumId w:val="6"/>
  </w:num>
  <w:num w:numId="8" w16cid:durableId="1934900410">
    <w:abstractNumId w:val="9"/>
  </w:num>
  <w:num w:numId="9" w16cid:durableId="1521504333">
    <w:abstractNumId w:val="15"/>
  </w:num>
  <w:num w:numId="10" w16cid:durableId="88812632">
    <w:abstractNumId w:val="7"/>
  </w:num>
  <w:num w:numId="11" w16cid:durableId="621350393">
    <w:abstractNumId w:val="16"/>
  </w:num>
  <w:num w:numId="12" w16cid:durableId="1210875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9089170">
    <w:abstractNumId w:val="8"/>
  </w:num>
  <w:num w:numId="14" w16cid:durableId="131938240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6444377">
    <w:abstractNumId w:val="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5192468">
    <w:abstractNumId w:val="4"/>
  </w:num>
  <w:num w:numId="17" w16cid:durableId="1969431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2A"/>
    <w:rsid w:val="00002916"/>
    <w:rsid w:val="000033A2"/>
    <w:rsid w:val="00005FAA"/>
    <w:rsid w:val="00007463"/>
    <w:rsid w:val="0001428A"/>
    <w:rsid w:val="00016435"/>
    <w:rsid w:val="00017566"/>
    <w:rsid w:val="000202E8"/>
    <w:rsid w:val="00023010"/>
    <w:rsid w:val="000240C4"/>
    <w:rsid w:val="00030D25"/>
    <w:rsid w:val="00030DBB"/>
    <w:rsid w:val="0003188A"/>
    <w:rsid w:val="00032985"/>
    <w:rsid w:val="00033CEB"/>
    <w:rsid w:val="00036FD2"/>
    <w:rsid w:val="00044CAB"/>
    <w:rsid w:val="00046DFE"/>
    <w:rsid w:val="00050427"/>
    <w:rsid w:val="00053D41"/>
    <w:rsid w:val="00055508"/>
    <w:rsid w:val="00060B0B"/>
    <w:rsid w:val="00062518"/>
    <w:rsid w:val="00063152"/>
    <w:rsid w:val="00063A72"/>
    <w:rsid w:val="000640C7"/>
    <w:rsid w:val="00066215"/>
    <w:rsid w:val="000671F1"/>
    <w:rsid w:val="00070B21"/>
    <w:rsid w:val="00070ED6"/>
    <w:rsid w:val="00070EF3"/>
    <w:rsid w:val="00077247"/>
    <w:rsid w:val="00081BC9"/>
    <w:rsid w:val="000909EB"/>
    <w:rsid w:val="00095A64"/>
    <w:rsid w:val="00095B14"/>
    <w:rsid w:val="00095C4E"/>
    <w:rsid w:val="00096A65"/>
    <w:rsid w:val="000A0E20"/>
    <w:rsid w:val="000A3FD2"/>
    <w:rsid w:val="000B19E9"/>
    <w:rsid w:val="000B1AF5"/>
    <w:rsid w:val="000B2D7C"/>
    <w:rsid w:val="000B7125"/>
    <w:rsid w:val="000C6DCD"/>
    <w:rsid w:val="000C7C82"/>
    <w:rsid w:val="000D22BB"/>
    <w:rsid w:val="000D2E71"/>
    <w:rsid w:val="000D3EFE"/>
    <w:rsid w:val="000D748B"/>
    <w:rsid w:val="000E057B"/>
    <w:rsid w:val="000E128C"/>
    <w:rsid w:val="000E1F0C"/>
    <w:rsid w:val="000E275C"/>
    <w:rsid w:val="000E483F"/>
    <w:rsid w:val="000E5A48"/>
    <w:rsid w:val="000E7A99"/>
    <w:rsid w:val="000F1049"/>
    <w:rsid w:val="000F5CE6"/>
    <w:rsid w:val="00100F86"/>
    <w:rsid w:val="00105F91"/>
    <w:rsid w:val="001132AD"/>
    <w:rsid w:val="00115372"/>
    <w:rsid w:val="00124A1B"/>
    <w:rsid w:val="00143277"/>
    <w:rsid w:val="001445E4"/>
    <w:rsid w:val="00144A62"/>
    <w:rsid w:val="00150B26"/>
    <w:rsid w:val="00154A2B"/>
    <w:rsid w:val="00156FCF"/>
    <w:rsid w:val="00157004"/>
    <w:rsid w:val="001577E4"/>
    <w:rsid w:val="00162289"/>
    <w:rsid w:val="001661A8"/>
    <w:rsid w:val="001705CF"/>
    <w:rsid w:val="00175B04"/>
    <w:rsid w:val="0018373E"/>
    <w:rsid w:val="0018469B"/>
    <w:rsid w:val="00184FC3"/>
    <w:rsid w:val="00186511"/>
    <w:rsid w:val="0019085C"/>
    <w:rsid w:val="00191782"/>
    <w:rsid w:val="001923DD"/>
    <w:rsid w:val="00194702"/>
    <w:rsid w:val="001A0E47"/>
    <w:rsid w:val="001A5935"/>
    <w:rsid w:val="001B2BF4"/>
    <w:rsid w:val="001C2F60"/>
    <w:rsid w:val="001C65B5"/>
    <w:rsid w:val="001D0FA0"/>
    <w:rsid w:val="001D3C04"/>
    <w:rsid w:val="001D6507"/>
    <w:rsid w:val="001D6F4A"/>
    <w:rsid w:val="001E4CE7"/>
    <w:rsid w:val="001E6748"/>
    <w:rsid w:val="001E67A5"/>
    <w:rsid w:val="001E754D"/>
    <w:rsid w:val="0020434A"/>
    <w:rsid w:val="00207E63"/>
    <w:rsid w:val="00211B2A"/>
    <w:rsid w:val="00212ADD"/>
    <w:rsid w:val="002144BC"/>
    <w:rsid w:val="00224286"/>
    <w:rsid w:val="0022435B"/>
    <w:rsid w:val="0023024D"/>
    <w:rsid w:val="00233335"/>
    <w:rsid w:val="00234AE2"/>
    <w:rsid w:val="00241069"/>
    <w:rsid w:val="00241238"/>
    <w:rsid w:val="00241ACE"/>
    <w:rsid w:val="00241C69"/>
    <w:rsid w:val="00243516"/>
    <w:rsid w:val="00243819"/>
    <w:rsid w:val="0024541C"/>
    <w:rsid w:val="00247BB5"/>
    <w:rsid w:val="00256BE3"/>
    <w:rsid w:val="00266F48"/>
    <w:rsid w:val="00270AE5"/>
    <w:rsid w:val="00271242"/>
    <w:rsid w:val="0027186C"/>
    <w:rsid w:val="002730D8"/>
    <w:rsid w:val="00280FCB"/>
    <w:rsid w:val="00281473"/>
    <w:rsid w:val="00282D46"/>
    <w:rsid w:val="002923A6"/>
    <w:rsid w:val="002929F7"/>
    <w:rsid w:val="00294FB1"/>
    <w:rsid w:val="00297D19"/>
    <w:rsid w:val="002A27A2"/>
    <w:rsid w:val="002A2BDD"/>
    <w:rsid w:val="002A4115"/>
    <w:rsid w:val="002B1648"/>
    <w:rsid w:val="002B31F3"/>
    <w:rsid w:val="002C57F4"/>
    <w:rsid w:val="002C7407"/>
    <w:rsid w:val="002C79BA"/>
    <w:rsid w:val="002D048A"/>
    <w:rsid w:val="002D0B08"/>
    <w:rsid w:val="002D1CED"/>
    <w:rsid w:val="002D4D56"/>
    <w:rsid w:val="002D6D79"/>
    <w:rsid w:val="002D7F32"/>
    <w:rsid w:val="002E1B28"/>
    <w:rsid w:val="002F3746"/>
    <w:rsid w:val="00316CF5"/>
    <w:rsid w:val="00316D2C"/>
    <w:rsid w:val="003214A4"/>
    <w:rsid w:val="0032745A"/>
    <w:rsid w:val="00330974"/>
    <w:rsid w:val="00330EC9"/>
    <w:rsid w:val="00333A39"/>
    <w:rsid w:val="00344A49"/>
    <w:rsid w:val="0034540C"/>
    <w:rsid w:val="00347C65"/>
    <w:rsid w:val="003529B3"/>
    <w:rsid w:val="003652F0"/>
    <w:rsid w:val="00366151"/>
    <w:rsid w:val="0036662A"/>
    <w:rsid w:val="00377848"/>
    <w:rsid w:val="00377F96"/>
    <w:rsid w:val="00382206"/>
    <w:rsid w:val="003865B8"/>
    <w:rsid w:val="00391584"/>
    <w:rsid w:val="0039259D"/>
    <w:rsid w:val="00397AD7"/>
    <w:rsid w:val="003A1AD9"/>
    <w:rsid w:val="003A332E"/>
    <w:rsid w:val="003B2FAE"/>
    <w:rsid w:val="003B6643"/>
    <w:rsid w:val="003B726A"/>
    <w:rsid w:val="003C6054"/>
    <w:rsid w:val="003D4EB4"/>
    <w:rsid w:val="003E09D5"/>
    <w:rsid w:val="003E12B9"/>
    <w:rsid w:val="003E77A4"/>
    <w:rsid w:val="003F5676"/>
    <w:rsid w:val="003F7DF8"/>
    <w:rsid w:val="00403391"/>
    <w:rsid w:val="0040628C"/>
    <w:rsid w:val="004110E0"/>
    <w:rsid w:val="004136A8"/>
    <w:rsid w:val="00414392"/>
    <w:rsid w:val="004161D7"/>
    <w:rsid w:val="00417DC7"/>
    <w:rsid w:val="00421AD5"/>
    <w:rsid w:val="004322A4"/>
    <w:rsid w:val="004378EE"/>
    <w:rsid w:val="00440147"/>
    <w:rsid w:val="00441921"/>
    <w:rsid w:val="00447D74"/>
    <w:rsid w:val="00452AAF"/>
    <w:rsid w:val="00452FA3"/>
    <w:rsid w:val="00454CD1"/>
    <w:rsid w:val="00455305"/>
    <w:rsid w:val="004631DA"/>
    <w:rsid w:val="004639C4"/>
    <w:rsid w:val="00463C64"/>
    <w:rsid w:val="00475D1E"/>
    <w:rsid w:val="00475E13"/>
    <w:rsid w:val="00482B56"/>
    <w:rsid w:val="0048446B"/>
    <w:rsid w:val="004853EA"/>
    <w:rsid w:val="00485F22"/>
    <w:rsid w:val="004866C1"/>
    <w:rsid w:val="00486CBD"/>
    <w:rsid w:val="00487204"/>
    <w:rsid w:val="004876E5"/>
    <w:rsid w:val="004923DB"/>
    <w:rsid w:val="004928D4"/>
    <w:rsid w:val="004A0897"/>
    <w:rsid w:val="004A42BF"/>
    <w:rsid w:val="004A5F41"/>
    <w:rsid w:val="004A6A07"/>
    <w:rsid w:val="004A704E"/>
    <w:rsid w:val="004B23C4"/>
    <w:rsid w:val="004B2CD5"/>
    <w:rsid w:val="004B47E2"/>
    <w:rsid w:val="004B5C52"/>
    <w:rsid w:val="004C1CE4"/>
    <w:rsid w:val="004C44BD"/>
    <w:rsid w:val="004C58E9"/>
    <w:rsid w:val="004D11D5"/>
    <w:rsid w:val="004D1FB6"/>
    <w:rsid w:val="004D5FC3"/>
    <w:rsid w:val="004D66FF"/>
    <w:rsid w:val="004D6DD9"/>
    <w:rsid w:val="004E0590"/>
    <w:rsid w:val="004E358F"/>
    <w:rsid w:val="004E5745"/>
    <w:rsid w:val="004E6B69"/>
    <w:rsid w:val="004F001E"/>
    <w:rsid w:val="005004F3"/>
    <w:rsid w:val="005054C5"/>
    <w:rsid w:val="00510A85"/>
    <w:rsid w:val="00511B1D"/>
    <w:rsid w:val="0051685D"/>
    <w:rsid w:val="005206B0"/>
    <w:rsid w:val="00520904"/>
    <w:rsid w:val="00527115"/>
    <w:rsid w:val="0053023F"/>
    <w:rsid w:val="005303DC"/>
    <w:rsid w:val="00530480"/>
    <w:rsid w:val="0053065D"/>
    <w:rsid w:val="0053182B"/>
    <w:rsid w:val="00534DC8"/>
    <w:rsid w:val="0054453C"/>
    <w:rsid w:val="00547C74"/>
    <w:rsid w:val="005516A5"/>
    <w:rsid w:val="005533C2"/>
    <w:rsid w:val="00563838"/>
    <w:rsid w:val="00563B3D"/>
    <w:rsid w:val="005671CE"/>
    <w:rsid w:val="00571253"/>
    <w:rsid w:val="00571760"/>
    <w:rsid w:val="0057371A"/>
    <w:rsid w:val="00581B51"/>
    <w:rsid w:val="005903F9"/>
    <w:rsid w:val="00593EE0"/>
    <w:rsid w:val="005953D7"/>
    <w:rsid w:val="00597AFF"/>
    <w:rsid w:val="005A0AC7"/>
    <w:rsid w:val="005A3FE6"/>
    <w:rsid w:val="005A4A5F"/>
    <w:rsid w:val="005A771F"/>
    <w:rsid w:val="005B09A6"/>
    <w:rsid w:val="005B1293"/>
    <w:rsid w:val="005B79FB"/>
    <w:rsid w:val="005B7C13"/>
    <w:rsid w:val="005C11A9"/>
    <w:rsid w:val="005C492A"/>
    <w:rsid w:val="005C5B4A"/>
    <w:rsid w:val="005C5ECB"/>
    <w:rsid w:val="005D1053"/>
    <w:rsid w:val="005E0604"/>
    <w:rsid w:val="005E1221"/>
    <w:rsid w:val="005E5744"/>
    <w:rsid w:val="005F038F"/>
    <w:rsid w:val="005F0F88"/>
    <w:rsid w:val="005F69AF"/>
    <w:rsid w:val="006078D1"/>
    <w:rsid w:val="00607C88"/>
    <w:rsid w:val="006106A7"/>
    <w:rsid w:val="0061080B"/>
    <w:rsid w:val="00611C52"/>
    <w:rsid w:val="00613BBB"/>
    <w:rsid w:val="00615ACB"/>
    <w:rsid w:val="006176CD"/>
    <w:rsid w:val="006179ED"/>
    <w:rsid w:val="006259D7"/>
    <w:rsid w:val="00626D21"/>
    <w:rsid w:val="006301B9"/>
    <w:rsid w:val="00631726"/>
    <w:rsid w:val="00633EC5"/>
    <w:rsid w:val="006351B9"/>
    <w:rsid w:val="00635B87"/>
    <w:rsid w:val="006507EE"/>
    <w:rsid w:val="00652435"/>
    <w:rsid w:val="006605F0"/>
    <w:rsid w:val="00661D02"/>
    <w:rsid w:val="00663433"/>
    <w:rsid w:val="006643D7"/>
    <w:rsid w:val="00665BE2"/>
    <w:rsid w:val="0067708D"/>
    <w:rsid w:val="0067787C"/>
    <w:rsid w:val="00677A52"/>
    <w:rsid w:val="00677B1E"/>
    <w:rsid w:val="00677C93"/>
    <w:rsid w:val="006824CC"/>
    <w:rsid w:val="006836FA"/>
    <w:rsid w:val="00684EB7"/>
    <w:rsid w:val="00686E67"/>
    <w:rsid w:val="00690AB6"/>
    <w:rsid w:val="00690B46"/>
    <w:rsid w:val="00696DBF"/>
    <w:rsid w:val="00696E7D"/>
    <w:rsid w:val="006A1E78"/>
    <w:rsid w:val="006A22E2"/>
    <w:rsid w:val="006A2F8E"/>
    <w:rsid w:val="006A4F4B"/>
    <w:rsid w:val="006B0D85"/>
    <w:rsid w:val="006B526A"/>
    <w:rsid w:val="006B75D2"/>
    <w:rsid w:val="006C0163"/>
    <w:rsid w:val="006C3D2E"/>
    <w:rsid w:val="006D1718"/>
    <w:rsid w:val="006D2DFE"/>
    <w:rsid w:val="006D340F"/>
    <w:rsid w:val="006E05A9"/>
    <w:rsid w:val="006E0B8B"/>
    <w:rsid w:val="006E16C9"/>
    <w:rsid w:val="006E5A2E"/>
    <w:rsid w:val="006E5D3F"/>
    <w:rsid w:val="006E67AE"/>
    <w:rsid w:val="006E798D"/>
    <w:rsid w:val="006E7C89"/>
    <w:rsid w:val="006F23CE"/>
    <w:rsid w:val="006F3359"/>
    <w:rsid w:val="006F3486"/>
    <w:rsid w:val="0070221E"/>
    <w:rsid w:val="007070F4"/>
    <w:rsid w:val="00707C95"/>
    <w:rsid w:val="00710DD2"/>
    <w:rsid w:val="007214CD"/>
    <w:rsid w:val="0072623F"/>
    <w:rsid w:val="007263AF"/>
    <w:rsid w:val="00727011"/>
    <w:rsid w:val="007350FF"/>
    <w:rsid w:val="00735E61"/>
    <w:rsid w:val="00741C32"/>
    <w:rsid w:val="00742585"/>
    <w:rsid w:val="00747BC9"/>
    <w:rsid w:val="00751DDD"/>
    <w:rsid w:val="007537EC"/>
    <w:rsid w:val="00760318"/>
    <w:rsid w:val="00761496"/>
    <w:rsid w:val="00761F33"/>
    <w:rsid w:val="00762E1B"/>
    <w:rsid w:val="007769FC"/>
    <w:rsid w:val="007838B6"/>
    <w:rsid w:val="0078534B"/>
    <w:rsid w:val="00787C89"/>
    <w:rsid w:val="00791279"/>
    <w:rsid w:val="00795693"/>
    <w:rsid w:val="007972A2"/>
    <w:rsid w:val="007A31A6"/>
    <w:rsid w:val="007B173B"/>
    <w:rsid w:val="007B3E81"/>
    <w:rsid w:val="007C1CA1"/>
    <w:rsid w:val="007D3038"/>
    <w:rsid w:val="007D42C6"/>
    <w:rsid w:val="007E1501"/>
    <w:rsid w:val="007E33DA"/>
    <w:rsid w:val="007E69B5"/>
    <w:rsid w:val="007F5F38"/>
    <w:rsid w:val="007F6ACB"/>
    <w:rsid w:val="0080172F"/>
    <w:rsid w:val="00804FB3"/>
    <w:rsid w:val="00811BF1"/>
    <w:rsid w:val="008127AF"/>
    <w:rsid w:val="00814122"/>
    <w:rsid w:val="0081474D"/>
    <w:rsid w:val="00817EF3"/>
    <w:rsid w:val="0082428A"/>
    <w:rsid w:val="008359DC"/>
    <w:rsid w:val="00837411"/>
    <w:rsid w:val="00840BCE"/>
    <w:rsid w:val="0085384B"/>
    <w:rsid w:val="0085430B"/>
    <w:rsid w:val="00856EDA"/>
    <w:rsid w:val="008576A6"/>
    <w:rsid w:val="00863BF6"/>
    <w:rsid w:val="00865C80"/>
    <w:rsid w:val="008663E3"/>
    <w:rsid w:val="00880909"/>
    <w:rsid w:val="008820BA"/>
    <w:rsid w:val="00885C3D"/>
    <w:rsid w:val="00887E8E"/>
    <w:rsid w:val="00890A7C"/>
    <w:rsid w:val="008923B9"/>
    <w:rsid w:val="00894683"/>
    <w:rsid w:val="00895748"/>
    <w:rsid w:val="008A3E24"/>
    <w:rsid w:val="008A53CB"/>
    <w:rsid w:val="008A5A0D"/>
    <w:rsid w:val="008B3037"/>
    <w:rsid w:val="008B6687"/>
    <w:rsid w:val="008C3DAE"/>
    <w:rsid w:val="008C4CE9"/>
    <w:rsid w:val="008D4415"/>
    <w:rsid w:val="008D444C"/>
    <w:rsid w:val="008D55D4"/>
    <w:rsid w:val="008D5E6E"/>
    <w:rsid w:val="008D5F38"/>
    <w:rsid w:val="008D6BB7"/>
    <w:rsid w:val="008D7278"/>
    <w:rsid w:val="008E188C"/>
    <w:rsid w:val="008E2069"/>
    <w:rsid w:val="008E3A92"/>
    <w:rsid w:val="008E3C68"/>
    <w:rsid w:val="008F38C3"/>
    <w:rsid w:val="00904C5C"/>
    <w:rsid w:val="009220EC"/>
    <w:rsid w:val="00926630"/>
    <w:rsid w:val="00933886"/>
    <w:rsid w:val="00934F45"/>
    <w:rsid w:val="009422B0"/>
    <w:rsid w:val="00946BC4"/>
    <w:rsid w:val="00947C9D"/>
    <w:rsid w:val="009514FB"/>
    <w:rsid w:val="00954EEB"/>
    <w:rsid w:val="00956C1E"/>
    <w:rsid w:val="00966C8B"/>
    <w:rsid w:val="0097341D"/>
    <w:rsid w:val="00977320"/>
    <w:rsid w:val="009913E3"/>
    <w:rsid w:val="009924A0"/>
    <w:rsid w:val="0099342A"/>
    <w:rsid w:val="009961A8"/>
    <w:rsid w:val="009A1219"/>
    <w:rsid w:val="009A3E23"/>
    <w:rsid w:val="009A662F"/>
    <w:rsid w:val="009A69E1"/>
    <w:rsid w:val="009B2BC0"/>
    <w:rsid w:val="009B3957"/>
    <w:rsid w:val="009B4714"/>
    <w:rsid w:val="009B6E49"/>
    <w:rsid w:val="009B7A40"/>
    <w:rsid w:val="009C1904"/>
    <w:rsid w:val="009C617F"/>
    <w:rsid w:val="009C687C"/>
    <w:rsid w:val="009D3B8E"/>
    <w:rsid w:val="009D3BAD"/>
    <w:rsid w:val="009E1857"/>
    <w:rsid w:val="009E69E2"/>
    <w:rsid w:val="009E7F18"/>
    <w:rsid w:val="009F0535"/>
    <w:rsid w:val="00A00DB1"/>
    <w:rsid w:val="00A05F9C"/>
    <w:rsid w:val="00A076DC"/>
    <w:rsid w:val="00A127C6"/>
    <w:rsid w:val="00A15E82"/>
    <w:rsid w:val="00A17145"/>
    <w:rsid w:val="00A21E9E"/>
    <w:rsid w:val="00A24DB0"/>
    <w:rsid w:val="00A253B6"/>
    <w:rsid w:val="00A26CB7"/>
    <w:rsid w:val="00A2721F"/>
    <w:rsid w:val="00A31C11"/>
    <w:rsid w:val="00A323E0"/>
    <w:rsid w:val="00A34915"/>
    <w:rsid w:val="00A3535C"/>
    <w:rsid w:val="00A35603"/>
    <w:rsid w:val="00A37D8F"/>
    <w:rsid w:val="00A4128B"/>
    <w:rsid w:val="00A442E9"/>
    <w:rsid w:val="00A47552"/>
    <w:rsid w:val="00A47E71"/>
    <w:rsid w:val="00A51B2D"/>
    <w:rsid w:val="00A52651"/>
    <w:rsid w:val="00A52C00"/>
    <w:rsid w:val="00A533D4"/>
    <w:rsid w:val="00A54BBD"/>
    <w:rsid w:val="00A644A1"/>
    <w:rsid w:val="00A65189"/>
    <w:rsid w:val="00A6632E"/>
    <w:rsid w:val="00A7066D"/>
    <w:rsid w:val="00A709C3"/>
    <w:rsid w:val="00A725A8"/>
    <w:rsid w:val="00A73B39"/>
    <w:rsid w:val="00A80ADA"/>
    <w:rsid w:val="00A80EA4"/>
    <w:rsid w:val="00A842A6"/>
    <w:rsid w:val="00A845D7"/>
    <w:rsid w:val="00A91F0C"/>
    <w:rsid w:val="00A937EF"/>
    <w:rsid w:val="00A9443D"/>
    <w:rsid w:val="00AA30C9"/>
    <w:rsid w:val="00AA3EF8"/>
    <w:rsid w:val="00AB0973"/>
    <w:rsid w:val="00AB4283"/>
    <w:rsid w:val="00AC4B6C"/>
    <w:rsid w:val="00AC6352"/>
    <w:rsid w:val="00AC644B"/>
    <w:rsid w:val="00AC64C5"/>
    <w:rsid w:val="00AC73C3"/>
    <w:rsid w:val="00AD5789"/>
    <w:rsid w:val="00AE3CE8"/>
    <w:rsid w:val="00AE4ABF"/>
    <w:rsid w:val="00AE6787"/>
    <w:rsid w:val="00AF029B"/>
    <w:rsid w:val="00AF0898"/>
    <w:rsid w:val="00AF0A0D"/>
    <w:rsid w:val="00AF1F99"/>
    <w:rsid w:val="00AF25D0"/>
    <w:rsid w:val="00AF2A89"/>
    <w:rsid w:val="00B00E19"/>
    <w:rsid w:val="00B058B6"/>
    <w:rsid w:val="00B0591B"/>
    <w:rsid w:val="00B06DF8"/>
    <w:rsid w:val="00B14AA0"/>
    <w:rsid w:val="00B258A3"/>
    <w:rsid w:val="00B259E5"/>
    <w:rsid w:val="00B26628"/>
    <w:rsid w:val="00B3130A"/>
    <w:rsid w:val="00B33BD8"/>
    <w:rsid w:val="00B42F3A"/>
    <w:rsid w:val="00B4351C"/>
    <w:rsid w:val="00B46548"/>
    <w:rsid w:val="00B47BB9"/>
    <w:rsid w:val="00B50B10"/>
    <w:rsid w:val="00B51113"/>
    <w:rsid w:val="00B66D73"/>
    <w:rsid w:val="00B67720"/>
    <w:rsid w:val="00B70A77"/>
    <w:rsid w:val="00B7378D"/>
    <w:rsid w:val="00B748DF"/>
    <w:rsid w:val="00B75709"/>
    <w:rsid w:val="00B7781D"/>
    <w:rsid w:val="00B80C00"/>
    <w:rsid w:val="00B87121"/>
    <w:rsid w:val="00B905D0"/>
    <w:rsid w:val="00B92508"/>
    <w:rsid w:val="00B92EC5"/>
    <w:rsid w:val="00B9676C"/>
    <w:rsid w:val="00BA3F54"/>
    <w:rsid w:val="00BA5083"/>
    <w:rsid w:val="00BA57E5"/>
    <w:rsid w:val="00BA694E"/>
    <w:rsid w:val="00BB0A3F"/>
    <w:rsid w:val="00BB138B"/>
    <w:rsid w:val="00BB7B58"/>
    <w:rsid w:val="00BC5BDA"/>
    <w:rsid w:val="00BD0780"/>
    <w:rsid w:val="00BD17AE"/>
    <w:rsid w:val="00BE1E8F"/>
    <w:rsid w:val="00BE40D2"/>
    <w:rsid w:val="00BE6468"/>
    <w:rsid w:val="00BE6CC1"/>
    <w:rsid w:val="00BF587A"/>
    <w:rsid w:val="00BF5C5F"/>
    <w:rsid w:val="00BF7592"/>
    <w:rsid w:val="00C02E76"/>
    <w:rsid w:val="00C038EA"/>
    <w:rsid w:val="00C13806"/>
    <w:rsid w:val="00C15EAE"/>
    <w:rsid w:val="00C2262B"/>
    <w:rsid w:val="00C23560"/>
    <w:rsid w:val="00C25577"/>
    <w:rsid w:val="00C25B44"/>
    <w:rsid w:val="00C278A3"/>
    <w:rsid w:val="00C3317D"/>
    <w:rsid w:val="00C33E49"/>
    <w:rsid w:val="00C35591"/>
    <w:rsid w:val="00C35A56"/>
    <w:rsid w:val="00C40546"/>
    <w:rsid w:val="00C41BD5"/>
    <w:rsid w:val="00C41EDB"/>
    <w:rsid w:val="00C42FA7"/>
    <w:rsid w:val="00C469DB"/>
    <w:rsid w:val="00C52B5C"/>
    <w:rsid w:val="00C535B1"/>
    <w:rsid w:val="00C5774B"/>
    <w:rsid w:val="00C6260A"/>
    <w:rsid w:val="00C728D0"/>
    <w:rsid w:val="00C72AC6"/>
    <w:rsid w:val="00C730D6"/>
    <w:rsid w:val="00C7415C"/>
    <w:rsid w:val="00C81DDD"/>
    <w:rsid w:val="00C85D29"/>
    <w:rsid w:val="00C916C8"/>
    <w:rsid w:val="00C9227C"/>
    <w:rsid w:val="00C94B40"/>
    <w:rsid w:val="00C96B29"/>
    <w:rsid w:val="00C97E60"/>
    <w:rsid w:val="00CA08AD"/>
    <w:rsid w:val="00CA2E85"/>
    <w:rsid w:val="00CA3ADD"/>
    <w:rsid w:val="00CA3B3D"/>
    <w:rsid w:val="00CA3CB2"/>
    <w:rsid w:val="00CA4007"/>
    <w:rsid w:val="00CA6891"/>
    <w:rsid w:val="00CA6AE7"/>
    <w:rsid w:val="00CB2043"/>
    <w:rsid w:val="00CB2790"/>
    <w:rsid w:val="00CB505F"/>
    <w:rsid w:val="00CB7939"/>
    <w:rsid w:val="00CC5451"/>
    <w:rsid w:val="00CE3166"/>
    <w:rsid w:val="00CE3F94"/>
    <w:rsid w:val="00CE53AB"/>
    <w:rsid w:val="00CF169A"/>
    <w:rsid w:val="00CF1DFC"/>
    <w:rsid w:val="00CF2C5D"/>
    <w:rsid w:val="00CF78C6"/>
    <w:rsid w:val="00CF7C87"/>
    <w:rsid w:val="00D0429B"/>
    <w:rsid w:val="00D14194"/>
    <w:rsid w:val="00D16B4A"/>
    <w:rsid w:val="00D16C72"/>
    <w:rsid w:val="00D245EA"/>
    <w:rsid w:val="00D24AF2"/>
    <w:rsid w:val="00D36D9D"/>
    <w:rsid w:val="00D3775B"/>
    <w:rsid w:val="00D37848"/>
    <w:rsid w:val="00D4190F"/>
    <w:rsid w:val="00D4402A"/>
    <w:rsid w:val="00D44882"/>
    <w:rsid w:val="00D50CF7"/>
    <w:rsid w:val="00D548C8"/>
    <w:rsid w:val="00D54ED4"/>
    <w:rsid w:val="00D554B6"/>
    <w:rsid w:val="00D6001B"/>
    <w:rsid w:val="00D64E07"/>
    <w:rsid w:val="00D66763"/>
    <w:rsid w:val="00D7108A"/>
    <w:rsid w:val="00D72E0A"/>
    <w:rsid w:val="00D73ECD"/>
    <w:rsid w:val="00D74707"/>
    <w:rsid w:val="00D75FA7"/>
    <w:rsid w:val="00D85ACE"/>
    <w:rsid w:val="00D9586E"/>
    <w:rsid w:val="00DA4D1B"/>
    <w:rsid w:val="00DB1D11"/>
    <w:rsid w:val="00DB3586"/>
    <w:rsid w:val="00DB3966"/>
    <w:rsid w:val="00DB5C6B"/>
    <w:rsid w:val="00DC11E3"/>
    <w:rsid w:val="00DC5385"/>
    <w:rsid w:val="00DC61DE"/>
    <w:rsid w:val="00DC769B"/>
    <w:rsid w:val="00DC7728"/>
    <w:rsid w:val="00DC7AB7"/>
    <w:rsid w:val="00DD622B"/>
    <w:rsid w:val="00DD6CB9"/>
    <w:rsid w:val="00DE1BD0"/>
    <w:rsid w:val="00DE27F8"/>
    <w:rsid w:val="00DE55A6"/>
    <w:rsid w:val="00DE693B"/>
    <w:rsid w:val="00E010D9"/>
    <w:rsid w:val="00E14905"/>
    <w:rsid w:val="00E17087"/>
    <w:rsid w:val="00E307F8"/>
    <w:rsid w:val="00E30E83"/>
    <w:rsid w:val="00E314FC"/>
    <w:rsid w:val="00E409B4"/>
    <w:rsid w:val="00E42B0B"/>
    <w:rsid w:val="00E47083"/>
    <w:rsid w:val="00E47926"/>
    <w:rsid w:val="00E52C47"/>
    <w:rsid w:val="00E53DCA"/>
    <w:rsid w:val="00E564EC"/>
    <w:rsid w:val="00E6399A"/>
    <w:rsid w:val="00E72F4B"/>
    <w:rsid w:val="00E8785C"/>
    <w:rsid w:val="00E87AF4"/>
    <w:rsid w:val="00E95B1A"/>
    <w:rsid w:val="00EA47FF"/>
    <w:rsid w:val="00EA49CE"/>
    <w:rsid w:val="00EB6DB9"/>
    <w:rsid w:val="00EB7722"/>
    <w:rsid w:val="00EB7F68"/>
    <w:rsid w:val="00EC036E"/>
    <w:rsid w:val="00EC0828"/>
    <w:rsid w:val="00EC22E0"/>
    <w:rsid w:val="00EC38AE"/>
    <w:rsid w:val="00EC641A"/>
    <w:rsid w:val="00EC6B07"/>
    <w:rsid w:val="00ED0AC3"/>
    <w:rsid w:val="00ED76BF"/>
    <w:rsid w:val="00EE0D2D"/>
    <w:rsid w:val="00EE2A73"/>
    <w:rsid w:val="00EE5396"/>
    <w:rsid w:val="00EE6176"/>
    <w:rsid w:val="00EF0886"/>
    <w:rsid w:val="00EF0A83"/>
    <w:rsid w:val="00EF5D3D"/>
    <w:rsid w:val="00EF6363"/>
    <w:rsid w:val="00F047A9"/>
    <w:rsid w:val="00F063F4"/>
    <w:rsid w:val="00F07C3A"/>
    <w:rsid w:val="00F115EF"/>
    <w:rsid w:val="00F1583A"/>
    <w:rsid w:val="00F15BB7"/>
    <w:rsid w:val="00F15C25"/>
    <w:rsid w:val="00F16636"/>
    <w:rsid w:val="00F17A0F"/>
    <w:rsid w:val="00F201A8"/>
    <w:rsid w:val="00F30E99"/>
    <w:rsid w:val="00F34B89"/>
    <w:rsid w:val="00F36127"/>
    <w:rsid w:val="00F37C02"/>
    <w:rsid w:val="00F43952"/>
    <w:rsid w:val="00F449CA"/>
    <w:rsid w:val="00F45551"/>
    <w:rsid w:val="00F45F44"/>
    <w:rsid w:val="00F46B15"/>
    <w:rsid w:val="00F46DCE"/>
    <w:rsid w:val="00F50C1A"/>
    <w:rsid w:val="00F51170"/>
    <w:rsid w:val="00F56078"/>
    <w:rsid w:val="00F636CC"/>
    <w:rsid w:val="00F65129"/>
    <w:rsid w:val="00F66624"/>
    <w:rsid w:val="00F66BB6"/>
    <w:rsid w:val="00F66C18"/>
    <w:rsid w:val="00F7164D"/>
    <w:rsid w:val="00F74AD4"/>
    <w:rsid w:val="00F760E7"/>
    <w:rsid w:val="00F7759E"/>
    <w:rsid w:val="00F822A7"/>
    <w:rsid w:val="00F8394C"/>
    <w:rsid w:val="00F83B83"/>
    <w:rsid w:val="00F860AD"/>
    <w:rsid w:val="00F865CC"/>
    <w:rsid w:val="00F90E2E"/>
    <w:rsid w:val="00F92810"/>
    <w:rsid w:val="00FA05C8"/>
    <w:rsid w:val="00FA1112"/>
    <w:rsid w:val="00FA1C73"/>
    <w:rsid w:val="00FA2FE9"/>
    <w:rsid w:val="00FB11B0"/>
    <w:rsid w:val="00FB2A58"/>
    <w:rsid w:val="00FB32DA"/>
    <w:rsid w:val="00FC1DE0"/>
    <w:rsid w:val="00FC48EB"/>
    <w:rsid w:val="00FD0EAB"/>
    <w:rsid w:val="00FE2A36"/>
    <w:rsid w:val="00FE47BC"/>
    <w:rsid w:val="00FF329F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27"/>
  <w15:docId w15:val="{A873F7E0-89E4-4626-BDB9-F1F5FAE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010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010D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2E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2E7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2E76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2E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2E76"/>
    <w:rPr>
      <w:rFonts w:eastAsia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DC11E3"/>
    <w:pPr>
      <w:spacing w:after="0"/>
      <w:jc w:val="left"/>
    </w:pPr>
    <w:rPr>
      <w:rFonts w:eastAsia="Times New Roman"/>
      <w:szCs w:val="20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C64C5"/>
    <w:rPr>
      <w:color w:val="800080" w:themeColor="followedHyperlink"/>
      <w:u w:val="single"/>
    </w:rPr>
  </w:style>
  <w:style w:type="paragraph" w:customStyle="1" w:styleId="pf0">
    <w:name w:val="pf0"/>
    <w:basedOn w:val="prastasis"/>
    <w:rsid w:val="007A31A6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Numatytasispastraiposriftas"/>
    <w:rsid w:val="00C9227C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526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2651"/>
    <w:rPr>
      <w:rFonts w:eastAsia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526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2651"/>
    <w:rPr>
      <w:rFonts w:eastAsia="Times New Roman"/>
      <w:szCs w:val="20"/>
      <w:lang w:eastAsia="lt-LT"/>
    </w:rPr>
  </w:style>
  <w:style w:type="character" w:customStyle="1" w:styleId="cf11">
    <w:name w:val="cf11"/>
    <w:basedOn w:val="Numatytasispastraiposriftas"/>
    <w:rsid w:val="00243516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3" ma:contentTypeDescription="Kurkite naują dokumentą." ma:contentTypeScope="" ma:versionID="0db0d795c4cfc52862e4519dfaa73a63">
  <xsd:schema xmlns:xsd="http://www.w3.org/2001/XMLSchema" xmlns:xs="http://www.w3.org/2001/XMLSchema" xmlns:p="http://schemas.microsoft.com/office/2006/metadata/properties" xmlns:ns3="719f2f48-e82b-4af2-ba57-9e7ba8cce623" xmlns:ns4="d2811805-4cad-4ed1-a948-ebb0acb1a4f4" targetNamespace="http://schemas.microsoft.com/office/2006/metadata/properties" ma:root="true" ma:fieldsID="64f837fe9355e325d0dc97417df69f4f" ns3:_="" ns4:_="">
    <xsd:import namespace="719f2f48-e82b-4af2-ba57-9e7ba8cce623"/>
    <xsd:import namespace="d2811805-4cad-4ed1-a948-ebb0acb1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1805-4cad-4ed1-a948-ebb0acb1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DC7B2-3BA9-4B3E-820A-2B2972A87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2929F-4D35-46B6-9635-23F2EC6A20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15E84C-FA8D-4B1E-A0B9-223138485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61B861-47F9-4FC5-AE48-6576CA297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d2811805-4cad-4ed1-a948-ebb0acb1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4666</Words>
  <Characters>2661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Vilija Riškienė</cp:lastModifiedBy>
  <cp:revision>4</cp:revision>
  <dcterms:created xsi:type="dcterms:W3CDTF">2024-05-13T11:52:00Z</dcterms:created>
  <dcterms:modified xsi:type="dcterms:W3CDTF">2024-05-14T09:57:00Z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