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1674" w14:textId="0972612F"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DC2D8DA" w:rsidR="007A39F1" w:rsidRPr="00873A28" w:rsidRDefault="0065426E" w:rsidP="6CE1E7ED">
      <w:pPr>
        <w:spacing w:after="0" w:line="240" w:lineRule="auto"/>
        <w:jc w:val="center"/>
        <w:rPr>
          <w:rFonts w:ascii="Times New Roman" w:eastAsia="Times New Roman" w:hAnsi="Times New Roman" w:cs="Times New Roman"/>
          <w:b/>
          <w:bCs/>
          <w:sz w:val="24"/>
          <w:szCs w:val="24"/>
        </w:rPr>
      </w:pPr>
      <w:r w:rsidRPr="0065426E">
        <w:rPr>
          <w:rFonts w:ascii="Times New Roman" w:eastAsia="Times New Roman" w:hAnsi="Times New Roman" w:cs="Times New Roman"/>
          <w:b/>
          <w:bCs/>
          <w:sz w:val="24"/>
          <w:szCs w:val="24"/>
        </w:rPr>
        <w:t>„</w:t>
      </w:r>
      <w:r w:rsidR="009852E0" w:rsidRPr="009852E0">
        <w:rPr>
          <w:rFonts w:ascii="Times New Roman" w:eastAsia="Times New Roman" w:hAnsi="Times New Roman" w:cs="Times New Roman"/>
          <w:b/>
          <w:bCs/>
          <w:sz w:val="24"/>
          <w:szCs w:val="24"/>
        </w:rPr>
        <w:t>MELAGINGOS INFORMACIJOS AUTOMATINIO IDENTIFIKAVIMO TEKSTYNO SUKŪRIMAS</w:t>
      </w:r>
      <w:r w:rsidR="009852E0"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5F0E2E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5426E" w:rsidRPr="0065426E">
        <w:rPr>
          <w:rFonts w:ascii="Times New Roman" w:hAnsi="Times New Roman" w:cs="Times New Roman"/>
          <w:b/>
          <w:bCs/>
          <w:sz w:val="24"/>
          <w:szCs w:val="24"/>
        </w:rPr>
        <w:t>02-10</w:t>
      </w:r>
      <w:r w:rsidR="009852E0">
        <w:rPr>
          <w:rFonts w:ascii="Times New Roman" w:hAnsi="Times New Roman" w:cs="Times New Roman"/>
          <w:b/>
          <w:bCs/>
          <w:sz w:val="24"/>
          <w:szCs w:val="24"/>
        </w:rPr>
        <w:t>4</w:t>
      </w:r>
      <w:r w:rsidR="0065426E" w:rsidRPr="0065426E">
        <w:rPr>
          <w:rFonts w:ascii="Times New Roman" w:hAnsi="Times New Roman" w:cs="Times New Roman"/>
          <w:b/>
          <w:bCs/>
          <w:sz w:val="24"/>
          <w:szCs w:val="24"/>
        </w:rPr>
        <w:t>-P</w:t>
      </w:r>
      <w:r w:rsidR="006E33E6" w:rsidRPr="0065426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971C2" w14:textId="6A9458E2" w:rsidR="0065426E" w:rsidRPr="00DB1103" w:rsidRDefault="0065426E" w:rsidP="0065426E">
      <w:pPr>
        <w:jc w:val="both"/>
        <w:rPr>
          <w:rFonts w:asciiTheme="majorBidi" w:eastAsia="Times New Roman" w:hAnsiTheme="majorBidi" w:cstheme="majorBidi"/>
          <w:color w:val="000000"/>
          <w:lang w:eastAsia="lt-LT" w:bidi="km-KH"/>
        </w:rPr>
      </w:pPr>
      <w:r>
        <w:rPr>
          <w:rFonts w:asciiTheme="majorBidi" w:hAnsiTheme="majorBidi" w:cstheme="majorBidi"/>
        </w:rPr>
        <w:t xml:space="preserve">                </w:t>
      </w:r>
      <w:r w:rsidRPr="009E0861">
        <w:rPr>
          <w:rFonts w:asciiTheme="majorBidi" w:hAnsiTheme="majorBidi" w:cstheme="majorBidi"/>
        </w:rPr>
        <w:t>Kvietimas parengtas</w:t>
      </w:r>
      <w:r w:rsidRPr="009E0861">
        <w:rPr>
          <w:rFonts w:asciiTheme="majorBidi" w:hAnsiTheme="majorBidi" w:cstheme="majorBidi"/>
          <w:i/>
          <w:iCs/>
          <w:color w:val="808080" w:themeColor="background1" w:themeShade="80"/>
        </w:rPr>
        <w:t xml:space="preserve"> </w:t>
      </w:r>
      <w:r w:rsidRPr="009E0861">
        <w:rPr>
          <w:rFonts w:asciiTheme="majorBidi" w:hAnsiTheme="majorBidi" w:cstheme="majorBidi"/>
        </w:rPr>
        <w:t xml:space="preserve">vadovaujantis </w:t>
      </w:r>
      <w:r w:rsidRPr="009E0861">
        <w:rPr>
          <w:rFonts w:asciiTheme="majorBidi" w:hAnsiTheme="majorBidi" w:cstheme="majorBidi"/>
          <w:iCs/>
        </w:rPr>
        <w:t xml:space="preserve">2021–2030 metų </w:t>
      </w:r>
      <w:r w:rsidRPr="009E0861">
        <w:rPr>
          <w:rFonts w:asciiTheme="majorBidi" w:hAnsiTheme="majorBidi" w:cstheme="majorBidi"/>
          <w:szCs w:val="24"/>
          <w:shd w:val="clear" w:color="auto" w:fill="FFFFFF"/>
        </w:rPr>
        <w:t>Lietuvos Respublikos</w:t>
      </w:r>
      <w:r w:rsidRPr="009E0861">
        <w:rPr>
          <w:rFonts w:asciiTheme="majorBidi" w:hAnsiTheme="majorBidi" w:cstheme="majorBidi"/>
          <w:b/>
          <w:bCs/>
          <w:szCs w:val="24"/>
          <w:shd w:val="clear" w:color="auto" w:fill="FFFFFF"/>
        </w:rPr>
        <w:t xml:space="preserve"> </w:t>
      </w:r>
      <w:r w:rsidRPr="009E0861">
        <w:rPr>
          <w:rFonts w:asciiTheme="majorBidi" w:hAnsiTheme="majorBidi" w:cstheme="majorBidi"/>
          <w:iCs/>
        </w:rPr>
        <w:t xml:space="preserve">Ekonomikos ir inovacijų ministerijos valstybės skaitmeninimo plėtros programos pažangos priemonės Nr. 05-002-01-07-08 „Kurti technologinius sprendimus ir įrankius, leidžiančius saugiai ir patogiai naudotis paslaugomis“ veiklos </w:t>
      </w:r>
      <w:r w:rsidRPr="009E0861">
        <w:rPr>
          <w:rFonts w:asciiTheme="majorBidi" w:hAnsiTheme="majorBidi" w:cstheme="majorBidi"/>
          <w:bCs/>
        </w:rPr>
        <w:t>„</w:t>
      </w:r>
      <w:r w:rsidRPr="009E0861">
        <w:rPr>
          <w:rFonts w:asciiTheme="majorBidi" w:eastAsia="Calibri" w:hAnsiTheme="majorBidi" w:cstheme="majorBidi"/>
          <w:i/>
          <w:iCs/>
        </w:rPr>
        <w:t>Kalbinių išteklių dirbtinio intelekto technologijų sprendimų poreikiams plėtra</w:t>
      </w:r>
      <w:r w:rsidRPr="009E0861">
        <w:rPr>
          <w:rFonts w:asciiTheme="majorBidi" w:hAnsiTheme="majorBidi" w:cstheme="majorBidi"/>
        </w:rPr>
        <w:t xml:space="preserve">“ </w:t>
      </w:r>
      <w:r w:rsidRPr="009E0861">
        <w:rPr>
          <w:rFonts w:asciiTheme="majorBidi" w:hAnsiTheme="majorBidi" w:cstheme="majorBidi"/>
          <w:iCs/>
        </w:rPr>
        <w:t xml:space="preserve"> projektų finansavimo sąlygų aprašu Nr.</w:t>
      </w:r>
      <w:r>
        <w:rPr>
          <w:rFonts w:asciiTheme="majorBidi" w:hAnsiTheme="majorBidi" w:cstheme="majorBidi"/>
          <w:iCs/>
          <w:lang w:val="en-US"/>
        </w:rPr>
        <w:t>6</w:t>
      </w:r>
      <w:r w:rsidRPr="009E0861">
        <w:rPr>
          <w:rFonts w:asciiTheme="majorBidi" w:hAnsiTheme="majorBidi" w:cstheme="majorBidi"/>
          <w:iCs/>
        </w:rPr>
        <w:t xml:space="preserve"> (toliau - Aprašas), patvirtintu Lietuvos Respublikos ekonomikos ir inovacijų ministro </w:t>
      </w:r>
      <w:r w:rsidRPr="008B2692">
        <w:rPr>
          <w:rFonts w:asciiTheme="majorBidi" w:hAnsiTheme="majorBidi" w:cstheme="majorBidi"/>
          <w:iCs/>
        </w:rPr>
        <w:t xml:space="preserve">2024 m. balandžio </w:t>
      </w:r>
      <w:r w:rsidR="003C786E" w:rsidRPr="008B2692">
        <w:rPr>
          <w:rFonts w:asciiTheme="majorBidi" w:hAnsiTheme="majorBidi" w:cstheme="majorBidi"/>
          <w:iCs/>
          <w:lang w:val="en-US"/>
        </w:rPr>
        <w:t>25</w:t>
      </w:r>
      <w:r w:rsidRPr="008B2692">
        <w:rPr>
          <w:rFonts w:asciiTheme="majorBidi" w:hAnsiTheme="majorBidi" w:cstheme="majorBidi"/>
          <w:iCs/>
        </w:rPr>
        <w:t xml:space="preserve"> d. įsakymu Nr. 4-2</w:t>
      </w:r>
      <w:r w:rsidR="003C786E" w:rsidRPr="008B2692">
        <w:rPr>
          <w:rFonts w:asciiTheme="majorBidi" w:hAnsiTheme="majorBidi" w:cstheme="majorBidi"/>
          <w:iCs/>
        </w:rPr>
        <w:t>27</w:t>
      </w:r>
      <w:r w:rsidRPr="009E0861">
        <w:rPr>
          <w:rFonts w:asciiTheme="majorBidi" w:hAnsiTheme="majorBidi" w:cstheme="majorBidi"/>
          <w:iCs/>
        </w:rPr>
        <w:t xml:space="preserve">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w:t>
      </w:r>
      <w:r w:rsidRPr="009E0861">
        <w:rPr>
          <w:rFonts w:asciiTheme="majorBidi" w:hAnsiTheme="majorBidi" w:cstheme="majorBidi"/>
          <w:b/>
          <w:bCs/>
          <w:caps/>
          <w:color w:val="00000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65426E" w:rsidRPr="008B168C" w:rsidDel="00CA2776" w14:paraId="44C62C26" w14:textId="562E97D0" w:rsidTr="0FB292A1">
        <w:trPr>
          <w:cantSplit/>
          <w:trHeight w:val="300"/>
        </w:trPr>
        <w:tc>
          <w:tcPr>
            <w:tcW w:w="766" w:type="dxa"/>
          </w:tcPr>
          <w:p w14:paraId="426E2A63" w14:textId="55A79167"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2BF67DF"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05-002-01-07-08</w:t>
            </w:r>
          </w:p>
        </w:tc>
      </w:tr>
      <w:tr w:rsidR="0065426E" w:rsidRPr="008B168C" w:rsidDel="00CA2776" w14:paraId="4A71988D" w14:textId="04D2D981" w:rsidTr="0FB292A1">
        <w:trPr>
          <w:cantSplit/>
          <w:trHeight w:val="300"/>
        </w:trPr>
        <w:tc>
          <w:tcPr>
            <w:tcW w:w="766" w:type="dxa"/>
          </w:tcPr>
          <w:p w14:paraId="01988EC4" w14:textId="3B43C876"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65426E" w:rsidRPr="008B168C" w:rsidDel="00CA2776" w:rsidRDefault="0065426E" w:rsidP="0065426E">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56EEBAB4"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Kurti technologinius sprendimus ir įrankius, leidžiančius saugiai ir patogiai naudotis paslaugomis</w:t>
            </w:r>
          </w:p>
        </w:tc>
      </w:tr>
      <w:tr w:rsidR="0065426E" w:rsidRPr="008B168C" w14:paraId="5DA990B1" w14:textId="2230B236" w:rsidTr="0FB292A1">
        <w:trPr>
          <w:cantSplit/>
        </w:trPr>
        <w:tc>
          <w:tcPr>
            <w:tcW w:w="766" w:type="dxa"/>
          </w:tcPr>
          <w:p w14:paraId="58140413" w14:textId="5A5C75BE"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65426E" w:rsidRPr="008B168C" w:rsidDel="00CA2776" w:rsidRDefault="0065426E" w:rsidP="0065426E">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B813900" w:rsidR="0065426E" w:rsidRPr="004173A5" w:rsidDel="00CA2776" w:rsidRDefault="0065426E" w:rsidP="0065426E">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ekonomikos ir inovacijų</w:t>
            </w:r>
            <w:r w:rsidRPr="003B22E5">
              <w:rPr>
                <w:rFonts w:ascii="Times New Roman" w:hAnsi="Times New Roman" w:cs="Times New Roman"/>
              </w:rPr>
              <w:t xml:space="preserve"> ministerija</w:t>
            </w:r>
          </w:p>
        </w:tc>
      </w:tr>
      <w:tr w:rsidR="0065426E" w:rsidRPr="008B168C" w14:paraId="3CBD5F0B" w14:textId="6E9E9E35" w:rsidTr="0FB292A1">
        <w:trPr>
          <w:cantSplit/>
        </w:trPr>
        <w:tc>
          <w:tcPr>
            <w:tcW w:w="766" w:type="dxa"/>
          </w:tcPr>
          <w:p w14:paraId="66E703E1" w14:textId="46757ADD"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AA781A9"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
                <w:iCs/>
              </w:rPr>
              <w:t>-</w:t>
            </w:r>
          </w:p>
        </w:tc>
      </w:tr>
      <w:tr w:rsidR="0065426E" w:rsidRPr="008B168C" w14:paraId="5BC44C6F" w14:textId="78124DA8" w:rsidTr="0FB292A1">
        <w:trPr>
          <w:cantSplit/>
        </w:trPr>
        <w:tc>
          <w:tcPr>
            <w:tcW w:w="766" w:type="dxa"/>
          </w:tcPr>
          <w:p w14:paraId="47F3F20D" w14:textId="021084AD" w:rsidR="0065426E" w:rsidRPr="00F410EA" w:rsidRDefault="0065426E" w:rsidP="0065426E">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65426E" w:rsidRPr="008B168C" w:rsidDel="00CA2776" w:rsidRDefault="0065426E" w:rsidP="0065426E">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645CC25"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Cs/>
              </w:rPr>
              <w:t>2</w:t>
            </w:r>
            <w:r>
              <w:rPr>
                <w:rFonts w:ascii="Times New Roman" w:hAnsi="Times New Roman" w:cs="Times New Roman"/>
                <w:iCs/>
                <w:lang w:val="en-US"/>
              </w:rPr>
              <w:t>2</w:t>
            </w:r>
            <w:r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Pr>
                <w:rFonts w:ascii="Times New Roman" w:hAnsi="Times New Roman" w:cs="Times New Roman"/>
                <w:iCs/>
              </w:rPr>
              <w:t>aprašas</w:t>
            </w:r>
            <w:r w:rsidR="005744F9">
              <w:rPr>
                <w:rFonts w:ascii="Times New Roman" w:hAnsi="Times New Roman" w:cs="Times New Roman"/>
                <w:iCs/>
              </w:rPr>
              <w:t xml:space="preserve"> </w:t>
            </w:r>
            <w:hyperlink r:id="rId11" w:history="1">
              <w:r w:rsidR="008B2692" w:rsidRPr="0094278B">
                <w:rPr>
                  <w:rStyle w:val="Hyperlink"/>
                  <w:rFonts w:ascii="Times New Roman" w:hAnsi="Times New Roman" w:cs="Times New Roman"/>
                  <w:iCs/>
                </w:rPr>
                <w:t>https://e-seimas.lrs.lt/portal/legalAct/lt/TAD/0041c930021a11edbfe9c72e552dd5bd/asr</w:t>
              </w:r>
            </w:hyperlink>
            <w:r w:rsidR="008B2692">
              <w:rPr>
                <w:rFonts w:ascii="Times New Roman" w:hAnsi="Times New Roman" w:cs="Times New Roman"/>
                <w:iCs/>
              </w:rPr>
              <w:t xml:space="preserve"> </w:t>
            </w:r>
          </w:p>
        </w:tc>
      </w:tr>
    </w:tbl>
    <w:p w14:paraId="1C7900FC" w14:textId="77777777" w:rsidR="00DE0665" w:rsidRDefault="00DE0665">
      <w:r>
        <w:br w:type="page"/>
      </w:r>
    </w:p>
    <w:tbl>
      <w:tblPr>
        <w:tblStyle w:val="TableGrid"/>
        <w:tblW w:w="10065" w:type="dxa"/>
        <w:tblInd w:w="-5" w:type="dxa"/>
        <w:tblLayout w:type="fixed"/>
        <w:tblLook w:val="04A0" w:firstRow="1" w:lastRow="0" w:firstColumn="1" w:lastColumn="0" w:noHBand="0" w:noVBand="1"/>
      </w:tblPr>
      <w:tblGrid>
        <w:gridCol w:w="851"/>
        <w:gridCol w:w="1809"/>
        <w:gridCol w:w="1472"/>
        <w:gridCol w:w="1472"/>
        <w:gridCol w:w="1472"/>
        <w:gridCol w:w="1472"/>
        <w:gridCol w:w="1517"/>
      </w:tblGrid>
      <w:tr w:rsidR="00DC7931" w:rsidRPr="008B168C" w14:paraId="312D3FE8" w14:textId="0770522D" w:rsidTr="008518E6">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518E6">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234FB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8C7DFDE" w:rsidR="001A1453" w:rsidRPr="008B168C" w:rsidRDefault="00234FB2"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34FB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34FB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34FB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34FB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34FB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34FB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34FB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34FB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34FB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34FB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34FB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34FB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34FB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34FB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34FB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34FB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34FB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34FB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34FB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34FB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518E6">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F4EE97" w:rsidR="00E20AFE" w:rsidRDefault="00234FB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34FB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518E6">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4D429D7F" w:rsidR="00E20AFE" w:rsidRPr="008B168C" w:rsidRDefault="47B38D5F" w:rsidP="008B168C">
            <w:pPr>
              <w:rPr>
                <w:rFonts w:ascii="Times New Roman" w:hAnsi="Times New Roman" w:cs="Times New Roman"/>
              </w:rPr>
            </w:pPr>
            <w:r w:rsidRPr="008B2692">
              <w:rPr>
                <w:rFonts w:ascii="Times New Roman" w:hAnsi="Times New Roman" w:cs="Times New Roman"/>
              </w:rPr>
              <w:t xml:space="preserve">Nuo </w:t>
            </w:r>
            <w:r w:rsidR="00C35111" w:rsidRPr="008B2692">
              <w:rPr>
                <w:rFonts w:ascii="Times New Roman" w:hAnsi="Times New Roman" w:cs="Times New Roman"/>
              </w:rPr>
              <w:t>2024-0</w:t>
            </w:r>
            <w:r w:rsidR="004964F4" w:rsidRPr="008B2692">
              <w:rPr>
                <w:rFonts w:ascii="Times New Roman" w:hAnsi="Times New Roman" w:cs="Times New Roman"/>
              </w:rPr>
              <w:t>5</w:t>
            </w:r>
            <w:r w:rsidR="00C35111" w:rsidRPr="008B2692">
              <w:rPr>
                <w:rFonts w:ascii="Times New Roman" w:hAnsi="Times New Roman" w:cs="Times New Roman"/>
              </w:rPr>
              <w:t>-</w:t>
            </w:r>
            <w:r w:rsidR="004964F4" w:rsidRPr="008B2692">
              <w:rPr>
                <w:rFonts w:ascii="Times New Roman" w:hAnsi="Times New Roman" w:cs="Times New Roman"/>
              </w:rPr>
              <w:t>0</w:t>
            </w:r>
            <w:r w:rsidR="003C786E" w:rsidRPr="008B2692">
              <w:rPr>
                <w:rFonts w:ascii="Times New Roman" w:hAnsi="Times New Roman" w:cs="Times New Roman"/>
              </w:rPr>
              <w:t xml:space="preserve">7 </w:t>
            </w:r>
            <w:r w:rsidR="004964F4" w:rsidRPr="008B2692">
              <w:rPr>
                <w:rFonts w:ascii="Times New Roman" w:hAnsi="Times New Roman" w:cs="Times New Roman"/>
              </w:rPr>
              <w:t>14:00 val.</w:t>
            </w:r>
          </w:p>
        </w:tc>
        <w:tc>
          <w:tcPr>
            <w:tcW w:w="2989" w:type="dxa"/>
            <w:gridSpan w:val="2"/>
          </w:tcPr>
          <w:p w14:paraId="05BA4005" w14:textId="4AAE343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35111">
              <w:rPr>
                <w:rFonts w:ascii="Times New Roman" w:hAnsi="Times New Roman" w:cs="Times New Roman"/>
              </w:rPr>
              <w:t xml:space="preserve">2024-06-30 17:00 val. </w:t>
            </w:r>
          </w:p>
        </w:tc>
      </w:tr>
      <w:tr w:rsidR="00DC7931" w:rsidRPr="008B168C" w14:paraId="0B0CF49A" w14:textId="77777777" w:rsidTr="008518E6">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234FB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F73DD50" w:rsidR="00E20AFE" w:rsidRPr="008B168C" w:rsidRDefault="00234FB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35111">
        <w:trPr>
          <w:cantSplit/>
          <w:trHeight w:val="1438"/>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278296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A03F36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8518E6">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4"/>
          </w:tcPr>
          <w:p w14:paraId="0660F1AF" w14:textId="432C1B67" w:rsidR="009C094C" w:rsidRPr="009C094C" w:rsidRDefault="00234FB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234FB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234FB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167FB55" w:rsidR="00F16FC5" w:rsidRPr="009C094C" w:rsidRDefault="00234FB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8518E6">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1641EE" w:rsidR="00E20AFE" w:rsidRPr="00F9272F" w:rsidRDefault="00234FB2"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518E6">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EFDD3A7" w:rsidR="00AF57CF" w:rsidRPr="008B168C" w:rsidRDefault="00234FB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34FB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34FB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34FB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34FB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34FB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2705ED27" w:rsidR="00AF57CF" w:rsidRPr="008B168C" w:rsidRDefault="00AF57CF" w:rsidP="008B168C">
            <w:pPr>
              <w:rPr>
                <w:rFonts w:ascii="Times New Roman" w:hAnsi="Times New Roman" w:cs="Times New Roman"/>
              </w:rPr>
            </w:pPr>
          </w:p>
        </w:tc>
      </w:tr>
      <w:tr w:rsidR="00AC029E" w:rsidRPr="008B168C" w14:paraId="25CEBC2E" w14:textId="77777777" w:rsidTr="008518E6">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8518E6">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32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234FB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34FB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34FB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518E6">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32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234FB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34FB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34FB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34FB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34FB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518E6">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32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234FB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34FB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34FB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573CD5A3" w:rsidR="00AC029E" w:rsidRDefault="00234FB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34FB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518E6">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2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234FB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34FB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34FB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34FB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518E6">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2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234FB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34FB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234FB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518E6">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2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234FB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34FB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34FB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34FB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34FB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34FB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34FB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34FB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518E6">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32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234FB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518E6">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32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234FB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34FB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34FB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34FB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34FB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518E6">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2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234FB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34FB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34FB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34FB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234FB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34FB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34FB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518E6">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2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234FB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34FB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852E0">
        <w:trPr>
          <w:cantSplit/>
          <w:trHeight w:val="1122"/>
        </w:trPr>
        <w:tc>
          <w:tcPr>
            <w:tcW w:w="851" w:type="dxa"/>
            <w:vMerge/>
          </w:tcPr>
          <w:p w14:paraId="4EBC9473" w14:textId="77777777" w:rsidR="00AC029E" w:rsidRDefault="00AC029E" w:rsidP="00AC029E">
            <w:pPr>
              <w:rPr>
                <w:rFonts w:ascii="Times New Roman" w:hAnsi="Times New Roman" w:cs="Times New Roman"/>
              </w:rPr>
            </w:pPr>
          </w:p>
        </w:tc>
        <w:tc>
          <w:tcPr>
            <w:tcW w:w="32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234FB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34FB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34FB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34FB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34FB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34FB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34FB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34FB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34FB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34FB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8518E6">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2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234FB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34FB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518E6">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2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234FB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518E6">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234FB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518E6">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2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234FB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518E6">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2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234FB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544CCB" w:rsidRPr="008B168C" w14:paraId="31C64C77" w14:textId="77777777" w:rsidTr="008518E6">
        <w:trPr>
          <w:cantSplit/>
          <w:trHeight w:val="300"/>
        </w:trPr>
        <w:tc>
          <w:tcPr>
            <w:tcW w:w="851" w:type="dxa"/>
          </w:tcPr>
          <w:p w14:paraId="31C64C74" w14:textId="4AFC1E04"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2.10</w:t>
            </w:r>
          </w:p>
        </w:tc>
        <w:tc>
          <w:tcPr>
            <w:tcW w:w="3281" w:type="dxa"/>
            <w:gridSpan w:val="2"/>
          </w:tcPr>
          <w:p w14:paraId="31C64C75" w14:textId="45184EA7" w:rsidR="00544CCB" w:rsidRPr="00A02CA8" w:rsidRDefault="00544CCB" w:rsidP="00544CCB">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31C64C76" w14:textId="50934DE3" w:rsidR="00544CCB" w:rsidRPr="00FF7835" w:rsidRDefault="00891E97" w:rsidP="00544CCB">
            <w:pPr>
              <w:spacing w:line="257" w:lineRule="auto"/>
              <w:rPr>
                <w:rFonts w:ascii="Times New Roman" w:eastAsia="Times New Roman" w:hAnsi="Times New Roman" w:cs="Times New Roman"/>
                <w:i/>
                <w:iCs/>
              </w:rPr>
            </w:pPr>
            <w:r w:rsidRPr="00891E97">
              <w:rPr>
                <w:rFonts w:asciiTheme="majorBidi" w:hAnsiTheme="majorBidi" w:cstheme="majorBidi"/>
              </w:rPr>
              <w:t>4 513</w:t>
            </w:r>
            <w:r>
              <w:rPr>
                <w:rFonts w:asciiTheme="majorBidi" w:hAnsiTheme="majorBidi" w:cstheme="majorBidi"/>
              </w:rPr>
              <w:t> </w:t>
            </w:r>
            <w:r w:rsidRPr="00891E97">
              <w:rPr>
                <w:rFonts w:asciiTheme="majorBidi" w:hAnsiTheme="majorBidi" w:cstheme="majorBidi"/>
              </w:rPr>
              <w:t>300</w:t>
            </w:r>
            <w:r>
              <w:rPr>
                <w:rFonts w:asciiTheme="majorBidi" w:hAnsiTheme="majorBidi" w:cstheme="majorBidi"/>
              </w:rPr>
              <w:t>,00</w:t>
            </w:r>
          </w:p>
        </w:tc>
      </w:tr>
      <w:tr w:rsidR="00544CCB" w14:paraId="497C3D13" w14:textId="77777777" w:rsidTr="008518E6">
        <w:trPr>
          <w:cantSplit/>
          <w:trHeight w:val="300"/>
        </w:trPr>
        <w:tc>
          <w:tcPr>
            <w:tcW w:w="851" w:type="dxa"/>
          </w:tcPr>
          <w:p w14:paraId="3E6320F9" w14:textId="0A012A83"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281" w:type="dxa"/>
            <w:gridSpan w:val="2"/>
          </w:tcPr>
          <w:p w14:paraId="69DD80C2" w14:textId="2A5A39C3" w:rsidR="00544CCB" w:rsidRPr="009C094C" w:rsidRDefault="00544CCB" w:rsidP="00544CCB">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0A51D099" w14:textId="4B7CE192" w:rsidR="00544CCB" w:rsidRPr="004B3E5F" w:rsidRDefault="00234FB2" w:rsidP="00544CCB">
            <w:pPr>
              <w:rPr>
                <w:rFonts w:ascii="Times New Roman" w:hAnsi="Times New Roman" w:cs="Times New Roman"/>
              </w:rPr>
            </w:pPr>
            <w:sdt>
              <w:sdtPr>
                <w:rPr>
                  <w:rFonts w:ascii="Times New Roman" w:hAnsi="Times New Roman" w:cs="Times New Roman"/>
                </w:rPr>
                <w:id w:val="1615406023"/>
                <w:placeholder>
                  <w:docPart w:val="942E6EA9071B4779891285B8E700E362"/>
                </w:placeholder>
                <w14:checkbox>
                  <w14:checked w14:val="0"/>
                  <w14:checkedState w14:val="2612" w14:font="MS Gothic"/>
                  <w14:uncheckedState w14:val="2610" w14:font="MS Gothic"/>
                </w14:checkbox>
              </w:sdtPr>
              <w:sdtEndPr/>
              <w:sdtContent>
                <w:r w:rsidR="00544CCB">
                  <w:rPr>
                    <w:rFonts w:ascii="MS Gothic" w:eastAsia="MS Gothic" w:hAnsi="MS Gothic" w:cs="Times New Roman"/>
                  </w:rPr>
                  <w:t>☐</w:t>
                </w:r>
              </w:sdtContent>
            </w:sdt>
            <w:r w:rsidR="00544CCB" w:rsidRPr="004B3E5F">
              <w:rPr>
                <w:rFonts w:ascii="Times New Roman" w:hAnsi="Times New Roman" w:cs="Times New Roman"/>
              </w:rPr>
              <w:t xml:space="preserve"> Europos regioninės plėtros fondas</w:t>
            </w:r>
            <w:r w:rsidR="00544CCB">
              <w:rPr>
                <w:rFonts w:ascii="Times New Roman" w:hAnsi="Times New Roman" w:cs="Times New Roman"/>
              </w:rPr>
              <w:t xml:space="preserve">_______ </w:t>
            </w:r>
            <w:proofErr w:type="spellStart"/>
            <w:r w:rsidR="00544CCB">
              <w:rPr>
                <w:rFonts w:ascii="Times New Roman" w:hAnsi="Times New Roman" w:cs="Times New Roman"/>
              </w:rPr>
              <w:t>eur</w:t>
            </w:r>
            <w:proofErr w:type="spellEnd"/>
            <w:r w:rsidR="00544CCB">
              <w:rPr>
                <w:rFonts w:ascii="Times New Roman" w:hAnsi="Times New Roman" w:cs="Times New Roman"/>
              </w:rPr>
              <w:t>.</w:t>
            </w:r>
          </w:p>
          <w:p w14:paraId="7FBC27B0" w14:textId="77777777" w:rsidR="00544CCB" w:rsidRPr="004B3E5F" w:rsidRDefault="00544CCB" w:rsidP="00544CC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210D02D4D594BBE8CB0516920CE30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w:t>
            </w:r>
            <w:proofErr w:type="spellStart"/>
            <w:r>
              <w:rPr>
                <w:rFonts w:ascii="Times New Roman" w:hAnsi="Times New Roman" w:cs="Times New Roman"/>
              </w:rPr>
              <w:t>eur</w:t>
            </w:r>
            <w:proofErr w:type="spellEnd"/>
            <w:r>
              <w:rPr>
                <w:rFonts w:ascii="Times New Roman" w:hAnsi="Times New Roman" w:cs="Times New Roman"/>
              </w:rPr>
              <w:t>.</w:t>
            </w:r>
          </w:p>
          <w:p w14:paraId="704B8E49" w14:textId="77777777" w:rsidR="00544CCB" w:rsidRPr="004B3E5F"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59A8EF0B9834F559B15F7E09B31AA4F"/>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w:t>
            </w:r>
            <w:proofErr w:type="spellStart"/>
            <w:r>
              <w:rPr>
                <w:rFonts w:ascii="Times New Roman" w:hAnsi="Times New Roman" w:cs="Times New Roman"/>
              </w:rPr>
              <w:t>eur</w:t>
            </w:r>
            <w:proofErr w:type="spellEnd"/>
            <w:r>
              <w:rPr>
                <w:rFonts w:ascii="Times New Roman" w:hAnsi="Times New Roman" w:cs="Times New Roman"/>
              </w:rPr>
              <w:t>.</w:t>
            </w:r>
          </w:p>
          <w:p w14:paraId="2E1B8C93" w14:textId="1D9E7065" w:rsidR="00544CCB" w:rsidRPr="00FF7835"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1E81BBDE9B246C9A38D1E5277621CD6"/>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w:t>
            </w:r>
            <w:proofErr w:type="spellStart"/>
            <w:r>
              <w:rPr>
                <w:rFonts w:ascii="Times New Roman" w:hAnsi="Times New Roman" w:cs="Times New Roman"/>
              </w:rPr>
              <w:t>eur</w:t>
            </w:r>
            <w:proofErr w:type="spellEnd"/>
            <w:r>
              <w:rPr>
                <w:rFonts w:ascii="Times New Roman" w:hAnsi="Times New Roman" w:cs="Times New Roman"/>
              </w:rPr>
              <w:t>.</w:t>
            </w:r>
          </w:p>
        </w:tc>
      </w:tr>
      <w:tr w:rsidR="00544CCB" w14:paraId="271B680A" w14:textId="77777777" w:rsidTr="008518E6">
        <w:trPr>
          <w:cantSplit/>
          <w:trHeight w:val="300"/>
        </w:trPr>
        <w:tc>
          <w:tcPr>
            <w:tcW w:w="851" w:type="dxa"/>
          </w:tcPr>
          <w:p w14:paraId="683BD898" w14:textId="2EE107E6"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281" w:type="dxa"/>
            <w:gridSpan w:val="2"/>
          </w:tcPr>
          <w:p w14:paraId="62F358A4" w14:textId="7F5198CB" w:rsidR="00544CCB" w:rsidRPr="00AF7303" w:rsidRDefault="00544CCB" w:rsidP="00544CCB">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933" w:type="dxa"/>
            <w:gridSpan w:val="4"/>
          </w:tcPr>
          <w:p w14:paraId="678CE217" w14:textId="75681A94" w:rsidR="00544CCB" w:rsidRPr="009C094C" w:rsidRDefault="00891E97" w:rsidP="00544CCB">
            <w:pPr>
              <w:rPr>
                <w:rFonts w:ascii="Times New Roman" w:eastAsia="Times New Roman" w:hAnsi="Times New Roman" w:cs="Times New Roman"/>
                <w:i/>
                <w:iCs/>
              </w:rPr>
            </w:pPr>
            <w:r w:rsidRPr="00891E97">
              <w:rPr>
                <w:rFonts w:ascii="Times New Roman" w:eastAsia="Times New Roman" w:hAnsi="Times New Roman" w:cs="Times New Roman"/>
              </w:rPr>
              <w:t>3</w:t>
            </w:r>
            <w:r>
              <w:rPr>
                <w:rFonts w:ascii="Times New Roman" w:eastAsia="Times New Roman" w:hAnsi="Times New Roman" w:cs="Times New Roman"/>
              </w:rPr>
              <w:t> </w:t>
            </w:r>
            <w:r w:rsidRPr="00891E97">
              <w:rPr>
                <w:rFonts w:ascii="Times New Roman" w:eastAsia="Times New Roman" w:hAnsi="Times New Roman" w:cs="Times New Roman"/>
              </w:rPr>
              <w:t>73</w:t>
            </w:r>
            <w:r>
              <w:rPr>
                <w:rFonts w:ascii="Times New Roman" w:eastAsia="Times New Roman" w:hAnsi="Times New Roman" w:cs="Times New Roman"/>
              </w:rPr>
              <w:t xml:space="preserve">0 </w:t>
            </w:r>
            <w:r w:rsidRPr="00891E97">
              <w:rPr>
                <w:rFonts w:ascii="Times New Roman" w:eastAsia="Times New Roman" w:hAnsi="Times New Roman" w:cs="Times New Roman"/>
              </w:rPr>
              <w:t>000</w:t>
            </w:r>
            <w:r>
              <w:rPr>
                <w:rFonts w:ascii="Times New Roman" w:eastAsia="Times New Roman" w:hAnsi="Times New Roman" w:cs="Times New Roman"/>
              </w:rPr>
              <w:t>,00</w:t>
            </w:r>
          </w:p>
        </w:tc>
      </w:tr>
      <w:tr w:rsidR="00544CCB" w14:paraId="5E2FCCAF" w14:textId="77777777" w:rsidTr="008518E6">
        <w:trPr>
          <w:cantSplit/>
          <w:trHeight w:val="300"/>
        </w:trPr>
        <w:tc>
          <w:tcPr>
            <w:tcW w:w="851" w:type="dxa"/>
          </w:tcPr>
          <w:p w14:paraId="64258390" w14:textId="5BFAD75D" w:rsidR="00544CCB" w:rsidRPr="00BF5F79" w:rsidRDefault="00544CCB" w:rsidP="00544CCB">
            <w:pPr>
              <w:rPr>
                <w:rFonts w:ascii="Times New Roman" w:hAnsi="Times New Roman" w:cs="Times New Roman"/>
                <w:b/>
                <w:bCs/>
              </w:rPr>
            </w:pPr>
            <w:r w:rsidRPr="61256921">
              <w:rPr>
                <w:rFonts w:ascii="Times New Roman" w:hAnsi="Times New Roman" w:cs="Times New Roman"/>
                <w:b/>
                <w:bCs/>
              </w:rPr>
              <w:t>2.10.3</w:t>
            </w:r>
          </w:p>
        </w:tc>
        <w:tc>
          <w:tcPr>
            <w:tcW w:w="3281" w:type="dxa"/>
            <w:gridSpan w:val="2"/>
          </w:tcPr>
          <w:p w14:paraId="35E2945E" w14:textId="5CB222F6" w:rsidR="00544CCB" w:rsidRPr="009C094C" w:rsidRDefault="00544CCB" w:rsidP="00544CCB">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933" w:type="dxa"/>
            <w:gridSpan w:val="4"/>
          </w:tcPr>
          <w:p w14:paraId="61106740" w14:textId="77777777" w:rsidR="00544CCB" w:rsidRPr="00F229DE" w:rsidRDefault="00234FB2" w:rsidP="00544CC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B3A123DF97E4E1495C5595CD29789CD"/>
                </w:placeholder>
                <w14:checkbox>
                  <w14:checked w14:val="0"/>
                  <w14:checkedState w14:val="2612" w14:font="MS Gothic"/>
                  <w14:uncheckedState w14:val="2610" w14:font="MS Gothic"/>
                </w14:checkbox>
              </w:sdtPr>
              <w:sdtEndPr/>
              <w:sdtContent>
                <w:r w:rsidR="00544CCB" w:rsidRPr="00F229DE">
                  <w:rPr>
                    <w:rFonts w:ascii="MS Gothic" w:eastAsia="MS Gothic" w:hAnsi="MS Gothic" w:cs="Times New Roman"/>
                  </w:rPr>
                  <w:t>☐</w:t>
                </w:r>
                <w:r w:rsidR="00544CCB" w:rsidRPr="00F229DE">
                  <w:rPr>
                    <w:rFonts w:ascii="Times New Roman" w:eastAsia="Times New Roman" w:hAnsi="Times New Roman" w:cs="Times New Roman"/>
                    <w:b/>
                    <w:bCs/>
                  </w:rPr>
                  <w:t xml:space="preserve"> </w:t>
                </w:r>
              </w:sdtContent>
            </w:sdt>
            <w:r w:rsidR="00544CCB" w:rsidRPr="00F229DE">
              <w:rPr>
                <w:rFonts w:ascii="Times New Roman" w:eastAsia="Times New Roman" w:hAnsi="Times New Roman" w:cs="Times New Roman"/>
                <w:b/>
                <w:bCs/>
              </w:rPr>
              <w:t>EAGDP paskolos nepanaudotos lėšos</w:t>
            </w:r>
            <w:r w:rsidR="00544CCB" w:rsidRPr="00F229DE">
              <w:rPr>
                <w:rFonts w:ascii="Times New Roman" w:hAnsi="Times New Roman" w:cs="Times New Roman"/>
              </w:rPr>
              <w:t xml:space="preserve"> _______ </w:t>
            </w:r>
            <w:proofErr w:type="spellStart"/>
            <w:r w:rsidR="00544CCB" w:rsidRPr="00F229DE">
              <w:rPr>
                <w:rFonts w:ascii="Times New Roman" w:hAnsi="Times New Roman" w:cs="Times New Roman"/>
              </w:rPr>
              <w:t>eur</w:t>
            </w:r>
            <w:proofErr w:type="spellEnd"/>
            <w:r w:rsidR="00544CCB" w:rsidRPr="00F229DE">
              <w:rPr>
                <w:rFonts w:ascii="Times New Roman" w:hAnsi="Times New Roman" w:cs="Times New Roman"/>
              </w:rPr>
              <w:t>.</w:t>
            </w:r>
          </w:p>
          <w:p w14:paraId="4D55F317" w14:textId="77777777" w:rsidR="00544CCB" w:rsidRPr="00F229DE" w:rsidRDefault="00544CCB" w:rsidP="00544CCB">
            <w:pPr>
              <w:spacing w:line="257" w:lineRule="auto"/>
              <w:rPr>
                <w:rFonts w:ascii="Times New Roman" w:eastAsia="Times New Roman" w:hAnsi="Times New Roman" w:cs="Times New Roman"/>
                <w:i/>
                <w:iCs/>
              </w:rPr>
            </w:pPr>
          </w:p>
          <w:p w14:paraId="650FD000" w14:textId="5488A3B9" w:rsidR="00544CCB" w:rsidRPr="009C094C" w:rsidRDefault="00544CCB" w:rsidP="00544CCB">
            <w:pPr>
              <w:spacing w:line="257" w:lineRule="auto"/>
              <w:rPr>
                <w:rFonts w:ascii="Times New Roman" w:eastAsia="Times New Roman" w:hAnsi="Times New Roman" w:cs="Times New Roman"/>
                <w:i/>
                <w:iCs/>
              </w:rPr>
            </w:pPr>
          </w:p>
        </w:tc>
      </w:tr>
      <w:tr w:rsidR="00544CCB" w14:paraId="0FFEB7EF" w14:textId="77777777" w:rsidTr="008518E6">
        <w:trPr>
          <w:cantSplit/>
          <w:trHeight w:val="300"/>
        </w:trPr>
        <w:tc>
          <w:tcPr>
            <w:tcW w:w="851" w:type="dxa"/>
          </w:tcPr>
          <w:p w14:paraId="1B6EDBE8" w14:textId="79232DB4" w:rsidR="00544CCB" w:rsidRPr="00BF5F79" w:rsidRDefault="00544CCB" w:rsidP="00544CCB">
            <w:pPr>
              <w:rPr>
                <w:rFonts w:ascii="Times New Roman" w:hAnsi="Times New Roman" w:cs="Times New Roman"/>
                <w:b/>
                <w:bCs/>
              </w:rPr>
            </w:pPr>
            <w:r w:rsidRPr="507D672D">
              <w:rPr>
                <w:rFonts w:ascii="Times New Roman" w:hAnsi="Times New Roman" w:cs="Times New Roman"/>
                <w:b/>
                <w:bCs/>
              </w:rPr>
              <w:t>2.10.4</w:t>
            </w:r>
          </w:p>
        </w:tc>
        <w:tc>
          <w:tcPr>
            <w:tcW w:w="3281" w:type="dxa"/>
            <w:gridSpan w:val="2"/>
          </w:tcPr>
          <w:p w14:paraId="57EECBE1" w14:textId="4E8B737C" w:rsidR="00544CCB" w:rsidRPr="00FF7835" w:rsidRDefault="00544CCB" w:rsidP="00544CCB">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83C84C1" w:rsidR="00544CCB" w:rsidRPr="009C094C" w:rsidRDefault="00544CCB" w:rsidP="00544CCB">
            <w:pPr>
              <w:spacing w:line="257" w:lineRule="auto"/>
              <w:jc w:val="both"/>
              <w:rPr>
                <w:rFonts w:ascii="Times New Roman" w:eastAsia="Times New Roman" w:hAnsi="Times New Roman" w:cs="Times New Roman"/>
                <w:i/>
                <w:iCs/>
              </w:rPr>
            </w:pPr>
          </w:p>
        </w:tc>
      </w:tr>
      <w:tr w:rsidR="00544CCB" w14:paraId="24D4D2BB" w14:textId="77777777" w:rsidTr="008518E6">
        <w:trPr>
          <w:cantSplit/>
          <w:trHeight w:val="300"/>
        </w:trPr>
        <w:tc>
          <w:tcPr>
            <w:tcW w:w="851" w:type="dxa"/>
          </w:tcPr>
          <w:p w14:paraId="79AAA846" w14:textId="5AB432DA" w:rsidR="00544CCB" w:rsidRDefault="00544CCB" w:rsidP="00544CCB">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281" w:type="dxa"/>
            <w:gridSpan w:val="2"/>
          </w:tcPr>
          <w:p w14:paraId="4F03B92F" w14:textId="222E7C33" w:rsidR="00544CCB" w:rsidRPr="00FF7835" w:rsidRDefault="00544CCB" w:rsidP="00544CCB">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4BDD693" w:rsidR="00544CCB" w:rsidRDefault="00544CCB" w:rsidP="00544CCB">
            <w:pPr>
              <w:spacing w:line="257" w:lineRule="auto"/>
              <w:jc w:val="both"/>
              <w:rPr>
                <w:rFonts w:ascii="Times New Roman" w:eastAsia="Times New Roman" w:hAnsi="Times New Roman" w:cs="Times New Roman"/>
                <w:i/>
                <w:iCs/>
              </w:rPr>
            </w:pPr>
          </w:p>
        </w:tc>
      </w:tr>
      <w:tr w:rsidR="00544CCB" w14:paraId="43A34A9E" w14:textId="77777777" w:rsidTr="008518E6">
        <w:trPr>
          <w:cantSplit/>
          <w:trHeight w:val="300"/>
        </w:trPr>
        <w:tc>
          <w:tcPr>
            <w:tcW w:w="851" w:type="dxa"/>
          </w:tcPr>
          <w:p w14:paraId="267D9B46" w14:textId="2C3A3035"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2.10.6</w:t>
            </w:r>
          </w:p>
        </w:tc>
        <w:tc>
          <w:tcPr>
            <w:tcW w:w="3281" w:type="dxa"/>
            <w:gridSpan w:val="2"/>
          </w:tcPr>
          <w:p w14:paraId="315F19A3" w14:textId="1E7B5492" w:rsidR="00544CCB" w:rsidRPr="009C094C" w:rsidRDefault="00544CCB" w:rsidP="00544CCB">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1CF969C4" w14:textId="3024DA8F" w:rsidR="00544CCB" w:rsidRDefault="00891E97" w:rsidP="00544CCB">
            <w:pPr>
              <w:rPr>
                <w:rFonts w:ascii="Times New Roman" w:hAnsi="Times New Roman" w:cs="Times New Roman"/>
                <w:i/>
                <w:iCs/>
              </w:rPr>
            </w:pPr>
            <w:r w:rsidRPr="00891E97">
              <w:rPr>
                <w:rFonts w:ascii="Times New Roman" w:hAnsi="Times New Roman" w:cs="Times New Roman"/>
              </w:rPr>
              <w:t>783</w:t>
            </w:r>
            <w:r>
              <w:rPr>
                <w:rFonts w:ascii="Times New Roman" w:hAnsi="Times New Roman" w:cs="Times New Roman"/>
              </w:rPr>
              <w:t> </w:t>
            </w:r>
            <w:r w:rsidRPr="00891E97">
              <w:rPr>
                <w:rFonts w:ascii="Times New Roman" w:hAnsi="Times New Roman" w:cs="Times New Roman"/>
              </w:rPr>
              <w:t>300</w:t>
            </w:r>
            <w:r>
              <w:rPr>
                <w:rFonts w:ascii="Times New Roman" w:hAnsi="Times New Roman" w:cs="Times New Roman"/>
              </w:rPr>
              <w:t>,00</w:t>
            </w:r>
          </w:p>
        </w:tc>
      </w:tr>
      <w:tr w:rsidR="00544CCB" w14:paraId="2FA854C9" w14:textId="77777777" w:rsidTr="008518E6">
        <w:trPr>
          <w:cantSplit/>
          <w:trHeight w:val="300"/>
        </w:trPr>
        <w:tc>
          <w:tcPr>
            <w:tcW w:w="851" w:type="dxa"/>
          </w:tcPr>
          <w:p w14:paraId="74915AC9" w14:textId="6CD365E0" w:rsidR="00544CCB" w:rsidRPr="00BF5F79" w:rsidRDefault="00544CCB" w:rsidP="00544CCB">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281" w:type="dxa"/>
            <w:gridSpan w:val="2"/>
          </w:tcPr>
          <w:p w14:paraId="2B85F556" w14:textId="60ED2F78"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56A94B6" w:rsidR="00544CCB" w:rsidRPr="00395C6D" w:rsidRDefault="00544CCB" w:rsidP="00544CC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44CCB" w:rsidRPr="008B168C" w14:paraId="31C64C7B" w14:textId="77777777" w:rsidTr="008518E6">
        <w:trPr>
          <w:cantSplit/>
          <w:trHeight w:val="300"/>
        </w:trPr>
        <w:tc>
          <w:tcPr>
            <w:tcW w:w="851" w:type="dxa"/>
          </w:tcPr>
          <w:p w14:paraId="31C64C78" w14:textId="1FB1F8FA"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281" w:type="dxa"/>
            <w:gridSpan w:val="2"/>
          </w:tcPr>
          <w:p w14:paraId="31C64C79" w14:textId="2E61C613" w:rsidR="00544CCB" w:rsidRPr="00A02CA8" w:rsidRDefault="00544CCB" w:rsidP="00544CC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C9B4976" w:rsidR="00544CCB" w:rsidRPr="00B52EB3" w:rsidRDefault="00891E97" w:rsidP="00544CCB">
            <w:pPr>
              <w:rPr>
                <w:rFonts w:ascii="Times New Roman" w:hAnsi="Times New Roman" w:cs="Times New Roman"/>
                <w:i/>
                <w:iCs/>
              </w:rPr>
            </w:pPr>
            <w:r w:rsidRPr="00891E97">
              <w:rPr>
                <w:rFonts w:asciiTheme="majorBidi" w:hAnsiTheme="majorBidi" w:cstheme="majorBidi"/>
              </w:rPr>
              <w:t>4 513</w:t>
            </w:r>
            <w:r>
              <w:rPr>
                <w:rFonts w:asciiTheme="majorBidi" w:hAnsiTheme="majorBidi" w:cstheme="majorBidi"/>
              </w:rPr>
              <w:t> </w:t>
            </w:r>
            <w:r w:rsidRPr="00891E97">
              <w:rPr>
                <w:rFonts w:asciiTheme="majorBidi" w:hAnsiTheme="majorBidi" w:cstheme="majorBidi"/>
              </w:rPr>
              <w:t>300</w:t>
            </w:r>
            <w:r>
              <w:rPr>
                <w:rFonts w:asciiTheme="majorBidi" w:hAnsiTheme="majorBidi" w:cstheme="majorBidi"/>
              </w:rPr>
              <w:t>,00</w:t>
            </w:r>
          </w:p>
        </w:tc>
      </w:tr>
      <w:tr w:rsidR="00AC029E" w:rsidRPr="008B168C" w14:paraId="48E7A593" w14:textId="77777777" w:rsidTr="008518E6">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8518E6">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518E6">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281" w:type="dxa"/>
            <w:gridSpan w:val="2"/>
          </w:tcPr>
          <w:p w14:paraId="48C0C022" w14:textId="6DFEA8B1" w:rsidR="00271A6A" w:rsidRPr="00683191" w:rsidRDefault="00271A6A" w:rsidP="20C58E02">
            <w:pPr>
              <w:spacing w:after="160" w:line="259" w:lineRule="auto"/>
              <w:jc w:val="both"/>
              <w:rPr>
                <w:rFonts w:ascii="Times New Roman" w:eastAsia="Times New Roman" w:hAnsi="Times New Roman" w:cs="Times New Roman"/>
                <w:i/>
                <w:iCs/>
              </w:rPr>
            </w:pPr>
            <w:r w:rsidRPr="00683191">
              <w:rPr>
                <w:rFonts w:asciiTheme="majorBidi" w:hAnsiTheme="majorBidi" w:cstheme="majorBidi"/>
              </w:rPr>
              <w:t>05-002-01-07-08-02-0</w:t>
            </w:r>
            <w:r w:rsidR="0036431A" w:rsidRPr="00683191">
              <w:rPr>
                <w:rFonts w:asciiTheme="majorBidi" w:hAnsiTheme="majorBidi" w:cstheme="majorBidi"/>
                <w:lang w:val="en-US"/>
              </w:rPr>
              <w:t>2</w:t>
            </w:r>
          </w:p>
        </w:tc>
        <w:tc>
          <w:tcPr>
            <w:tcW w:w="5933" w:type="dxa"/>
            <w:gridSpan w:val="4"/>
          </w:tcPr>
          <w:p w14:paraId="2597C47A" w14:textId="38620B34" w:rsidR="00192BFE" w:rsidRPr="00623940" w:rsidRDefault="004934AC" w:rsidP="20C58E02">
            <w:pPr>
              <w:spacing w:after="160" w:line="257" w:lineRule="auto"/>
              <w:jc w:val="both"/>
              <w:rPr>
                <w:rFonts w:ascii="Times New Roman" w:hAnsi="Times New Roman" w:cs="Times New Roman"/>
                <w:highlight w:val="yellow"/>
              </w:rPr>
            </w:pPr>
            <w:r w:rsidRPr="00623940">
              <w:rPr>
                <w:rFonts w:asciiTheme="majorBidi" w:eastAsia="Calibri" w:hAnsiTheme="majorBidi" w:cstheme="majorBidi"/>
              </w:rPr>
              <w:t>Kalbinių išteklių dirbtinio intelekto technologijų sprendimų poreikiams plėtra</w:t>
            </w:r>
            <w:r w:rsidR="004964F4">
              <w:rPr>
                <w:rFonts w:asciiTheme="majorBidi" w:eastAsia="Calibri" w:hAnsiTheme="majorBidi" w:cstheme="majorBidi"/>
              </w:rPr>
              <w:t xml:space="preserve"> (planiniai projektai)</w:t>
            </w:r>
          </w:p>
        </w:tc>
      </w:tr>
      <w:tr w:rsidR="00AC029E" w:rsidRPr="008B168C" w14:paraId="09CF0D37" w14:textId="5E93F9A5" w:rsidTr="008518E6">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208301CF" w:rsidR="00AC029E" w:rsidRPr="007D5687" w:rsidRDefault="000978B1" w:rsidP="2327CC7F">
            <w:pPr>
              <w:rPr>
                <w:rFonts w:asciiTheme="majorBidi" w:hAnsiTheme="majorBidi" w:cstheme="majorBidi"/>
                <w:i/>
                <w:iCs/>
              </w:rPr>
            </w:pPr>
            <w:r w:rsidRPr="007D5687">
              <w:rPr>
                <w:rFonts w:asciiTheme="majorBidi" w:hAnsiTheme="majorBidi" w:cstheme="majorBidi"/>
              </w:rPr>
              <w:t>Viešieji ir privatūs juridiniai asmenys</w:t>
            </w:r>
          </w:p>
        </w:tc>
      </w:tr>
      <w:tr w:rsidR="00AC029E" w:rsidRPr="008B168C" w14:paraId="5DF64BDA" w14:textId="212F7AE2" w:rsidTr="008518E6">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3EADECE" w:rsidR="00AC029E" w:rsidRPr="007D5687" w:rsidRDefault="000978B1" w:rsidP="000978B1">
            <w:pPr>
              <w:widowControl w:val="0"/>
              <w:ind w:left="360" w:hanging="360"/>
              <w:jc w:val="both"/>
              <w:rPr>
                <w:rFonts w:asciiTheme="majorBidi" w:hAnsiTheme="majorBidi" w:cstheme="majorBidi"/>
              </w:rPr>
            </w:pPr>
            <w:r w:rsidRPr="007D5687">
              <w:rPr>
                <w:rFonts w:asciiTheme="majorBidi" w:hAnsiTheme="majorBidi" w:cstheme="majorBidi"/>
              </w:rPr>
              <w:t>Informacinės visuomenės plėtros komitetas</w:t>
            </w:r>
          </w:p>
        </w:tc>
      </w:tr>
      <w:tr w:rsidR="00D548BA" w:rsidRPr="008B168C" w14:paraId="3FA5F900" w14:textId="77777777" w:rsidTr="008518E6">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057FF56" w:rsidR="00625FE0" w:rsidRPr="007D5687" w:rsidRDefault="00234FB2" w:rsidP="00625FE0">
            <w:pPr>
              <w:rPr>
                <w:rFonts w:asciiTheme="majorBidi" w:hAnsiTheme="majorBidi" w:cstheme="majorBidi"/>
                <w:bCs/>
              </w:rPr>
            </w:pPr>
            <w:sdt>
              <w:sdtPr>
                <w:rPr>
                  <w:rFonts w:asciiTheme="majorBidi" w:hAnsiTheme="majorBidi" w:cstheme="majorBidi"/>
                </w:rPr>
                <w:id w:val="-1885633522"/>
                <w:placeholder>
                  <w:docPart w:val="2F57DE59F79C43F7A4ECB89DC4669992"/>
                </w:placeholder>
                <w14:checkbox>
                  <w14:checked w14:val="1"/>
                  <w14:checkedState w14:val="2612" w14:font="MS Gothic"/>
                  <w14:uncheckedState w14:val="2610" w14:font="MS Gothic"/>
                </w14:checkbox>
              </w:sdtPr>
              <w:sdtEndPr/>
              <w:sdtContent>
                <w:r w:rsidR="000978B1" w:rsidRPr="007D5687">
                  <w:rPr>
                    <w:rFonts w:ascii="Segoe UI Symbol" w:eastAsia="MS Gothic" w:hAnsi="Segoe UI Symbol" w:cs="Segoe UI Symbol"/>
                  </w:rPr>
                  <w:t>☒</w:t>
                </w:r>
              </w:sdtContent>
            </w:sdt>
            <w:r w:rsidR="00625FE0" w:rsidRPr="007D5687">
              <w:rPr>
                <w:rFonts w:asciiTheme="majorBidi" w:hAnsiTheme="majorBidi" w:cstheme="majorBidi"/>
                <w:b/>
              </w:rPr>
              <w:t xml:space="preserve"> </w:t>
            </w:r>
            <w:r w:rsidR="00625FE0" w:rsidRPr="007D5687">
              <w:rPr>
                <w:rFonts w:asciiTheme="majorBidi" w:hAnsiTheme="majorBidi" w:cstheme="majorBidi"/>
                <w:bCs/>
              </w:rPr>
              <w:t>Viešasis</w:t>
            </w:r>
          </w:p>
          <w:p w14:paraId="56C669A2" w14:textId="77777777" w:rsidR="00625FE0" w:rsidRPr="007D5687" w:rsidRDefault="00234FB2" w:rsidP="00625FE0">
            <w:pPr>
              <w:rPr>
                <w:rFonts w:asciiTheme="majorBidi" w:hAnsiTheme="majorBidi" w:cstheme="majorBidi"/>
                <w:bCs/>
              </w:rPr>
            </w:pPr>
            <w:sdt>
              <w:sdtPr>
                <w:rPr>
                  <w:rFonts w:asciiTheme="majorBidi" w:hAnsiTheme="majorBidi" w:cstheme="majorBidi"/>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D5687">
                  <w:rPr>
                    <w:rFonts w:ascii="Segoe UI Symbol" w:eastAsia="MS Gothic" w:hAnsi="Segoe UI Symbol" w:cs="Segoe UI Symbol"/>
                    <w:bCs/>
                  </w:rPr>
                  <w:t>☐</w:t>
                </w:r>
              </w:sdtContent>
            </w:sdt>
            <w:r w:rsidR="00625FE0" w:rsidRPr="007D5687">
              <w:rPr>
                <w:rFonts w:asciiTheme="majorBidi" w:hAnsiTheme="majorBidi" w:cstheme="majorBidi"/>
                <w:bCs/>
              </w:rPr>
              <w:t xml:space="preserve"> Privatusis</w:t>
            </w:r>
          </w:p>
          <w:p w14:paraId="187445C9" w14:textId="3661F853" w:rsidR="00625FE0" w:rsidRPr="007D5687" w:rsidRDefault="00625FE0" w:rsidP="00CE0D6A">
            <w:pPr>
              <w:rPr>
                <w:rFonts w:asciiTheme="majorBidi" w:hAnsiTheme="majorBidi" w:cstheme="majorBidi"/>
                <w:i/>
                <w:iCs/>
              </w:rPr>
            </w:pPr>
          </w:p>
        </w:tc>
      </w:tr>
      <w:tr w:rsidR="00D548BA" w:rsidRPr="008B168C" w14:paraId="3D216911" w14:textId="77777777" w:rsidTr="008518E6">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5EB33AF" w:rsidR="00D548BA" w:rsidRPr="007D5687" w:rsidRDefault="000978B1" w:rsidP="00D548BA">
            <w:pPr>
              <w:rPr>
                <w:rFonts w:asciiTheme="majorBidi" w:hAnsiTheme="majorBidi" w:cstheme="majorBidi"/>
                <w:i/>
                <w:iCs/>
              </w:rPr>
            </w:pPr>
            <w:r w:rsidRPr="007D5687">
              <w:rPr>
                <w:rFonts w:asciiTheme="majorBidi" w:hAnsiTheme="majorBidi" w:cstheme="majorBidi"/>
                <w:i/>
                <w:iCs/>
              </w:rPr>
              <w:t>-</w:t>
            </w:r>
          </w:p>
        </w:tc>
      </w:tr>
      <w:tr w:rsidR="00D548BA" w14:paraId="384CD925" w14:textId="77777777" w:rsidTr="008518E6">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5A881C24" w:rsidR="00D548BA" w:rsidRPr="007D5687" w:rsidRDefault="00891E97" w:rsidP="008F62D3">
            <w:pPr>
              <w:jc w:val="both"/>
              <w:rPr>
                <w:rFonts w:asciiTheme="majorBidi" w:hAnsiTheme="majorBidi" w:cstheme="majorBidi"/>
                <w:i/>
                <w:iCs/>
              </w:rPr>
            </w:pPr>
            <w:r w:rsidRPr="00891E97">
              <w:rPr>
                <w:rFonts w:asciiTheme="majorBidi" w:hAnsiTheme="majorBidi" w:cstheme="majorBidi"/>
              </w:rPr>
              <w:t>4 513</w:t>
            </w:r>
            <w:r>
              <w:rPr>
                <w:rFonts w:asciiTheme="majorBidi" w:hAnsiTheme="majorBidi" w:cstheme="majorBidi"/>
              </w:rPr>
              <w:t> </w:t>
            </w:r>
            <w:r w:rsidRPr="00891E97">
              <w:rPr>
                <w:rFonts w:asciiTheme="majorBidi" w:hAnsiTheme="majorBidi" w:cstheme="majorBidi"/>
              </w:rPr>
              <w:t>300</w:t>
            </w:r>
            <w:r>
              <w:rPr>
                <w:rFonts w:asciiTheme="majorBidi" w:hAnsiTheme="majorBidi" w:cstheme="majorBidi"/>
              </w:rPr>
              <w:t>,00</w:t>
            </w:r>
          </w:p>
        </w:tc>
      </w:tr>
      <w:tr w:rsidR="00D548BA" w14:paraId="27CDC5B4" w14:textId="77777777" w:rsidTr="008518E6">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E24BCDD" w:rsidR="00D548BA" w:rsidRDefault="000978B1" w:rsidP="008F62D3">
            <w:pPr>
              <w:jc w:val="both"/>
              <w:rPr>
                <w:rFonts w:ascii="Times New Roman" w:hAnsi="Times New Roman" w:cs="Times New Roman"/>
                <w:i/>
                <w:iCs/>
              </w:rPr>
            </w:pPr>
            <w:r w:rsidRPr="0015439A">
              <w:rPr>
                <w:rFonts w:asciiTheme="majorBidi" w:hAnsiTheme="majorBidi" w:cstheme="majorBidi"/>
                <w:color w:val="000000"/>
                <w:szCs w:val="24"/>
              </w:rPr>
              <w:t>100 proc.</w:t>
            </w:r>
          </w:p>
        </w:tc>
      </w:tr>
      <w:tr w:rsidR="00D548BA" w:rsidRPr="008B168C" w14:paraId="2BB4D75E" w14:textId="77777777" w:rsidTr="008518E6">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F469E32" w:rsidR="00D548BA" w:rsidRPr="006400DE" w:rsidRDefault="000978B1" w:rsidP="00D548BA">
            <w:pPr>
              <w:rPr>
                <w:rFonts w:ascii="Times New Roman" w:hAnsi="Times New Roman" w:cs="Times New Roman"/>
                <w:i/>
                <w:u w:val="single"/>
              </w:rPr>
            </w:pPr>
            <w:r>
              <w:rPr>
                <w:rFonts w:ascii="Times New Roman" w:hAnsi="Times New Roman" w:cs="Times New Roman"/>
                <w:i/>
                <w:u w:val="single"/>
              </w:rPr>
              <w:t>-</w:t>
            </w:r>
          </w:p>
        </w:tc>
      </w:tr>
      <w:tr w:rsidR="00D548BA" w:rsidRPr="008B168C" w14:paraId="68D5E615" w14:textId="77777777" w:rsidTr="008518E6">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8518E6">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6"/>
          </w:tcPr>
          <w:p w14:paraId="794BAC3A" w14:textId="07C69B2D" w:rsidR="000978B1" w:rsidRPr="007F6DD8" w:rsidRDefault="0093333A" w:rsidP="000978B1">
            <w:pPr>
              <w:rPr>
                <w:rFonts w:asciiTheme="majorBidi" w:hAnsiTheme="majorBidi" w:cstheme="majorBidi"/>
                <w:szCs w:val="24"/>
              </w:rPr>
            </w:pPr>
            <w:r>
              <w:rPr>
                <w:rFonts w:asciiTheme="majorBidi" w:hAnsiTheme="majorBidi" w:cstheme="majorBidi"/>
                <w:color w:val="000000"/>
                <w:szCs w:val="24"/>
                <w:lang w:val="en-US"/>
              </w:rPr>
              <w:t xml:space="preserve">1. </w:t>
            </w:r>
            <w:r w:rsidR="000978B1" w:rsidRPr="007F6DD8">
              <w:rPr>
                <w:rFonts w:asciiTheme="majorBidi" w:hAnsiTheme="majorBidi" w:cstheme="majorBidi"/>
                <w:color w:val="000000"/>
                <w:szCs w:val="24"/>
              </w:rPr>
              <w:t xml:space="preserve">Projekto išlaidoms </w:t>
            </w:r>
            <w:r w:rsidR="000978B1" w:rsidRPr="007F6DD8">
              <w:rPr>
                <w:rFonts w:asciiTheme="majorBidi" w:hAnsiTheme="majorBidi" w:cstheme="majorBidi"/>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671B2960"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2. Projekto išlaidos gali būti patirtos iki projekto sutarties pasirašymo, jei tai neprieštarauja Projektų administravimo ir finansavimo taisyklių 294.2.2 papunkčio nuostatoms.</w:t>
            </w:r>
          </w:p>
          <w:p w14:paraId="180F2EE7" w14:textId="77777777" w:rsidR="000978B1" w:rsidRPr="007F6DD8" w:rsidRDefault="000978B1" w:rsidP="000978B1">
            <w:pPr>
              <w:ind w:left="360" w:hanging="360"/>
              <w:rPr>
                <w:rFonts w:asciiTheme="majorBidi" w:hAnsiTheme="majorBidi" w:cstheme="majorBidi"/>
                <w:szCs w:val="24"/>
              </w:rPr>
            </w:pPr>
            <w:r w:rsidRPr="007F6DD8">
              <w:rPr>
                <w:rFonts w:asciiTheme="majorBidi" w:hAnsiTheme="majorBidi" w:cstheme="majorBidi"/>
                <w:iCs/>
                <w:szCs w:val="24"/>
              </w:rPr>
              <w:t xml:space="preserve">3. Projekto vykdytojui gali būti mokamas avansas, vadovaujantis </w:t>
            </w:r>
            <w:r w:rsidRPr="007F6DD8">
              <w:rPr>
                <w:rFonts w:asciiTheme="majorBidi" w:hAnsiTheme="majorBidi" w:cstheme="majorBidi"/>
                <w:szCs w:val="24"/>
              </w:rPr>
              <w:t xml:space="preserve">Projektų administravimo ir finansavimo taisyklių </w:t>
            </w:r>
            <w:r w:rsidRPr="007F6DD8">
              <w:rPr>
                <w:rFonts w:asciiTheme="majorBidi" w:hAnsiTheme="majorBidi" w:cstheme="majorBidi"/>
                <w:iCs/>
                <w:szCs w:val="24"/>
              </w:rPr>
              <w:t xml:space="preserve">153 punktu. </w:t>
            </w:r>
          </w:p>
          <w:p w14:paraId="19872465" w14:textId="77777777" w:rsidR="000978B1" w:rsidRPr="007F6DD8" w:rsidRDefault="000978B1" w:rsidP="000978B1">
            <w:pPr>
              <w:tabs>
                <w:tab w:val="left" w:pos="173"/>
              </w:tabs>
              <w:ind w:left="31" w:hanging="31"/>
              <w:rPr>
                <w:rFonts w:asciiTheme="majorBidi" w:hAnsiTheme="majorBidi" w:cstheme="majorBidi"/>
                <w:szCs w:val="24"/>
              </w:rPr>
            </w:pPr>
            <w:r w:rsidRPr="007F6DD8">
              <w:rPr>
                <w:rFonts w:asciiTheme="majorBidi" w:hAnsiTheme="majorBidi" w:cstheme="majorBidi"/>
                <w:bCs/>
                <w:szCs w:val="24"/>
              </w:rPr>
              <w:t xml:space="preserve">4. </w:t>
            </w:r>
            <w:r w:rsidRPr="007F6DD8">
              <w:rPr>
                <w:rFonts w:asciiTheme="majorBidi" w:hAnsiTheme="majorBidi" w:cstheme="majorBidi"/>
                <w:szCs w:val="24"/>
              </w:rPr>
              <w:t xml:space="preserve">Pridėtinės vertės mokestis (toliau </w:t>
            </w:r>
            <w:r w:rsidRPr="007F6DD8">
              <w:rPr>
                <w:rFonts w:asciiTheme="majorBidi" w:hAnsiTheme="majorBidi" w:cstheme="majorBidi"/>
              </w:rPr>
              <w:t xml:space="preserve">– </w:t>
            </w:r>
            <w:r w:rsidRPr="007F6DD8">
              <w:rPr>
                <w:rFonts w:asciiTheme="majorBidi" w:hAnsiTheme="majorBidi" w:cstheme="majorBidi"/>
                <w:szCs w:val="24"/>
              </w:rPr>
              <w:t>PVM) nėra tinkamas finansuoti  EGADP  lėšomis. PVM gali būti finansuojamas Lietuvos biudžeto lėšomis, vadovaujantis Projektų administravimo ir finansavimo taisyklių ketvirtajame skirsnyje nustatyta tvarka.</w:t>
            </w:r>
          </w:p>
          <w:p w14:paraId="708BED50"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bCs/>
                <w:szCs w:val="24"/>
              </w:rPr>
              <w:t xml:space="preserve">5. </w:t>
            </w:r>
            <w:r w:rsidRPr="007F6DD8">
              <w:rPr>
                <w:rFonts w:asciiTheme="majorBidi" w:hAnsiTheme="majorBidi" w:cstheme="majorBidi"/>
                <w:szCs w:val="24"/>
              </w:rPr>
              <w:t>Netinkamos finansuoti projekto lėšos:</w:t>
            </w:r>
          </w:p>
          <w:p w14:paraId="431BFFDD"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szCs w:val="24"/>
              </w:rPr>
              <w:t>5.1. transporto priemonių pirkimo, lizingo (finansinės nuomos), eksploatavimo ir susijusios išlaidos;</w:t>
            </w:r>
          </w:p>
          <w:p w14:paraId="2433870C"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5.2. žemės pirkimo išlaidos;</w:t>
            </w:r>
          </w:p>
          <w:p w14:paraId="67D08EF4"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5.3. įgyvendinant projektą naudojamo ilgalaikio turto nusidėvėjimo (amortizacijos) sąnaudos;</w:t>
            </w:r>
          </w:p>
          <w:p w14:paraId="47091E4D"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5.4. nepiniginis projekto vykdytojo ir (arba) projekto partnerio įnašas.</w:t>
            </w:r>
          </w:p>
          <w:p w14:paraId="43DC4CE2"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6. </w:t>
            </w:r>
            <w:r w:rsidRPr="007F6DD8">
              <w:rPr>
                <w:rFonts w:asciiTheme="majorBidi" w:hAnsiTheme="majorBidi" w:cstheme="majorBidi"/>
                <w:szCs w:val="24"/>
              </w:rPr>
              <w:t>Kryžminis finansavimas netaikomas.</w:t>
            </w:r>
          </w:p>
          <w:p w14:paraId="757E5CEE"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7. </w:t>
            </w:r>
            <w:r w:rsidRPr="007F6DD8">
              <w:rPr>
                <w:rFonts w:asciiTheme="majorBidi" w:hAnsiTheme="majorBidi" w:cstheme="majorBidi"/>
                <w:color w:val="000000"/>
                <w:szCs w:val="24"/>
              </w:rPr>
              <w:t xml:space="preserve">Didžiausia galima projekto finansuojamoji dalis sudaro 100 proc. visų tinkamų finansuoti projekto išlaidų. </w:t>
            </w:r>
            <w:r w:rsidRPr="007F6DD8">
              <w:rPr>
                <w:rFonts w:asciiTheme="majorBidi" w:hAnsiTheme="majorBidi" w:cstheme="majorBidi"/>
                <w:szCs w:val="24"/>
                <w:lang w:eastAsia="lt-LT"/>
              </w:rPr>
              <w:t>Netinkamos finansuoti išlaidos ir projekto tinkamų finansuoti išlaidų dalis, kurios nepadengia projektui skiriamos finansavimo lėšos, turi būti finansuojamos iš projekto vykdytojo lėšų.</w:t>
            </w:r>
          </w:p>
          <w:p w14:paraId="18FC924D" w14:textId="0BC006B5" w:rsidR="00D548BA" w:rsidRPr="00421A95" w:rsidRDefault="000978B1" w:rsidP="000978B1">
            <w:pPr>
              <w:rPr>
                <w:rFonts w:ascii="Times New Roman" w:hAnsi="Times New Roman" w:cs="Times New Roman"/>
                <w:b/>
              </w:rPr>
            </w:pPr>
            <w:r w:rsidRPr="007F6DD8">
              <w:rPr>
                <w:rFonts w:asciiTheme="majorBidi" w:hAnsiTheme="majorBidi" w:cstheme="majorBidi"/>
                <w:bCs/>
                <w:szCs w:val="24"/>
              </w:rPr>
              <w:t xml:space="preserve">8. </w:t>
            </w:r>
            <w:r w:rsidRPr="007F6DD8">
              <w:rPr>
                <w:rFonts w:asciiTheme="majorBidi" w:hAnsiTheme="majorBidi" w:cstheme="majorBidi"/>
                <w:szCs w:val="24"/>
                <w:lang w:eastAsia="lt-LT"/>
              </w:rPr>
              <w:t>Pareiškėjas ir partneris savo iniciatyva bei savo ir (arba) kitų šaltinių lėšomis gali prisidėti prie projekto įgyvendinimo.</w:t>
            </w:r>
          </w:p>
        </w:tc>
      </w:tr>
      <w:tr w:rsidR="00D548BA" w:rsidRPr="008B168C" w14:paraId="2B662F75" w14:textId="77777777" w:rsidTr="008518E6">
        <w:trPr>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0766D">
        <w:trPr>
          <w:cantSplit/>
          <w:trHeight w:val="573"/>
        </w:trPr>
        <w:tc>
          <w:tcPr>
            <w:tcW w:w="851" w:type="dxa"/>
            <w:vMerge/>
          </w:tcPr>
          <w:p w14:paraId="68308826" w14:textId="77777777" w:rsidR="00D548BA" w:rsidRDefault="00D548BA" w:rsidP="00D548BA">
            <w:pPr>
              <w:rPr>
                <w:rFonts w:ascii="Times New Roman" w:hAnsi="Times New Roman" w:cs="Times New Roman"/>
                <w:b/>
                <w:bCs/>
              </w:rPr>
            </w:pPr>
          </w:p>
        </w:tc>
        <w:tc>
          <w:tcPr>
            <w:tcW w:w="9214" w:type="dxa"/>
            <w:gridSpan w:val="6"/>
          </w:tcPr>
          <w:p w14:paraId="074FE837" w14:textId="031C6A51"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0766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0766D">
            <w:pPr>
              <w:jc w:val="both"/>
              <w:rPr>
                <w:rFonts w:ascii="Times New Roman" w:hAnsi="Times New Roman" w:cs="Times New Roman"/>
                <w:b/>
                <w:bCs/>
                <w:iCs/>
              </w:rPr>
            </w:pPr>
          </w:p>
        </w:tc>
      </w:tr>
      <w:tr w:rsidR="00D548BA" w:rsidRPr="008B168C" w14:paraId="3278484E" w14:textId="1A8BCCD1" w:rsidTr="008518E6">
        <w:trPr>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1809"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0766D" w:rsidRPr="008B168C" w14:paraId="21B23FFB" w14:textId="77777777" w:rsidTr="008518E6">
        <w:trPr>
          <w:cantSplit/>
          <w:trHeight w:val="750"/>
        </w:trPr>
        <w:tc>
          <w:tcPr>
            <w:tcW w:w="851" w:type="dxa"/>
            <w:vMerge/>
          </w:tcPr>
          <w:p w14:paraId="7DE92CC9" w14:textId="77777777" w:rsidR="0040766D" w:rsidRDefault="0040766D" w:rsidP="0040766D">
            <w:pPr>
              <w:rPr>
                <w:rFonts w:ascii="Times New Roman" w:hAnsi="Times New Roman" w:cs="Times New Roman"/>
                <w:b/>
                <w:bCs/>
              </w:rPr>
            </w:pPr>
          </w:p>
        </w:tc>
        <w:tc>
          <w:tcPr>
            <w:tcW w:w="1809" w:type="dxa"/>
          </w:tcPr>
          <w:p w14:paraId="756810F4" w14:textId="759C3B2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FN-01</w:t>
            </w:r>
          </w:p>
        </w:tc>
        <w:tc>
          <w:tcPr>
            <w:tcW w:w="2944" w:type="dxa"/>
            <w:gridSpan w:val="2"/>
          </w:tcPr>
          <w:p w14:paraId="345F5D3F" w14:textId="705A05A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89166C" w14:textId="032B6A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Iki 7 proc. netiesioginių išlaidų fiksuotoji norma.</w:t>
            </w:r>
          </w:p>
        </w:tc>
        <w:tc>
          <w:tcPr>
            <w:tcW w:w="1517" w:type="dxa"/>
            <w:vMerge w:val="restart"/>
          </w:tcPr>
          <w:p w14:paraId="03182D13"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 xml:space="preserve">Supaprastintai apmokamų išlaidų dydžių </w:t>
            </w:r>
            <w:r w:rsidRPr="006B2EA2">
              <w:rPr>
                <w:rFonts w:asciiTheme="majorBidi" w:hAnsiTheme="majorBidi" w:cstheme="majorBidi"/>
                <w:sz w:val="20"/>
                <w:szCs w:val="20"/>
              </w:rPr>
              <w:lastRenderedPageBreak/>
              <w:t>registras yra paskelbtas ES investicijų interneto svetainėje adresu</w:t>
            </w:r>
          </w:p>
          <w:p w14:paraId="2B2E1397" w14:textId="5185E680" w:rsidR="0040766D" w:rsidRDefault="0040766D" w:rsidP="0040766D">
            <w:pPr>
              <w:jc w:val="both"/>
              <w:rPr>
                <w:rFonts w:ascii="Times New Roman" w:eastAsia="Times New Roman" w:hAnsi="Times New Roman" w:cs="Times New Roman"/>
                <w:i/>
                <w:iCs/>
              </w:rPr>
            </w:pPr>
            <w:r w:rsidRPr="006B2EA2">
              <w:rPr>
                <w:rFonts w:asciiTheme="majorBidi" w:hAnsiTheme="majorBidi" w:cstheme="majorBidi"/>
                <w:color w:val="0563C1"/>
                <w:sz w:val="20"/>
                <w:szCs w:val="20"/>
                <w:u w:val="single"/>
                <w:shd w:val="clear" w:color="auto" w:fill="FFFFFF"/>
              </w:rPr>
              <w:t>https://2021.esinvesticijos.lt/dokumentai/supaprastintai-apmokamu-islaidu-dydziu-registras</w:t>
            </w:r>
          </w:p>
        </w:tc>
      </w:tr>
      <w:tr w:rsidR="0040766D" w:rsidRPr="008B168C" w14:paraId="2811E56C" w14:textId="77777777" w:rsidTr="008518E6">
        <w:trPr>
          <w:cantSplit/>
          <w:trHeight w:val="750"/>
        </w:trPr>
        <w:tc>
          <w:tcPr>
            <w:tcW w:w="851" w:type="dxa"/>
            <w:vMerge/>
          </w:tcPr>
          <w:p w14:paraId="4E4D3588" w14:textId="77777777" w:rsidR="0040766D" w:rsidRDefault="0040766D" w:rsidP="0040766D">
            <w:pPr>
              <w:rPr>
                <w:rFonts w:ascii="Times New Roman" w:hAnsi="Times New Roman" w:cs="Times New Roman"/>
                <w:b/>
                <w:bCs/>
              </w:rPr>
            </w:pPr>
          </w:p>
        </w:tc>
        <w:tc>
          <w:tcPr>
            <w:tcW w:w="1809" w:type="dxa"/>
          </w:tcPr>
          <w:p w14:paraId="030B88D6" w14:textId="33A74CD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FS-01-01</w:t>
            </w:r>
          </w:p>
        </w:tc>
        <w:tc>
          <w:tcPr>
            <w:tcW w:w="2944" w:type="dxa"/>
            <w:gridSpan w:val="2"/>
          </w:tcPr>
          <w:p w14:paraId="6C8D38D4" w14:textId="249AC31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00CA1AFA" w14:textId="037B6B8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517" w:type="dxa"/>
            <w:vMerge/>
          </w:tcPr>
          <w:p w14:paraId="647999E5" w14:textId="77777777" w:rsidR="0040766D" w:rsidRDefault="0040766D" w:rsidP="0040766D">
            <w:pPr>
              <w:jc w:val="both"/>
              <w:rPr>
                <w:rFonts w:ascii="Times New Roman" w:eastAsia="Times New Roman" w:hAnsi="Times New Roman" w:cs="Times New Roman"/>
                <w:i/>
                <w:iCs/>
              </w:rPr>
            </w:pPr>
          </w:p>
        </w:tc>
      </w:tr>
      <w:tr w:rsidR="0040766D" w:rsidRPr="008B168C" w14:paraId="2182DFEC" w14:textId="77777777" w:rsidTr="008518E6">
        <w:trPr>
          <w:cantSplit/>
          <w:trHeight w:val="750"/>
        </w:trPr>
        <w:tc>
          <w:tcPr>
            <w:tcW w:w="851" w:type="dxa"/>
            <w:vMerge/>
          </w:tcPr>
          <w:p w14:paraId="5450B2A8" w14:textId="77777777" w:rsidR="0040766D" w:rsidRDefault="0040766D" w:rsidP="0040766D">
            <w:pPr>
              <w:rPr>
                <w:rFonts w:ascii="Times New Roman" w:hAnsi="Times New Roman" w:cs="Times New Roman"/>
                <w:b/>
                <w:bCs/>
              </w:rPr>
            </w:pPr>
          </w:p>
        </w:tc>
        <w:tc>
          <w:tcPr>
            <w:tcW w:w="1809" w:type="dxa"/>
          </w:tcPr>
          <w:p w14:paraId="36E2B837" w14:textId="30D9A5D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FS-01-02</w:t>
            </w:r>
          </w:p>
        </w:tc>
        <w:tc>
          <w:tcPr>
            <w:tcW w:w="2944" w:type="dxa"/>
            <w:gridSpan w:val="2"/>
          </w:tcPr>
          <w:p w14:paraId="32C1E003" w14:textId="606A4320"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2BB983F" w14:textId="4B1845A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517" w:type="dxa"/>
            <w:vMerge/>
          </w:tcPr>
          <w:p w14:paraId="01CC9BD5" w14:textId="77777777" w:rsidR="0040766D" w:rsidRDefault="0040766D" w:rsidP="0040766D">
            <w:pPr>
              <w:jc w:val="both"/>
              <w:rPr>
                <w:rFonts w:ascii="Times New Roman" w:eastAsia="Times New Roman" w:hAnsi="Times New Roman" w:cs="Times New Roman"/>
                <w:i/>
                <w:iCs/>
              </w:rPr>
            </w:pPr>
          </w:p>
        </w:tc>
      </w:tr>
      <w:tr w:rsidR="0040766D" w:rsidRPr="008B168C" w14:paraId="5DBA4613" w14:textId="77777777" w:rsidTr="008518E6">
        <w:trPr>
          <w:cantSplit/>
          <w:trHeight w:val="750"/>
        </w:trPr>
        <w:tc>
          <w:tcPr>
            <w:tcW w:w="851" w:type="dxa"/>
            <w:vMerge/>
          </w:tcPr>
          <w:p w14:paraId="34D5144A" w14:textId="77777777" w:rsidR="0040766D" w:rsidRDefault="0040766D" w:rsidP="0040766D">
            <w:pPr>
              <w:rPr>
                <w:rFonts w:ascii="Times New Roman" w:hAnsi="Times New Roman" w:cs="Times New Roman"/>
                <w:b/>
                <w:bCs/>
              </w:rPr>
            </w:pPr>
          </w:p>
        </w:tc>
        <w:tc>
          <w:tcPr>
            <w:tcW w:w="1809" w:type="dxa"/>
          </w:tcPr>
          <w:p w14:paraId="6D782429" w14:textId="7D34A09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FS-01-03</w:t>
            </w:r>
          </w:p>
        </w:tc>
        <w:tc>
          <w:tcPr>
            <w:tcW w:w="2944" w:type="dxa"/>
            <w:gridSpan w:val="2"/>
          </w:tcPr>
          <w:p w14:paraId="35102B76" w14:textId="33DF87E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8601D5E" w14:textId="3BA26C2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1517" w:type="dxa"/>
            <w:vMerge/>
          </w:tcPr>
          <w:p w14:paraId="2A536E46" w14:textId="77777777" w:rsidR="0040766D" w:rsidRDefault="0040766D" w:rsidP="0040766D">
            <w:pPr>
              <w:jc w:val="both"/>
              <w:rPr>
                <w:rFonts w:ascii="Times New Roman" w:eastAsia="Times New Roman" w:hAnsi="Times New Roman" w:cs="Times New Roman"/>
                <w:i/>
                <w:iCs/>
              </w:rPr>
            </w:pPr>
          </w:p>
        </w:tc>
      </w:tr>
      <w:tr w:rsidR="0040766D" w:rsidRPr="008B168C" w14:paraId="33B85DC8" w14:textId="77777777" w:rsidTr="008518E6">
        <w:trPr>
          <w:cantSplit/>
          <w:trHeight w:val="750"/>
        </w:trPr>
        <w:tc>
          <w:tcPr>
            <w:tcW w:w="851" w:type="dxa"/>
            <w:vMerge/>
          </w:tcPr>
          <w:p w14:paraId="2C846DC1" w14:textId="77777777" w:rsidR="0040766D" w:rsidRDefault="0040766D" w:rsidP="0040766D">
            <w:pPr>
              <w:rPr>
                <w:rFonts w:ascii="Times New Roman" w:hAnsi="Times New Roman" w:cs="Times New Roman"/>
                <w:b/>
                <w:bCs/>
              </w:rPr>
            </w:pPr>
          </w:p>
        </w:tc>
        <w:tc>
          <w:tcPr>
            <w:tcW w:w="1809" w:type="dxa"/>
          </w:tcPr>
          <w:p w14:paraId="6F735DC0" w14:textId="611CE7E4"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FS-01-04</w:t>
            </w:r>
          </w:p>
        </w:tc>
        <w:tc>
          <w:tcPr>
            <w:tcW w:w="2944" w:type="dxa"/>
            <w:gridSpan w:val="2"/>
          </w:tcPr>
          <w:p w14:paraId="37E08A62" w14:textId="0BEBC32A"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C29A05A" w14:textId="68455FC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517" w:type="dxa"/>
            <w:vMerge/>
          </w:tcPr>
          <w:p w14:paraId="23F972DD" w14:textId="77777777" w:rsidR="0040766D" w:rsidRDefault="0040766D" w:rsidP="0040766D">
            <w:pPr>
              <w:jc w:val="both"/>
              <w:rPr>
                <w:rFonts w:ascii="Times New Roman" w:eastAsia="Times New Roman" w:hAnsi="Times New Roman" w:cs="Times New Roman"/>
                <w:i/>
                <w:iCs/>
              </w:rPr>
            </w:pPr>
          </w:p>
        </w:tc>
      </w:tr>
      <w:tr w:rsidR="0040766D" w:rsidRPr="008B168C" w14:paraId="1C59BAE4" w14:textId="77777777" w:rsidTr="008518E6">
        <w:trPr>
          <w:cantSplit/>
          <w:trHeight w:val="750"/>
        </w:trPr>
        <w:tc>
          <w:tcPr>
            <w:tcW w:w="851" w:type="dxa"/>
            <w:vMerge/>
          </w:tcPr>
          <w:p w14:paraId="332E845F" w14:textId="77777777" w:rsidR="0040766D" w:rsidRDefault="0040766D" w:rsidP="0040766D">
            <w:pPr>
              <w:rPr>
                <w:rFonts w:ascii="Times New Roman" w:hAnsi="Times New Roman" w:cs="Times New Roman"/>
                <w:b/>
                <w:bCs/>
              </w:rPr>
            </w:pPr>
          </w:p>
        </w:tc>
        <w:tc>
          <w:tcPr>
            <w:tcW w:w="1809" w:type="dxa"/>
          </w:tcPr>
          <w:p w14:paraId="1A98FCB7" w14:textId="4BCB4BE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FN-05-01</w:t>
            </w:r>
          </w:p>
        </w:tc>
        <w:tc>
          <w:tcPr>
            <w:tcW w:w="2944" w:type="dxa"/>
            <w:gridSpan w:val="2"/>
          </w:tcPr>
          <w:p w14:paraId="7A23C7E7" w14:textId="1C8243D8"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B8D770" w14:textId="38176E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1517" w:type="dxa"/>
            <w:vMerge w:val="restart"/>
          </w:tcPr>
          <w:p w14:paraId="37ED57FB"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32DBA87" w14:textId="77777777" w:rsidR="0040766D" w:rsidRDefault="0040766D" w:rsidP="0040766D">
            <w:pPr>
              <w:jc w:val="both"/>
              <w:rPr>
                <w:rFonts w:ascii="Times New Roman" w:eastAsia="Times New Roman" w:hAnsi="Times New Roman" w:cs="Times New Roman"/>
                <w:i/>
                <w:iCs/>
              </w:rPr>
            </w:pPr>
          </w:p>
        </w:tc>
      </w:tr>
      <w:tr w:rsidR="0040766D" w:rsidRPr="008B168C" w14:paraId="723A748E" w14:textId="77777777" w:rsidTr="008518E6">
        <w:trPr>
          <w:cantSplit/>
          <w:trHeight w:val="750"/>
        </w:trPr>
        <w:tc>
          <w:tcPr>
            <w:tcW w:w="851" w:type="dxa"/>
            <w:vMerge/>
          </w:tcPr>
          <w:p w14:paraId="39637B3E" w14:textId="77777777" w:rsidR="0040766D" w:rsidRDefault="0040766D" w:rsidP="0040766D">
            <w:pPr>
              <w:rPr>
                <w:rFonts w:ascii="Times New Roman" w:hAnsi="Times New Roman" w:cs="Times New Roman"/>
                <w:b/>
                <w:bCs/>
              </w:rPr>
            </w:pPr>
          </w:p>
        </w:tc>
        <w:tc>
          <w:tcPr>
            <w:tcW w:w="1809" w:type="dxa"/>
          </w:tcPr>
          <w:p w14:paraId="387BDF21" w14:textId="75FCD00F"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FN-05-02</w:t>
            </w:r>
          </w:p>
        </w:tc>
        <w:tc>
          <w:tcPr>
            <w:tcW w:w="2944" w:type="dxa"/>
            <w:gridSpan w:val="2"/>
          </w:tcPr>
          <w:p w14:paraId="032BB428" w14:textId="36359931"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EAB1ABA" w14:textId="2D0D6059"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1517" w:type="dxa"/>
            <w:vMerge/>
          </w:tcPr>
          <w:p w14:paraId="452D3441" w14:textId="77777777" w:rsidR="0040766D" w:rsidRDefault="0040766D" w:rsidP="0040766D">
            <w:pPr>
              <w:jc w:val="both"/>
              <w:rPr>
                <w:rFonts w:ascii="Times New Roman" w:eastAsia="Times New Roman" w:hAnsi="Times New Roman" w:cs="Times New Roman"/>
                <w:i/>
                <w:iCs/>
              </w:rPr>
            </w:pPr>
          </w:p>
        </w:tc>
      </w:tr>
      <w:tr w:rsidR="0040766D" w:rsidRPr="008B168C" w14:paraId="7D07E831" w14:textId="77777777" w:rsidTr="008518E6">
        <w:trPr>
          <w:cantSplit/>
          <w:trHeight w:val="750"/>
        </w:trPr>
        <w:tc>
          <w:tcPr>
            <w:tcW w:w="851" w:type="dxa"/>
            <w:vMerge/>
          </w:tcPr>
          <w:p w14:paraId="42F27ECC" w14:textId="77777777" w:rsidR="0040766D" w:rsidRDefault="0040766D" w:rsidP="0040766D">
            <w:pPr>
              <w:rPr>
                <w:rFonts w:ascii="Times New Roman" w:hAnsi="Times New Roman" w:cs="Times New Roman"/>
                <w:b/>
                <w:bCs/>
              </w:rPr>
            </w:pPr>
          </w:p>
        </w:tc>
        <w:tc>
          <w:tcPr>
            <w:tcW w:w="1809" w:type="dxa"/>
          </w:tcPr>
          <w:p w14:paraId="6BF73A57" w14:textId="75360AC6"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FN-05-03</w:t>
            </w:r>
          </w:p>
        </w:tc>
        <w:tc>
          <w:tcPr>
            <w:tcW w:w="2944" w:type="dxa"/>
            <w:gridSpan w:val="2"/>
          </w:tcPr>
          <w:p w14:paraId="0685FA78" w14:textId="35F9FF3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E67F92" w14:textId="303DF372"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1517" w:type="dxa"/>
            <w:vMerge/>
          </w:tcPr>
          <w:p w14:paraId="11B8E3CD" w14:textId="77777777" w:rsidR="0040766D" w:rsidRDefault="0040766D" w:rsidP="0040766D">
            <w:pPr>
              <w:jc w:val="both"/>
              <w:rPr>
                <w:rFonts w:ascii="Times New Roman" w:eastAsia="Times New Roman" w:hAnsi="Times New Roman" w:cs="Times New Roman"/>
                <w:i/>
                <w:iCs/>
              </w:rPr>
            </w:pPr>
          </w:p>
        </w:tc>
      </w:tr>
      <w:tr w:rsidR="0040766D" w:rsidRPr="008B168C" w14:paraId="64CDFDCE" w14:textId="77777777" w:rsidTr="008518E6">
        <w:trPr>
          <w:cantSplit/>
          <w:trHeight w:val="750"/>
        </w:trPr>
        <w:tc>
          <w:tcPr>
            <w:tcW w:w="851" w:type="dxa"/>
            <w:vMerge/>
          </w:tcPr>
          <w:p w14:paraId="55AF8269" w14:textId="77777777" w:rsidR="0040766D" w:rsidRDefault="0040766D" w:rsidP="0040766D">
            <w:pPr>
              <w:rPr>
                <w:rFonts w:ascii="Times New Roman" w:hAnsi="Times New Roman" w:cs="Times New Roman"/>
                <w:b/>
                <w:bCs/>
              </w:rPr>
            </w:pPr>
          </w:p>
        </w:tc>
        <w:tc>
          <w:tcPr>
            <w:tcW w:w="1809" w:type="dxa"/>
          </w:tcPr>
          <w:p w14:paraId="492AD7C7" w14:textId="53B11D9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FN-05-04</w:t>
            </w:r>
          </w:p>
        </w:tc>
        <w:tc>
          <w:tcPr>
            <w:tcW w:w="2944" w:type="dxa"/>
            <w:gridSpan w:val="2"/>
          </w:tcPr>
          <w:p w14:paraId="0BA4BAC6" w14:textId="4F7CB7D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9DEA5D" w14:textId="68070CE1"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1517" w:type="dxa"/>
            <w:vMerge/>
          </w:tcPr>
          <w:p w14:paraId="4A34C09C" w14:textId="77777777" w:rsidR="0040766D" w:rsidRDefault="0040766D" w:rsidP="0040766D">
            <w:pPr>
              <w:jc w:val="both"/>
              <w:rPr>
                <w:rFonts w:ascii="Times New Roman" w:eastAsia="Times New Roman" w:hAnsi="Times New Roman" w:cs="Times New Roman"/>
                <w:i/>
                <w:iCs/>
              </w:rPr>
            </w:pPr>
          </w:p>
        </w:tc>
      </w:tr>
      <w:tr w:rsidR="0040766D" w:rsidRPr="008B168C" w14:paraId="111AF5D6" w14:textId="77777777" w:rsidTr="008518E6">
        <w:trPr>
          <w:cantSplit/>
          <w:trHeight w:val="750"/>
        </w:trPr>
        <w:tc>
          <w:tcPr>
            <w:tcW w:w="851" w:type="dxa"/>
            <w:vMerge/>
          </w:tcPr>
          <w:p w14:paraId="4D8EBF92" w14:textId="77777777" w:rsidR="0040766D" w:rsidRDefault="0040766D" w:rsidP="0040766D">
            <w:pPr>
              <w:rPr>
                <w:rFonts w:ascii="Times New Roman" w:hAnsi="Times New Roman" w:cs="Times New Roman"/>
                <w:b/>
                <w:bCs/>
              </w:rPr>
            </w:pPr>
          </w:p>
        </w:tc>
        <w:tc>
          <w:tcPr>
            <w:tcW w:w="1809" w:type="dxa"/>
          </w:tcPr>
          <w:p w14:paraId="785827EA" w14:textId="71860028"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FN-05-05</w:t>
            </w:r>
          </w:p>
        </w:tc>
        <w:tc>
          <w:tcPr>
            <w:tcW w:w="2944" w:type="dxa"/>
            <w:gridSpan w:val="2"/>
          </w:tcPr>
          <w:p w14:paraId="69004114" w14:textId="51B56EA4"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CD8CE2" w14:textId="5204EF1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1517" w:type="dxa"/>
            <w:vMerge/>
          </w:tcPr>
          <w:p w14:paraId="6DA2942A" w14:textId="77777777" w:rsidR="0040766D" w:rsidRDefault="0040766D" w:rsidP="0040766D">
            <w:pPr>
              <w:jc w:val="both"/>
              <w:rPr>
                <w:rFonts w:ascii="Times New Roman" w:eastAsia="Times New Roman" w:hAnsi="Times New Roman" w:cs="Times New Roman"/>
                <w:i/>
                <w:iCs/>
              </w:rPr>
            </w:pPr>
          </w:p>
        </w:tc>
      </w:tr>
      <w:tr w:rsidR="0040766D" w:rsidRPr="008B168C" w14:paraId="3F02F8DA" w14:textId="77777777" w:rsidTr="008518E6">
        <w:trPr>
          <w:cantSplit/>
          <w:trHeight w:val="750"/>
        </w:trPr>
        <w:tc>
          <w:tcPr>
            <w:tcW w:w="851" w:type="dxa"/>
            <w:vMerge/>
          </w:tcPr>
          <w:p w14:paraId="5255DFD8" w14:textId="77777777" w:rsidR="0040766D" w:rsidRDefault="0040766D" w:rsidP="0040766D">
            <w:pPr>
              <w:rPr>
                <w:rFonts w:ascii="Times New Roman" w:hAnsi="Times New Roman" w:cs="Times New Roman"/>
                <w:b/>
                <w:bCs/>
              </w:rPr>
            </w:pPr>
          </w:p>
        </w:tc>
        <w:tc>
          <w:tcPr>
            <w:tcW w:w="1809" w:type="dxa"/>
          </w:tcPr>
          <w:p w14:paraId="437937C9" w14:textId="2255F18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FN-05-06</w:t>
            </w:r>
          </w:p>
        </w:tc>
        <w:tc>
          <w:tcPr>
            <w:tcW w:w="2944" w:type="dxa"/>
            <w:gridSpan w:val="2"/>
          </w:tcPr>
          <w:p w14:paraId="1C5DFD74" w14:textId="34EB2ABF"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D1000A" w14:textId="0913083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1517" w:type="dxa"/>
            <w:vMerge/>
          </w:tcPr>
          <w:p w14:paraId="58FB629D" w14:textId="77777777" w:rsidR="0040766D" w:rsidRDefault="0040766D" w:rsidP="0040766D">
            <w:pPr>
              <w:jc w:val="both"/>
              <w:rPr>
                <w:rFonts w:ascii="Times New Roman" w:eastAsia="Times New Roman" w:hAnsi="Times New Roman" w:cs="Times New Roman"/>
                <w:i/>
                <w:iCs/>
              </w:rPr>
            </w:pPr>
          </w:p>
        </w:tc>
      </w:tr>
      <w:tr w:rsidR="0040766D" w:rsidRPr="008B168C" w14:paraId="61268EC5" w14:textId="259DC5C8" w:rsidTr="008518E6">
        <w:trPr>
          <w:cantSplit/>
          <w:trHeight w:val="750"/>
        </w:trPr>
        <w:tc>
          <w:tcPr>
            <w:tcW w:w="851" w:type="dxa"/>
            <w:vMerge/>
          </w:tcPr>
          <w:p w14:paraId="1ED10324" w14:textId="77777777" w:rsidR="0040766D" w:rsidRDefault="0040766D" w:rsidP="0040766D">
            <w:pPr>
              <w:rPr>
                <w:rFonts w:ascii="Times New Roman" w:hAnsi="Times New Roman" w:cs="Times New Roman"/>
                <w:b/>
                <w:bCs/>
              </w:rPr>
            </w:pPr>
          </w:p>
        </w:tc>
        <w:tc>
          <w:tcPr>
            <w:tcW w:w="1809" w:type="dxa"/>
          </w:tcPr>
          <w:p w14:paraId="537240A3" w14:textId="373E538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FN-05-07</w:t>
            </w:r>
          </w:p>
        </w:tc>
        <w:tc>
          <w:tcPr>
            <w:tcW w:w="2944" w:type="dxa"/>
            <w:gridSpan w:val="2"/>
          </w:tcPr>
          <w:p w14:paraId="616A55FB" w14:textId="2063C186"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1C1F164E" w14:textId="4D2E078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1517" w:type="dxa"/>
            <w:vMerge/>
          </w:tcPr>
          <w:p w14:paraId="30B95243" w14:textId="13CDE0E1" w:rsidR="0040766D" w:rsidRDefault="0040766D" w:rsidP="0040766D">
            <w:pPr>
              <w:jc w:val="both"/>
              <w:rPr>
                <w:rFonts w:ascii="Times New Roman" w:eastAsia="Times New Roman" w:hAnsi="Times New Roman" w:cs="Times New Roman"/>
                <w:i/>
                <w:iCs/>
              </w:rPr>
            </w:pPr>
          </w:p>
        </w:tc>
      </w:tr>
      <w:tr w:rsidR="0040766D" w:rsidRPr="008B168C" w14:paraId="549FAECB" w14:textId="49F63845" w:rsidTr="008518E6">
        <w:trPr>
          <w:cantSplit/>
          <w:trHeight w:val="300"/>
        </w:trPr>
        <w:tc>
          <w:tcPr>
            <w:tcW w:w="851" w:type="dxa"/>
          </w:tcPr>
          <w:p w14:paraId="438807CA" w14:textId="7D844778" w:rsidR="0040766D" w:rsidRPr="00533406" w:rsidRDefault="0040766D" w:rsidP="0040766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6"/>
          </w:tcPr>
          <w:p w14:paraId="05D99665" w14:textId="3A291508" w:rsidR="0040766D" w:rsidRPr="00533406" w:rsidRDefault="0040766D" w:rsidP="0040766D">
            <w:pPr>
              <w:rPr>
                <w:rFonts w:ascii="Times New Roman" w:hAnsi="Times New Roman" w:cs="Times New Roman"/>
                <w:b/>
                <w:bCs/>
              </w:rPr>
            </w:pPr>
            <w:r w:rsidRPr="00533406">
              <w:rPr>
                <w:rFonts w:ascii="Times New Roman" w:hAnsi="Times New Roman" w:cs="Times New Roman"/>
                <w:b/>
                <w:bCs/>
              </w:rPr>
              <w:t>Siekiami stebėsenos rodikliai</w:t>
            </w:r>
          </w:p>
        </w:tc>
      </w:tr>
      <w:tr w:rsidR="0040766D" w:rsidRPr="008B168C" w14:paraId="293B7177" w14:textId="77777777" w:rsidTr="008518E6">
        <w:trPr>
          <w:cantSplit/>
          <w:trHeight w:val="300"/>
        </w:trPr>
        <w:tc>
          <w:tcPr>
            <w:tcW w:w="10065" w:type="dxa"/>
            <w:gridSpan w:val="7"/>
          </w:tcPr>
          <w:p w14:paraId="51D310E1" w14:textId="77777777" w:rsidR="0040766D" w:rsidRPr="00533406" w:rsidRDefault="0040766D" w:rsidP="0040766D">
            <w:pPr>
              <w:rPr>
                <w:rFonts w:ascii="Times New Roman" w:hAnsi="Times New Roman" w:cs="Times New Roman"/>
                <w:b/>
                <w:bCs/>
              </w:rPr>
            </w:pPr>
          </w:p>
        </w:tc>
      </w:tr>
      <w:tr w:rsidR="0040766D" w:rsidRPr="00F44ADD" w14:paraId="61A45458" w14:textId="77777777" w:rsidTr="008518E6">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0766D" w:rsidRPr="00F44ADD" w14:paraId="7CF26569" w14:textId="77777777" w:rsidTr="004A79FA">
              <w:trPr>
                <w:trHeight w:val="1990"/>
              </w:trPr>
              <w:tc>
                <w:tcPr>
                  <w:tcW w:w="929" w:type="pct"/>
                  <w:shd w:val="clear" w:color="auto" w:fill="auto"/>
                  <w:vAlign w:val="center"/>
                </w:tcPr>
                <w:p w14:paraId="154659A1" w14:textId="33FE82FA" w:rsidR="0040766D" w:rsidRPr="00F44ADD" w:rsidRDefault="0040766D" w:rsidP="0040766D">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062EE" w:rsidRPr="00F44ADD" w14:paraId="2E69C5B7" w14:textId="77777777" w:rsidTr="0051052D">
              <w:trPr>
                <w:trHeight w:val="615"/>
              </w:trPr>
              <w:tc>
                <w:tcPr>
                  <w:tcW w:w="929" w:type="pct"/>
                  <w:shd w:val="clear" w:color="auto" w:fill="auto"/>
                  <w:vAlign w:val="center"/>
                </w:tcPr>
                <w:p w14:paraId="281A6D67" w14:textId="7B96B20C" w:rsidR="001062EE" w:rsidRPr="00F44ADD" w:rsidRDefault="001062EE" w:rsidP="001062EE">
                  <w:pPr>
                    <w:rPr>
                      <w:rFonts w:ascii="Times New Roman" w:hAnsi="Times New Roman" w:cs="Times New Roman"/>
                      <w:i/>
                      <w:iCs/>
                    </w:rPr>
                  </w:pPr>
                  <w:r w:rsidRPr="007D5687">
                    <w:rPr>
                      <w:rFonts w:ascii="Times New Roman" w:hAnsi="Times New Roman" w:cs="Times New Roman"/>
                      <w:sz w:val="20"/>
                      <w:szCs w:val="20"/>
                    </w:rPr>
                    <w:t>05-002-01-07-08-02-0</w:t>
                  </w:r>
                  <w:r w:rsidRPr="007D5687">
                    <w:rPr>
                      <w:rFonts w:ascii="Times New Roman" w:hAnsi="Times New Roman" w:cs="Times New Roman"/>
                      <w:sz w:val="20"/>
                      <w:szCs w:val="20"/>
                      <w:lang w:val="en-US"/>
                    </w:rPr>
                    <w:t>2</w:t>
                  </w:r>
                </w:p>
              </w:tc>
              <w:tc>
                <w:tcPr>
                  <w:tcW w:w="1053" w:type="pct"/>
                  <w:shd w:val="clear" w:color="auto" w:fill="auto"/>
                </w:tcPr>
                <w:p w14:paraId="18E3E21C" w14:textId="606B8622" w:rsidR="001062EE" w:rsidRPr="00F44ADD" w:rsidRDefault="001062EE" w:rsidP="001062EE">
                  <w:pPr>
                    <w:keepNext/>
                    <w:jc w:val="center"/>
                    <w:rPr>
                      <w:rFonts w:ascii="Times New Roman" w:hAnsi="Times New Roman" w:cs="Times New Roman"/>
                      <w:b/>
                      <w:i/>
                      <w:iCs/>
                    </w:rPr>
                  </w:pPr>
                  <w:r w:rsidRPr="0019289B">
                    <w:rPr>
                      <w:rFonts w:asciiTheme="majorBidi" w:hAnsiTheme="majorBidi" w:cstheme="majorBidi"/>
                      <w:color w:val="000000"/>
                      <w:sz w:val="20"/>
                      <w:szCs w:val="20"/>
                      <w:shd w:val="clear" w:color="auto" w:fill="FFFFFF"/>
                    </w:rPr>
                    <w:t>Pateikti lietuvių kalbos ištekliai, skirti dirbtiniam intelektui ir inovatyvioms technologijoms plėtoti</w:t>
                  </w:r>
                </w:p>
              </w:tc>
              <w:tc>
                <w:tcPr>
                  <w:tcW w:w="842" w:type="pct"/>
                  <w:shd w:val="clear" w:color="auto" w:fill="auto"/>
                  <w:vAlign w:val="center"/>
                </w:tcPr>
                <w:p w14:paraId="2D774B9A"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P-05-002-01-07-08-01</w:t>
                  </w:r>
                </w:p>
                <w:p w14:paraId="549C0D17"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P.S.1.1074</w:t>
                  </w:r>
                </w:p>
                <w:p w14:paraId="79660FE7" w14:textId="1805B180" w:rsidR="001062EE" w:rsidRPr="00F44ADD" w:rsidRDefault="001062EE" w:rsidP="001062EE">
                  <w:pPr>
                    <w:keepNext/>
                    <w:jc w:val="center"/>
                    <w:rPr>
                      <w:rFonts w:ascii="Times New Roman" w:hAnsi="Times New Roman" w:cs="Times New Roman"/>
                      <w:bCs/>
                      <w:i/>
                      <w:iCs/>
                    </w:rPr>
                  </w:pPr>
                </w:p>
              </w:tc>
              <w:tc>
                <w:tcPr>
                  <w:tcW w:w="1193" w:type="pct"/>
                  <w:shd w:val="clear" w:color="auto" w:fill="auto"/>
                  <w:vAlign w:val="center"/>
                </w:tcPr>
                <w:p w14:paraId="5B7D18E9" w14:textId="322223F1" w:rsidR="001062EE" w:rsidRPr="00F44ADD" w:rsidRDefault="001062EE" w:rsidP="001062EE">
                  <w:pPr>
                    <w:keepNext/>
                    <w:jc w:val="center"/>
                    <w:rPr>
                      <w:rFonts w:ascii="Times New Roman" w:hAnsi="Times New Roman" w:cs="Times New Roman"/>
                      <w:bCs/>
                      <w:i/>
                      <w:iCs/>
                    </w:rPr>
                  </w:pPr>
                  <w:r w:rsidRPr="0019289B">
                    <w:rPr>
                      <w:rFonts w:asciiTheme="majorBidi" w:hAnsiTheme="majorBidi" w:cstheme="majorBidi"/>
                      <w:color w:val="000000"/>
                      <w:sz w:val="20"/>
                      <w:szCs w:val="20"/>
                      <w:shd w:val="clear" w:color="auto" w:fill="FFFFFF"/>
                    </w:rPr>
                    <w:t>Vnt.</w:t>
                  </w:r>
                </w:p>
              </w:tc>
              <w:tc>
                <w:tcPr>
                  <w:tcW w:w="983" w:type="pct"/>
                  <w:shd w:val="clear" w:color="auto" w:fill="auto"/>
                  <w:vAlign w:val="center"/>
                </w:tcPr>
                <w:p w14:paraId="6BB5F7B6" w14:textId="1E34EC86" w:rsidR="001062EE" w:rsidRPr="0019289B" w:rsidRDefault="00891E97" w:rsidP="001062EE">
                  <w:pPr>
                    <w:jc w:val="center"/>
                    <w:rPr>
                      <w:rFonts w:asciiTheme="majorBidi" w:hAnsiTheme="majorBidi" w:cstheme="majorBidi"/>
                      <w:sz w:val="20"/>
                      <w:szCs w:val="20"/>
                      <w:lang w:val="en-US"/>
                    </w:rPr>
                  </w:pPr>
                  <w:r>
                    <w:rPr>
                      <w:rFonts w:asciiTheme="majorBidi" w:hAnsiTheme="majorBidi" w:cstheme="majorBidi"/>
                      <w:sz w:val="20"/>
                      <w:szCs w:val="20"/>
                      <w:lang w:val="en-US"/>
                    </w:rPr>
                    <w:t>1</w:t>
                  </w:r>
                </w:p>
                <w:p w14:paraId="6931968E" w14:textId="62C99DC2" w:rsidR="001062EE" w:rsidRPr="00F44ADD" w:rsidRDefault="001062EE" w:rsidP="001062EE">
                  <w:pPr>
                    <w:keepNext/>
                    <w:jc w:val="center"/>
                    <w:rPr>
                      <w:rFonts w:ascii="Times New Roman" w:hAnsi="Times New Roman" w:cs="Times New Roman"/>
                      <w:bCs/>
                      <w:i/>
                      <w:iCs/>
                    </w:rPr>
                  </w:pPr>
                </w:p>
              </w:tc>
            </w:tr>
          </w:tbl>
          <w:p w14:paraId="152C5ACE" w14:textId="6573B2DB" w:rsidR="0040766D" w:rsidRPr="00F44ADD" w:rsidRDefault="0040766D" w:rsidP="0040766D">
            <w:pPr>
              <w:rPr>
                <w:rFonts w:ascii="Times New Roman" w:hAnsi="Times New Roman" w:cs="Times New Roman"/>
              </w:rPr>
            </w:pPr>
          </w:p>
        </w:tc>
      </w:tr>
      <w:tr w:rsidR="0040766D" w:rsidRPr="008B168C" w14:paraId="7F8AAC09" w14:textId="77777777" w:rsidTr="008518E6">
        <w:trPr>
          <w:cantSplit/>
          <w:trHeight w:val="300"/>
        </w:trPr>
        <w:tc>
          <w:tcPr>
            <w:tcW w:w="851" w:type="dxa"/>
          </w:tcPr>
          <w:p w14:paraId="2A21420D" w14:textId="1C8F801B" w:rsidR="0040766D" w:rsidRPr="00533406" w:rsidRDefault="0040766D" w:rsidP="0040766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6"/>
          </w:tcPr>
          <w:p w14:paraId="58EFB8A0" w14:textId="77E1DCBC" w:rsidR="0040766D" w:rsidRPr="00533406" w:rsidRDefault="0040766D" w:rsidP="0040766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0766D" w:rsidRPr="008B168C" w14:paraId="31C64C8C" w14:textId="77777777" w:rsidTr="008518E6">
        <w:trPr>
          <w:cantSplit/>
          <w:trHeight w:val="300"/>
        </w:trPr>
        <w:tc>
          <w:tcPr>
            <w:tcW w:w="851" w:type="dxa"/>
          </w:tcPr>
          <w:p w14:paraId="31C64C8A" w14:textId="38B773A8"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6"/>
            <w:shd w:val="clear" w:color="auto" w:fill="auto"/>
          </w:tcPr>
          <w:p w14:paraId="31C64C8B" w14:textId="3C10984E"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0766D" w:rsidRPr="008B168C" w14:paraId="31C64C8F" w14:textId="77777777" w:rsidTr="008518E6">
        <w:trPr>
          <w:cantSplit/>
          <w:trHeight w:val="477"/>
        </w:trPr>
        <w:tc>
          <w:tcPr>
            <w:tcW w:w="851" w:type="dxa"/>
          </w:tcPr>
          <w:p w14:paraId="31C64C8D" w14:textId="77777777" w:rsidR="0040766D" w:rsidRPr="00F62A6E" w:rsidRDefault="0040766D" w:rsidP="0040766D">
            <w:pPr>
              <w:rPr>
                <w:rFonts w:ascii="Times New Roman" w:hAnsi="Times New Roman" w:cs="Times New Roman"/>
                <w:b/>
              </w:rPr>
            </w:pPr>
          </w:p>
        </w:tc>
        <w:tc>
          <w:tcPr>
            <w:tcW w:w="9214" w:type="dxa"/>
            <w:gridSpan w:val="6"/>
            <w:shd w:val="clear" w:color="auto" w:fill="auto"/>
          </w:tcPr>
          <w:p w14:paraId="640CDB61" w14:textId="77777777" w:rsidR="00891E97" w:rsidRPr="00891E97" w:rsidRDefault="005744F9" w:rsidP="00891E97">
            <w:pPr>
              <w:widowControl w:val="0"/>
              <w:ind w:firstLine="567"/>
              <w:jc w:val="both"/>
              <w:rPr>
                <w:rFonts w:asciiTheme="majorBidi" w:hAnsiTheme="majorBidi" w:cstheme="majorBidi"/>
              </w:rPr>
            </w:pPr>
            <w:r w:rsidRPr="00891E97">
              <w:rPr>
                <w:rFonts w:asciiTheme="majorBidi" w:hAnsiTheme="majorBidi" w:cstheme="majorBidi"/>
              </w:rPr>
              <w:t xml:space="preserve">Pagal Aprašą remiama veikla – </w:t>
            </w:r>
            <w:r w:rsidRPr="00891E97">
              <w:rPr>
                <w:rFonts w:asciiTheme="majorBidi" w:hAnsiTheme="majorBidi" w:cstheme="majorBidi"/>
                <w:color w:val="000000"/>
              </w:rPr>
              <w:t>kalbinių išteklių dirbtinio intelekto technologijų sprendimų poreikiams plėtra.</w:t>
            </w:r>
            <w:r w:rsidRPr="00891E97">
              <w:rPr>
                <w:rFonts w:asciiTheme="majorBidi" w:hAnsiTheme="majorBidi" w:cstheme="majorBidi"/>
              </w:rPr>
              <w:t xml:space="preserve"> Projektui </w:t>
            </w:r>
            <w:r w:rsidRPr="00891E97">
              <w:rPr>
                <w:rFonts w:asciiTheme="majorBidi" w:hAnsiTheme="majorBidi" w:cstheme="majorBidi"/>
                <w:b/>
                <w:bCs/>
              </w:rPr>
              <w:t>„</w:t>
            </w:r>
            <w:r w:rsidR="00891E97" w:rsidRPr="00891E97">
              <w:rPr>
                <w:rFonts w:asciiTheme="majorBidi" w:hAnsiTheme="majorBidi" w:cstheme="majorBidi"/>
                <w:b/>
                <w:bCs/>
              </w:rPr>
              <w:t>Melagingos informacijos automatinio identifikavimo tekstyno sukūrimas</w:t>
            </w:r>
            <w:r w:rsidR="00E70D2D" w:rsidRPr="00891E97">
              <w:rPr>
                <w:rFonts w:asciiTheme="majorBidi" w:hAnsiTheme="majorBidi" w:cstheme="majorBidi"/>
              </w:rPr>
              <w:t xml:space="preserve">“ </w:t>
            </w:r>
            <w:r w:rsidRPr="00891E97">
              <w:rPr>
                <w:rFonts w:asciiTheme="majorBidi" w:hAnsiTheme="majorBidi" w:cstheme="majorBidi"/>
              </w:rPr>
              <w:t xml:space="preserve">įgyvendinti </w:t>
            </w:r>
            <w:r w:rsidR="00891E97" w:rsidRPr="00891E97">
              <w:rPr>
                <w:rFonts w:asciiTheme="majorBidi" w:hAnsiTheme="majorBidi" w:cstheme="majorBidi"/>
              </w:rPr>
              <w:t xml:space="preserve">skiriama iki 3 730 000 Eur (trys milijonai septyni šimtai trisdešimt tūkstančių eurų) Ekonomikos gaivinimo ir atsparumo didinimo priemonės lėšų ir iki 783 300 Eur (septyni šimtai aštuoniasdešimt trys tūkstančiai trys šimtai eurų) Lietuvos Respublikos valstybės biudžeto lėšų, skirtų netinkamam pridėtinės vertės mokesčiui (toliau – PVM) apmokėti. PVM gali būti finansuojamas tik </w:t>
            </w:r>
            <w:r w:rsidR="00891E97" w:rsidRPr="00891E97">
              <w:rPr>
                <w:rFonts w:asciiTheme="majorBidi" w:hAnsiTheme="majorBidi" w:cstheme="majorBidi"/>
                <w:color w:val="242424"/>
                <w:lang w:eastAsia="lt-LT"/>
              </w:rPr>
              <w:t xml:space="preserve">Projektų administravimo ir finansavimo taisyklių </w:t>
            </w:r>
            <w:r w:rsidR="00891E97" w:rsidRPr="00891E97">
              <w:rPr>
                <w:rFonts w:asciiTheme="majorBidi" w:hAnsiTheme="majorBidi" w:cstheme="majorBidi"/>
              </w:rPr>
              <w:t>VII skyriaus 4 skirsnyje nustatyta tvarka.</w:t>
            </w:r>
          </w:p>
          <w:p w14:paraId="43C3152A" w14:textId="5C4914C5" w:rsidR="005744F9" w:rsidRPr="00891E97" w:rsidRDefault="005744F9" w:rsidP="00891E97">
            <w:pPr>
              <w:widowControl w:val="0"/>
              <w:ind w:left="33" w:hanging="33"/>
              <w:jc w:val="both"/>
              <w:rPr>
                <w:rFonts w:asciiTheme="majorBidi" w:hAnsiTheme="majorBidi" w:cstheme="majorBidi"/>
              </w:rPr>
            </w:pPr>
            <w:r w:rsidRPr="00891E97">
              <w:rPr>
                <w:rFonts w:asciiTheme="majorBidi" w:hAnsiTheme="majorBidi" w:cstheme="majorBidi"/>
                <w:szCs w:val="24"/>
              </w:rPr>
              <w:t xml:space="preserve">Galimas pareiškėjas: </w:t>
            </w:r>
            <w:r w:rsidRPr="00891E97">
              <w:rPr>
                <w:rFonts w:asciiTheme="majorBidi" w:hAnsiTheme="majorBidi" w:cstheme="majorBidi"/>
              </w:rPr>
              <w:t>Informacinės visuomenės plėtros komitetas.</w:t>
            </w:r>
          </w:p>
          <w:p w14:paraId="2B44615A" w14:textId="77777777" w:rsidR="0091546B" w:rsidRDefault="0091546B" w:rsidP="00891E97">
            <w:pPr>
              <w:widowControl w:val="0"/>
              <w:ind w:left="33" w:hanging="33"/>
              <w:jc w:val="both"/>
              <w:rPr>
                <w:rFonts w:asciiTheme="majorBidi" w:hAnsiTheme="majorBidi" w:cstheme="majorBidi"/>
                <w:b/>
                <w:bCs/>
              </w:rPr>
            </w:pPr>
          </w:p>
          <w:p w14:paraId="2C5707E3" w14:textId="442545DD" w:rsidR="0091546B" w:rsidRPr="0091546B" w:rsidRDefault="005744F9" w:rsidP="0091546B">
            <w:pPr>
              <w:widowControl w:val="0"/>
              <w:ind w:left="33" w:hanging="33"/>
              <w:jc w:val="both"/>
              <w:rPr>
                <w:rFonts w:asciiTheme="majorBidi" w:hAnsiTheme="majorBidi" w:cstheme="majorBidi"/>
                <w:b/>
                <w:bCs/>
              </w:rPr>
            </w:pPr>
            <w:r w:rsidRPr="00891E97">
              <w:rPr>
                <w:rFonts w:asciiTheme="majorBidi" w:hAnsiTheme="majorBidi" w:cstheme="majorBidi"/>
                <w:b/>
                <w:bCs/>
              </w:rPr>
              <w:t>Privalomi techniniai</w:t>
            </w:r>
            <w:r w:rsidR="005236B0">
              <w:rPr>
                <w:rFonts w:asciiTheme="majorBidi" w:hAnsiTheme="majorBidi" w:cstheme="majorBidi"/>
                <w:b/>
                <w:bCs/>
              </w:rPr>
              <w:t xml:space="preserve">, </w:t>
            </w:r>
            <w:proofErr w:type="spellStart"/>
            <w:r w:rsidR="0091546B">
              <w:rPr>
                <w:rFonts w:asciiTheme="majorBidi" w:hAnsiTheme="majorBidi" w:cstheme="majorBidi"/>
                <w:b/>
                <w:bCs/>
              </w:rPr>
              <w:t>validavimo</w:t>
            </w:r>
            <w:proofErr w:type="spellEnd"/>
            <w:r w:rsidR="0091546B">
              <w:rPr>
                <w:rFonts w:asciiTheme="majorBidi" w:hAnsiTheme="majorBidi" w:cstheme="majorBidi"/>
                <w:b/>
                <w:bCs/>
              </w:rPr>
              <w:t xml:space="preserve"> </w:t>
            </w:r>
            <w:r w:rsidR="005236B0">
              <w:rPr>
                <w:rFonts w:asciiTheme="majorBidi" w:hAnsiTheme="majorBidi" w:cstheme="majorBidi"/>
                <w:b/>
                <w:bCs/>
              </w:rPr>
              <w:t xml:space="preserve">ir dokumentavimo </w:t>
            </w:r>
            <w:r w:rsidRPr="00891E97">
              <w:rPr>
                <w:rFonts w:asciiTheme="majorBidi" w:hAnsiTheme="majorBidi" w:cstheme="majorBidi"/>
                <w:b/>
                <w:bCs/>
              </w:rPr>
              <w:t>reikalavimai projektui nurodyti Aprašo 2 priedo I</w:t>
            </w:r>
            <w:r w:rsidR="006A6397">
              <w:rPr>
                <w:rFonts w:asciiTheme="majorBidi" w:hAnsiTheme="majorBidi" w:cstheme="majorBidi"/>
                <w:b/>
                <w:bCs/>
              </w:rPr>
              <w:t>I</w:t>
            </w:r>
            <w:r w:rsidRPr="00891E97">
              <w:rPr>
                <w:rFonts w:asciiTheme="majorBidi" w:hAnsiTheme="majorBidi" w:cstheme="majorBidi"/>
                <w:b/>
                <w:bCs/>
              </w:rPr>
              <w:t xml:space="preserve"> skyriuje.</w:t>
            </w:r>
          </w:p>
          <w:p w14:paraId="520956EC" w14:textId="5E80FC97" w:rsidR="0091546B" w:rsidRPr="0091546B" w:rsidRDefault="0091546B" w:rsidP="0091546B">
            <w:pPr>
              <w:ind w:left="316" w:hanging="316"/>
              <w:jc w:val="both"/>
              <w:rPr>
                <w:rFonts w:asciiTheme="majorBidi" w:eastAsia="Calibri" w:hAnsiTheme="majorBidi" w:cstheme="majorBidi"/>
                <w:u w:val="single"/>
              </w:rPr>
            </w:pPr>
            <w:r w:rsidRPr="0091546B">
              <w:rPr>
                <w:rFonts w:asciiTheme="majorBidi" w:eastAsia="Calibri" w:hAnsiTheme="majorBidi" w:cstheme="majorBidi"/>
                <w:u w:val="single"/>
              </w:rPr>
              <w:t>Teisiniai reikalavimai projektui:</w:t>
            </w:r>
          </w:p>
          <w:p w14:paraId="4B58853C" w14:textId="39E4B371" w:rsidR="0091546B" w:rsidRPr="0091546B" w:rsidRDefault="0091546B" w:rsidP="0091546B">
            <w:pPr>
              <w:ind w:left="316" w:hanging="316"/>
              <w:jc w:val="both"/>
              <w:rPr>
                <w:rFonts w:asciiTheme="majorBidi" w:hAnsiTheme="majorBidi" w:cstheme="majorBidi"/>
              </w:rPr>
            </w:pPr>
            <w:r w:rsidRPr="0091546B">
              <w:rPr>
                <w:rFonts w:asciiTheme="majorBidi" w:hAnsiTheme="majorBidi" w:cstheme="majorBidi"/>
              </w:rPr>
              <w:t xml:space="preserve">Kuriant visus produktus (rezultatus) privalu laikytis: </w:t>
            </w:r>
          </w:p>
          <w:p w14:paraId="1DFC1F0C" w14:textId="7B95EC80" w:rsidR="0091546B" w:rsidRPr="0091546B" w:rsidRDefault="0091546B" w:rsidP="0091546B">
            <w:pPr>
              <w:pStyle w:val="ListParagraph"/>
              <w:numPr>
                <w:ilvl w:val="0"/>
                <w:numId w:val="30"/>
              </w:numPr>
              <w:ind w:left="316" w:hanging="316"/>
              <w:jc w:val="both"/>
              <w:rPr>
                <w:rFonts w:asciiTheme="majorBidi" w:hAnsiTheme="majorBidi" w:cstheme="majorBidi"/>
              </w:rPr>
            </w:pPr>
            <w:r w:rsidRPr="0091546B">
              <w:rPr>
                <w:rFonts w:asciiTheme="majorBidi" w:hAnsiTheme="majorBidi" w:cstheme="majorBidi"/>
              </w:rPr>
              <w:t xml:space="preserve">autorių ir gretutines teises reguliuojančių Lietuvos ir ES teisės aktų; </w:t>
            </w:r>
          </w:p>
          <w:p w14:paraId="6C3FD770" w14:textId="7F3D3918" w:rsidR="0091546B" w:rsidRPr="0091546B" w:rsidRDefault="0091546B" w:rsidP="0091546B">
            <w:pPr>
              <w:pStyle w:val="ListParagraph"/>
              <w:numPr>
                <w:ilvl w:val="0"/>
                <w:numId w:val="30"/>
              </w:numPr>
              <w:ind w:left="316" w:hanging="316"/>
              <w:jc w:val="both"/>
              <w:rPr>
                <w:rFonts w:asciiTheme="majorBidi" w:hAnsiTheme="majorBidi" w:cstheme="majorBidi"/>
              </w:rPr>
            </w:pPr>
            <w:r w:rsidRPr="0091546B">
              <w:rPr>
                <w:rFonts w:asciiTheme="majorBidi" w:hAnsiTheme="majorBidi" w:cstheme="majorBidi"/>
              </w:rPr>
              <w:t xml:space="preserve">duomenų apsaugą reguliuojančių Lietuvos ir ES  teisės aktų; </w:t>
            </w:r>
          </w:p>
          <w:p w14:paraId="6838D9D9" w14:textId="3957C85E" w:rsidR="0091546B" w:rsidRPr="0091546B" w:rsidRDefault="0091546B" w:rsidP="0091546B">
            <w:pPr>
              <w:pStyle w:val="ListParagraph"/>
              <w:numPr>
                <w:ilvl w:val="0"/>
                <w:numId w:val="30"/>
              </w:numPr>
              <w:ind w:left="316" w:hanging="316"/>
              <w:jc w:val="both"/>
              <w:rPr>
                <w:rFonts w:asciiTheme="majorBidi" w:hAnsiTheme="majorBidi" w:cstheme="majorBidi"/>
              </w:rPr>
            </w:pPr>
            <w:r w:rsidRPr="0091546B">
              <w:rPr>
                <w:rFonts w:asciiTheme="majorBidi" w:hAnsiTheme="majorBidi" w:cstheme="majorBidi"/>
              </w:rPr>
              <w:t xml:space="preserve">dirbtinio intelekto sistemoms rengiamų mokymo duomenų kokybę reguliuojančių Lietuvos ir Europos teisės aktų; </w:t>
            </w:r>
          </w:p>
          <w:p w14:paraId="680A44E7" w14:textId="6708F315" w:rsidR="0091546B" w:rsidRPr="0091546B" w:rsidRDefault="0091546B" w:rsidP="0091546B">
            <w:pPr>
              <w:pStyle w:val="ListParagraph"/>
              <w:numPr>
                <w:ilvl w:val="0"/>
                <w:numId w:val="30"/>
              </w:numPr>
              <w:ind w:left="316" w:hanging="316"/>
              <w:jc w:val="both"/>
              <w:rPr>
                <w:rFonts w:asciiTheme="majorBidi" w:hAnsiTheme="majorBidi" w:cstheme="majorBidi"/>
              </w:rPr>
            </w:pPr>
            <w:r w:rsidRPr="0091546B">
              <w:rPr>
                <w:rFonts w:asciiTheme="majorBidi" w:hAnsiTheme="majorBidi" w:cstheme="majorBidi"/>
              </w:rPr>
              <w:t>Lietuvos ir Europos Sąjungos teisės aktų, reguliuojančių atvirų duomenų formavimo ir skelbimo principus (ES direktyva dėl atvirųjų duomenų ir viešojo sektoriaus informacijos pakartotinio naudojimo BDAR (EUR-</w:t>
            </w:r>
            <w:proofErr w:type="spellStart"/>
            <w:r w:rsidRPr="0091546B">
              <w:rPr>
                <w:rFonts w:asciiTheme="majorBidi" w:hAnsiTheme="majorBidi" w:cstheme="majorBidi"/>
              </w:rPr>
              <w:t>Lex</w:t>
            </w:r>
            <w:proofErr w:type="spellEnd"/>
            <w:r w:rsidRPr="0091546B">
              <w:rPr>
                <w:rFonts w:asciiTheme="majorBidi" w:hAnsiTheme="majorBidi" w:cstheme="majorBidi"/>
              </w:rPr>
              <w:t xml:space="preserve"> - 32016R0679 - EN - EUR-</w:t>
            </w:r>
            <w:proofErr w:type="spellStart"/>
            <w:r w:rsidRPr="0091546B">
              <w:rPr>
                <w:rFonts w:asciiTheme="majorBidi" w:hAnsiTheme="majorBidi" w:cstheme="majorBidi"/>
              </w:rPr>
              <w:t>Lex</w:t>
            </w:r>
            <w:proofErr w:type="spellEnd"/>
            <w:r w:rsidRPr="0091546B">
              <w:rPr>
                <w:rFonts w:asciiTheme="majorBidi" w:hAnsiTheme="majorBidi" w:cstheme="majorBidi"/>
              </w:rPr>
              <w:t xml:space="preserve"> (europa.eu)) </w:t>
            </w:r>
            <w:hyperlink r:id="rId12" w:history="1">
              <w:r w:rsidRPr="0091546B">
                <w:rPr>
                  <w:rStyle w:val="Hyperlink"/>
                  <w:rFonts w:asciiTheme="majorBidi" w:hAnsiTheme="majorBidi" w:cstheme="majorBidi"/>
                </w:rPr>
                <w:t>https://eur-lex.europa.eu/legal-content/EN/TXT/?qid=1561563110433&amp;uri=CELEX:32019L1024</w:t>
              </w:r>
            </w:hyperlink>
            <w:r w:rsidRPr="0091546B">
              <w:rPr>
                <w:rFonts w:asciiTheme="majorBidi" w:hAnsiTheme="majorBidi" w:cstheme="majorBidi"/>
              </w:rPr>
              <w:t xml:space="preserve">). </w:t>
            </w:r>
          </w:p>
          <w:p w14:paraId="425442DE" w14:textId="77777777" w:rsidR="002B79B4" w:rsidRDefault="00293D20" w:rsidP="00293D20">
            <w:pPr>
              <w:jc w:val="both"/>
              <w:rPr>
                <w:rFonts w:asciiTheme="majorBidi" w:hAnsiTheme="majorBidi" w:cstheme="majorBidi"/>
              </w:rPr>
            </w:pPr>
            <w:r w:rsidRPr="00293D20">
              <w:rPr>
                <w:rFonts w:asciiTheme="majorBidi" w:hAnsiTheme="majorBidi" w:cstheme="majorBidi"/>
              </w:rPr>
              <w:t>Kuriant visus produktus (rezultatus) rekomenduojama atsižvelgti į naujai ruošiamą dirbtinio intelekto aktą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- 52021PC0206 - EN - EUR-</w:t>
            </w:r>
            <w:proofErr w:type="spellStart"/>
            <w:r w:rsidRPr="00293D20">
              <w:rPr>
                <w:rFonts w:asciiTheme="majorBidi" w:hAnsiTheme="majorBidi" w:cstheme="majorBidi"/>
              </w:rPr>
              <w:t>Lex</w:t>
            </w:r>
            <w:proofErr w:type="spellEnd"/>
            <w:r w:rsidRPr="00293D20">
              <w:rPr>
                <w:rFonts w:asciiTheme="majorBidi" w:hAnsiTheme="majorBidi" w:cstheme="majorBidi"/>
              </w:rPr>
              <w:t xml:space="preserve"> (europa.eu)). </w:t>
            </w:r>
          </w:p>
          <w:p w14:paraId="5A86C176" w14:textId="77777777" w:rsidR="002B79B4" w:rsidRDefault="00293D20" w:rsidP="00293D20">
            <w:pPr>
              <w:jc w:val="both"/>
              <w:rPr>
                <w:rFonts w:asciiTheme="majorBidi" w:hAnsiTheme="majorBidi" w:cstheme="majorBidi"/>
              </w:rPr>
            </w:pPr>
            <w:r w:rsidRPr="00293D20">
              <w:rPr>
                <w:rFonts w:asciiTheme="majorBidi" w:hAnsiTheme="majorBidi" w:cstheme="majorBidi"/>
              </w:rPr>
              <w:t xml:space="preserve">Turi būti parengta ištekliaus naudojimo licencija, kuri užtikrina atvirą ir nemokamą prieigą prie ištekliaus. Visi surinkti tekstyno įrašai turi turėti atitinkamas licencijas. </w:t>
            </w:r>
          </w:p>
          <w:p w14:paraId="26F643C7" w14:textId="35961A96" w:rsidR="00293D20" w:rsidRPr="00293D20" w:rsidRDefault="00293D20" w:rsidP="00293D20">
            <w:pPr>
              <w:jc w:val="both"/>
              <w:rPr>
                <w:rFonts w:asciiTheme="majorBidi" w:hAnsiTheme="majorBidi" w:cstheme="majorBidi"/>
              </w:rPr>
            </w:pPr>
            <w:r w:rsidRPr="00293D20">
              <w:rPr>
                <w:rFonts w:asciiTheme="majorBidi" w:eastAsia="Calibri" w:hAnsiTheme="majorBidi" w:cstheme="majorBidi"/>
              </w:rPr>
              <w:t xml:space="preserve">Tekstynas privalo būti pasiekiamas </w:t>
            </w:r>
            <w:hyperlink r:id="rId13" w:history="1">
              <w:r w:rsidRPr="00293D20">
                <w:rPr>
                  <w:rStyle w:val="Hyperlink"/>
                  <w:rFonts w:asciiTheme="majorBidi" w:hAnsiTheme="majorBidi" w:cstheme="majorBidi"/>
                </w:rPr>
                <w:t>Lietuvos atvirų duomenų portale (</w:t>
              </w:r>
              <w:proofErr w:type="spellStart"/>
              <w:r w:rsidRPr="00293D20">
                <w:rPr>
                  <w:rStyle w:val="Hyperlink"/>
                  <w:rFonts w:asciiTheme="majorBidi" w:hAnsiTheme="majorBidi" w:cstheme="majorBidi"/>
                </w:rPr>
                <w:t>data.gov.lt</w:t>
              </w:r>
              <w:proofErr w:type="spellEnd"/>
              <w:r w:rsidRPr="00293D20">
                <w:rPr>
                  <w:rStyle w:val="Hyperlink"/>
                  <w:rFonts w:asciiTheme="majorBidi" w:hAnsiTheme="majorBidi" w:cstheme="majorBidi"/>
                </w:rPr>
                <w:t>)</w:t>
              </w:r>
            </w:hyperlink>
            <w:r w:rsidRPr="00293D20">
              <w:rPr>
                <w:rFonts w:asciiTheme="majorBidi" w:eastAsia="Calibri" w:hAnsiTheme="majorBidi" w:cstheme="majorBidi"/>
              </w:rPr>
              <w:t xml:space="preserve"> ir ne mažiau nei per vieną atviros prieigos platformą (pvz., „</w:t>
            </w:r>
            <w:proofErr w:type="spellStart"/>
            <w:r w:rsidRPr="00293D20">
              <w:rPr>
                <w:rFonts w:asciiTheme="majorBidi" w:eastAsia="Calibri" w:hAnsiTheme="majorBidi" w:cstheme="majorBidi"/>
              </w:rPr>
              <w:t>Hugging</w:t>
            </w:r>
            <w:proofErr w:type="spellEnd"/>
            <w:r w:rsidRPr="00293D20">
              <w:rPr>
                <w:rFonts w:asciiTheme="majorBidi" w:eastAsia="Calibri" w:hAnsiTheme="majorBidi" w:cstheme="majorBidi"/>
              </w:rPr>
              <w:t xml:space="preserve"> </w:t>
            </w:r>
            <w:proofErr w:type="spellStart"/>
            <w:r w:rsidRPr="00293D20">
              <w:rPr>
                <w:rFonts w:asciiTheme="majorBidi" w:eastAsia="Calibri" w:hAnsiTheme="majorBidi" w:cstheme="majorBidi"/>
              </w:rPr>
              <w:t>Face</w:t>
            </w:r>
            <w:proofErr w:type="spellEnd"/>
            <w:r w:rsidRPr="00293D20">
              <w:rPr>
                <w:rFonts w:asciiTheme="majorBidi" w:eastAsia="Calibri" w:hAnsiTheme="majorBidi" w:cstheme="majorBidi"/>
              </w:rPr>
              <w:t>“, CLARIN ar kt.) bei prieinamas nemokamai.</w:t>
            </w:r>
          </w:p>
          <w:p w14:paraId="1EF8C2DA" w14:textId="77777777" w:rsidR="00293D20" w:rsidRPr="00E70D2D" w:rsidRDefault="00293D20" w:rsidP="00293D20">
            <w:pPr>
              <w:widowControl w:val="0"/>
              <w:ind w:left="33" w:hanging="33"/>
              <w:jc w:val="both"/>
              <w:rPr>
                <w:rFonts w:asciiTheme="majorBidi" w:hAnsiTheme="majorBidi" w:cstheme="majorBidi"/>
                <w:b/>
                <w:bCs/>
              </w:rPr>
            </w:pPr>
          </w:p>
          <w:p w14:paraId="4F50746B" w14:textId="740A3C6B"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hAnsiTheme="majorBidi" w:cstheme="majorBidi"/>
                <w:bCs/>
                <w:iCs/>
                <w:szCs w:val="24"/>
              </w:rPr>
              <w:t xml:space="preserve">Projektas turi atitikti bendruosius projektų atrankos kriterijus, </w:t>
            </w:r>
            <w:r w:rsidRPr="00E70D2D">
              <w:rPr>
                <w:rFonts w:asciiTheme="majorBidi" w:eastAsia="Calibri" w:hAnsiTheme="majorBidi" w:cstheme="majorBidi"/>
                <w:szCs w:val="24"/>
              </w:rPr>
              <w:t xml:space="preserve">nustatytus </w:t>
            </w:r>
            <w:r w:rsidRPr="00E70D2D">
              <w:rPr>
                <w:rFonts w:asciiTheme="majorBidi" w:hAnsiTheme="majorBidi" w:cstheme="majorBidi"/>
                <w:szCs w:val="24"/>
              </w:rPr>
              <w:t xml:space="preserve">Projektų administravimo ir finansavimo taisyklių 2 priede. </w:t>
            </w:r>
          </w:p>
          <w:p w14:paraId="5EF7760F" w14:textId="2868960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 xml:space="preserve">Projekto komunikacijos ir informavimo veiksmai atliekami vadovaujantis </w:t>
            </w:r>
            <w:r w:rsidRPr="00E70D2D">
              <w:rPr>
                <w:rFonts w:asciiTheme="majorBidi" w:hAnsiTheme="majorBidi" w:cstheme="majorBidi"/>
                <w:szCs w:val="24"/>
              </w:rPr>
              <w:t>Projektų administravimo ir finansavimo taisyklių VIII skyriaus „Kiti projektų reikalavimai“ pirmojo skirsnio „Informavimas apie projektą ir komunikaciją“ nuostatomis</w:t>
            </w:r>
            <w:r w:rsidRPr="00E70D2D">
              <w:rPr>
                <w:rFonts w:asciiTheme="majorBidi" w:eastAsia="Calibri" w:hAnsiTheme="majorBidi" w:cstheme="majorBidi"/>
                <w:szCs w:val="24"/>
              </w:rPr>
              <w:t>.</w:t>
            </w:r>
          </w:p>
          <w:p w14:paraId="5678FCE8" w14:textId="5335D57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Projektų atranka atliekama valstybės planavimo būdu.</w:t>
            </w:r>
          </w:p>
          <w:p w14:paraId="7A8B39DA" w14:textId="3970A5A3" w:rsidR="005744F9" w:rsidRPr="00E70D2D" w:rsidRDefault="005744F9" w:rsidP="00293D20">
            <w:pPr>
              <w:ind w:left="33" w:hanging="33"/>
              <w:jc w:val="both"/>
              <w:rPr>
                <w:rFonts w:asciiTheme="majorBidi" w:eastAsia="Calibri" w:hAnsiTheme="majorBidi" w:cstheme="majorBidi"/>
                <w:szCs w:val="24"/>
              </w:rPr>
            </w:pPr>
            <w:r w:rsidRPr="00E70D2D">
              <w:rPr>
                <w:rFonts w:asciiTheme="majorBidi" w:hAnsiTheme="majorBidi" w:cstheme="majorBidi"/>
                <w:iCs/>
                <w:szCs w:val="24"/>
              </w:rPr>
              <w:t xml:space="preserve">Pagal Aprašą partneriai – nėra galimi.  </w:t>
            </w:r>
          </w:p>
          <w:p w14:paraId="31C64C8E" w14:textId="235832F5" w:rsidR="0040766D" w:rsidRPr="00E70D2D" w:rsidRDefault="0040766D" w:rsidP="00E70D2D">
            <w:pPr>
              <w:rPr>
                <w:rFonts w:asciiTheme="majorBidi" w:hAnsiTheme="majorBidi" w:cstheme="majorBidi"/>
              </w:rPr>
            </w:pPr>
          </w:p>
        </w:tc>
      </w:tr>
      <w:tr w:rsidR="0040766D" w:rsidRPr="008B168C" w14:paraId="31C64C92" w14:textId="77777777" w:rsidTr="008518E6">
        <w:trPr>
          <w:cantSplit/>
          <w:trHeight w:val="300"/>
        </w:trPr>
        <w:tc>
          <w:tcPr>
            <w:tcW w:w="851" w:type="dxa"/>
            <w:vMerge w:val="restart"/>
          </w:tcPr>
          <w:p w14:paraId="31C64C90" w14:textId="73362A6B"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6"/>
            <w:shd w:val="clear" w:color="auto" w:fill="auto"/>
          </w:tcPr>
          <w:p w14:paraId="31C64C91" w14:textId="678675F2"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0766D" w:rsidRPr="008B168C" w14:paraId="31C64C95" w14:textId="77777777" w:rsidTr="008518E6">
        <w:trPr>
          <w:cantSplit/>
          <w:trHeight w:val="464"/>
        </w:trPr>
        <w:tc>
          <w:tcPr>
            <w:tcW w:w="851" w:type="dxa"/>
            <w:vMerge/>
          </w:tcPr>
          <w:p w14:paraId="31C64C93" w14:textId="77777777" w:rsidR="0040766D" w:rsidRPr="00533406" w:rsidRDefault="0040766D" w:rsidP="0040766D">
            <w:pPr>
              <w:rPr>
                <w:rFonts w:ascii="Times New Roman" w:hAnsi="Times New Roman" w:cs="Times New Roman"/>
              </w:rPr>
            </w:pPr>
          </w:p>
        </w:tc>
        <w:tc>
          <w:tcPr>
            <w:tcW w:w="9214" w:type="dxa"/>
            <w:gridSpan w:val="6"/>
            <w:shd w:val="clear" w:color="auto" w:fill="auto"/>
          </w:tcPr>
          <w:p w14:paraId="469408CE"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 xml:space="preserve">Neutralus – projektas negali daryti neigiamo poveikio horizontaliesiems principams. </w:t>
            </w:r>
          </w:p>
          <w:p w14:paraId="38229955"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14:paraId="22612B32"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Projektų atitikties Reikšmingos žalos nedarymo horizontaliajam principui vertinimo reikalavimų aprašas pateikiamas Aprašo 1 priede.</w:t>
            </w:r>
          </w:p>
          <w:p w14:paraId="04C2E46D" w14:textId="77777777" w:rsidR="00C453F0" w:rsidRPr="00374E8A" w:rsidRDefault="00C453F0" w:rsidP="00C453F0">
            <w:pPr>
              <w:jc w:val="both"/>
              <w:rPr>
                <w:rFonts w:asciiTheme="majorBidi" w:eastAsia="Calibri" w:hAnsiTheme="majorBidi" w:cstheme="majorBidi"/>
                <w:bCs/>
                <w:lang w:bidi="lt-LT"/>
              </w:rPr>
            </w:pPr>
            <w:r w:rsidRPr="00374E8A">
              <w:rPr>
                <w:rFonts w:asciiTheme="majorBidi" w:eastAsia="Calibri" w:hAnsiTheme="majorBidi" w:cstheme="majorBid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43C1D31C" w:rsidR="0040766D" w:rsidRPr="009C094C"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Projektas neturi pažeisti Chartijos pagrindinių teisių</w:t>
            </w:r>
            <w:r w:rsidRPr="00374E8A">
              <w:rPr>
                <w:rFonts w:asciiTheme="majorBidi" w:hAnsiTheme="majorBidi" w:cstheme="majorBidi"/>
                <w:bCs/>
                <w:iCs/>
                <w:szCs w:val="24"/>
              </w:rPr>
              <w:t>:</w:t>
            </w:r>
            <w:r w:rsidRPr="00374E8A">
              <w:rPr>
                <w:rFonts w:asciiTheme="majorBidi" w:hAnsiTheme="majorBidi" w:cstheme="majorBidi"/>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sidRPr="00374E8A">
              <w:rPr>
                <w:rFonts w:asciiTheme="majorBidi" w:hAnsiTheme="majorBidi" w:cstheme="majorBidi"/>
                <w:bCs/>
                <w:iCs/>
                <w:szCs w:val="24"/>
              </w:rPr>
              <w:t xml:space="preserve">  </w:t>
            </w:r>
          </w:p>
        </w:tc>
      </w:tr>
      <w:tr w:rsidR="0040766D" w:rsidRPr="008B168C" w14:paraId="31C64C98" w14:textId="77777777" w:rsidTr="008518E6">
        <w:trPr>
          <w:cantSplit/>
          <w:trHeight w:val="300"/>
        </w:trPr>
        <w:tc>
          <w:tcPr>
            <w:tcW w:w="851" w:type="dxa"/>
            <w:vMerge w:val="restart"/>
          </w:tcPr>
          <w:p w14:paraId="31C64C96" w14:textId="09512013"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6"/>
            <w:shd w:val="clear" w:color="auto" w:fill="auto"/>
          </w:tcPr>
          <w:p w14:paraId="31C64C97" w14:textId="038779E6"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53F0" w:rsidRPr="008B168C" w14:paraId="31C64C9B" w14:textId="77777777" w:rsidTr="008518E6">
        <w:trPr>
          <w:cantSplit/>
          <w:trHeight w:val="431"/>
        </w:trPr>
        <w:tc>
          <w:tcPr>
            <w:tcW w:w="851" w:type="dxa"/>
            <w:vMerge/>
          </w:tcPr>
          <w:p w14:paraId="31C64C99"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31C64C9A" w14:textId="32542799" w:rsidR="00C453F0" w:rsidRPr="00533406"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3 metai po projekto įgyvendinimo pabaigos privaloma viešinti projekto įgyvendinimo rezultatus, siekiant užtikrinti sukurtų išteklių populiarinimą.</w:t>
            </w:r>
          </w:p>
        </w:tc>
      </w:tr>
      <w:tr w:rsidR="00C453F0" w:rsidRPr="008B168C" w14:paraId="31C64C9F" w14:textId="77777777" w:rsidTr="008518E6">
        <w:trPr>
          <w:cantSplit/>
          <w:trHeight w:val="300"/>
        </w:trPr>
        <w:tc>
          <w:tcPr>
            <w:tcW w:w="851" w:type="dxa"/>
            <w:vMerge w:val="restart"/>
          </w:tcPr>
          <w:p w14:paraId="31C64C9C" w14:textId="427932C0"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6"/>
            <w:shd w:val="clear" w:color="auto" w:fill="auto"/>
          </w:tcPr>
          <w:p w14:paraId="31C64C9E" w14:textId="690D771F"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53F0" w:rsidRPr="008B168C" w14:paraId="104ADB7A" w14:textId="77777777" w:rsidTr="008518E6">
        <w:trPr>
          <w:cantSplit/>
          <w:trHeight w:val="725"/>
        </w:trPr>
        <w:tc>
          <w:tcPr>
            <w:tcW w:w="851" w:type="dxa"/>
            <w:vMerge/>
          </w:tcPr>
          <w:p w14:paraId="53B69355"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731F3BED" w14:textId="070374E9" w:rsidR="00C453F0" w:rsidRPr="009C094C" w:rsidRDefault="00C453F0" w:rsidP="00C453F0">
            <w:pPr>
              <w:jc w:val="both"/>
              <w:rPr>
                <w:rFonts w:ascii="Times New Roman" w:hAnsi="Times New Roman" w:cs="Times New Roman"/>
                <w:i/>
                <w:iCs/>
              </w:rPr>
            </w:pPr>
            <w:r w:rsidRPr="00374E8A">
              <w:rPr>
                <w:rFonts w:asciiTheme="majorBidi" w:eastAsia="Calibri" w:hAnsiTheme="majorBidi" w:cstheme="majorBidi"/>
                <w:szCs w:val="24"/>
              </w:rPr>
              <w:t>Projekto veiklos turi būti įgyvendintos iki 202</w:t>
            </w:r>
            <w:r w:rsidRPr="00374E8A">
              <w:rPr>
                <w:rFonts w:asciiTheme="majorBidi" w:eastAsia="Calibri" w:hAnsiTheme="majorBidi" w:cstheme="majorBidi"/>
                <w:szCs w:val="24"/>
                <w:lang w:val="pt-BR"/>
              </w:rPr>
              <w:t>6</w:t>
            </w:r>
            <w:r w:rsidRPr="00374E8A">
              <w:rPr>
                <w:rFonts w:asciiTheme="majorBidi" w:eastAsia="Calibri" w:hAnsiTheme="majorBidi" w:cstheme="majorBidi"/>
                <w:szCs w:val="24"/>
              </w:rPr>
              <w:t xml:space="preserve"> m. balandžio </w:t>
            </w:r>
            <w:r w:rsidRPr="00374E8A">
              <w:rPr>
                <w:rFonts w:asciiTheme="majorBidi" w:eastAsia="Calibri" w:hAnsiTheme="majorBidi" w:cstheme="majorBidi"/>
                <w:szCs w:val="24"/>
                <w:lang w:val="pt-BR"/>
              </w:rPr>
              <w:t>30</w:t>
            </w:r>
            <w:r w:rsidRPr="00374E8A">
              <w:rPr>
                <w:rFonts w:asciiTheme="majorBidi" w:eastAsia="Calibri" w:hAnsiTheme="majorBidi" w:cstheme="majorBidi"/>
                <w:szCs w:val="24"/>
              </w:rPr>
              <w:t xml:space="preserve"> d. </w:t>
            </w:r>
            <w:r w:rsidRPr="00374E8A">
              <w:rPr>
                <w:rFonts w:asciiTheme="majorBidi" w:hAnsiTheme="majorBidi" w:cstheme="majorBidi"/>
                <w:szCs w:val="24"/>
              </w:rPr>
              <w:t xml:space="preserve"> </w:t>
            </w:r>
          </w:p>
        </w:tc>
      </w:tr>
      <w:tr w:rsidR="00C453F0" w:rsidRPr="008B168C" w14:paraId="31C64CA7" w14:textId="77777777" w:rsidTr="008518E6">
        <w:trPr>
          <w:cantSplit/>
          <w:trHeight w:val="327"/>
        </w:trPr>
        <w:tc>
          <w:tcPr>
            <w:tcW w:w="851" w:type="dxa"/>
            <w:shd w:val="clear" w:color="auto" w:fill="auto"/>
          </w:tcPr>
          <w:p w14:paraId="31C64CA4" w14:textId="422BE8F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6"/>
            <w:shd w:val="clear" w:color="auto" w:fill="auto"/>
          </w:tcPr>
          <w:p w14:paraId="31C64CA6" w14:textId="07D1E138" w:rsidR="00C453F0" w:rsidRPr="00533406" w:rsidRDefault="00C453F0" w:rsidP="00C453F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53F0" w:rsidRPr="008B168C" w14:paraId="498677D9" w14:textId="77777777" w:rsidTr="008518E6">
        <w:trPr>
          <w:cantSplit/>
          <w:trHeight w:val="529"/>
        </w:trPr>
        <w:tc>
          <w:tcPr>
            <w:tcW w:w="851" w:type="dxa"/>
            <w:shd w:val="clear" w:color="auto" w:fill="auto"/>
          </w:tcPr>
          <w:p w14:paraId="3F662C1E" w14:textId="77777777" w:rsidR="00C453F0" w:rsidRPr="00F62A6E" w:rsidRDefault="00C453F0" w:rsidP="00C453F0">
            <w:pPr>
              <w:rPr>
                <w:rFonts w:ascii="Times New Roman" w:hAnsi="Times New Roman" w:cs="Times New Roman"/>
                <w:b/>
              </w:rPr>
            </w:pPr>
          </w:p>
        </w:tc>
        <w:tc>
          <w:tcPr>
            <w:tcW w:w="9214" w:type="dxa"/>
            <w:gridSpan w:val="6"/>
            <w:shd w:val="clear" w:color="auto" w:fill="auto"/>
          </w:tcPr>
          <w:p w14:paraId="0E17FE61" w14:textId="1C5A865D" w:rsidR="00C453F0" w:rsidRPr="009C094C" w:rsidRDefault="00C453F0" w:rsidP="00C453F0">
            <w:pPr>
              <w:rPr>
                <w:rFonts w:ascii="Times New Roman" w:hAnsi="Times New Roman" w:cs="Times New Roman"/>
                <w:i/>
                <w:iCs/>
              </w:rPr>
            </w:pPr>
            <w:r w:rsidRPr="00374E8A">
              <w:rPr>
                <w:rFonts w:asciiTheme="majorBidi" w:hAnsiTheme="majorBidi" w:cstheme="majorBidi"/>
                <w:szCs w:val="24"/>
              </w:rPr>
              <w:t xml:space="preserve">Pagal Aprašą valstybės pagalba, kaip ji apibrėžta Sutarties dėl Europos Sąjungos veikimo 107 straipsnyje, ir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 kuri atitinka 2013 m. gruodžio 18 d. Komisijos reglamento (ES) Nr. 1407/2013 dėl Sutarties dėl Europos Sąjungos veikimo 107 ir 108 straipsnių taikymo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pagalbai nuostatas, neteikiama.</w:t>
            </w:r>
          </w:p>
        </w:tc>
      </w:tr>
      <w:tr w:rsidR="00C453F0" w:rsidRPr="008B168C" w14:paraId="736F24E0" w14:textId="77777777" w:rsidTr="008518E6">
        <w:trPr>
          <w:cantSplit/>
          <w:trHeight w:val="423"/>
        </w:trPr>
        <w:tc>
          <w:tcPr>
            <w:tcW w:w="851" w:type="dxa"/>
            <w:shd w:val="clear" w:color="auto" w:fill="auto"/>
          </w:tcPr>
          <w:p w14:paraId="0805D974" w14:textId="1EDE68C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6"/>
            <w:shd w:val="clear" w:color="auto" w:fill="auto"/>
          </w:tcPr>
          <w:p w14:paraId="6373FAF3" w14:textId="64509AE0"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53F0" w14:paraId="54BA3A94" w14:textId="77777777" w:rsidTr="008518E6">
        <w:trPr>
          <w:cantSplit/>
          <w:trHeight w:val="811"/>
        </w:trPr>
        <w:tc>
          <w:tcPr>
            <w:tcW w:w="851" w:type="dxa"/>
          </w:tcPr>
          <w:p w14:paraId="60CF28AA" w14:textId="299A923C" w:rsidR="00C453F0" w:rsidRPr="00F62A6E" w:rsidRDefault="00C453F0" w:rsidP="00C453F0">
            <w:pPr>
              <w:rPr>
                <w:rFonts w:ascii="Times New Roman" w:hAnsi="Times New Roman" w:cs="Times New Roman"/>
                <w:b/>
              </w:rPr>
            </w:pPr>
          </w:p>
        </w:tc>
        <w:tc>
          <w:tcPr>
            <w:tcW w:w="9214" w:type="dxa"/>
            <w:gridSpan w:val="6"/>
            <w:shd w:val="clear" w:color="auto" w:fill="auto"/>
          </w:tcPr>
          <w:p w14:paraId="189B9764" w14:textId="718A9EF2" w:rsidR="00C453F0" w:rsidRPr="009C094C" w:rsidRDefault="00C453F0" w:rsidP="00C453F0">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4" w:history="1">
              <w:r w:rsidRPr="00904FC4">
                <w:rPr>
                  <w:rStyle w:val="Hyperlink"/>
                  <w:rFonts w:ascii="Times New Roman" w:hAnsi="Times New Roman" w:cs="Times New Roman"/>
                </w:rPr>
                <w:t>https://esinvesticijos.lt/dokumentai/projektu-bendruju-atrankos-kriteriju-sarasas-ir-ju-vertinimo-metodika-3</w:t>
              </w:r>
            </w:hyperlink>
          </w:p>
        </w:tc>
      </w:tr>
      <w:tr w:rsidR="00C453F0" w:rsidRPr="008B168C" w14:paraId="0327D8D8" w14:textId="77777777" w:rsidTr="008518E6">
        <w:trPr>
          <w:cantSplit/>
          <w:trHeight w:val="423"/>
        </w:trPr>
        <w:tc>
          <w:tcPr>
            <w:tcW w:w="851" w:type="dxa"/>
            <w:vMerge w:val="restart"/>
          </w:tcPr>
          <w:p w14:paraId="5BA77AE0" w14:textId="7C229CBF" w:rsidR="00C453F0" w:rsidRPr="00F62A6E" w:rsidRDefault="00C453F0" w:rsidP="00C453F0">
            <w:pPr>
              <w:rPr>
                <w:rFonts w:ascii="Times New Roman" w:hAnsi="Times New Roman" w:cs="Times New Roman"/>
                <w:b/>
              </w:rPr>
            </w:pPr>
            <w:r w:rsidRPr="00F62A6E">
              <w:rPr>
                <w:rFonts w:ascii="Times New Roman" w:hAnsi="Times New Roman" w:cs="Times New Roman"/>
                <w:b/>
              </w:rPr>
              <w:t>2.16.7</w:t>
            </w:r>
          </w:p>
        </w:tc>
        <w:tc>
          <w:tcPr>
            <w:tcW w:w="9214" w:type="dxa"/>
            <w:gridSpan w:val="6"/>
            <w:shd w:val="clear" w:color="auto" w:fill="auto"/>
          </w:tcPr>
          <w:p w14:paraId="4321CFA6" w14:textId="5928657D" w:rsidR="00C453F0" w:rsidRPr="009C094C" w:rsidRDefault="00C453F0" w:rsidP="00C453F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53F0" w14:paraId="251D5187" w14:textId="77777777" w:rsidTr="008518E6">
        <w:trPr>
          <w:cantSplit/>
          <w:trHeight w:val="423"/>
        </w:trPr>
        <w:tc>
          <w:tcPr>
            <w:tcW w:w="851" w:type="dxa"/>
            <w:vMerge/>
          </w:tcPr>
          <w:p w14:paraId="332C59B2" w14:textId="7569E6C6" w:rsidR="00C453F0" w:rsidRDefault="00C453F0" w:rsidP="00C453F0">
            <w:pPr>
              <w:rPr>
                <w:rFonts w:ascii="Times New Roman" w:hAnsi="Times New Roman" w:cs="Times New Roman"/>
              </w:rPr>
            </w:pPr>
          </w:p>
        </w:tc>
        <w:tc>
          <w:tcPr>
            <w:tcW w:w="9214" w:type="dxa"/>
            <w:gridSpan w:val="6"/>
            <w:shd w:val="clear" w:color="auto" w:fill="auto"/>
          </w:tcPr>
          <w:p w14:paraId="52540129" w14:textId="49248110" w:rsidR="00C453F0" w:rsidRDefault="00C453F0" w:rsidP="00C453F0">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C453F0" w14:paraId="3462DE83" w14:textId="77777777" w:rsidTr="008518E6">
        <w:trPr>
          <w:cantSplit/>
          <w:trHeight w:val="423"/>
        </w:trPr>
        <w:tc>
          <w:tcPr>
            <w:tcW w:w="851" w:type="dxa"/>
            <w:vMerge w:val="restart"/>
          </w:tcPr>
          <w:p w14:paraId="451EA9F3" w14:textId="310E8EE6" w:rsidR="00C453F0" w:rsidRPr="00F62A6E" w:rsidRDefault="00C453F0" w:rsidP="00C453F0">
            <w:pPr>
              <w:rPr>
                <w:rFonts w:ascii="Times New Roman" w:hAnsi="Times New Roman" w:cs="Times New Roman"/>
                <w:b/>
              </w:rPr>
            </w:pPr>
            <w:r w:rsidRPr="00F62A6E">
              <w:rPr>
                <w:rFonts w:ascii="Times New Roman" w:hAnsi="Times New Roman" w:cs="Times New Roman"/>
                <w:b/>
              </w:rPr>
              <w:t>2.16.8</w:t>
            </w:r>
          </w:p>
        </w:tc>
        <w:tc>
          <w:tcPr>
            <w:tcW w:w="9214" w:type="dxa"/>
            <w:gridSpan w:val="6"/>
            <w:shd w:val="clear" w:color="auto" w:fill="auto"/>
          </w:tcPr>
          <w:p w14:paraId="3B04E1E1" w14:textId="356E87A9"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53F0" w14:paraId="206BEFE7" w14:textId="77777777" w:rsidTr="008518E6">
        <w:trPr>
          <w:cantSplit/>
          <w:trHeight w:val="423"/>
        </w:trPr>
        <w:tc>
          <w:tcPr>
            <w:tcW w:w="851" w:type="dxa"/>
            <w:vMerge/>
          </w:tcPr>
          <w:p w14:paraId="639006DB" w14:textId="1353E2A2" w:rsidR="00C453F0" w:rsidRDefault="00C453F0" w:rsidP="00C453F0">
            <w:pPr>
              <w:rPr>
                <w:rFonts w:ascii="Times New Roman" w:hAnsi="Times New Roman" w:cs="Times New Roman"/>
              </w:rPr>
            </w:pPr>
          </w:p>
        </w:tc>
        <w:tc>
          <w:tcPr>
            <w:tcW w:w="9214" w:type="dxa"/>
            <w:gridSpan w:val="6"/>
            <w:shd w:val="clear" w:color="auto" w:fill="auto"/>
          </w:tcPr>
          <w:p w14:paraId="15523968" w14:textId="535D3F6D" w:rsidR="00C453F0" w:rsidRPr="009C094C" w:rsidRDefault="00C453F0" w:rsidP="00C453F0">
            <w:pPr>
              <w:rPr>
                <w:rFonts w:ascii="Times New Roman" w:hAnsi="Times New Roman" w:cs="Times New Roman"/>
                <w:b/>
                <w:bCs/>
                <w:i/>
                <w:iCs/>
              </w:rPr>
            </w:pPr>
            <w:r>
              <w:rPr>
                <w:rFonts w:ascii="Times New Roman" w:hAnsi="Times New Roman" w:cs="Times New Roman"/>
                <w:i/>
                <w:iCs/>
              </w:rPr>
              <w:t>-</w:t>
            </w:r>
          </w:p>
        </w:tc>
      </w:tr>
      <w:tr w:rsidR="00C453F0" w:rsidRPr="008B168C" w14:paraId="31C64CB8" w14:textId="77777777" w:rsidTr="008518E6">
        <w:trPr>
          <w:cantSplit/>
          <w:trHeight w:val="423"/>
        </w:trPr>
        <w:tc>
          <w:tcPr>
            <w:tcW w:w="851" w:type="dxa"/>
          </w:tcPr>
          <w:p w14:paraId="31C64CB4" w14:textId="7CA25471" w:rsidR="00C453F0" w:rsidRPr="0090338F" w:rsidRDefault="00C453F0" w:rsidP="00C453F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6"/>
          </w:tcPr>
          <w:p w14:paraId="31C64CB7" w14:textId="3A0B9723" w:rsidR="00C453F0" w:rsidRPr="00816450" w:rsidRDefault="00C453F0" w:rsidP="00C453F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53F0" w:rsidRPr="008B168C" w14:paraId="31C64CC6" w14:textId="77777777" w:rsidTr="008518E6">
        <w:trPr>
          <w:cantSplit/>
          <w:trHeight w:val="300"/>
        </w:trPr>
        <w:tc>
          <w:tcPr>
            <w:tcW w:w="851" w:type="dxa"/>
          </w:tcPr>
          <w:p w14:paraId="31C64CC2" w14:textId="03990575" w:rsidR="00C453F0" w:rsidRPr="00F62A6E" w:rsidRDefault="00C453F0" w:rsidP="00C453F0">
            <w:pPr>
              <w:rPr>
                <w:rFonts w:ascii="Times New Roman" w:hAnsi="Times New Roman" w:cs="Times New Roman"/>
                <w:b/>
              </w:rPr>
            </w:pPr>
            <w:r w:rsidRPr="00F62A6E">
              <w:rPr>
                <w:rFonts w:ascii="Times New Roman" w:hAnsi="Times New Roman" w:cs="Times New Roman"/>
                <w:b/>
              </w:rPr>
              <w:t>2.17.1.</w:t>
            </w:r>
          </w:p>
        </w:tc>
        <w:tc>
          <w:tcPr>
            <w:tcW w:w="3281" w:type="dxa"/>
            <w:gridSpan w:val="2"/>
          </w:tcPr>
          <w:p w14:paraId="31C64CC3" w14:textId="70BE7A26" w:rsidR="00C453F0" w:rsidRPr="00216BC8" w:rsidRDefault="00C453F0" w:rsidP="00C453F0">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375BB2F"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Parengtas PĮP (su visais privalomais priedais) teikiamas per 2021-2027 m. Duomenų mainų svetainę (DMS) adresu https://dms.investis.lt.</w:t>
            </w:r>
            <w:r>
              <w:rPr>
                <w:rStyle w:val="eop"/>
                <w:sz w:val="22"/>
                <w:szCs w:val="22"/>
              </w:rPr>
              <w:t> </w:t>
            </w:r>
          </w:p>
          <w:p w14:paraId="769ACDC4"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BD4D449"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Kilus klausimams kreiptis į nurodytą kvietime atsakingą už kvietimą asmenį.</w:t>
            </w:r>
          </w:p>
          <w:p w14:paraId="31C64CC5" w14:textId="62AD0A6C" w:rsidR="00C453F0" w:rsidRPr="00F62A6E" w:rsidRDefault="00C453F0" w:rsidP="00C453F0">
            <w:pPr>
              <w:jc w:val="both"/>
              <w:rPr>
                <w:rFonts w:ascii="Times New Roman" w:hAnsi="Times New Roman" w:cs="Times New Roman"/>
                <w:i/>
              </w:rPr>
            </w:pPr>
          </w:p>
        </w:tc>
      </w:tr>
      <w:tr w:rsidR="00C453F0" w:rsidRPr="008B168C" w14:paraId="31C64CCF" w14:textId="77777777" w:rsidTr="008518E6">
        <w:trPr>
          <w:cantSplit/>
          <w:trHeight w:val="5800"/>
        </w:trPr>
        <w:tc>
          <w:tcPr>
            <w:tcW w:w="851" w:type="dxa"/>
          </w:tcPr>
          <w:p w14:paraId="31C64CCC" w14:textId="04F6DFB8"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2"/>
          </w:tcPr>
          <w:p w14:paraId="31C64CCD" w14:textId="11EBB7F9" w:rsidR="00C453F0" w:rsidRPr="00216BC8" w:rsidRDefault="00C453F0" w:rsidP="00C453F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C453F0" w:rsidRPr="009C094C" w:rsidRDefault="00C453F0" w:rsidP="00C453F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453F0" w:rsidRPr="00B57DA7" w:rsidRDefault="00234FB2" w:rsidP="00C453F0">
            <w:pPr>
              <w:rPr>
                <w:rFonts w:ascii="Times New Roman" w:hAnsi="Times New Roman" w:cs="Times New Roman"/>
              </w:rPr>
            </w:pPr>
            <w:sdt>
              <w:sdtPr>
                <w:rPr>
                  <w:rFonts w:ascii="Times New Roman" w:hAnsi="Times New Roman" w:cs="Times New Roman"/>
                </w:rPr>
                <w:id w:val="-128372471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Partnerio deklaracija</w:t>
            </w:r>
            <w:r w:rsidR="00C453F0" w:rsidRPr="61F0C4A1">
              <w:rPr>
                <w:rFonts w:ascii="Times New Roman" w:hAnsi="Times New Roman" w:cs="Times New Roman"/>
              </w:rPr>
              <w:t xml:space="preserve"> (jei projektas  įgyvendinamas su partneriu (-</w:t>
            </w:r>
            <w:proofErr w:type="spellStart"/>
            <w:r w:rsidR="00C453F0" w:rsidRPr="61F0C4A1">
              <w:rPr>
                <w:rFonts w:ascii="Times New Roman" w:hAnsi="Times New Roman" w:cs="Times New Roman"/>
              </w:rPr>
              <w:t>iais</w:t>
            </w:r>
            <w:proofErr w:type="spellEnd"/>
            <w:r w:rsidR="00C453F0" w:rsidRPr="61F0C4A1">
              <w:rPr>
                <w:rFonts w:ascii="Times New Roman" w:hAnsi="Times New Roman" w:cs="Times New Roman"/>
              </w:rPr>
              <w:t>)</w:t>
            </w:r>
          </w:p>
          <w:p w14:paraId="421AAF23" w14:textId="64EA6A50" w:rsidR="00C453F0" w:rsidRPr="00B57DA7" w:rsidRDefault="00234FB2" w:rsidP="00C453F0">
            <w:pPr>
              <w:rPr>
                <w:rFonts w:ascii="Times New Roman" w:hAnsi="Times New Roman" w:cs="Times New Roman"/>
              </w:rPr>
            </w:pPr>
            <w:hyperlink r:id="rId15" w:history="1">
              <w:r w:rsidR="00C453F0" w:rsidRPr="00822F47">
                <w:rPr>
                  <w:rStyle w:val="Hyperlink"/>
                  <w:rFonts w:ascii="Times New Roman" w:hAnsi="Times New Roman" w:cs="Times New Roman"/>
                </w:rPr>
                <w:t>https://esinvesticijos.lt/dokumentai/partnerio-deklaracija</w:t>
              </w:r>
            </w:hyperlink>
            <w:r w:rsidR="00C453F0">
              <w:rPr>
                <w:rFonts w:ascii="Times New Roman" w:hAnsi="Times New Roman" w:cs="Times New Roman"/>
              </w:rPr>
              <w:t xml:space="preserve"> </w:t>
            </w:r>
          </w:p>
          <w:p w14:paraId="21262708" w14:textId="5A84811E" w:rsidR="00C453F0" w:rsidRDefault="00234FB2" w:rsidP="00C453F0">
            <w:pPr>
              <w:rPr>
                <w:rFonts w:ascii="Times New Roman" w:hAnsi="Times New Roman" w:cs="Times New Roman"/>
              </w:rPr>
            </w:pPr>
            <w:sdt>
              <w:sdtPr>
                <w:rPr>
                  <w:rFonts w:ascii="Times New Roman" w:hAnsi="Times New Roman" w:cs="Times New Roman"/>
                </w:rPr>
                <w:id w:val="1514339151"/>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projekto biudžeto paskirstymą pagal pareiškėjus ir partnerius </w:t>
            </w:r>
            <w:r w:rsidR="00C453F0" w:rsidRPr="61F0C4A1">
              <w:rPr>
                <w:rFonts w:ascii="Times New Roman" w:hAnsi="Times New Roman" w:cs="Times New Roman"/>
              </w:rPr>
              <w:t>(jei projektas  įgyvendinamas</w:t>
            </w:r>
          </w:p>
          <w:p w14:paraId="14BDA3D7" w14:textId="043D6BC2" w:rsidR="00C453F0" w:rsidRPr="00B57DA7" w:rsidRDefault="00C453F0" w:rsidP="00C453F0">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53F0" w:rsidRPr="00B57DA7" w:rsidRDefault="00234FB2" w:rsidP="00C453F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Informacijos apie pareiškėjui (partneriui) suteiktą valstybės pagalbą (išskyr</w:t>
            </w:r>
            <w:r w:rsidR="00C453F0">
              <w:rPr>
                <w:rFonts w:ascii="Times New Roman" w:hAnsi="Times New Roman" w:cs="Times New Roman"/>
              </w:rPr>
              <w:t>u</w:t>
            </w:r>
            <w:r w:rsidR="00C453F0" w:rsidRPr="00B57DA7">
              <w:rPr>
                <w:rFonts w:ascii="Times New Roman" w:hAnsi="Times New Roman" w:cs="Times New Roman"/>
              </w:rPr>
              <w:t xml:space="preserve">s de </w:t>
            </w:r>
            <w:proofErr w:type="spellStart"/>
            <w:r w:rsidR="00C453F0" w:rsidRPr="00B57DA7">
              <w:rPr>
                <w:rFonts w:ascii="Times New Roman" w:hAnsi="Times New Roman" w:cs="Times New Roman"/>
              </w:rPr>
              <w:t>minimis</w:t>
            </w:r>
            <w:proofErr w:type="spellEnd"/>
            <w:r w:rsidR="00C453F0" w:rsidRPr="00B57DA7">
              <w:rPr>
                <w:rFonts w:ascii="Times New Roman" w:hAnsi="Times New Roman" w:cs="Times New Roman"/>
              </w:rPr>
              <w:t>) forma</w:t>
            </w:r>
          </w:p>
          <w:p w14:paraId="7DDD0DBC" w14:textId="323249C7" w:rsidR="00C453F0" w:rsidRDefault="00234FB2" w:rsidP="00C453F0">
            <w:pPr>
              <w:rPr>
                <w:rFonts w:ascii="Times New Roman" w:hAnsi="Times New Roman" w:cs="Times New Roman"/>
              </w:rPr>
            </w:pPr>
            <w:hyperlink r:id="rId17" w:history="1">
              <w:r w:rsidR="00C453F0" w:rsidRPr="00822F47">
                <w:rPr>
                  <w:rStyle w:val="Hyperlink"/>
                  <w:rFonts w:ascii="Times New Roman" w:hAnsi="Times New Roman" w:cs="Times New Roman"/>
                </w:rPr>
                <w:t>https://esinvesticijos.lt/dokumentai/informacijos-apie-pareiskejui-partneriui-suteikta-valstybes-pagalba-isskyrus-de-minimis-forma-1</w:t>
              </w:r>
            </w:hyperlink>
            <w:r w:rsidR="00C453F0">
              <w:rPr>
                <w:rFonts w:ascii="Times New Roman" w:hAnsi="Times New Roman" w:cs="Times New Roman"/>
              </w:rPr>
              <w:t xml:space="preserve"> </w:t>
            </w:r>
          </w:p>
          <w:p w14:paraId="0A10E21C" w14:textId="15D39C3D" w:rsidR="00C453F0" w:rsidRDefault="00234FB2" w:rsidP="00C453F0">
            <w:pPr>
              <w:rPr>
                <w:rFonts w:ascii="Times New Roman" w:hAnsi="Times New Roman" w:cs="Times New Roman"/>
              </w:rPr>
            </w:pPr>
            <w:sdt>
              <w:sdtPr>
                <w:rPr>
                  <w:rFonts w:ascii="Times New Roman" w:hAnsi="Times New Roman" w:cs="Times New Roman"/>
                </w:rPr>
                <w:id w:val="-210572015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projektui taikomus aplinkosaugos reikalavimus</w:t>
            </w:r>
            <w:r w:rsidR="00C453F0">
              <w:rPr>
                <w:rFonts w:ascii="Times New Roman" w:hAnsi="Times New Roman" w:cs="Times New Roman"/>
              </w:rPr>
              <w:t xml:space="preserve"> </w:t>
            </w:r>
            <w:hyperlink r:id="rId18" w:history="1">
              <w:r w:rsidR="00C453F0" w:rsidRPr="00822F47">
                <w:rPr>
                  <w:rStyle w:val="Hyperlink"/>
                  <w:rFonts w:ascii="Times New Roman" w:hAnsi="Times New Roman" w:cs="Times New Roman"/>
                </w:rPr>
                <w:t>https://esinvesticijos.lt/dokumentai/informacijos-apie-projektui-taikomus-aplinkosaugos-reikalavimus-forma-1</w:t>
              </w:r>
            </w:hyperlink>
            <w:r w:rsidR="00C453F0">
              <w:rPr>
                <w:rFonts w:ascii="Times New Roman" w:hAnsi="Times New Roman" w:cs="Times New Roman"/>
              </w:rPr>
              <w:t xml:space="preserve">  </w:t>
            </w:r>
          </w:p>
          <w:p w14:paraId="1C49C738" w14:textId="600595CC" w:rsidR="00C453F0" w:rsidRDefault="00234FB2" w:rsidP="00C453F0">
            <w:pPr>
              <w:rPr>
                <w:rFonts w:ascii="Times New Roman" w:hAnsi="Times New Roman" w:cs="Times New Roman"/>
                <w:i/>
                <w:iCs/>
              </w:rPr>
            </w:pPr>
            <w:sdt>
              <w:sdtPr>
                <w:rPr>
                  <w:rFonts w:ascii="Times New Roman" w:hAnsi="Times New Roman" w:cs="Times New Roman"/>
                </w:rPr>
                <w:id w:val="1078791020"/>
                <w:placeholder>
                  <w:docPart w:val="AE5A4768C7914EACAA87098ECDECE0D2"/>
                </w:placeholder>
                <w14:checkbox>
                  <w14:checked w14:val="1"/>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Pr>
                <w:rFonts w:ascii="Times New Roman" w:hAnsi="Times New Roman" w:cs="Times New Roman"/>
              </w:rPr>
              <w:t xml:space="preserve"> </w:t>
            </w:r>
            <w:r w:rsidR="00C453F0" w:rsidRPr="7BC78F99">
              <w:rPr>
                <w:rFonts w:ascii="Times New Roman" w:hAnsi="Times New Roman" w:cs="Times New Roman"/>
              </w:rPr>
              <w:t>Kiti priedai:</w:t>
            </w:r>
            <w:r w:rsidR="00C453F0" w:rsidRPr="7BC78F99">
              <w:rPr>
                <w:rFonts w:ascii="Times New Roman" w:hAnsi="Times New Roman" w:cs="Times New Roman"/>
                <w:i/>
                <w:iCs/>
              </w:rPr>
              <w:t xml:space="preserve">.  </w:t>
            </w:r>
          </w:p>
          <w:p w14:paraId="556C7088" w14:textId="5150932B" w:rsidR="00C453F0" w:rsidRPr="004113CD" w:rsidRDefault="00C453F0" w:rsidP="00C453F0">
            <w:pPr>
              <w:tabs>
                <w:tab w:val="left" w:pos="426"/>
                <w:tab w:val="left" w:pos="567"/>
                <w:tab w:val="left" w:pos="885"/>
                <w:tab w:val="left" w:pos="1168"/>
              </w:tabs>
              <w:jc w:val="both"/>
              <w:rPr>
                <w:rFonts w:asciiTheme="majorBidi" w:hAnsiTheme="majorBidi" w:cstheme="majorBidi"/>
                <w:sz w:val="20"/>
              </w:rPr>
            </w:pPr>
            <w:r>
              <w:rPr>
                <w:rFonts w:asciiTheme="majorBidi" w:hAnsiTheme="majorBidi" w:cstheme="majorBidi"/>
                <w:szCs w:val="24"/>
                <w:lang w:val="en-US"/>
              </w:rPr>
              <w:t>1</w:t>
            </w:r>
            <w:r w:rsidRPr="004113CD">
              <w:rPr>
                <w:rFonts w:asciiTheme="majorBidi" w:hAnsiTheme="majorBidi" w:cstheme="majorBidi"/>
                <w:szCs w:val="24"/>
                <w:lang w:val="en-US"/>
              </w:rPr>
              <w:t xml:space="preserve">. </w:t>
            </w:r>
            <w:r w:rsidRPr="004113CD">
              <w:rPr>
                <w:rFonts w:asciiTheme="majorBidi" w:hAnsiTheme="majorBidi" w:cstheme="majorBidi"/>
                <w:szCs w:val="24"/>
              </w:rPr>
              <w:t>d</w:t>
            </w:r>
            <w:r w:rsidRPr="004113CD">
              <w:rPr>
                <w:rFonts w:asciiTheme="majorBidi" w:hAnsiTheme="majorBidi" w:cstheme="majorBidi"/>
                <w:iCs/>
                <w:szCs w:val="24"/>
              </w:rPr>
              <w:t>okumentai ir informacija, pagrindžiantys projekto išlaidų pagrįstumą (</w:t>
            </w:r>
            <w:r w:rsidRPr="004113CD">
              <w:rPr>
                <w:rFonts w:asciiTheme="majorBidi" w:hAnsiTheme="majorBidi" w:cstheme="majorBidi"/>
                <w:szCs w:val="24"/>
              </w:rPr>
              <w:t>pvz., sudarytų sutarčių kopijos, komerciniai pasiūlymai), taip pat pateikiamos nuorodos į rinkoje esančias kainas (pvz., Centrinėje viešųjų pirkimų informacinėje sistemoje</w:t>
            </w:r>
            <w:proofErr w:type="gramStart"/>
            <w:r w:rsidRPr="004113CD">
              <w:rPr>
                <w:rFonts w:asciiTheme="majorBidi" w:hAnsiTheme="majorBidi" w:cstheme="majorBidi"/>
                <w:szCs w:val="24"/>
              </w:rPr>
              <w:t>);</w:t>
            </w:r>
            <w:proofErr w:type="gramEnd"/>
            <w:r w:rsidRPr="004113CD">
              <w:rPr>
                <w:rFonts w:asciiTheme="majorBidi" w:hAnsiTheme="majorBidi" w:cstheme="majorBidi"/>
                <w:szCs w:val="24"/>
              </w:rPr>
              <w:t xml:space="preserve"> </w:t>
            </w:r>
          </w:p>
          <w:p w14:paraId="3C25EC4B" w14:textId="77777777" w:rsidR="00C453F0" w:rsidRPr="004113CD" w:rsidRDefault="00C453F0" w:rsidP="00C453F0">
            <w:pPr>
              <w:tabs>
                <w:tab w:val="decimal" w:pos="458"/>
                <w:tab w:val="left" w:pos="606"/>
                <w:tab w:val="left" w:pos="680"/>
                <w:tab w:val="left" w:pos="738"/>
              </w:tabs>
              <w:ind w:left="29" w:hanging="29"/>
              <w:jc w:val="both"/>
              <w:rPr>
                <w:rFonts w:asciiTheme="majorBidi" w:hAnsiTheme="majorBidi" w:cstheme="majorBidi"/>
                <w:color w:val="000000"/>
                <w:szCs w:val="24"/>
              </w:rPr>
            </w:pPr>
            <w:r w:rsidRPr="004113CD">
              <w:rPr>
                <w:rFonts w:asciiTheme="majorBidi" w:hAnsiTheme="majorBidi" w:cstheme="majorBidi"/>
              </w:rPr>
              <w:t xml:space="preserve">2. dokumentai, pagrindžiantys darbo užmokesčio išlaidų pagrįstumą (veiklų sąrašą, kuriame būtų nurodytos projektą vykdančių asmenų darbo pagal projektą valandos,  įkainis (valandinis arba mėnesinis), jo pagrindimas). </w:t>
            </w:r>
            <w:r w:rsidRPr="004113CD">
              <w:rPr>
                <w:rFonts w:asciiTheme="majorBidi" w:hAnsiTheme="majorBidi" w:cstheme="majorBidi"/>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5E6DFC0" w14:textId="77777777" w:rsidR="00C453F0" w:rsidRDefault="00C453F0" w:rsidP="00C453F0">
            <w:pPr>
              <w:tabs>
                <w:tab w:val="left" w:pos="172"/>
                <w:tab w:val="left" w:pos="426"/>
                <w:tab w:val="left" w:pos="597"/>
                <w:tab w:val="left" w:pos="885"/>
                <w:tab w:val="left" w:pos="1168"/>
              </w:tabs>
              <w:jc w:val="both"/>
              <w:rPr>
                <w:rFonts w:asciiTheme="majorBidi" w:hAnsiTheme="majorBidi" w:cstheme="majorBidi"/>
              </w:rPr>
            </w:pPr>
            <w:r w:rsidRPr="004113CD">
              <w:rPr>
                <w:rFonts w:asciiTheme="majorBidi" w:eastAsia="Calibri" w:hAnsiTheme="majorBidi" w:cstheme="majorBidi"/>
              </w:rPr>
              <w:t xml:space="preserve">3. </w:t>
            </w:r>
            <w:r w:rsidRPr="004113CD">
              <w:rPr>
                <w:rFonts w:asciiTheme="majorBidi" w:hAnsiTheme="majorBidi" w:cstheme="majorBidi"/>
                <w:bCs/>
                <w:iCs/>
              </w:rPr>
              <w:t>i</w:t>
            </w:r>
            <w:r w:rsidRPr="004113CD">
              <w:rPr>
                <w:rFonts w:asciiTheme="majorBidi" w:hAnsiTheme="majorBidi" w:cstheme="majorBidi"/>
              </w:rPr>
              <w:t xml:space="preserve">nvesticijų projektas, parengtas pagal Administruojančiosios institucijos direktoriaus tvirtinamą Investicijų projektų rengimo metodiką, kuri paskelbta Administruojančiosios institucijos interneto svetainėje adresu </w:t>
            </w:r>
            <w:r w:rsidRPr="004113CD">
              <w:rPr>
                <w:rFonts w:asciiTheme="majorBidi" w:hAnsiTheme="majorBidi" w:cstheme="majorBidi"/>
                <w:color w:val="5B9BD5"/>
                <w:u w:val="single"/>
              </w:rPr>
              <w:t>https://www.cpva.lt/pletros-programu-portfelio-metodines-pagalbos-centras/dokumentai/dokumentai/796/act883?sqid=829b3670a8452304456736b16855dcdda444bdcb</w:t>
            </w:r>
            <w:r w:rsidRPr="004113CD">
              <w:rPr>
                <w:rFonts w:asciiTheme="majorBidi" w:hAnsiTheme="majorBidi" w:cstheme="majorBidi"/>
                <w:iCs/>
                <w:szCs w:val="24"/>
              </w:rPr>
              <w:t xml:space="preserve"> (taikoma, jeigu</w:t>
            </w:r>
            <w:r w:rsidRPr="004113CD">
              <w:rPr>
                <w:rFonts w:asciiTheme="majorBidi" w:hAnsiTheme="majorBidi" w:cstheme="majorBidi"/>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681C8089" w14:textId="379B8087" w:rsidR="00C453F0" w:rsidRPr="004113CD" w:rsidRDefault="00C453F0" w:rsidP="00C453F0">
            <w:pPr>
              <w:tabs>
                <w:tab w:val="left" w:pos="426"/>
                <w:tab w:val="left" w:pos="567"/>
                <w:tab w:val="left" w:pos="885"/>
                <w:tab w:val="left" w:pos="1168"/>
              </w:tabs>
              <w:jc w:val="both"/>
              <w:rPr>
                <w:rFonts w:asciiTheme="majorBidi" w:eastAsia="Calibri" w:hAnsiTheme="majorBidi" w:cstheme="majorBidi"/>
              </w:rPr>
            </w:pPr>
            <w:r>
              <w:rPr>
                <w:rFonts w:asciiTheme="majorBidi" w:hAnsiTheme="majorBidi" w:cstheme="majorBidi"/>
                <w:szCs w:val="24"/>
              </w:rPr>
              <w:t>4.</w:t>
            </w:r>
            <w:r w:rsidRPr="004113CD">
              <w:rPr>
                <w:rFonts w:asciiTheme="majorBidi" w:eastAsia="Calibri" w:hAnsiTheme="majorBidi" w:cstheme="majorBidi"/>
              </w:rPr>
              <w:t xml:space="preserve"> darbo užmokesčio pažyma (Aprašo 3 priedas).</w:t>
            </w:r>
          </w:p>
          <w:p w14:paraId="31C64CCE" w14:textId="7D4D9C4B" w:rsidR="00C453F0" w:rsidRPr="008B168C" w:rsidRDefault="00C453F0" w:rsidP="00C453F0">
            <w:pPr>
              <w:rPr>
                <w:rFonts w:ascii="Times New Roman" w:hAnsi="Times New Roman" w:cs="Times New Roman"/>
              </w:rPr>
            </w:pPr>
          </w:p>
        </w:tc>
      </w:tr>
      <w:tr w:rsidR="00C453F0" w:rsidRPr="008B168C" w14:paraId="61AE40BF" w14:textId="77777777" w:rsidTr="008518E6">
        <w:trPr>
          <w:cantSplit/>
          <w:trHeight w:val="300"/>
        </w:trPr>
        <w:tc>
          <w:tcPr>
            <w:tcW w:w="851" w:type="dxa"/>
          </w:tcPr>
          <w:p w14:paraId="6DA192EF" w14:textId="2937F8B0"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2"/>
          </w:tcPr>
          <w:p w14:paraId="6A8EDBD9" w14:textId="77777777" w:rsidR="00C453F0" w:rsidRPr="00FC5CD8" w:rsidRDefault="00C453F0" w:rsidP="00C453F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453F0" w:rsidRPr="00B57DA7" w:rsidRDefault="00234FB2" w:rsidP="00C453F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Taip</w:t>
            </w:r>
          </w:p>
          <w:p w14:paraId="41F7FCE9" w14:textId="35DBE397" w:rsidR="00C453F0" w:rsidRPr="008B168C" w:rsidRDefault="00234FB2" w:rsidP="00C453F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76322">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Ne</w:t>
            </w:r>
          </w:p>
        </w:tc>
      </w:tr>
      <w:tr w:rsidR="00376322" w:rsidRPr="008B168C" w14:paraId="31C64CD7" w14:textId="77777777" w:rsidTr="008518E6">
        <w:trPr>
          <w:cantSplit/>
          <w:trHeight w:val="300"/>
        </w:trPr>
        <w:tc>
          <w:tcPr>
            <w:tcW w:w="851" w:type="dxa"/>
          </w:tcPr>
          <w:p w14:paraId="31C64CD0" w14:textId="6F9DBAC0"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2.17.4.</w:t>
            </w:r>
          </w:p>
        </w:tc>
        <w:tc>
          <w:tcPr>
            <w:tcW w:w="3281" w:type="dxa"/>
            <w:gridSpan w:val="2"/>
          </w:tcPr>
          <w:p w14:paraId="31C64CD1" w14:textId="7777777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0C93F04" w:rsidR="00376322" w:rsidRPr="009C094C" w:rsidRDefault="00376322" w:rsidP="00376322">
            <w:pPr>
              <w:rPr>
                <w:rFonts w:ascii="Times New Roman" w:hAnsi="Times New Roman" w:cs="Times New Roman"/>
                <w:i/>
                <w:iCs/>
              </w:rPr>
            </w:pPr>
            <w:r w:rsidRPr="00234FB2">
              <w:rPr>
                <w:rFonts w:asciiTheme="majorBidi" w:hAnsiTheme="majorBidi" w:cstheme="majorBidi"/>
              </w:rPr>
              <w:t xml:space="preserve">CPVA Struktūrinių ir investicijų fondų programos </w:t>
            </w:r>
            <w:r w:rsidR="00234FB2" w:rsidRPr="00234FB2">
              <w:rPr>
                <w:rFonts w:asciiTheme="majorBidi" w:eastAsiaTheme="minorEastAsia" w:hAnsiTheme="majorBidi" w:cstheme="majorBidi"/>
                <w:noProof/>
                <w:color w:val="414141"/>
                <w:lang w:val="en-US" w:eastAsia="lt-LT" w:bidi="km-KH"/>
              </w:rPr>
              <w:t xml:space="preserve">Skaitmeninių sprendimų projektų </w:t>
            </w:r>
            <w:r w:rsidRPr="00234FB2">
              <w:rPr>
                <w:rFonts w:asciiTheme="majorBidi" w:hAnsiTheme="majorBidi" w:cstheme="majorBidi"/>
              </w:rPr>
              <w:t>skyriaus vyresnioji projektų vadovė Irina Kaminskienė</w:t>
            </w:r>
            <w:r w:rsidRPr="00184DBB">
              <w:rPr>
                <w:rFonts w:asciiTheme="majorBidi" w:hAnsiTheme="majorBidi" w:cstheme="majorBidi"/>
              </w:rPr>
              <w:t xml:space="preserve">, tel. </w:t>
            </w:r>
            <w:r w:rsidRPr="00184DBB">
              <w:rPr>
                <w:rFonts w:asciiTheme="majorBidi" w:hAnsiTheme="majorBidi" w:cstheme="majorBidi"/>
                <w:color w:val="3C3C3B"/>
                <w:lang w:eastAsia="lt-LT"/>
              </w:rPr>
              <w:t>370</w:t>
            </w:r>
            <w:r w:rsidRPr="00184DBB">
              <w:rPr>
                <w:rFonts w:asciiTheme="majorBidi" w:hAnsiTheme="majorBidi" w:cstheme="majorBidi"/>
                <w:color w:val="414141"/>
                <w:lang w:val="en-US" w:eastAsia="lt-LT"/>
              </w:rPr>
              <w:t> 654 68590</w:t>
            </w:r>
            <w:r w:rsidRPr="00184DBB">
              <w:rPr>
                <w:rFonts w:asciiTheme="majorBidi" w:hAnsiTheme="majorBidi" w:cstheme="majorBidi"/>
              </w:rPr>
              <w:t xml:space="preserve">, el. p. </w:t>
            </w:r>
            <w:hyperlink r:id="rId19" w:history="1">
              <w:r w:rsidRPr="00184DBB">
                <w:rPr>
                  <w:rStyle w:val="Hyperlink"/>
                  <w:rFonts w:asciiTheme="majorBidi" w:hAnsiTheme="majorBidi" w:cstheme="majorBidi"/>
                </w:rPr>
                <w:t>ir.kaminskiene@cpva.lt</w:t>
              </w:r>
            </w:hyperlink>
            <w:r w:rsidRPr="00184DBB">
              <w:rPr>
                <w:rFonts w:asciiTheme="majorBidi" w:hAnsiTheme="majorBidi" w:cstheme="majorBidi"/>
              </w:rPr>
              <w:t xml:space="preserve"> </w:t>
            </w:r>
          </w:p>
        </w:tc>
      </w:tr>
      <w:tr w:rsidR="00376322" w:rsidRPr="008B168C" w14:paraId="228A697B" w14:textId="77777777" w:rsidTr="008518E6">
        <w:trPr>
          <w:cantSplit/>
          <w:trHeight w:val="300"/>
        </w:trPr>
        <w:tc>
          <w:tcPr>
            <w:tcW w:w="851" w:type="dxa"/>
          </w:tcPr>
          <w:p w14:paraId="7893A037" w14:textId="2C4B853B"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2.18.</w:t>
            </w:r>
          </w:p>
        </w:tc>
        <w:tc>
          <w:tcPr>
            <w:tcW w:w="3281" w:type="dxa"/>
            <w:gridSpan w:val="2"/>
          </w:tcPr>
          <w:p w14:paraId="52765AF6" w14:textId="7ADE27A8" w:rsidR="00376322" w:rsidRPr="00FC5CD8" w:rsidRDefault="00376322" w:rsidP="00376322">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0E1707F7" w14:textId="77777777" w:rsidR="00376322" w:rsidRDefault="00376322" w:rsidP="00376322">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0" w:history="1">
              <w:r w:rsidRPr="00716606">
                <w:rPr>
                  <w:rStyle w:val="Hyperlink"/>
                  <w:rFonts w:ascii="Times New Roman" w:hAnsi="Times New Roman" w:cs="Times New Roman"/>
                </w:rPr>
                <w:t>https://www.e-tar.lt/portal/lt/legalAct/14e33320f1ed11ec8fa7d02a65c371ad/asr</w:t>
              </w:r>
            </w:hyperlink>
          </w:p>
          <w:p w14:paraId="218C684F" w14:textId="60D371CD" w:rsidR="00376322" w:rsidRPr="00344EBE" w:rsidRDefault="00376322" w:rsidP="00376322">
            <w:pPr>
              <w:jc w:val="both"/>
              <w:rPr>
                <w:rFonts w:ascii="Times New Roman" w:hAnsi="Times New Roman" w:cs="Times New Roman"/>
                <w:i/>
                <w:iCs/>
              </w:rPr>
            </w:pPr>
            <w:r w:rsidRPr="000227EC">
              <w:rPr>
                <w:rStyle w:val="ui-provider"/>
                <w:rFonts w:asciiTheme="majorBidi" w:hAnsiTheme="majorBidi" w:cstheme="majorBidi"/>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aprašas Nr. </w:t>
            </w:r>
            <w:r>
              <w:rPr>
                <w:rStyle w:val="ui-provider"/>
                <w:rFonts w:asciiTheme="majorBidi" w:hAnsiTheme="majorBidi" w:cstheme="majorBidi"/>
              </w:rPr>
              <w:t>6</w:t>
            </w:r>
            <w:r w:rsidRPr="000227EC">
              <w:rPr>
                <w:rStyle w:val="ui-provider"/>
                <w:rFonts w:asciiTheme="majorBidi" w:hAnsiTheme="majorBidi" w:cstheme="majorBidi"/>
              </w:rPr>
              <w:t xml:space="preserve"> </w:t>
            </w:r>
            <w:hyperlink r:id="rId21" w:history="1">
              <w:r w:rsidR="00BE7B99" w:rsidRPr="0049751C">
                <w:rPr>
                  <w:rStyle w:val="Hyperlink"/>
                </w:rPr>
                <w:t>https://www.e-tar.lt/rs/aesupplement/01b375b001da11ed8fa7d02a65c371ad/pjSOrzvIdc/2df89cb0084811efbcbfb318996800a8/</w:t>
              </w:r>
            </w:hyperlink>
            <w:r w:rsidR="00BE7B99">
              <w:t xml:space="preserve"> </w:t>
            </w:r>
          </w:p>
        </w:tc>
      </w:tr>
      <w:tr w:rsidR="00376322" w:rsidRPr="008B168C" w14:paraId="31C64CDC" w14:textId="77777777" w:rsidTr="008518E6">
        <w:trPr>
          <w:cantSplit/>
          <w:trHeight w:val="300"/>
        </w:trPr>
        <w:tc>
          <w:tcPr>
            <w:tcW w:w="851" w:type="dxa"/>
          </w:tcPr>
          <w:p w14:paraId="31C64CD8" w14:textId="728D262D"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2"/>
          </w:tcPr>
          <w:p w14:paraId="31C64CD9" w14:textId="5D7868F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76322" w:rsidRPr="00FC5CD8" w:rsidRDefault="00376322" w:rsidP="00376322">
            <w:pPr>
              <w:rPr>
                <w:rFonts w:ascii="Times New Roman" w:hAnsi="Times New Roman" w:cs="Times New Roman"/>
                <w:b/>
                <w:bCs/>
              </w:rPr>
            </w:pPr>
          </w:p>
        </w:tc>
        <w:tc>
          <w:tcPr>
            <w:tcW w:w="5933" w:type="dxa"/>
            <w:gridSpan w:val="4"/>
          </w:tcPr>
          <w:p w14:paraId="31C64CDB" w14:textId="7B077B11" w:rsidR="00376322" w:rsidRPr="00344EBE" w:rsidRDefault="00376322" w:rsidP="00376322">
            <w:pPr>
              <w:jc w:val="both"/>
              <w:rPr>
                <w:rFonts w:ascii="Times New Roman" w:hAnsi="Times New Roman" w:cs="Times New Roman"/>
              </w:rPr>
            </w:pPr>
            <w:r>
              <w:rPr>
                <w:rFonts w:ascii="Times New Roman" w:hAnsi="Times New Roman" w:cs="Times New Roman"/>
              </w:rPr>
              <w:t>-</w:t>
            </w:r>
          </w:p>
        </w:tc>
      </w:tr>
      <w:tr w:rsidR="00376322" w:rsidRPr="008B168C" w14:paraId="2A59DD9A" w14:textId="77777777" w:rsidTr="008518E6">
        <w:trPr>
          <w:cantSplit/>
          <w:trHeight w:val="300"/>
        </w:trPr>
        <w:tc>
          <w:tcPr>
            <w:tcW w:w="851" w:type="dxa"/>
          </w:tcPr>
          <w:p w14:paraId="76F1BA1E" w14:textId="41E2DB9E"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2"/>
          </w:tcPr>
          <w:p w14:paraId="327E1599" w14:textId="66EB680A" w:rsidR="00376322" w:rsidRPr="00FC5CD8" w:rsidRDefault="00376322" w:rsidP="00376322">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9092605" w14:textId="77777777" w:rsidR="00376322" w:rsidRPr="00716606" w:rsidRDefault="00376322" w:rsidP="00376322">
            <w:pPr>
              <w:pStyle w:val="ListParagraph"/>
              <w:numPr>
                <w:ilvl w:val="0"/>
                <w:numId w:val="28"/>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2A0F5C6F" w14:textId="7C619F40" w:rsidR="00376322" w:rsidRPr="00234FB2" w:rsidRDefault="00376322" w:rsidP="00234FB2">
            <w:pPr>
              <w:pStyle w:val="ListParagraph"/>
              <w:numPr>
                <w:ilvl w:val="0"/>
                <w:numId w:val="28"/>
              </w:numPr>
              <w:tabs>
                <w:tab w:val="left" w:pos="296"/>
              </w:tabs>
              <w:ind w:left="13" w:firstLine="0"/>
              <w:jc w:val="both"/>
              <w:rPr>
                <w:rFonts w:ascii="Times New Roman" w:hAnsi="Times New Roman" w:cs="Times New Roman"/>
                <w:i/>
                <w:iCs/>
              </w:rPr>
            </w:pPr>
            <w:r w:rsidRPr="00234FB2">
              <w:rPr>
                <w:rFonts w:ascii="Times New Roman" w:eastAsia="Times New Roman" w:hAnsi="Times New Roman" w:cs="Times New Roman"/>
              </w:rPr>
              <w:t xml:space="preserve">Projekto sutarties forma: </w:t>
            </w:r>
            <w:hyperlink r:id="rId23" w:history="1">
              <w:r w:rsidRPr="00234FB2">
                <w:rPr>
                  <w:rStyle w:val="Hyperlink"/>
                  <w:rFonts w:ascii="Times New Roman" w:hAnsi="Times New Roman" w:cs="Times New Roman"/>
                </w:rPr>
                <w:t>https://www.e-tar.lt/portal/lt/legalAct/14e33320f1ed11ec8fa7d02a65c371ad/asr</w:t>
              </w:r>
            </w:hyperlink>
            <w:r w:rsidRPr="00234FB2">
              <w:rPr>
                <w:rFonts w:ascii="Times New Roman" w:hAnsi="Times New Roman" w:cs="Times New Roman"/>
              </w:rPr>
              <w:t xml:space="preserve"> </w:t>
            </w:r>
            <w:r w:rsidRPr="00234FB2">
              <w:rPr>
                <w:rFonts w:ascii="Times New Roman" w:eastAsia="Times New Roman" w:hAnsi="Times New Roman" w:cs="Times New Roman"/>
              </w:rPr>
              <w:t xml:space="preserve"> (žr. „22.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96CB9">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FE45E" w14:textId="77777777" w:rsidR="00B96CB9" w:rsidRDefault="00B96CB9" w:rsidP="00213DCB">
      <w:pPr>
        <w:spacing w:after="0" w:line="240" w:lineRule="auto"/>
      </w:pPr>
      <w:r>
        <w:separator/>
      </w:r>
    </w:p>
  </w:endnote>
  <w:endnote w:type="continuationSeparator" w:id="0">
    <w:p w14:paraId="4E0FB9F4" w14:textId="77777777" w:rsidR="00B96CB9" w:rsidRDefault="00B96CB9" w:rsidP="00213DCB">
      <w:pPr>
        <w:spacing w:after="0" w:line="240" w:lineRule="auto"/>
      </w:pPr>
      <w:r>
        <w:continuationSeparator/>
      </w:r>
    </w:p>
  </w:endnote>
  <w:endnote w:type="continuationNotice" w:id="1">
    <w:p w14:paraId="3F62BBDB" w14:textId="77777777" w:rsidR="00B96CB9" w:rsidRDefault="00B9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CA4C" w14:textId="77777777" w:rsidR="00B96CB9" w:rsidRDefault="00B96CB9" w:rsidP="00213DCB">
      <w:pPr>
        <w:spacing w:after="0" w:line="240" w:lineRule="auto"/>
      </w:pPr>
      <w:r>
        <w:separator/>
      </w:r>
    </w:p>
  </w:footnote>
  <w:footnote w:type="continuationSeparator" w:id="0">
    <w:p w14:paraId="3C867425" w14:textId="77777777" w:rsidR="00B96CB9" w:rsidRDefault="00B96CB9" w:rsidP="00213DCB">
      <w:pPr>
        <w:spacing w:after="0" w:line="240" w:lineRule="auto"/>
      </w:pPr>
      <w:r>
        <w:continuationSeparator/>
      </w:r>
    </w:p>
  </w:footnote>
  <w:footnote w:type="continuationNotice" w:id="1">
    <w:p w14:paraId="7EE2B8E1" w14:textId="77777777" w:rsidR="00B96CB9" w:rsidRDefault="00B9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994C45"/>
    <w:multiLevelType w:val="hybridMultilevel"/>
    <w:tmpl w:val="9FCA9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15BA6"/>
    <w:multiLevelType w:val="hybridMultilevel"/>
    <w:tmpl w:val="C3E0D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9"/>
  </w:num>
  <w:num w:numId="2" w16cid:durableId="890963154">
    <w:abstractNumId w:val="13"/>
  </w:num>
  <w:num w:numId="3" w16cid:durableId="1697852437">
    <w:abstractNumId w:val="2"/>
  </w:num>
  <w:num w:numId="4" w16cid:durableId="212932639">
    <w:abstractNumId w:val="0"/>
  </w:num>
  <w:num w:numId="5" w16cid:durableId="1273518823">
    <w:abstractNumId w:val="11"/>
  </w:num>
  <w:num w:numId="6" w16cid:durableId="690842849">
    <w:abstractNumId w:val="19"/>
  </w:num>
  <w:num w:numId="7" w16cid:durableId="47001716">
    <w:abstractNumId w:val="7"/>
  </w:num>
  <w:num w:numId="8" w16cid:durableId="977808325">
    <w:abstractNumId w:val="4"/>
  </w:num>
  <w:num w:numId="9" w16cid:durableId="1796439175">
    <w:abstractNumId w:val="6"/>
  </w:num>
  <w:num w:numId="10" w16cid:durableId="873813898">
    <w:abstractNumId w:val="20"/>
  </w:num>
  <w:num w:numId="11" w16cid:durableId="460073394">
    <w:abstractNumId w:val="12"/>
  </w:num>
  <w:num w:numId="12" w16cid:durableId="59640179">
    <w:abstractNumId w:val="14"/>
  </w:num>
  <w:num w:numId="13" w16cid:durableId="1538007029">
    <w:abstractNumId w:val="20"/>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0"/>
  </w:num>
  <w:num w:numId="17" w16cid:durableId="1682076496">
    <w:abstractNumId w:val="20"/>
  </w:num>
  <w:num w:numId="18" w16cid:durableId="834956247">
    <w:abstractNumId w:val="20"/>
  </w:num>
  <w:num w:numId="19" w16cid:durableId="483666270">
    <w:abstractNumId w:val="20"/>
  </w:num>
  <w:num w:numId="20" w16cid:durableId="307591034">
    <w:abstractNumId w:val="20"/>
  </w:num>
  <w:num w:numId="21" w16cid:durableId="640430120">
    <w:abstractNumId w:val="20"/>
  </w:num>
  <w:num w:numId="22" w16cid:durableId="39206847">
    <w:abstractNumId w:val="16"/>
  </w:num>
  <w:num w:numId="23" w16cid:durableId="2111389103">
    <w:abstractNumId w:val="3"/>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67075752">
    <w:abstractNumId w:val="1"/>
  </w:num>
  <w:num w:numId="27" w16cid:durableId="762726668">
    <w:abstractNumId w:val="18"/>
  </w:num>
  <w:num w:numId="28" w16cid:durableId="1438140973">
    <w:abstractNumId w:val="21"/>
  </w:num>
  <w:num w:numId="29" w16cid:durableId="840897010">
    <w:abstractNumId w:val="10"/>
  </w:num>
  <w:num w:numId="30" w16cid:durableId="924070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8B1"/>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6D40"/>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2EE"/>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4FB2"/>
    <w:rsid w:val="00236325"/>
    <w:rsid w:val="00237FE8"/>
    <w:rsid w:val="0024061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A6A"/>
    <w:rsid w:val="00271B16"/>
    <w:rsid w:val="00272065"/>
    <w:rsid w:val="002723D7"/>
    <w:rsid w:val="00272962"/>
    <w:rsid w:val="0027459F"/>
    <w:rsid w:val="00275B7B"/>
    <w:rsid w:val="00283428"/>
    <w:rsid w:val="002860C1"/>
    <w:rsid w:val="00286F8E"/>
    <w:rsid w:val="002910F8"/>
    <w:rsid w:val="00291EFB"/>
    <w:rsid w:val="00292B71"/>
    <w:rsid w:val="00292E8C"/>
    <w:rsid w:val="00293D20"/>
    <w:rsid w:val="002945DB"/>
    <w:rsid w:val="00295B65"/>
    <w:rsid w:val="00297B35"/>
    <w:rsid w:val="002A3847"/>
    <w:rsid w:val="002A72F7"/>
    <w:rsid w:val="002B1D34"/>
    <w:rsid w:val="002B275F"/>
    <w:rsid w:val="002B79B4"/>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31A"/>
    <w:rsid w:val="00364B08"/>
    <w:rsid w:val="003653E2"/>
    <w:rsid w:val="00366919"/>
    <w:rsid w:val="00367EE4"/>
    <w:rsid w:val="003715DB"/>
    <w:rsid w:val="003717EB"/>
    <w:rsid w:val="003718C3"/>
    <w:rsid w:val="003737FE"/>
    <w:rsid w:val="003753E8"/>
    <w:rsid w:val="00375C7D"/>
    <w:rsid w:val="00376175"/>
    <w:rsid w:val="003762FA"/>
    <w:rsid w:val="00376322"/>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C786E"/>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66D"/>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4AC"/>
    <w:rsid w:val="004945EA"/>
    <w:rsid w:val="004964F4"/>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36B0"/>
    <w:rsid w:val="00524CAB"/>
    <w:rsid w:val="00525443"/>
    <w:rsid w:val="00527F46"/>
    <w:rsid w:val="00532885"/>
    <w:rsid w:val="00533406"/>
    <w:rsid w:val="0053372B"/>
    <w:rsid w:val="005362EC"/>
    <w:rsid w:val="005406EE"/>
    <w:rsid w:val="00541493"/>
    <w:rsid w:val="00543003"/>
    <w:rsid w:val="0054405F"/>
    <w:rsid w:val="00544CCB"/>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4F9"/>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940"/>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26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3191"/>
    <w:rsid w:val="00684177"/>
    <w:rsid w:val="006856C7"/>
    <w:rsid w:val="006874CB"/>
    <w:rsid w:val="00690B9E"/>
    <w:rsid w:val="006A00FF"/>
    <w:rsid w:val="006A1058"/>
    <w:rsid w:val="006A2DBF"/>
    <w:rsid w:val="006A2E0D"/>
    <w:rsid w:val="006A47F9"/>
    <w:rsid w:val="006A6397"/>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687"/>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E97"/>
    <w:rsid w:val="00892DB5"/>
    <w:rsid w:val="0089339D"/>
    <w:rsid w:val="008938C6"/>
    <w:rsid w:val="00897DED"/>
    <w:rsid w:val="008A0B01"/>
    <w:rsid w:val="008A24A5"/>
    <w:rsid w:val="008A38D1"/>
    <w:rsid w:val="008A4009"/>
    <w:rsid w:val="008A43D5"/>
    <w:rsid w:val="008A5EAB"/>
    <w:rsid w:val="008A6FB2"/>
    <w:rsid w:val="008B168C"/>
    <w:rsid w:val="008B2692"/>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2F4D"/>
    <w:rsid w:val="00913C77"/>
    <w:rsid w:val="0091546B"/>
    <w:rsid w:val="00917BB4"/>
    <w:rsid w:val="0092049F"/>
    <w:rsid w:val="009245DD"/>
    <w:rsid w:val="009246B3"/>
    <w:rsid w:val="00924BE3"/>
    <w:rsid w:val="00926953"/>
    <w:rsid w:val="0092774B"/>
    <w:rsid w:val="0092791F"/>
    <w:rsid w:val="00932964"/>
    <w:rsid w:val="0093333A"/>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2E0"/>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E7B99"/>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111"/>
    <w:rsid w:val="00C44AFB"/>
    <w:rsid w:val="00C453F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2D"/>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gov.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rs/aesupplement/01b375b001da11ed8fa7d02a65c371ad/pjSOrzvIdc/2df89cb0084811efbcbfb318996800a8/" TargetMode="External"/><Relationship Id="rId7" Type="http://schemas.openxmlformats.org/officeDocument/2006/relationships/settings" Target="settings.xml"/><Relationship Id="rId12" Type="http://schemas.openxmlformats.org/officeDocument/2006/relationships/hyperlink" Target="https://eur-lex.europa.eu/legal-content/EN/TXT/?qid=1561563110433&amp;uri=CELEX:32019L1024"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041c930021a11edbfe9c72e552dd5b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r.kaminsk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42E6EA9071B4779891285B8E700E362"/>
        <w:category>
          <w:name w:val="General"/>
          <w:gallery w:val="placeholder"/>
        </w:category>
        <w:types>
          <w:type w:val="bbPlcHdr"/>
        </w:types>
        <w:behaviors>
          <w:behavior w:val="content"/>
        </w:behaviors>
        <w:guid w:val="{B706D2E2-C4D9-4CE8-B5F7-1B23F4299B92}"/>
      </w:docPartPr>
      <w:docPartBody>
        <w:p w:rsidR="00D42C3D" w:rsidRDefault="00D42C3D"/>
      </w:docPartBody>
    </w:docPart>
    <w:docPart>
      <w:docPartPr>
        <w:name w:val="B210D02D4D594BBE8CB0516920CE30F3"/>
        <w:category>
          <w:name w:val="General"/>
          <w:gallery w:val="placeholder"/>
        </w:category>
        <w:types>
          <w:type w:val="bbPlcHdr"/>
        </w:types>
        <w:behaviors>
          <w:behavior w:val="content"/>
        </w:behaviors>
        <w:guid w:val="{2CC53EE4-9C8F-4202-8873-E32A351F6DF3}"/>
      </w:docPartPr>
      <w:docPartBody>
        <w:p w:rsidR="00D42C3D" w:rsidRDefault="00D42C3D"/>
      </w:docPartBody>
    </w:docPart>
    <w:docPart>
      <w:docPartPr>
        <w:name w:val="059A8EF0B9834F559B15F7E09B31AA4F"/>
        <w:category>
          <w:name w:val="General"/>
          <w:gallery w:val="placeholder"/>
        </w:category>
        <w:types>
          <w:type w:val="bbPlcHdr"/>
        </w:types>
        <w:behaviors>
          <w:behavior w:val="content"/>
        </w:behaviors>
        <w:guid w:val="{6C54580A-D0FD-4658-A06B-3918F3350A81}"/>
      </w:docPartPr>
      <w:docPartBody>
        <w:p w:rsidR="00D42C3D" w:rsidRDefault="00D42C3D"/>
      </w:docPartBody>
    </w:docPart>
    <w:docPart>
      <w:docPartPr>
        <w:name w:val="51E81BBDE9B246C9A38D1E5277621CD6"/>
        <w:category>
          <w:name w:val="General"/>
          <w:gallery w:val="placeholder"/>
        </w:category>
        <w:types>
          <w:type w:val="bbPlcHdr"/>
        </w:types>
        <w:behaviors>
          <w:behavior w:val="content"/>
        </w:behaviors>
        <w:guid w:val="{DD1FF390-506C-4A1F-A385-F5A37AC356E0}"/>
      </w:docPartPr>
      <w:docPartBody>
        <w:p w:rsidR="00D42C3D" w:rsidRDefault="00D42C3D"/>
      </w:docPartBody>
    </w:docPart>
    <w:docPart>
      <w:docPartPr>
        <w:name w:val="0B3A123DF97E4E1495C5595CD29789CD"/>
        <w:category>
          <w:name w:val="General"/>
          <w:gallery w:val="placeholder"/>
        </w:category>
        <w:types>
          <w:type w:val="bbPlcHdr"/>
        </w:types>
        <w:behaviors>
          <w:behavior w:val="content"/>
        </w:behaviors>
        <w:guid w:val="{22C15609-FCF3-4CA1-9AED-9488DE405C50}"/>
      </w:docPartPr>
      <w:docPartBody>
        <w:p w:rsidR="00D42C3D" w:rsidRDefault="00D42C3D"/>
      </w:docPartBody>
    </w:docPart>
    <w:docPart>
      <w:docPartPr>
        <w:name w:val="AE5A4768C7914EACAA87098ECDECE0D2"/>
        <w:category>
          <w:name w:val="General"/>
          <w:gallery w:val="placeholder"/>
        </w:category>
        <w:types>
          <w:type w:val="bbPlcHdr"/>
        </w:types>
        <w:behaviors>
          <w:behavior w:val="content"/>
        </w:behaviors>
        <w:guid w:val="{5150EB65-261B-441C-A500-10D30526A276}"/>
      </w:docPartPr>
      <w:docPartBody>
        <w:p w:rsidR="00D42C3D" w:rsidRDefault="00D4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0E6BDE"/>
    <w:rsid w:val="001237F5"/>
    <w:rsid w:val="001348C6"/>
    <w:rsid w:val="00173552"/>
    <w:rsid w:val="001D1682"/>
    <w:rsid w:val="00211B47"/>
    <w:rsid w:val="00263ABF"/>
    <w:rsid w:val="002C0EE6"/>
    <w:rsid w:val="00317337"/>
    <w:rsid w:val="00354411"/>
    <w:rsid w:val="003C1F1F"/>
    <w:rsid w:val="003D1812"/>
    <w:rsid w:val="0043593E"/>
    <w:rsid w:val="004A4126"/>
    <w:rsid w:val="004E2430"/>
    <w:rsid w:val="005B7DA9"/>
    <w:rsid w:val="00631305"/>
    <w:rsid w:val="00666228"/>
    <w:rsid w:val="006E0E51"/>
    <w:rsid w:val="006E298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42C3D"/>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Irina Kaminskienė</DisplayName>
        <AccountId>1336</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A9356EFF-3688-49ED-A99F-23B7CBFCDFC3}"/>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96</TotalTime>
  <Pages>12</Pages>
  <Words>19641</Words>
  <Characters>11196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Irina Kaminskienė</cp:lastModifiedBy>
  <cp:revision>12</cp:revision>
  <dcterms:created xsi:type="dcterms:W3CDTF">2024-04-18T08:09:00Z</dcterms:created>
  <dcterms:modified xsi:type="dcterms:W3CDTF">2024-05-03T12:24:00Z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skyrius|253b4bc5-eb8b-4b91-befb-f97cc65a2670;#47;#Bendrųjų reikalų skyrius|98e1b560-c021-41d6-9632-b7f5b05ae6e9;#3308;#Procesų valdymo skyrius|1d2453fc-c175-46b4-b9fe-6151c1a059d8;#3310;#SFMIS pagalbos ir plėtros skyrius|63bf1c29-cd7e-48f0-9498-29ed3d88feb5;#49;#Vadovybė|58a5a61f-fccb-4f74-9a6b-098be634181c</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4344;#Skaitmeninių sprendimų projektų skyrius|78470913-a55f-4d57-8683-90e0e7ae2c9d</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1336;#Irina Kaminskienė;#90;#Laura Neliupšytė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