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172DC334"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D108C" w:rsidRPr="001D108C">
        <w:rPr>
          <w:rFonts w:ascii="Times New Roman Bold" w:eastAsia="Times New Roman" w:hAnsi="Times New Roman Bold" w:cs="Times New Roman"/>
          <w:b/>
          <w:bCs/>
          <w:caps/>
          <w:sz w:val="24"/>
          <w:szCs w:val="24"/>
        </w:rPr>
        <w:t>Ugdymo prieinamumo didinimas atskirtį patiriantiems vaikams Utenos regione III</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54A76F4"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D108C" w:rsidRPr="001D108C">
        <w:rPr>
          <w:rFonts w:ascii="Times New Roman" w:hAnsi="Times New Roman" w:cs="Times New Roman"/>
          <w:sz w:val="24"/>
          <w:szCs w:val="24"/>
          <w:shd w:val="clear" w:color="auto" w:fill="FFFFFF" w:themeFill="background1"/>
        </w:rPr>
        <w:t>29-003-P</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06C0A1BB"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6600DE">
        <w:rPr>
          <w:rFonts w:ascii="Times New Roman" w:hAnsi="Times New Roman" w:cs="Times New Roman"/>
          <w:sz w:val="24"/>
          <w:szCs w:val="24"/>
        </w:rPr>
        <w:t>Utenos</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6600DE">
        <w:rPr>
          <w:rFonts w:ascii="Times New Roman" w:hAnsi="Times New Roman" w:cs="Times New Roman"/>
          <w:sz w:val="24"/>
          <w:szCs w:val="24"/>
        </w:rPr>
        <w:t>Utenos</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6600DE">
        <w:rPr>
          <w:rFonts w:ascii="Times New Roman" w:hAnsi="Times New Roman" w:cs="Times New Roman"/>
          <w:sz w:val="24"/>
          <w:szCs w:val="24"/>
        </w:rPr>
        <w:t>Utenos</w:t>
      </w:r>
      <w:r w:rsidR="00405FF4">
        <w:rPr>
          <w:rFonts w:ascii="Times New Roman" w:hAnsi="Times New Roman" w:cs="Times New Roman"/>
          <w:sz w:val="24"/>
          <w:szCs w:val="24"/>
        </w:rPr>
        <w:t xml:space="preserve">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8B48AFE" w:rsidR="00962A9D" w:rsidRPr="008B168C" w:rsidDel="00CA2776" w:rsidRDefault="00524486" w:rsidP="003653E2">
            <w:pPr>
              <w:jc w:val="both"/>
              <w:rPr>
                <w:rFonts w:ascii="Times New Roman" w:hAnsi="Times New Roman" w:cs="Times New Roman"/>
                <w:i/>
                <w:iCs/>
              </w:rPr>
            </w:pPr>
            <w:r w:rsidRPr="00524486">
              <w:rPr>
                <w:rFonts w:ascii="Times New Roman" w:hAnsi="Times New Roman" w:cs="Times New Roman"/>
              </w:rPr>
              <w:t>12-003-03-01-23-(RE)-29-(LT029-01-03-01)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3A86CE43" w:rsidR="00E125C6" w:rsidRDefault="00524486" w:rsidP="000F6D1A">
            <w:pPr>
              <w:jc w:val="both"/>
              <w:rPr>
                <w:rFonts w:ascii="Times New Roman" w:hAnsi="Times New Roman" w:cs="Times New Roman"/>
              </w:rPr>
            </w:pPr>
            <w:r w:rsidRPr="00524486">
              <w:rPr>
                <w:rFonts w:ascii="Times New Roman" w:hAnsi="Times New Roman" w:cs="Times New Roman"/>
              </w:rPr>
              <w:t xml:space="preserve">Utenos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4190CBF" w:rsidR="00962A9D" w:rsidRPr="004173A5" w:rsidDel="00CA2776" w:rsidRDefault="00602347" w:rsidP="003653E2">
            <w:pPr>
              <w:jc w:val="both"/>
              <w:rPr>
                <w:rFonts w:ascii="Times New Roman" w:hAnsi="Times New Roman" w:cs="Times New Roman"/>
                <w:i/>
                <w:iCs/>
              </w:rPr>
            </w:pPr>
            <w:hyperlink r:id="rId11" w:history="1">
              <w:r w:rsidR="00524486" w:rsidRPr="0083308A">
                <w:rPr>
                  <w:rStyle w:val="Hyperlink"/>
                  <w:rFonts w:ascii="Times New Roman" w:hAnsi="Times New Roman" w:cs="Times New Roman"/>
                  <w:i/>
                  <w:iCs/>
                </w:rPr>
                <w:t>https://www.e-tar.lt/portal/lt/legalAct/579ce010a1fd11ed8df094f359a60216/asr</w:t>
              </w:r>
            </w:hyperlink>
            <w:r w:rsidR="00524486">
              <w:rPr>
                <w:rFonts w:ascii="Times New Roman" w:hAnsi="Times New Roman" w:cs="Times New Roman"/>
                <w:i/>
                <w:iCs/>
              </w:rPr>
              <w:t xml:space="preserve"> </w:t>
            </w:r>
          </w:p>
        </w:tc>
      </w:tr>
    </w:tbl>
    <w:p w14:paraId="1C7900FC" w14:textId="77777777" w:rsidR="00DE0665" w:rsidRDefault="00DE0665">
      <w:r>
        <w:br w:type="page"/>
      </w:r>
    </w:p>
    <w:tbl>
      <w:tblPr>
        <w:tblStyle w:val="TableGrid"/>
        <w:tblW w:w="9923" w:type="dxa"/>
        <w:tblInd w:w="-289" w:type="dxa"/>
        <w:tblLayout w:type="fixed"/>
        <w:tblLook w:val="04A0" w:firstRow="1" w:lastRow="0" w:firstColumn="1" w:lastColumn="0" w:noHBand="0" w:noVBand="1"/>
      </w:tblPr>
      <w:tblGrid>
        <w:gridCol w:w="1472"/>
        <w:gridCol w:w="1472"/>
        <w:gridCol w:w="1168"/>
        <w:gridCol w:w="413"/>
        <w:gridCol w:w="1474"/>
        <w:gridCol w:w="936"/>
        <w:gridCol w:w="2988"/>
      </w:tblGrid>
      <w:tr w:rsidR="00DC7931" w:rsidRPr="008B168C" w14:paraId="312D3FE8" w14:textId="0770522D" w:rsidTr="001C4966">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451"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C4966">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640"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1" w:type="dxa"/>
            <w:gridSpan w:val="4"/>
          </w:tcPr>
          <w:p w14:paraId="048E8891" w14:textId="68BEB341" w:rsidR="001A1453" w:rsidRPr="008B168C" w:rsidRDefault="00602347"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02347"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02347"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02347"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02347"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02347"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02347"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02347"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02347"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02347"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02347"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02347"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02347"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02347"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38BE329" w:rsidR="001A1453" w:rsidRPr="008B168C" w:rsidRDefault="00602347"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02347"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02347"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02347"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02347"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5D1EF434" w:rsidR="001A1453" w:rsidRPr="008B168C" w:rsidRDefault="00602347"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04747B">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02347"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4EAE24CA" w:rsidR="001A1453" w:rsidRPr="008B168C" w:rsidRDefault="00602347"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524486">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C4966">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640"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1"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602347"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02347"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1C4966">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640"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1887" w:type="dxa"/>
            <w:gridSpan w:val="2"/>
          </w:tcPr>
          <w:p w14:paraId="43D96310" w14:textId="456785C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11181C">
              <w:rPr>
                <w:rFonts w:ascii="Times New Roman" w:hAnsi="Times New Roman" w:cs="Times New Roman"/>
              </w:rPr>
              <w:t>3</w:t>
            </w:r>
            <w:r w:rsidR="009052B8">
              <w:rPr>
                <w:rFonts w:ascii="Times New Roman" w:hAnsi="Times New Roman" w:cs="Times New Roman"/>
              </w:rPr>
              <w:t xml:space="preserve"> 08:00</w:t>
            </w:r>
          </w:p>
        </w:tc>
        <w:tc>
          <w:tcPr>
            <w:tcW w:w="3924" w:type="dxa"/>
            <w:gridSpan w:val="2"/>
          </w:tcPr>
          <w:p w14:paraId="05BA4005" w14:textId="3E4204A3"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182F21">
              <w:rPr>
                <w:rFonts w:ascii="Times New Roman" w:hAnsi="Times New Roman" w:cs="Times New Roman"/>
              </w:rPr>
              <w:t>6</w:t>
            </w:r>
            <w:r w:rsidRPr="000D0D32">
              <w:rPr>
                <w:rFonts w:ascii="Times New Roman" w:hAnsi="Times New Roman" w:cs="Times New Roman"/>
              </w:rPr>
              <w:t>-</w:t>
            </w:r>
            <w:r w:rsidR="00182F21">
              <w:rPr>
                <w:rFonts w:ascii="Times New Roman" w:hAnsi="Times New Roman" w:cs="Times New Roman"/>
              </w:rPr>
              <w:t>21</w:t>
            </w:r>
            <w:r w:rsidRPr="00987D3C">
              <w:rPr>
                <w:rFonts w:ascii="Times New Roman" w:hAnsi="Times New Roman" w:cs="Times New Roman"/>
              </w:rPr>
              <w:t xml:space="preserve"> 17:00</w:t>
            </w:r>
          </w:p>
        </w:tc>
      </w:tr>
      <w:tr w:rsidR="00DC7931" w:rsidRPr="008B168C" w14:paraId="0B0CF49A" w14:textId="77777777" w:rsidTr="001C4966">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640"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11"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602347"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02347"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C4966">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640"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811"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1C4966">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640"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811" w:type="dxa"/>
            <w:gridSpan w:val="4"/>
          </w:tcPr>
          <w:p w14:paraId="0660F1AF" w14:textId="432C1B67" w:rsidR="009C094C" w:rsidRPr="00E04C6D" w:rsidRDefault="00602347"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602347"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602347"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602347"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1C4966">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640"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11"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C4966">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640"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11" w:type="dxa"/>
            <w:gridSpan w:val="4"/>
          </w:tcPr>
          <w:p w14:paraId="701A4E1F" w14:textId="0DFFB2D6" w:rsidR="00AF57CF" w:rsidRPr="008B168C" w:rsidRDefault="00602347"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02347"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02347"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02347"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02347"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02347"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C4966">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451"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C4966">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640"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11" w:type="dxa"/>
            <w:gridSpan w:val="4"/>
          </w:tcPr>
          <w:p w14:paraId="2DB84165" w14:textId="318A0893" w:rsidR="00AC029E" w:rsidRPr="008B168C" w:rsidRDefault="00602347"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02347"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02347"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C4966">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640"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11" w:type="dxa"/>
            <w:gridSpan w:val="4"/>
          </w:tcPr>
          <w:p w14:paraId="2E2E2E0C" w14:textId="17CEC211" w:rsidR="00AC029E" w:rsidRDefault="00602347"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02347"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02347"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02347"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02347"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C4966">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640"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11" w:type="dxa"/>
            <w:gridSpan w:val="4"/>
          </w:tcPr>
          <w:p w14:paraId="026E59B8" w14:textId="69013327" w:rsidR="00AC029E" w:rsidRPr="008B168C" w:rsidRDefault="00602347"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02347"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02347"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02347"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02347"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C4966">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640"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11" w:type="dxa"/>
            <w:gridSpan w:val="4"/>
          </w:tcPr>
          <w:p w14:paraId="1FB827C2" w14:textId="6F70EC17" w:rsidR="00AC029E" w:rsidRPr="008B168C" w:rsidRDefault="00602347"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02347"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02347"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02347"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C4966">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640"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11" w:type="dxa"/>
            <w:gridSpan w:val="4"/>
          </w:tcPr>
          <w:p w14:paraId="22A9889E" w14:textId="24700DE8" w:rsidR="00AC029E" w:rsidRPr="008B168C" w:rsidRDefault="00602347"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02347"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02347"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C4966">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640"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1" w:type="dxa"/>
            <w:gridSpan w:val="4"/>
          </w:tcPr>
          <w:p w14:paraId="372D5E21" w14:textId="643552B9" w:rsidR="00AC029E" w:rsidRPr="008B168C" w:rsidRDefault="00602347"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02347"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02347"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02347"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02347"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02347"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02347"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02347"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C4966">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640"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11" w:type="dxa"/>
            <w:gridSpan w:val="4"/>
          </w:tcPr>
          <w:p w14:paraId="596D80E2" w14:textId="214AA841" w:rsidR="00AC029E" w:rsidRPr="008B168C" w:rsidRDefault="00602347"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C4966">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640"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11" w:type="dxa"/>
            <w:gridSpan w:val="4"/>
            <w:tcBorders>
              <w:bottom w:val="single" w:sz="4" w:space="0" w:color="auto"/>
            </w:tcBorders>
          </w:tcPr>
          <w:p w14:paraId="2A6C1CDA" w14:textId="4D09301A" w:rsidR="00AC029E" w:rsidRPr="008B168C" w:rsidRDefault="00602347"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02347"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02347"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02347"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02347"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C4966">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640"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11" w:type="dxa"/>
            <w:gridSpan w:val="4"/>
          </w:tcPr>
          <w:p w14:paraId="38F10E56" w14:textId="479E239B" w:rsidR="00AC029E" w:rsidRPr="008B168C" w:rsidRDefault="00602347"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02347"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02347"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02347"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02347"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02347"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02347"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C4966">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640"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11" w:type="dxa"/>
            <w:gridSpan w:val="4"/>
          </w:tcPr>
          <w:p w14:paraId="1EFD59DC" w14:textId="4FE75042" w:rsidR="00AC029E" w:rsidRPr="008B168C" w:rsidRDefault="00602347"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02347"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C4966">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640"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11" w:type="dxa"/>
            <w:gridSpan w:val="4"/>
          </w:tcPr>
          <w:p w14:paraId="0F28723D" w14:textId="0DE19157" w:rsidR="00AC029E" w:rsidRPr="008B168C" w:rsidRDefault="00602347"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02347"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02347"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02347"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602347"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02347"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02347"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02347"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02347"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602347"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001C4966">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640"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1" w:type="dxa"/>
            <w:gridSpan w:val="4"/>
          </w:tcPr>
          <w:p w14:paraId="4CECE389" w14:textId="2AF660D9" w:rsidR="00AC029E" w:rsidRPr="008B168C" w:rsidRDefault="00602347"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02347"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C4966">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640"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11" w:type="dxa"/>
            <w:gridSpan w:val="4"/>
          </w:tcPr>
          <w:p w14:paraId="2B2F979A" w14:textId="48DD02C3" w:rsidR="00AC029E" w:rsidRPr="008B168C" w:rsidRDefault="00602347"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C4966">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640"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1" w:type="dxa"/>
            <w:gridSpan w:val="4"/>
          </w:tcPr>
          <w:p w14:paraId="028046DE" w14:textId="29D9FF9C" w:rsidR="007139B4" w:rsidRDefault="00602347"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C4966">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640"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1" w:type="dxa"/>
            <w:gridSpan w:val="4"/>
          </w:tcPr>
          <w:p w14:paraId="6EF461F0" w14:textId="0E6A7754" w:rsidR="004D43A0" w:rsidRDefault="00602347"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C4966">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640"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1" w:type="dxa"/>
            <w:gridSpan w:val="4"/>
          </w:tcPr>
          <w:p w14:paraId="062713C1" w14:textId="01AB79D4" w:rsidR="004D43A0" w:rsidRPr="009C094C" w:rsidRDefault="00602347"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C4966">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640"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11" w:type="dxa"/>
            <w:gridSpan w:val="4"/>
          </w:tcPr>
          <w:p w14:paraId="31C64C76" w14:textId="3B0B51B7" w:rsidR="00FF7835" w:rsidRPr="004648E5" w:rsidRDefault="00047E4C" w:rsidP="004648E5">
            <w:pPr>
              <w:jc w:val="both"/>
              <w:rPr>
                <w:rFonts w:ascii="Times New Roman" w:hAnsi="Times New Roman" w:cs="Times New Roman"/>
              </w:rPr>
            </w:pPr>
            <w:r>
              <w:rPr>
                <w:rFonts w:ascii="Times New Roman" w:hAnsi="Times New Roman" w:cs="Times New Roman"/>
              </w:rPr>
              <w:t>963</w:t>
            </w:r>
            <w:r w:rsidR="002A510F">
              <w:rPr>
                <w:rFonts w:ascii="Times New Roman" w:hAnsi="Times New Roman" w:cs="Times New Roman"/>
              </w:rPr>
              <w:t>.220,00</w:t>
            </w:r>
            <w:r w:rsidR="000469ED">
              <w:rPr>
                <w:rFonts w:ascii="Times New Roman" w:hAnsi="Times New Roman" w:cs="Times New Roman"/>
              </w:rPr>
              <w:t xml:space="preserve"> </w:t>
            </w:r>
            <w:r w:rsidR="00D71892">
              <w:rPr>
                <w:rFonts w:ascii="Times New Roman" w:hAnsi="Times New Roman" w:cs="Times New Roman"/>
              </w:rPr>
              <w:t>Eur</w:t>
            </w:r>
          </w:p>
        </w:tc>
      </w:tr>
      <w:tr w:rsidR="4926D183" w14:paraId="497C3D13" w14:textId="77777777" w:rsidTr="001C4966">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640"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11" w:type="dxa"/>
            <w:gridSpan w:val="4"/>
          </w:tcPr>
          <w:p w14:paraId="6AA86F82" w14:textId="25444876" w:rsidR="00390B47" w:rsidRPr="004B3E5F" w:rsidRDefault="00602347"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2A510F">
              <w:rPr>
                <w:rFonts w:ascii="Times New Roman" w:hAnsi="Times New Roman" w:cs="Times New Roman"/>
              </w:rPr>
              <w:t>963.220,00</w:t>
            </w:r>
            <w:r w:rsidR="004D1367">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1C4966">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640"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811" w:type="dxa"/>
            <w:gridSpan w:val="4"/>
          </w:tcPr>
          <w:p w14:paraId="7821D6A0" w14:textId="66E95373" w:rsidR="00952E09" w:rsidRPr="00EF1054" w:rsidRDefault="00602347"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1C4966">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640"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811" w:type="dxa"/>
            <w:gridSpan w:val="4"/>
          </w:tcPr>
          <w:p w14:paraId="2C21FFE1" w14:textId="0F0E0CE6" w:rsidR="0C6E61CA" w:rsidRPr="00EF1054" w:rsidRDefault="00602347"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1C4966">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640"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1"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1C4966">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640"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1"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1C4966">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640"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11"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1C4966">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640"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1" w:type="dxa"/>
            <w:gridSpan w:val="4"/>
          </w:tcPr>
          <w:p w14:paraId="5A55FBC3" w14:textId="0F3EDD52" w:rsidR="00395C6D" w:rsidRPr="00323CA4" w:rsidRDefault="00412339"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169.980,00</w:t>
            </w:r>
            <w:r w:rsidR="00D71892">
              <w:rPr>
                <w:rFonts w:ascii="Times New Roman" w:eastAsia="Times New Roman" w:hAnsi="Times New Roman" w:cs="Times New Roman"/>
              </w:rPr>
              <w:t xml:space="preserve"> Eur</w:t>
            </w:r>
          </w:p>
        </w:tc>
      </w:tr>
      <w:tr w:rsidR="00AC029E" w:rsidRPr="008B168C" w14:paraId="31C64C7B" w14:textId="77777777" w:rsidTr="001C4966">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640"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11"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1C4966">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451"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1C4966">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451"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2E5A3D" w:rsidRPr="008B168C" w14:paraId="4A5933EB" w14:textId="77777777" w:rsidTr="001C4966">
        <w:trPr>
          <w:cantSplit/>
          <w:trHeight w:val="625"/>
        </w:trPr>
        <w:tc>
          <w:tcPr>
            <w:tcW w:w="1472" w:type="dxa"/>
            <w:vMerge w:val="restart"/>
          </w:tcPr>
          <w:p w14:paraId="7A667C70" w14:textId="5A7104AC" w:rsidR="002E5A3D" w:rsidRPr="00B52EB3" w:rsidRDefault="002E5A3D" w:rsidP="00AC029E">
            <w:pPr>
              <w:rPr>
                <w:rFonts w:ascii="Times New Roman" w:hAnsi="Times New Roman" w:cs="Times New Roman"/>
              </w:rPr>
            </w:pPr>
          </w:p>
        </w:tc>
        <w:tc>
          <w:tcPr>
            <w:tcW w:w="2640" w:type="dxa"/>
            <w:gridSpan w:val="2"/>
          </w:tcPr>
          <w:p w14:paraId="48C0C022" w14:textId="7D24B50E" w:rsidR="002E5A3D" w:rsidRPr="00D46288" w:rsidRDefault="00F47476" w:rsidP="20C58E02">
            <w:pPr>
              <w:spacing w:after="160" w:line="259" w:lineRule="auto"/>
              <w:jc w:val="both"/>
              <w:rPr>
                <w:rFonts w:ascii="Times New Roman" w:eastAsia="Times New Roman" w:hAnsi="Times New Roman" w:cs="Times New Roman"/>
                <w:highlight w:val="yellow"/>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p>
        </w:tc>
        <w:tc>
          <w:tcPr>
            <w:tcW w:w="5811" w:type="dxa"/>
            <w:gridSpan w:val="4"/>
          </w:tcPr>
          <w:p w14:paraId="2597C47A" w14:textId="0070DBA0" w:rsidR="002E5A3D" w:rsidRPr="00817581" w:rsidRDefault="00F47476" w:rsidP="20C58E02">
            <w:pPr>
              <w:spacing w:after="160" w:line="257" w:lineRule="auto"/>
              <w:jc w:val="both"/>
              <w:rPr>
                <w:rFonts w:ascii="Times New Roman" w:hAnsi="Times New Roman" w:cs="Times New Roman"/>
              </w:rPr>
            </w:pPr>
            <w:r w:rsidRPr="00F47476">
              <w:rPr>
                <w:rFonts w:ascii="Times New Roman" w:hAnsi="Times New Roman" w:cs="Times New Roman"/>
              </w:rPr>
              <w:t>Ikimokyklinio ugdymo prieinamumo didinimas Utenos rajono savivaldybėje</w:t>
            </w:r>
          </w:p>
        </w:tc>
      </w:tr>
      <w:tr w:rsidR="00C0570D" w:rsidRPr="008B168C" w14:paraId="17988E3D" w14:textId="77777777" w:rsidTr="00C0570D">
        <w:trPr>
          <w:cantSplit/>
          <w:trHeight w:val="636"/>
        </w:trPr>
        <w:tc>
          <w:tcPr>
            <w:tcW w:w="1472" w:type="dxa"/>
            <w:vMerge/>
          </w:tcPr>
          <w:p w14:paraId="30202877" w14:textId="77777777" w:rsidR="00C0570D" w:rsidRPr="00B52EB3" w:rsidRDefault="00C0570D" w:rsidP="00AC029E">
            <w:pPr>
              <w:rPr>
                <w:rFonts w:ascii="Times New Roman" w:hAnsi="Times New Roman" w:cs="Times New Roman"/>
              </w:rPr>
            </w:pPr>
          </w:p>
        </w:tc>
        <w:tc>
          <w:tcPr>
            <w:tcW w:w="2640" w:type="dxa"/>
            <w:gridSpan w:val="2"/>
          </w:tcPr>
          <w:p w14:paraId="5CBD2935" w14:textId="47EFDF16" w:rsidR="00C0570D" w:rsidRPr="002E5A3D" w:rsidRDefault="00F47476" w:rsidP="20C58E02">
            <w:pPr>
              <w:jc w:val="both"/>
              <w:rPr>
                <w:rFonts w:ascii="Times New Roman" w:eastAsia="Times New Roman" w:hAnsi="Times New Roman" w:cs="Times New Roman"/>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c>
          <w:tcPr>
            <w:tcW w:w="5811" w:type="dxa"/>
            <w:gridSpan w:val="4"/>
          </w:tcPr>
          <w:p w14:paraId="5FE2B722" w14:textId="49DCCDC8" w:rsidR="00C0570D" w:rsidRPr="002E5A3D" w:rsidRDefault="008407CC" w:rsidP="20C58E02">
            <w:pPr>
              <w:spacing w:line="257" w:lineRule="auto"/>
              <w:jc w:val="both"/>
              <w:rPr>
                <w:rFonts w:ascii="Times New Roman" w:hAnsi="Times New Roman" w:cs="Times New Roman"/>
              </w:rPr>
            </w:pPr>
            <w:r w:rsidRPr="008407CC">
              <w:rPr>
                <w:rFonts w:ascii="Times New Roman" w:hAnsi="Times New Roman" w:cs="Times New Roman"/>
              </w:rPr>
              <w:t xml:space="preserve">Visagino progimnazijų erdvių pritaikymas negalią turinčių mokinių ugdymuisi </w:t>
            </w:r>
            <w:proofErr w:type="spellStart"/>
            <w:r w:rsidRPr="008407CC">
              <w:rPr>
                <w:rFonts w:ascii="Times New Roman" w:hAnsi="Times New Roman" w:cs="Times New Roman"/>
              </w:rPr>
              <w:t>įtraukiuoju</w:t>
            </w:r>
            <w:proofErr w:type="spellEnd"/>
            <w:r w:rsidRPr="008407CC">
              <w:rPr>
                <w:rFonts w:ascii="Times New Roman" w:hAnsi="Times New Roman" w:cs="Times New Roman"/>
              </w:rPr>
              <w:t xml:space="preserve"> būdu</w:t>
            </w:r>
          </w:p>
        </w:tc>
      </w:tr>
      <w:tr w:rsidR="00AC029E" w:rsidRPr="008B168C" w14:paraId="09CF0D37" w14:textId="5E93F9A5" w:rsidTr="001C4966">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640"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11" w:type="dxa"/>
            <w:gridSpan w:val="4"/>
          </w:tcPr>
          <w:p w14:paraId="55F283B3" w14:textId="77777777" w:rsidR="0044244E" w:rsidRPr="00173E00" w:rsidRDefault="007F5339"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kiti asmenys su negalia (vaikų tėvai, mokytojai ir kt.).</w:t>
            </w:r>
          </w:p>
          <w:p w14:paraId="2141F62C" w14:textId="77777777" w:rsidR="007F5339" w:rsidRPr="00173E00" w:rsidRDefault="007F5339" w:rsidP="00D00134">
            <w:pPr>
              <w:jc w:val="both"/>
              <w:rPr>
                <w:rFonts w:ascii="Times New Roman" w:hAnsi="Times New Roman" w:cs="Times New Roman"/>
              </w:rPr>
            </w:pPr>
          </w:p>
          <w:p w14:paraId="651DBED7" w14:textId="77777777" w:rsidR="007F5339" w:rsidRPr="00173E00" w:rsidRDefault="00A36B4B"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ikimokyklinio amžiaus vaikai.</w:t>
            </w:r>
          </w:p>
          <w:p w14:paraId="495FB1EF" w14:textId="77777777" w:rsidR="00817D04" w:rsidRPr="00173E00" w:rsidRDefault="00817D04" w:rsidP="00D00134">
            <w:pPr>
              <w:jc w:val="both"/>
              <w:rPr>
                <w:rFonts w:ascii="Times New Roman" w:hAnsi="Times New Roman" w:cs="Times New Roman"/>
              </w:rPr>
            </w:pPr>
          </w:p>
          <w:p w14:paraId="6DDD2301" w14:textId="773A0BF7" w:rsidR="00817D04" w:rsidRPr="00490682" w:rsidRDefault="00817D04" w:rsidP="00D00134">
            <w:pPr>
              <w:jc w:val="both"/>
              <w:rPr>
                <w:rFonts w:ascii="Times New Roman" w:hAnsi="Times New Roman" w:cs="Times New Roman"/>
              </w:rPr>
            </w:pPr>
            <w:r w:rsidRPr="00173E00">
              <w:rPr>
                <w:rFonts w:ascii="Times New Roman" w:hAnsi="Times New Roman" w:cs="Times New Roman"/>
              </w:rPr>
              <w:t>Atskirtį (taip pat ir dėl negalios) ar socialines rizikas, dėl kurių kyla grėsmė patirti socialinę atskirtį, patiriantys vaikai, mokiniai, ikimokyklinio ir priešmokyklinio amžiaus vaikai, kiti asmenys su negalia (vaikų tėvai, mokytojai ir kt.).</w:t>
            </w:r>
          </w:p>
        </w:tc>
      </w:tr>
      <w:tr w:rsidR="00734C63" w:rsidRPr="008B168C" w14:paraId="5DF64BDA" w14:textId="212F7AE2" w:rsidTr="001C4966">
        <w:trPr>
          <w:cantSplit/>
          <w:trHeight w:val="625"/>
        </w:trPr>
        <w:tc>
          <w:tcPr>
            <w:tcW w:w="1472" w:type="dxa"/>
            <w:vMerge w:val="restart"/>
          </w:tcPr>
          <w:p w14:paraId="673AB3F8" w14:textId="5CC892BB" w:rsidR="00734C63" w:rsidRPr="009C094C" w:rsidRDefault="00734C63"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640" w:type="dxa"/>
            <w:gridSpan w:val="2"/>
            <w:vMerge w:val="restart"/>
          </w:tcPr>
          <w:p w14:paraId="52172BC0" w14:textId="13A55390" w:rsidR="00734C63" w:rsidRPr="009C094C" w:rsidRDefault="00734C63" w:rsidP="00AC029E">
            <w:pPr>
              <w:rPr>
                <w:rFonts w:ascii="Times New Roman" w:hAnsi="Times New Roman" w:cs="Times New Roman"/>
                <w:b/>
                <w:bCs/>
              </w:rPr>
            </w:pPr>
            <w:r w:rsidRPr="009C094C">
              <w:rPr>
                <w:rFonts w:ascii="Times New Roman" w:hAnsi="Times New Roman" w:cs="Times New Roman"/>
                <w:b/>
                <w:bCs/>
              </w:rPr>
              <w:t>Galimi pareiškėjai</w:t>
            </w:r>
          </w:p>
        </w:tc>
        <w:tc>
          <w:tcPr>
            <w:tcW w:w="5811" w:type="dxa"/>
            <w:gridSpan w:val="4"/>
          </w:tcPr>
          <w:p w14:paraId="3589E60D" w14:textId="00CA6942" w:rsidR="00734C63" w:rsidRPr="00F16D91" w:rsidRDefault="00C713F2" w:rsidP="00AC029E">
            <w:pPr>
              <w:rPr>
                <w:rFonts w:ascii="Times New Roman" w:hAnsi="Times New Roman" w:cs="Times New Roman"/>
              </w:rPr>
            </w:pPr>
            <w:r w:rsidRPr="00C713F2">
              <w:rPr>
                <w:rFonts w:ascii="Times New Roman" w:hAnsi="Times New Roman" w:cs="Times New Roman"/>
              </w:rPr>
              <w:t xml:space="preserve">Utenos rajono savivaldybės administracija </w:t>
            </w:r>
            <w:r w:rsidR="009755E6">
              <w:rPr>
                <w:rFonts w:ascii="Times New Roman" w:hAnsi="Times New Roman" w:cs="Times New Roman"/>
              </w:rPr>
              <w:t xml:space="preserve">(veiklai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r w:rsidR="009755E6">
              <w:rPr>
                <w:rFonts w:ascii="Times New Roman" w:eastAsia="Times New Roman" w:hAnsi="Times New Roman" w:cs="Times New Roman"/>
              </w:rPr>
              <w:t>)</w:t>
            </w:r>
          </w:p>
        </w:tc>
      </w:tr>
      <w:tr w:rsidR="001371D0" w:rsidRPr="008B168C" w14:paraId="2D752CB8" w14:textId="77777777" w:rsidTr="001371D0">
        <w:trPr>
          <w:cantSplit/>
          <w:trHeight w:val="614"/>
        </w:trPr>
        <w:tc>
          <w:tcPr>
            <w:tcW w:w="1472" w:type="dxa"/>
            <w:vMerge/>
          </w:tcPr>
          <w:p w14:paraId="6287432B" w14:textId="77777777" w:rsidR="001371D0" w:rsidRPr="5BCA0B0D" w:rsidRDefault="001371D0" w:rsidP="00AC029E">
            <w:pPr>
              <w:rPr>
                <w:rFonts w:ascii="Times New Roman" w:hAnsi="Times New Roman" w:cs="Times New Roman"/>
                <w:b/>
                <w:bCs/>
              </w:rPr>
            </w:pPr>
          </w:p>
        </w:tc>
        <w:tc>
          <w:tcPr>
            <w:tcW w:w="2640" w:type="dxa"/>
            <w:gridSpan w:val="2"/>
            <w:vMerge/>
          </w:tcPr>
          <w:p w14:paraId="7A28BA5C" w14:textId="77777777" w:rsidR="001371D0" w:rsidRPr="009C094C" w:rsidRDefault="001371D0" w:rsidP="00AC029E">
            <w:pPr>
              <w:rPr>
                <w:rFonts w:ascii="Times New Roman" w:hAnsi="Times New Roman" w:cs="Times New Roman"/>
                <w:b/>
                <w:bCs/>
              </w:rPr>
            </w:pPr>
          </w:p>
        </w:tc>
        <w:tc>
          <w:tcPr>
            <w:tcW w:w="5811" w:type="dxa"/>
            <w:gridSpan w:val="4"/>
          </w:tcPr>
          <w:p w14:paraId="0782514A" w14:textId="00689705" w:rsidR="001371D0" w:rsidRPr="00DA7E5F" w:rsidRDefault="001371D0" w:rsidP="00AC029E">
            <w:pPr>
              <w:rPr>
                <w:rFonts w:ascii="Times New Roman" w:hAnsi="Times New Roman" w:cs="Times New Roman"/>
              </w:rPr>
            </w:pPr>
            <w:r w:rsidRPr="00206D45">
              <w:rPr>
                <w:rFonts w:ascii="Times New Roman" w:hAnsi="Times New Roman" w:cs="Times New Roman"/>
              </w:rPr>
              <w:t xml:space="preserve">Visagino savivaldybės administracija </w:t>
            </w:r>
            <w:r>
              <w:rPr>
                <w:rFonts w:ascii="Times New Roman" w:hAnsi="Times New Roman" w:cs="Times New Roman"/>
              </w:rPr>
              <w:t xml:space="preserve">(veiklai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r>
      <w:tr w:rsidR="00D548BA" w:rsidRPr="008B168C" w14:paraId="3FA5F900" w14:textId="77777777" w:rsidTr="001C4966">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640"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11" w:type="dxa"/>
            <w:gridSpan w:val="4"/>
          </w:tcPr>
          <w:p w14:paraId="12EADA53" w14:textId="3CF804BC" w:rsidR="00625FE0" w:rsidRPr="00173E00" w:rsidRDefault="00602347" w:rsidP="00625FE0">
            <w:pPr>
              <w:rPr>
                <w:rFonts w:ascii="Times New Roman" w:hAnsi="Times New Roman" w:cs="Times New Roman"/>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sidRPr="00173E00">
                  <w:rPr>
                    <w:rFonts w:ascii="Segoe UI Symbol" w:hAnsi="Segoe UI Symbol" w:cs="Segoe UI Symbol"/>
                  </w:rPr>
                  <w:t>☒</w:t>
                </w:r>
              </w:sdtContent>
            </w:sdt>
            <w:r w:rsidR="00625FE0" w:rsidRPr="00173E00">
              <w:rPr>
                <w:rFonts w:ascii="Times New Roman" w:hAnsi="Times New Roman" w:cs="Times New Roman"/>
              </w:rPr>
              <w:t xml:space="preserve"> Viešasis</w:t>
            </w:r>
          </w:p>
          <w:p w14:paraId="56C669A2" w14:textId="77777777" w:rsidR="00625FE0" w:rsidRPr="00173E00" w:rsidRDefault="00602347" w:rsidP="00625FE0">
            <w:pPr>
              <w:rPr>
                <w:rFonts w:ascii="Times New Roman" w:hAnsi="Times New Roman" w:cs="Times New Roman"/>
              </w:rPr>
            </w:pPr>
            <w:sdt>
              <w:sdtPr>
                <w:rPr>
                  <w:rFonts w:ascii="Times New Roman" w:hAnsi="Times New Roman" w:cs="Times New Roman"/>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173E00">
                  <w:rPr>
                    <w:rFonts w:ascii="Segoe UI Symbol" w:hAnsi="Segoe UI Symbol" w:cs="Segoe UI Symbol"/>
                  </w:rPr>
                  <w:t>☐</w:t>
                </w:r>
              </w:sdtContent>
            </w:sdt>
            <w:r w:rsidR="00625FE0" w:rsidRPr="00173E00">
              <w:rPr>
                <w:rFonts w:ascii="Times New Roman" w:hAnsi="Times New Roman" w:cs="Times New Roman"/>
              </w:rPr>
              <w:t xml:space="preserve"> Privatusis</w:t>
            </w:r>
          </w:p>
          <w:p w14:paraId="187445C9" w14:textId="3661F853" w:rsidR="00625FE0" w:rsidRPr="00173E00" w:rsidRDefault="00625FE0" w:rsidP="00CE0D6A">
            <w:pPr>
              <w:rPr>
                <w:rFonts w:ascii="Times New Roman" w:hAnsi="Times New Roman" w:cs="Times New Roman"/>
              </w:rPr>
            </w:pPr>
          </w:p>
        </w:tc>
      </w:tr>
      <w:tr w:rsidR="004D42A7" w:rsidRPr="008B168C" w14:paraId="3D216911" w14:textId="77777777" w:rsidTr="001C4966">
        <w:trPr>
          <w:cantSplit/>
          <w:trHeight w:val="300"/>
        </w:trPr>
        <w:tc>
          <w:tcPr>
            <w:tcW w:w="1472" w:type="dxa"/>
            <w:vMerge w:val="restart"/>
          </w:tcPr>
          <w:p w14:paraId="4B68DE2C" w14:textId="7D02347C" w:rsidR="004D42A7" w:rsidRPr="006A00FF" w:rsidRDefault="004D42A7"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640" w:type="dxa"/>
            <w:gridSpan w:val="2"/>
            <w:vMerge w:val="restart"/>
          </w:tcPr>
          <w:p w14:paraId="11202949" w14:textId="79CBA04A" w:rsidR="004D42A7" w:rsidRPr="009C094C" w:rsidRDefault="004D42A7" w:rsidP="00D548BA">
            <w:pPr>
              <w:rPr>
                <w:rFonts w:ascii="Times New Roman" w:hAnsi="Times New Roman" w:cs="Times New Roman"/>
                <w:b/>
                <w:bCs/>
              </w:rPr>
            </w:pPr>
            <w:r w:rsidRPr="009C094C">
              <w:rPr>
                <w:rFonts w:ascii="Times New Roman" w:hAnsi="Times New Roman" w:cs="Times New Roman"/>
                <w:b/>
                <w:bCs/>
              </w:rPr>
              <w:t>Galimi partneriai</w:t>
            </w:r>
          </w:p>
        </w:tc>
        <w:tc>
          <w:tcPr>
            <w:tcW w:w="5811" w:type="dxa"/>
            <w:gridSpan w:val="4"/>
          </w:tcPr>
          <w:p w14:paraId="19DC8D32" w14:textId="71DA6FEB" w:rsidR="004D42A7" w:rsidRPr="00173E00" w:rsidRDefault="003D12D6" w:rsidP="0050577E">
            <w:pPr>
              <w:jc w:val="both"/>
              <w:rPr>
                <w:rFonts w:ascii="Times New Roman" w:hAnsi="Times New Roman" w:cs="Times New Roman"/>
              </w:rPr>
            </w:pPr>
            <w:r w:rsidRPr="000A23AE">
              <w:rPr>
                <w:rFonts w:ascii="Times New Roman" w:hAnsi="Times New Roman" w:cs="Times New Roman"/>
              </w:rPr>
              <w:t xml:space="preserve">Utenos mokykla – vaikų darželis „Eglutė“, Utenos mokykla – vaikų darželis „Varpelis“, Utenos vaikų lopšelis – darželis „Saulutė“ </w:t>
            </w:r>
            <w:r>
              <w:rPr>
                <w:rFonts w:ascii="Times New Roman" w:hAnsi="Times New Roman" w:cs="Times New Roman"/>
              </w:rPr>
              <w:t xml:space="preserve">(veiklai </w:t>
            </w:r>
            <w:r w:rsidRPr="000A23AE">
              <w:rPr>
                <w:rFonts w:ascii="Times New Roman" w:hAnsi="Times New Roman" w:cs="Times New Roman"/>
              </w:rPr>
              <w:t>12-003-03-01-23-(RE)-29-(LT029-01-03-01)-01-03)</w:t>
            </w:r>
          </w:p>
        </w:tc>
      </w:tr>
      <w:tr w:rsidR="001371D0" w:rsidRPr="008B168C" w14:paraId="4E1DDBD3" w14:textId="77777777" w:rsidTr="00DA1AE8">
        <w:trPr>
          <w:cantSplit/>
          <w:trHeight w:val="920"/>
        </w:trPr>
        <w:tc>
          <w:tcPr>
            <w:tcW w:w="1472" w:type="dxa"/>
            <w:vMerge/>
          </w:tcPr>
          <w:p w14:paraId="4F28958F" w14:textId="77777777" w:rsidR="001371D0" w:rsidRPr="5BCA0B0D" w:rsidRDefault="001371D0" w:rsidP="00D548BA">
            <w:pPr>
              <w:rPr>
                <w:rFonts w:ascii="Times New Roman" w:hAnsi="Times New Roman" w:cs="Times New Roman"/>
                <w:b/>
                <w:bCs/>
              </w:rPr>
            </w:pPr>
          </w:p>
        </w:tc>
        <w:tc>
          <w:tcPr>
            <w:tcW w:w="2640" w:type="dxa"/>
            <w:gridSpan w:val="2"/>
            <w:vMerge/>
          </w:tcPr>
          <w:p w14:paraId="62FE779F" w14:textId="77777777" w:rsidR="001371D0" w:rsidRPr="009C094C" w:rsidRDefault="001371D0" w:rsidP="00D548BA">
            <w:pPr>
              <w:rPr>
                <w:rFonts w:ascii="Times New Roman" w:hAnsi="Times New Roman" w:cs="Times New Roman"/>
                <w:b/>
                <w:bCs/>
              </w:rPr>
            </w:pPr>
          </w:p>
        </w:tc>
        <w:tc>
          <w:tcPr>
            <w:tcW w:w="5811" w:type="dxa"/>
            <w:gridSpan w:val="4"/>
          </w:tcPr>
          <w:p w14:paraId="57400572" w14:textId="59148167" w:rsidR="001371D0" w:rsidRPr="00173E00" w:rsidRDefault="000A23AE" w:rsidP="0050577E">
            <w:pPr>
              <w:jc w:val="both"/>
              <w:rPr>
                <w:rFonts w:ascii="Times New Roman" w:hAnsi="Times New Roman" w:cs="Times New Roman"/>
              </w:rPr>
            </w:pPr>
            <w:r w:rsidRPr="000A23AE">
              <w:rPr>
                <w:rFonts w:ascii="Times New Roman" w:hAnsi="Times New Roman" w:cs="Times New Roman"/>
              </w:rPr>
              <w:t xml:space="preserve">Visagino Gerosios vilties progimnazija;  </w:t>
            </w:r>
            <w:r>
              <w:rPr>
                <w:rFonts w:ascii="Times New Roman" w:hAnsi="Times New Roman" w:cs="Times New Roman"/>
              </w:rPr>
              <w:t>Vi</w:t>
            </w:r>
            <w:r w:rsidRPr="000A23AE">
              <w:rPr>
                <w:rFonts w:ascii="Times New Roman" w:hAnsi="Times New Roman" w:cs="Times New Roman"/>
              </w:rPr>
              <w:t xml:space="preserve">sagino Draugystės progimnazija </w:t>
            </w:r>
            <w:r>
              <w:rPr>
                <w:rFonts w:ascii="Times New Roman" w:hAnsi="Times New Roman" w:cs="Times New Roman"/>
              </w:rPr>
              <w:t xml:space="preserve">(veiklai </w:t>
            </w:r>
            <w:r w:rsidRPr="000A23AE">
              <w:rPr>
                <w:rFonts w:ascii="Times New Roman" w:hAnsi="Times New Roman" w:cs="Times New Roman"/>
              </w:rPr>
              <w:t>12-003-03-01-23-(RE)-29-(LT029-01-03-01)-02-05)</w:t>
            </w:r>
          </w:p>
        </w:tc>
      </w:tr>
      <w:tr w:rsidR="00173E00" w14:paraId="384CD925" w14:textId="77777777" w:rsidTr="001C4966">
        <w:trPr>
          <w:cantSplit/>
          <w:trHeight w:val="605"/>
        </w:trPr>
        <w:tc>
          <w:tcPr>
            <w:tcW w:w="1472" w:type="dxa"/>
            <w:vMerge w:val="restart"/>
          </w:tcPr>
          <w:p w14:paraId="3CFB969D" w14:textId="7976A44F" w:rsidR="00173E00" w:rsidRDefault="00173E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640" w:type="dxa"/>
            <w:gridSpan w:val="2"/>
            <w:vMerge w:val="restart"/>
          </w:tcPr>
          <w:p w14:paraId="10D44CE4" w14:textId="37A11CC1" w:rsidR="00173E00" w:rsidRDefault="00173E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1" w:type="dxa"/>
            <w:gridSpan w:val="4"/>
          </w:tcPr>
          <w:p w14:paraId="42C9777A" w14:textId="3289044A" w:rsidR="00173E00" w:rsidRPr="00F47541" w:rsidRDefault="000C6297" w:rsidP="008F62D3">
            <w:pPr>
              <w:jc w:val="both"/>
              <w:rPr>
                <w:rFonts w:ascii="Times New Roman" w:hAnsi="Times New Roman" w:cs="Times New Roman"/>
              </w:rPr>
            </w:pPr>
            <w:r>
              <w:rPr>
                <w:rFonts w:ascii="Times New Roman" w:hAnsi="Times New Roman" w:cs="Times New Roman"/>
              </w:rPr>
              <w:t xml:space="preserve">475.970,25 </w:t>
            </w:r>
            <w:r w:rsidR="00A972F1">
              <w:rPr>
                <w:rFonts w:ascii="Times New Roman" w:hAnsi="Times New Roman" w:cs="Times New Roman"/>
              </w:rPr>
              <w:t>Eur</w:t>
            </w:r>
            <w:r w:rsidR="009C6BCC">
              <w:rPr>
                <w:rFonts w:ascii="Times New Roman" w:hAnsi="Times New Roman" w:cs="Times New Roman"/>
              </w:rPr>
              <w:t xml:space="preserve"> </w:t>
            </w:r>
            <w:r w:rsidR="000A23AE">
              <w:rPr>
                <w:rFonts w:ascii="Times New Roman" w:hAnsi="Times New Roman" w:cs="Times New Roman"/>
              </w:rPr>
              <w:t xml:space="preserve">(veiklai </w:t>
            </w:r>
            <w:r w:rsidR="000A23AE" w:rsidRPr="000A23AE">
              <w:rPr>
                <w:rFonts w:ascii="Times New Roman" w:hAnsi="Times New Roman" w:cs="Times New Roman"/>
              </w:rPr>
              <w:t>12-003-03-01-23-(RE)-29-(LT029-01-03-01)-01-03)</w:t>
            </w:r>
          </w:p>
        </w:tc>
      </w:tr>
      <w:tr w:rsidR="00BB04A4" w14:paraId="53EF08D0" w14:textId="77777777" w:rsidTr="00BB04A4">
        <w:trPr>
          <w:cantSplit/>
          <w:trHeight w:val="544"/>
        </w:trPr>
        <w:tc>
          <w:tcPr>
            <w:tcW w:w="1472" w:type="dxa"/>
            <w:vMerge/>
          </w:tcPr>
          <w:p w14:paraId="24734363" w14:textId="77777777" w:rsidR="00BB04A4" w:rsidRPr="5BCA0B0D" w:rsidRDefault="00BB04A4" w:rsidP="00D548BA">
            <w:pPr>
              <w:rPr>
                <w:rFonts w:ascii="Times New Roman" w:hAnsi="Times New Roman" w:cs="Times New Roman"/>
                <w:b/>
                <w:bCs/>
              </w:rPr>
            </w:pPr>
          </w:p>
        </w:tc>
        <w:tc>
          <w:tcPr>
            <w:tcW w:w="2640" w:type="dxa"/>
            <w:gridSpan w:val="2"/>
            <w:vMerge/>
          </w:tcPr>
          <w:p w14:paraId="74ECECBA" w14:textId="77777777" w:rsidR="00BB04A4" w:rsidRPr="61F0C4A1" w:rsidRDefault="00BB04A4" w:rsidP="00D548BA">
            <w:pPr>
              <w:rPr>
                <w:rFonts w:ascii="Times New Roman" w:hAnsi="Times New Roman" w:cs="Times New Roman"/>
                <w:b/>
                <w:bCs/>
              </w:rPr>
            </w:pPr>
          </w:p>
        </w:tc>
        <w:tc>
          <w:tcPr>
            <w:tcW w:w="5811" w:type="dxa"/>
            <w:gridSpan w:val="4"/>
          </w:tcPr>
          <w:p w14:paraId="40428B83" w14:textId="4322DC09" w:rsidR="00BB04A4" w:rsidRDefault="00BB04A4" w:rsidP="008F62D3">
            <w:pPr>
              <w:jc w:val="both"/>
              <w:rPr>
                <w:rFonts w:ascii="Times New Roman" w:hAnsi="Times New Roman" w:cs="Times New Roman"/>
              </w:rPr>
            </w:pPr>
            <w:r>
              <w:rPr>
                <w:rFonts w:ascii="Times New Roman" w:hAnsi="Times New Roman" w:cs="Times New Roman"/>
              </w:rPr>
              <w:t xml:space="preserve">487.249,75 Eur (veiklai </w:t>
            </w: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r>
      <w:tr w:rsidR="00D548BA" w14:paraId="27CDC5B4" w14:textId="77777777" w:rsidTr="001C4966">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640"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11"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1C4966">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640"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11"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1C4966">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451"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1C4966">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451"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1C4966">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451"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1C4966">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451"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1C4966">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81"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988"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1C4966">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581"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1C4966">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581"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988"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1C4966">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581"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988"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1C4966">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581"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988"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602347"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1C4966">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581"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988"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1C4966">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581"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988"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1C4966">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581"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988"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1C4966">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581"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988"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1C4966">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581"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988"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1C4966">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581"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988"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1C4966">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451"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1C4966">
        <w:trPr>
          <w:cantSplit/>
          <w:trHeight w:val="300"/>
        </w:trPr>
        <w:tc>
          <w:tcPr>
            <w:tcW w:w="9923"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1C4966">
        <w:trPr>
          <w:cantSplit/>
          <w:trHeight w:val="300"/>
        </w:trPr>
        <w:tc>
          <w:tcPr>
            <w:tcW w:w="9923"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960ECE" w:rsidRPr="00F44ADD" w14:paraId="769517E0" w14:textId="77777777" w:rsidTr="00481D92">
              <w:trPr>
                <w:trHeight w:val="615"/>
              </w:trPr>
              <w:tc>
                <w:tcPr>
                  <w:tcW w:w="1186" w:type="pct"/>
                  <w:vMerge w:val="restart"/>
                  <w:shd w:val="clear" w:color="auto" w:fill="auto"/>
                  <w:vAlign w:val="center"/>
                </w:tcPr>
                <w:p w14:paraId="1758E4E3" w14:textId="6B122859" w:rsidR="00960ECE" w:rsidRPr="00173E00" w:rsidRDefault="00C9438A" w:rsidP="00960ECE">
                  <w:pPr>
                    <w:rPr>
                      <w:rFonts w:ascii="Times New Roman" w:hAnsi="Times New Roman" w:cs="Times New Roman"/>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-01-03</w:t>
                  </w:r>
                </w:p>
              </w:tc>
              <w:tc>
                <w:tcPr>
                  <w:tcW w:w="1538" w:type="pct"/>
                  <w:shd w:val="clear" w:color="auto" w:fill="auto"/>
                  <w:vAlign w:val="center"/>
                </w:tcPr>
                <w:p w14:paraId="485185F2" w14:textId="1FEF792C" w:rsidR="00960ECE" w:rsidRPr="00C07CC5" w:rsidRDefault="00960ECE" w:rsidP="00960ECE">
                  <w:pPr>
                    <w:keepNext/>
                    <w:jc w:val="center"/>
                    <w:rPr>
                      <w:rFonts w:ascii="Times New Roman" w:hAnsi="Times New Roman" w:cs="Times New Roman"/>
                      <w:iCs/>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7A8C7891" w14:textId="41084196"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R.B.2.2070</w:t>
                  </w:r>
                </w:p>
              </w:tc>
              <w:tc>
                <w:tcPr>
                  <w:tcW w:w="806" w:type="pct"/>
                  <w:shd w:val="clear" w:color="auto" w:fill="auto"/>
                  <w:vAlign w:val="center"/>
                </w:tcPr>
                <w:p w14:paraId="79FA42D7" w14:textId="74C8DE99"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bCs/>
                    </w:rPr>
                    <w:t>naudotojai per metus</w:t>
                  </w:r>
                </w:p>
              </w:tc>
              <w:tc>
                <w:tcPr>
                  <w:tcW w:w="733" w:type="pct"/>
                  <w:shd w:val="clear" w:color="auto" w:fill="auto"/>
                  <w:vAlign w:val="center"/>
                </w:tcPr>
                <w:p w14:paraId="10E32F2A" w14:textId="42A225A0" w:rsidR="00960ECE" w:rsidRDefault="00C9438A" w:rsidP="00960ECE">
                  <w:pPr>
                    <w:keepNext/>
                    <w:jc w:val="center"/>
                    <w:rPr>
                      <w:rFonts w:ascii="Times New Roman" w:hAnsi="Times New Roman" w:cs="Times New Roman"/>
                      <w:bCs/>
                    </w:rPr>
                  </w:pPr>
                  <w:r>
                    <w:rPr>
                      <w:rFonts w:ascii="Times New Roman" w:hAnsi="Times New Roman" w:cs="Times New Roman"/>
                      <w:bCs/>
                    </w:rPr>
                    <w:t>537</w:t>
                  </w:r>
                </w:p>
              </w:tc>
            </w:tr>
            <w:tr w:rsidR="00960ECE" w:rsidRPr="00F44ADD" w14:paraId="521C1045" w14:textId="77777777" w:rsidTr="00537118">
              <w:trPr>
                <w:trHeight w:val="615"/>
              </w:trPr>
              <w:tc>
                <w:tcPr>
                  <w:tcW w:w="1186" w:type="pct"/>
                  <w:vMerge/>
                  <w:shd w:val="clear" w:color="auto" w:fill="auto"/>
                  <w:vAlign w:val="center"/>
                </w:tcPr>
                <w:p w14:paraId="50C1E05D" w14:textId="77777777" w:rsidR="00960ECE" w:rsidRPr="00173E00" w:rsidRDefault="00960ECE" w:rsidP="00960ECE">
                  <w:pPr>
                    <w:rPr>
                      <w:rFonts w:ascii="Times New Roman" w:hAnsi="Times New Roman" w:cs="Times New Roman"/>
                    </w:rPr>
                  </w:pPr>
                </w:p>
              </w:tc>
              <w:tc>
                <w:tcPr>
                  <w:tcW w:w="1538" w:type="pct"/>
                  <w:shd w:val="clear" w:color="auto" w:fill="auto"/>
                  <w:vAlign w:val="center"/>
                </w:tcPr>
                <w:p w14:paraId="38C93085" w14:textId="0180AD0A" w:rsidR="00960ECE" w:rsidRPr="00C07CC5" w:rsidRDefault="00960ECE" w:rsidP="00960ECE">
                  <w:pPr>
                    <w:keepNext/>
                    <w:jc w:val="center"/>
                    <w:rPr>
                      <w:rFonts w:ascii="Times New Roman" w:hAnsi="Times New Roman" w:cs="Times New Roman"/>
                      <w:iCs/>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195724E7" w14:textId="407B1A7F"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P.S.2.1024</w:t>
                  </w:r>
                </w:p>
              </w:tc>
              <w:tc>
                <w:tcPr>
                  <w:tcW w:w="806" w:type="pct"/>
                  <w:shd w:val="clear" w:color="auto" w:fill="auto"/>
                  <w:vAlign w:val="center"/>
                </w:tcPr>
                <w:p w14:paraId="3F2F6971" w14:textId="4DB44704" w:rsidR="00960ECE" w:rsidRPr="00C07CC5" w:rsidRDefault="00960ECE" w:rsidP="00960ECE">
                  <w:pPr>
                    <w:keepNext/>
                    <w:jc w:val="center"/>
                    <w:rPr>
                      <w:rFonts w:ascii="Times New Roman" w:hAnsi="Times New Roman" w:cs="Times New Roman"/>
                      <w:iCs/>
                    </w:rPr>
                  </w:pPr>
                  <w:r w:rsidRPr="00D32747">
                    <w:rPr>
                      <w:rFonts w:ascii="Times New Roman" w:hAnsi="Times New Roman" w:cs="Times New Roman"/>
                      <w:bCs/>
                    </w:rPr>
                    <w:t>skaičius</w:t>
                  </w:r>
                </w:p>
              </w:tc>
              <w:tc>
                <w:tcPr>
                  <w:tcW w:w="733" w:type="pct"/>
                  <w:shd w:val="clear" w:color="auto" w:fill="auto"/>
                  <w:vAlign w:val="center"/>
                </w:tcPr>
                <w:p w14:paraId="18ECDE62" w14:textId="0F5C76BA" w:rsidR="00960ECE" w:rsidRDefault="00C9438A" w:rsidP="00960ECE">
                  <w:pPr>
                    <w:keepNext/>
                    <w:jc w:val="center"/>
                    <w:rPr>
                      <w:rFonts w:ascii="Times New Roman" w:hAnsi="Times New Roman" w:cs="Times New Roman"/>
                      <w:bCs/>
                    </w:rPr>
                  </w:pPr>
                  <w:r>
                    <w:rPr>
                      <w:rFonts w:ascii="Times New Roman" w:hAnsi="Times New Roman" w:cs="Times New Roman"/>
                      <w:bCs/>
                    </w:rPr>
                    <w:t>50</w:t>
                  </w:r>
                </w:p>
              </w:tc>
            </w:tr>
            <w:tr w:rsidR="00622BE7" w:rsidRPr="00F44ADD" w14:paraId="471F19F9" w14:textId="77777777" w:rsidTr="00082924">
              <w:trPr>
                <w:trHeight w:val="615"/>
              </w:trPr>
              <w:tc>
                <w:tcPr>
                  <w:tcW w:w="1186" w:type="pct"/>
                  <w:vMerge/>
                  <w:shd w:val="clear" w:color="auto" w:fill="auto"/>
                  <w:vAlign w:val="center"/>
                </w:tcPr>
                <w:p w14:paraId="19A90986" w14:textId="77777777" w:rsidR="00622BE7" w:rsidRPr="00173E00" w:rsidRDefault="00622BE7" w:rsidP="00622BE7">
                  <w:pPr>
                    <w:rPr>
                      <w:rFonts w:ascii="Times New Roman" w:hAnsi="Times New Roman" w:cs="Times New Roman"/>
                    </w:rPr>
                  </w:pPr>
                </w:p>
              </w:tc>
              <w:tc>
                <w:tcPr>
                  <w:tcW w:w="1538" w:type="pct"/>
                  <w:shd w:val="clear" w:color="auto" w:fill="auto"/>
                  <w:vAlign w:val="center"/>
                </w:tcPr>
                <w:p w14:paraId="04DF2716" w14:textId="0E94BDAE"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7FEB1C74" w14:textId="7B3D6C3D" w:rsidR="00622BE7" w:rsidRPr="00C07CC5" w:rsidRDefault="00622BE7" w:rsidP="00622BE7">
                  <w:pPr>
                    <w:keepNext/>
                    <w:jc w:val="center"/>
                    <w:rPr>
                      <w:rFonts w:ascii="Times New Roman" w:hAnsi="Times New Roman" w:cs="Times New Roman"/>
                      <w:iCs/>
                    </w:rPr>
                  </w:pPr>
                  <w:r w:rsidRPr="00D32747">
                    <w:rPr>
                      <w:rFonts w:ascii="Times New Roman" w:hAnsi="Times New Roman" w:cs="Times New Roman"/>
                      <w:bCs/>
                    </w:rPr>
                    <w:t>P.B.2.0066</w:t>
                  </w:r>
                </w:p>
              </w:tc>
              <w:tc>
                <w:tcPr>
                  <w:tcW w:w="806" w:type="pct"/>
                  <w:shd w:val="clear" w:color="auto" w:fill="auto"/>
                  <w:vAlign w:val="center"/>
                </w:tcPr>
                <w:p w14:paraId="79AF8772" w14:textId="7E6E4A8E" w:rsidR="00622BE7" w:rsidRPr="00C07CC5" w:rsidRDefault="00622BE7" w:rsidP="00622BE7">
                  <w:pPr>
                    <w:keepNext/>
                    <w:jc w:val="center"/>
                    <w:rPr>
                      <w:rFonts w:ascii="Times New Roman" w:hAnsi="Times New Roman" w:cs="Times New Roman"/>
                      <w:iCs/>
                    </w:rPr>
                  </w:pPr>
                  <w:r w:rsidRPr="00A446C7">
                    <w:rPr>
                      <w:rFonts w:ascii="Times New Roman" w:hAnsi="Times New Roman" w:cs="Times New Roman"/>
                      <w:bCs/>
                    </w:rPr>
                    <w:t>asmenys</w:t>
                  </w:r>
                </w:p>
              </w:tc>
              <w:tc>
                <w:tcPr>
                  <w:tcW w:w="733" w:type="pct"/>
                  <w:shd w:val="clear" w:color="auto" w:fill="auto"/>
                  <w:vAlign w:val="center"/>
                </w:tcPr>
                <w:p w14:paraId="5DEC239D" w14:textId="7B9F5657" w:rsidR="00622BE7" w:rsidRDefault="00C9438A" w:rsidP="00622BE7">
                  <w:pPr>
                    <w:keepNext/>
                    <w:jc w:val="center"/>
                    <w:rPr>
                      <w:rFonts w:ascii="Times New Roman" w:hAnsi="Times New Roman" w:cs="Times New Roman"/>
                      <w:bCs/>
                    </w:rPr>
                  </w:pPr>
                  <w:r>
                    <w:rPr>
                      <w:rFonts w:ascii="Times New Roman" w:hAnsi="Times New Roman" w:cs="Times New Roman"/>
                      <w:bCs/>
                    </w:rPr>
                    <w:t>537</w:t>
                  </w:r>
                </w:p>
              </w:tc>
            </w:tr>
            <w:tr w:rsidR="00622BE7" w:rsidRPr="00F44ADD" w14:paraId="3EE76172" w14:textId="77777777" w:rsidTr="0081780F">
              <w:trPr>
                <w:trHeight w:val="615"/>
              </w:trPr>
              <w:tc>
                <w:tcPr>
                  <w:tcW w:w="1186" w:type="pct"/>
                  <w:vMerge/>
                  <w:shd w:val="clear" w:color="auto" w:fill="auto"/>
                  <w:vAlign w:val="center"/>
                </w:tcPr>
                <w:p w14:paraId="0F343A6E" w14:textId="77777777" w:rsidR="00622BE7" w:rsidRPr="00173E00" w:rsidRDefault="00622BE7" w:rsidP="00622BE7">
                  <w:pPr>
                    <w:rPr>
                      <w:rFonts w:ascii="Times New Roman" w:hAnsi="Times New Roman" w:cs="Times New Roman"/>
                    </w:rPr>
                  </w:pPr>
                </w:p>
              </w:tc>
              <w:tc>
                <w:tcPr>
                  <w:tcW w:w="1538" w:type="pct"/>
                  <w:shd w:val="clear" w:color="auto" w:fill="auto"/>
                </w:tcPr>
                <w:p w14:paraId="61B240B0" w14:textId="2CFA143C"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Vaikų, pasinaudojusių pavėžėjimo paslaugomis naujai įsigytomis transporto priemonėmis, skaičius per metus</w:t>
                  </w:r>
                </w:p>
              </w:tc>
              <w:tc>
                <w:tcPr>
                  <w:tcW w:w="736" w:type="pct"/>
                  <w:shd w:val="clear" w:color="auto" w:fill="auto"/>
                  <w:vAlign w:val="center"/>
                </w:tcPr>
                <w:p w14:paraId="0E6878A8" w14:textId="10E703A9"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R.S.2.3030</w:t>
                  </w:r>
                </w:p>
              </w:tc>
              <w:tc>
                <w:tcPr>
                  <w:tcW w:w="806" w:type="pct"/>
                  <w:shd w:val="clear" w:color="auto" w:fill="auto"/>
                  <w:vAlign w:val="center"/>
                </w:tcPr>
                <w:p w14:paraId="58E97AE7" w14:textId="09843746"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Asmenys per metus</w:t>
                  </w:r>
                </w:p>
              </w:tc>
              <w:tc>
                <w:tcPr>
                  <w:tcW w:w="733" w:type="pct"/>
                  <w:shd w:val="clear" w:color="auto" w:fill="auto"/>
                  <w:vAlign w:val="center"/>
                </w:tcPr>
                <w:p w14:paraId="101CE0C3" w14:textId="5CC45B75" w:rsidR="00622BE7" w:rsidRDefault="00C9438A" w:rsidP="00622BE7">
                  <w:pPr>
                    <w:keepNext/>
                    <w:jc w:val="center"/>
                    <w:rPr>
                      <w:rFonts w:ascii="Times New Roman" w:hAnsi="Times New Roman" w:cs="Times New Roman"/>
                      <w:bCs/>
                    </w:rPr>
                  </w:pPr>
                  <w:r>
                    <w:rPr>
                      <w:rFonts w:ascii="Times New Roman" w:hAnsi="Times New Roman" w:cs="Times New Roman"/>
                      <w:bCs/>
                    </w:rPr>
                    <w:t>100</w:t>
                  </w:r>
                </w:p>
              </w:tc>
            </w:tr>
            <w:tr w:rsidR="00622BE7" w:rsidRPr="00F44ADD" w14:paraId="61E8CB7E" w14:textId="77777777" w:rsidTr="00831DFE">
              <w:trPr>
                <w:trHeight w:val="615"/>
              </w:trPr>
              <w:tc>
                <w:tcPr>
                  <w:tcW w:w="1186" w:type="pct"/>
                  <w:vMerge/>
                  <w:shd w:val="clear" w:color="auto" w:fill="auto"/>
                  <w:vAlign w:val="center"/>
                </w:tcPr>
                <w:p w14:paraId="4D922CA1" w14:textId="77777777" w:rsidR="00622BE7" w:rsidRPr="00173E00" w:rsidRDefault="00622BE7" w:rsidP="00622BE7">
                  <w:pPr>
                    <w:rPr>
                      <w:rFonts w:ascii="Times New Roman" w:hAnsi="Times New Roman" w:cs="Times New Roman"/>
                    </w:rPr>
                  </w:pPr>
                </w:p>
              </w:tc>
              <w:tc>
                <w:tcPr>
                  <w:tcW w:w="1538" w:type="pct"/>
                  <w:shd w:val="clear" w:color="auto" w:fill="auto"/>
                </w:tcPr>
                <w:p w14:paraId="7BC6EAA3" w14:textId="4BC00E6B"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Tikslinės transporto priemonės</w:t>
                  </w:r>
                </w:p>
              </w:tc>
              <w:tc>
                <w:tcPr>
                  <w:tcW w:w="736" w:type="pct"/>
                  <w:shd w:val="clear" w:color="auto" w:fill="auto"/>
                  <w:vAlign w:val="center"/>
                </w:tcPr>
                <w:p w14:paraId="19245A5D" w14:textId="21F5F8CA"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P.S.2.1029</w:t>
                  </w:r>
                </w:p>
              </w:tc>
              <w:tc>
                <w:tcPr>
                  <w:tcW w:w="806" w:type="pct"/>
                  <w:shd w:val="clear" w:color="auto" w:fill="auto"/>
                  <w:vAlign w:val="center"/>
                </w:tcPr>
                <w:p w14:paraId="22AB7209" w14:textId="74560FA8" w:rsidR="00622BE7" w:rsidRPr="00C07CC5" w:rsidRDefault="00622BE7" w:rsidP="00622BE7">
                  <w:pPr>
                    <w:keepNext/>
                    <w:jc w:val="center"/>
                    <w:rPr>
                      <w:rFonts w:ascii="Times New Roman" w:hAnsi="Times New Roman" w:cs="Times New Roman"/>
                      <w:iCs/>
                    </w:rPr>
                  </w:pPr>
                  <w:r w:rsidRPr="00C07CC5">
                    <w:rPr>
                      <w:rFonts w:ascii="Times New Roman" w:hAnsi="Times New Roman" w:cs="Times New Roman"/>
                      <w:iCs/>
                    </w:rPr>
                    <w:t>Skaičius</w:t>
                  </w:r>
                </w:p>
              </w:tc>
              <w:tc>
                <w:tcPr>
                  <w:tcW w:w="733" w:type="pct"/>
                  <w:shd w:val="clear" w:color="auto" w:fill="auto"/>
                  <w:vAlign w:val="center"/>
                </w:tcPr>
                <w:p w14:paraId="26428B5A" w14:textId="1002691A" w:rsidR="00622BE7" w:rsidRDefault="00DD0658" w:rsidP="00622BE7">
                  <w:pPr>
                    <w:keepNext/>
                    <w:jc w:val="center"/>
                    <w:rPr>
                      <w:rFonts w:ascii="Times New Roman" w:hAnsi="Times New Roman" w:cs="Times New Roman"/>
                      <w:bCs/>
                    </w:rPr>
                  </w:pPr>
                  <w:r>
                    <w:rPr>
                      <w:rFonts w:ascii="Times New Roman" w:hAnsi="Times New Roman" w:cs="Times New Roman"/>
                      <w:bCs/>
                    </w:rPr>
                    <w:t>1</w:t>
                  </w:r>
                </w:p>
              </w:tc>
            </w:tr>
            <w:tr w:rsidR="00EE351D" w:rsidRPr="00F44ADD" w14:paraId="197DE0C3" w14:textId="77777777" w:rsidTr="00667863">
              <w:trPr>
                <w:trHeight w:val="615"/>
              </w:trPr>
              <w:tc>
                <w:tcPr>
                  <w:tcW w:w="1186" w:type="pct"/>
                  <w:vMerge w:val="restart"/>
                  <w:shd w:val="clear" w:color="auto" w:fill="auto"/>
                  <w:vAlign w:val="center"/>
                </w:tcPr>
                <w:p w14:paraId="4B556A36" w14:textId="0A5EC479" w:rsidR="00EE351D" w:rsidRPr="3F613FBC" w:rsidRDefault="00C9438A" w:rsidP="00EE351D">
                  <w:pPr>
                    <w:rPr>
                      <w:rFonts w:ascii="Times New Roman" w:hAnsi="Times New Roman" w:cs="Times New Roman"/>
                      <w:i/>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p>
              </w:tc>
              <w:tc>
                <w:tcPr>
                  <w:tcW w:w="1538" w:type="pct"/>
                  <w:shd w:val="clear" w:color="auto" w:fill="auto"/>
                </w:tcPr>
                <w:p w14:paraId="26D87974" w14:textId="4A55CEC0"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mokymo klasių talpumas</w:t>
                  </w:r>
                </w:p>
              </w:tc>
              <w:tc>
                <w:tcPr>
                  <w:tcW w:w="736" w:type="pct"/>
                  <w:shd w:val="clear" w:color="auto" w:fill="auto"/>
                </w:tcPr>
                <w:p w14:paraId="59B8224B" w14:textId="58E97A1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 xml:space="preserve">P.B.2.0067 </w:t>
                  </w:r>
                </w:p>
              </w:tc>
              <w:tc>
                <w:tcPr>
                  <w:tcW w:w="806" w:type="pct"/>
                  <w:shd w:val="clear" w:color="auto" w:fill="auto"/>
                </w:tcPr>
                <w:p w14:paraId="08087835" w14:textId="0FFD6BC5"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Asmenys</w:t>
                  </w:r>
                </w:p>
              </w:tc>
              <w:tc>
                <w:tcPr>
                  <w:tcW w:w="733" w:type="pct"/>
                  <w:shd w:val="clear" w:color="auto" w:fill="auto"/>
                  <w:vAlign w:val="center"/>
                </w:tcPr>
                <w:p w14:paraId="47F83E61" w14:textId="4124717B" w:rsidR="00EE351D" w:rsidRPr="00B4500F" w:rsidRDefault="00DD0658" w:rsidP="00EE351D">
                  <w:pPr>
                    <w:keepNext/>
                    <w:jc w:val="center"/>
                    <w:rPr>
                      <w:rFonts w:ascii="Times New Roman" w:hAnsi="Times New Roman" w:cs="Times New Roman"/>
                      <w:bCs/>
                    </w:rPr>
                  </w:pPr>
                  <w:r>
                    <w:rPr>
                      <w:rFonts w:ascii="Times New Roman" w:hAnsi="Times New Roman" w:cs="Times New Roman"/>
                      <w:bCs/>
                    </w:rPr>
                    <w:t>1122</w:t>
                  </w:r>
                </w:p>
              </w:tc>
            </w:tr>
            <w:tr w:rsidR="00EE351D" w:rsidRPr="00F44ADD" w14:paraId="1F76AAB5" w14:textId="77777777" w:rsidTr="00DB0280">
              <w:trPr>
                <w:trHeight w:val="615"/>
              </w:trPr>
              <w:tc>
                <w:tcPr>
                  <w:tcW w:w="1186" w:type="pct"/>
                  <w:vMerge/>
                  <w:shd w:val="clear" w:color="auto" w:fill="auto"/>
                  <w:vAlign w:val="center"/>
                </w:tcPr>
                <w:p w14:paraId="28DF1474" w14:textId="77777777" w:rsidR="00EE351D" w:rsidRPr="3F613FBC" w:rsidRDefault="00EE351D" w:rsidP="00EE351D">
                  <w:pPr>
                    <w:rPr>
                      <w:rFonts w:ascii="Times New Roman" w:hAnsi="Times New Roman" w:cs="Times New Roman"/>
                      <w:i/>
                      <w:iCs/>
                    </w:rPr>
                  </w:pPr>
                </w:p>
              </w:tc>
              <w:tc>
                <w:tcPr>
                  <w:tcW w:w="1538" w:type="pct"/>
                  <w:shd w:val="clear" w:color="auto" w:fill="auto"/>
                </w:tcPr>
                <w:p w14:paraId="11207711" w14:textId="148827CA" w:rsidR="00EE351D" w:rsidRPr="00B4500F" w:rsidRDefault="00EE351D" w:rsidP="00EE351D">
                  <w:pPr>
                    <w:keepNext/>
                    <w:jc w:val="center"/>
                    <w:rPr>
                      <w:rFonts w:ascii="Times New Roman" w:hAnsi="Times New Roman" w:cs="Times New Roman"/>
                    </w:rPr>
                  </w:pPr>
                  <w:r w:rsidRPr="00C07CC5">
                    <w:rPr>
                      <w:rFonts w:ascii="Times New Roman" w:hAnsi="Times New Roman" w:cs="Times New Roman"/>
                      <w:iCs/>
                    </w:rPr>
                    <w:t>Naujos arba modernizuotos švietimo infrastruktūros naudotojų skaičius per metus</w:t>
                  </w:r>
                </w:p>
              </w:tc>
              <w:tc>
                <w:tcPr>
                  <w:tcW w:w="736" w:type="pct"/>
                  <w:shd w:val="clear" w:color="auto" w:fill="auto"/>
                </w:tcPr>
                <w:p w14:paraId="2584813F" w14:textId="466B316C"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R.B.2.2071</w:t>
                  </w:r>
                </w:p>
              </w:tc>
              <w:tc>
                <w:tcPr>
                  <w:tcW w:w="806" w:type="pct"/>
                  <w:shd w:val="clear" w:color="auto" w:fill="auto"/>
                </w:tcPr>
                <w:p w14:paraId="675F1EF5" w14:textId="1953E031" w:rsidR="00EE351D" w:rsidRPr="00B4500F" w:rsidRDefault="00EE351D" w:rsidP="00EE351D">
                  <w:pPr>
                    <w:keepNext/>
                    <w:jc w:val="center"/>
                    <w:rPr>
                      <w:rFonts w:ascii="Times New Roman" w:hAnsi="Times New Roman" w:cs="Times New Roman"/>
                      <w:bCs/>
                    </w:rPr>
                  </w:pPr>
                  <w:r w:rsidRPr="00C07CC5">
                    <w:rPr>
                      <w:rFonts w:ascii="Times New Roman" w:hAnsi="Times New Roman" w:cs="Times New Roman"/>
                      <w:iCs/>
                    </w:rPr>
                    <w:t>Naudotojai per metus</w:t>
                  </w:r>
                </w:p>
              </w:tc>
              <w:tc>
                <w:tcPr>
                  <w:tcW w:w="733" w:type="pct"/>
                  <w:shd w:val="clear" w:color="auto" w:fill="auto"/>
                  <w:vAlign w:val="center"/>
                </w:tcPr>
                <w:p w14:paraId="47338B60" w14:textId="43A0AA9E" w:rsidR="00EE351D" w:rsidRPr="00B4500F" w:rsidRDefault="00DD0658" w:rsidP="00EE351D">
                  <w:pPr>
                    <w:keepNext/>
                    <w:jc w:val="center"/>
                    <w:rPr>
                      <w:rFonts w:ascii="Times New Roman" w:hAnsi="Times New Roman" w:cs="Times New Roman"/>
                      <w:bCs/>
                    </w:rPr>
                  </w:pPr>
                  <w:r>
                    <w:rPr>
                      <w:rFonts w:ascii="Times New Roman" w:hAnsi="Times New Roman" w:cs="Times New Roman"/>
                      <w:bCs/>
                    </w:rPr>
                    <w:t>933</w:t>
                  </w:r>
                </w:p>
              </w:tc>
            </w:tr>
            <w:tr w:rsidR="00DD0658" w:rsidRPr="00F44ADD" w14:paraId="050A5AD3" w14:textId="77777777" w:rsidTr="00F938C5">
              <w:trPr>
                <w:trHeight w:val="1865"/>
              </w:trPr>
              <w:tc>
                <w:tcPr>
                  <w:tcW w:w="1186" w:type="pct"/>
                  <w:vMerge/>
                  <w:shd w:val="clear" w:color="auto" w:fill="auto"/>
                  <w:vAlign w:val="center"/>
                </w:tcPr>
                <w:p w14:paraId="5E1E77D9" w14:textId="77777777" w:rsidR="00DD0658" w:rsidRPr="3F613FBC" w:rsidRDefault="00DD0658" w:rsidP="00EE351D">
                  <w:pPr>
                    <w:rPr>
                      <w:rFonts w:ascii="Times New Roman" w:hAnsi="Times New Roman" w:cs="Times New Roman"/>
                      <w:i/>
                      <w:iCs/>
                    </w:rPr>
                  </w:pPr>
                </w:p>
              </w:tc>
              <w:tc>
                <w:tcPr>
                  <w:tcW w:w="1538" w:type="pct"/>
                  <w:shd w:val="clear" w:color="auto" w:fill="auto"/>
                </w:tcPr>
                <w:p w14:paraId="51E8B026" w14:textId="57EC37B5" w:rsidR="00DD0658" w:rsidRPr="00AE3791" w:rsidRDefault="00DD0658" w:rsidP="00EE351D">
                  <w:pPr>
                    <w:keepNext/>
                    <w:jc w:val="center"/>
                    <w:rPr>
                      <w:rFonts w:ascii="Times New Roman" w:hAnsi="Times New Roman" w:cs="Times New Roman"/>
                    </w:rPr>
                  </w:pPr>
                  <w:r w:rsidRPr="00C07CC5">
                    <w:rPr>
                      <w:rFonts w:ascii="Times New Roman" w:hAnsi="Times New Roman" w:cs="Times New Roman"/>
                      <w:iCs/>
                    </w:rPr>
                    <w:t>Mokyklos, kuriose buvo įdiegtos universalaus dizaino ir kitos inžinerinės priemonės pritaikant aplinką asmenims, turintiems negalią</w:t>
                  </w:r>
                </w:p>
              </w:tc>
              <w:tc>
                <w:tcPr>
                  <w:tcW w:w="736" w:type="pct"/>
                  <w:shd w:val="clear" w:color="auto" w:fill="auto"/>
                </w:tcPr>
                <w:p w14:paraId="66BA865B" w14:textId="1C21FB0A" w:rsidR="00DD0658" w:rsidRPr="00D32747" w:rsidRDefault="00DD0658" w:rsidP="00EE351D">
                  <w:pPr>
                    <w:keepNext/>
                    <w:jc w:val="center"/>
                    <w:rPr>
                      <w:rFonts w:ascii="Times New Roman" w:hAnsi="Times New Roman" w:cs="Times New Roman"/>
                      <w:bCs/>
                    </w:rPr>
                  </w:pPr>
                  <w:r w:rsidRPr="00C07CC5">
                    <w:rPr>
                      <w:rFonts w:ascii="Times New Roman" w:hAnsi="Times New Roman" w:cs="Times New Roman"/>
                      <w:iCs/>
                    </w:rPr>
                    <w:t xml:space="preserve">P.S.2.1025 </w:t>
                  </w:r>
                </w:p>
              </w:tc>
              <w:tc>
                <w:tcPr>
                  <w:tcW w:w="806" w:type="pct"/>
                  <w:shd w:val="clear" w:color="auto" w:fill="auto"/>
                </w:tcPr>
                <w:p w14:paraId="1CC1481F" w14:textId="5EA871C4" w:rsidR="00DD0658" w:rsidRPr="00D32747" w:rsidRDefault="00DD0658" w:rsidP="00EE351D">
                  <w:pPr>
                    <w:keepNext/>
                    <w:jc w:val="center"/>
                    <w:rPr>
                      <w:rFonts w:ascii="Times New Roman" w:hAnsi="Times New Roman" w:cs="Times New Roman"/>
                      <w:bCs/>
                    </w:rPr>
                  </w:pPr>
                  <w:r w:rsidRPr="00C07CC5">
                    <w:rPr>
                      <w:rFonts w:ascii="Times New Roman" w:hAnsi="Times New Roman" w:cs="Times New Roman"/>
                      <w:iCs/>
                    </w:rPr>
                    <w:t>Skaičius</w:t>
                  </w:r>
                </w:p>
              </w:tc>
              <w:tc>
                <w:tcPr>
                  <w:tcW w:w="733" w:type="pct"/>
                  <w:shd w:val="clear" w:color="auto" w:fill="auto"/>
                  <w:vAlign w:val="center"/>
                </w:tcPr>
                <w:p w14:paraId="3DF898CA" w14:textId="2E22530D" w:rsidR="00DD0658" w:rsidRDefault="00DD0658" w:rsidP="00EE351D">
                  <w:pPr>
                    <w:keepNext/>
                    <w:jc w:val="center"/>
                    <w:rPr>
                      <w:rFonts w:ascii="Times New Roman" w:hAnsi="Times New Roman" w:cs="Times New Roman"/>
                      <w:bCs/>
                    </w:rPr>
                  </w:pPr>
                  <w:r>
                    <w:rPr>
                      <w:rFonts w:ascii="Times New Roman" w:hAnsi="Times New Roman" w:cs="Times New Roman"/>
                      <w:bCs/>
                    </w:rPr>
                    <w:t>2</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1C4966">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451"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1C4966">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451"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1C4966">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451"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51C3F33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 xml:space="preserve">1) Universalaus dizaino elementų ir kitų inžinerinių priemonių (pandusai, keltuvai, liftai, </w:t>
            </w:r>
            <w:proofErr w:type="spellStart"/>
            <w:r w:rsidRPr="00C07CC5">
              <w:rPr>
                <w:rFonts w:ascii="Times New Roman" w:hAnsi="Times New Roman" w:cs="Times New Roman"/>
                <w:b/>
                <w:iCs/>
              </w:rPr>
              <w:t>taktiliniai</w:t>
            </w:r>
            <w:proofErr w:type="spellEnd"/>
            <w:r w:rsidRPr="00C07CC5">
              <w:rPr>
                <w:rFonts w:ascii="Times New Roman" w:hAnsi="Times New Roman" w:cs="Times New Roman"/>
                <w:b/>
                <w:iCs/>
              </w:rPr>
              <w:t xml:space="preserve"> ir kiti sprendimai) įrengimas bendrojo ugdymo mokyklose</w:t>
            </w:r>
            <w:r w:rsidRPr="00C07CC5">
              <w:rPr>
                <w:rFonts w:ascii="Times New Roman" w:hAnsi="Times New Roman" w:cs="Times New Roman"/>
                <w:iCs/>
              </w:rPr>
              <w:t xml:space="preserve"> (būtinos apimties statybos, rekonstravimo ir remonto darbai diegiant konkrečius universalaus dizaino ir kitų inžinerinių sprendimų elementus, </w:t>
            </w:r>
            <w:r w:rsidRPr="00D96EC0">
              <w:rPr>
                <w:rFonts w:ascii="Times New Roman" w:hAnsi="Times New Roman" w:cs="Times New Roman"/>
                <w:iCs/>
              </w:rPr>
              <w:t>sensorinio kambario / nusiraminimo erdvės įrengimas (remontas ir aprūpinimas reikiamais baldais ir įranga)</w:t>
            </w:r>
            <w:r w:rsidRPr="00C07CC5">
              <w:rPr>
                <w:rFonts w:ascii="Times New Roman" w:hAnsi="Times New Roman" w:cs="Times New Roman"/>
                <w:iCs/>
              </w:rPr>
              <w:t>).</w:t>
            </w:r>
          </w:p>
          <w:p w14:paraId="6555E057" w14:textId="77777777" w:rsidR="00354527" w:rsidRPr="00C07CC5" w:rsidRDefault="00354527" w:rsidP="00354527">
            <w:pPr>
              <w:jc w:val="both"/>
              <w:rPr>
                <w:rFonts w:ascii="Times New Roman" w:hAnsi="Times New Roman" w:cs="Times New Roman"/>
                <w:iCs/>
              </w:rPr>
            </w:pPr>
          </w:p>
          <w:p w14:paraId="2A8C4A44"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2) Naujų ikimokyklinio ugdymo vietų kūrimas, dėmesį skiriant ankstyvojo amžiaus vaikų ugdymui</w:t>
            </w:r>
            <w:r w:rsidRPr="00C07CC5">
              <w:rPr>
                <w:rFonts w:ascii="Times New Roman" w:hAnsi="Times New Roman" w:cs="Times New Roman"/>
                <w:iCs/>
              </w:rPr>
              <w:t xml:space="preserve"> </w:t>
            </w:r>
            <w:r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Pr>
                <w:rFonts w:ascii="Times New Roman" w:hAnsi="Times New Roman" w:cs="Times New Roman"/>
                <w:iCs/>
              </w:rPr>
              <w:t xml:space="preserve"> </w:t>
            </w:r>
            <w:r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6309D251" w14:textId="77777777" w:rsidR="00354527" w:rsidRPr="00C07CC5" w:rsidRDefault="00354527" w:rsidP="00354527">
            <w:pPr>
              <w:jc w:val="both"/>
              <w:rPr>
                <w:rFonts w:ascii="Times New Roman" w:hAnsi="Times New Roman" w:cs="Times New Roman"/>
                <w:iCs/>
              </w:rPr>
            </w:pPr>
          </w:p>
          <w:p w14:paraId="0AD64F70" w14:textId="77777777" w:rsidR="00354527" w:rsidRPr="00C07CC5" w:rsidRDefault="00354527" w:rsidP="00354527">
            <w:pPr>
              <w:jc w:val="both"/>
              <w:rPr>
                <w:rFonts w:ascii="Times New Roman" w:hAnsi="Times New Roman" w:cs="Times New Roman"/>
                <w:iCs/>
              </w:rPr>
            </w:pPr>
            <w:r w:rsidRPr="00C07CC5">
              <w:rPr>
                <w:rFonts w:ascii="Times New Roman" w:hAnsi="Times New Roman" w:cs="Times New Roman"/>
                <w:b/>
                <w:iCs/>
              </w:rPr>
              <w:t>3) Negalią turintiems mokiniams ir kitiems mokiniams pavėžėti iki ir iš ugdymo įstaigos lengvai pritaikomų transporto priemonių įsigijimas</w:t>
            </w:r>
            <w:r w:rsidRPr="00C07CC5">
              <w:rPr>
                <w:rFonts w:ascii="Times New Roman" w:hAnsi="Times New Roman" w:cs="Times New Roman"/>
                <w:iCs/>
              </w:rPr>
              <w:t xml:space="preserve"> (įsigyjamos transporto priemonės (autobusiukai), skirtos mokinių pavėžėjimui į ugdymo įstaigą ir iš jos, turi būti pritaikytos ar prireikus lengvai pritaikomos neįgalių asmenų (numatytos vietos neįgaliesiems asmenims pavežti ir užtikrintas saugus ir patogus tokių asmenų patekimas į transporto priemonę) ir mažų vaikų (kai pavėžėjimo paslauga teikiama ikimokyklinio ugdymo įstaigos ugdytiniams) saugiam ir patogiam pavėžėjimui).</w:t>
            </w:r>
          </w:p>
          <w:p w14:paraId="19731069" w14:textId="77777777" w:rsidR="00560DD8" w:rsidRDefault="00560DD8" w:rsidP="00560DD8">
            <w:pPr>
              <w:rPr>
                <w:rFonts w:ascii="Times New Roman" w:hAnsi="Times New Roman" w:cs="Times New Roman"/>
              </w:rPr>
            </w:pPr>
          </w:p>
          <w:p w14:paraId="50E0CC88" w14:textId="77777777" w:rsidR="008977F6" w:rsidRPr="004C74A9" w:rsidRDefault="008977F6" w:rsidP="008977F6">
            <w:pPr>
              <w:spacing w:after="120"/>
              <w:jc w:val="both"/>
              <w:rPr>
                <w:rFonts w:ascii="Times New Roman" w:hAnsi="Times New Roman" w:cs="Times New Roman"/>
                <w:u w:val="single"/>
                <w:lang w:eastAsia="lt-LT"/>
              </w:rPr>
            </w:pPr>
            <w:r w:rsidRPr="00C07CC5">
              <w:rPr>
                <w:rFonts w:ascii="Times New Roman" w:hAnsi="Times New Roman" w:cs="Times New Roman"/>
                <w:lang w:eastAsia="lt-LT"/>
              </w:rPr>
              <w:t xml:space="preserve">1. </w:t>
            </w:r>
            <w:r w:rsidRPr="004C74A9">
              <w:rPr>
                <w:rFonts w:ascii="Times New Roman" w:hAnsi="Times New Roman" w:cs="Times New Roman"/>
                <w:u w:val="single"/>
                <w:lang w:eastAsia="lt-LT"/>
              </w:rPr>
              <w:t>Įgyvendinant projektus pagal 1 punkte nurodytą veiklą:</w:t>
            </w:r>
          </w:p>
          <w:p w14:paraId="5B13682E"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1.1. turi būti teikiama pirmenybė efektyviai veikiančioms mokykloms ar jų padaliniams, t. y. kuriose mokosi ne mažiau kaip 200 mokinių. Jeigu regione / savivaldybėje visos mokyklos, kuriose mokosi ne mažiau kaip 200 mokinių, jau yra visiškai pritaikytos negalią turinčių asmenų poreikiams arba jeigu konkrečioje savivaldybėje, atsižvelgiant į jos specifiką, teritorinį tikslinės grupės pasiskirstymą ir neįgalių asmenų poreikį dėl infrastruktūros pritaikymo, yra aiškiai pagrįstas mokyklos pritaikymo neįgaliesiems poreikis, tuomet galima investuoti ir į mažesnes mokyklas, kurių gyvavimo perspektyva yra aiški ir ilgalaikė (mokykloje ar jos padalinyje neprognozuojamas ženklus mokinių skaičiaus mažėjimas, kuris nulemtų mokyklos ar jos padalinio, į kurį investuojama, uždarymą </w:t>
            </w:r>
            <w:proofErr w:type="spellStart"/>
            <w:r w:rsidRPr="00C07CC5">
              <w:rPr>
                <w:rFonts w:ascii="Times New Roman" w:hAnsi="Times New Roman" w:cs="Times New Roman"/>
                <w:lang w:eastAsia="lt-LT"/>
              </w:rPr>
              <w:t>poprojektiniu</w:t>
            </w:r>
            <w:proofErr w:type="spellEnd"/>
            <w:r w:rsidRPr="00C07CC5">
              <w:rPr>
                <w:rFonts w:ascii="Times New Roman" w:hAnsi="Times New Roman" w:cs="Times New Roman"/>
                <w:lang w:eastAsia="lt-LT"/>
              </w:rPr>
              <w:t xml:space="preserve"> laikotarpiu);</w:t>
            </w:r>
          </w:p>
          <w:p w14:paraId="12908056" w14:textId="77777777" w:rsidR="008977F6" w:rsidRPr="00C07CC5"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1.2. savivaldybės mokyklų tinklo pertvarkos plane mokykla ar jos padalinys neturi būti numatyta uždaryti ar likviduoti ir numatoma vykdyti bendrojo ugdymo programas;</w:t>
            </w:r>
          </w:p>
          <w:p w14:paraId="4C980BA1" w14:textId="77777777" w:rsidR="008977F6" w:rsidRDefault="008977F6" w:rsidP="008977F6">
            <w:pPr>
              <w:spacing w:after="120"/>
              <w:jc w:val="both"/>
              <w:rPr>
                <w:rFonts w:ascii="Times New Roman" w:hAnsi="Times New Roman" w:cs="Times New Roman"/>
                <w:lang w:eastAsia="lt-LT"/>
              </w:rPr>
            </w:pPr>
            <w:r w:rsidRPr="00C07CC5">
              <w:rPr>
                <w:rFonts w:ascii="Times New Roman" w:hAnsi="Times New Roman" w:cs="Times New Roman"/>
                <w:lang w:eastAsia="lt-LT"/>
              </w:rPr>
              <w:t xml:space="preserve">1.3. </w:t>
            </w:r>
            <w:r w:rsidRPr="007D0A4A">
              <w:rPr>
                <w:rFonts w:ascii="Times New Roman" w:hAnsi="Times New Roman" w:cs="Times New Roman"/>
                <w:lang w:eastAsia="lt-LT"/>
              </w:rPr>
              <w:t>siekiant užtikrinti geriausius ir patogiausius sprendimus naudotis bendrojo ugdymo mokyklos aplinka įvairių fizinių galimybių asmenims, t. y. užtikrinti prieinamumą visiems esamiems ir galimiems mokyklos bendruomenės nariams, visi techniniai sprendimai ir inžinerinės priemonės turi būti priimti remiantis universalaus dizaino principu. Dėl aplinkos prieinamumo visiems techninių sprendimų turi būti konsultuojamasi su Neįgaliųjų reikalų departamentu prie Socialinės apsaugos ir darbo ministerijos ir atsižvelgiama į jų rekomendacijas iki techninės dokumentacijos, reikalingos vykdyti projekte numatytus rangos darbus, patvirtinimo</w:t>
            </w:r>
            <w:r w:rsidRPr="00C07CC5">
              <w:rPr>
                <w:rFonts w:ascii="Times New Roman" w:hAnsi="Times New Roman" w:cs="Times New Roman"/>
                <w:lang w:eastAsia="lt-LT"/>
              </w:rPr>
              <w:t>.</w:t>
            </w:r>
          </w:p>
          <w:p w14:paraId="0002F5A9" w14:textId="77777777" w:rsidR="008977F6" w:rsidRDefault="008977F6" w:rsidP="008977F6">
            <w:pPr>
              <w:spacing w:after="120"/>
              <w:jc w:val="both"/>
              <w:rPr>
                <w:rFonts w:ascii="Times New Roman" w:hAnsi="Times New Roman" w:cs="Times New Roman"/>
                <w:lang w:eastAsia="lt-LT"/>
              </w:rPr>
            </w:pPr>
            <w:r>
              <w:rPr>
                <w:rFonts w:ascii="Times New Roman" w:hAnsi="Times New Roman" w:cs="Times New Roman"/>
                <w:lang w:eastAsia="lt-LT"/>
              </w:rPr>
              <w:t xml:space="preserve">1.4. </w:t>
            </w:r>
            <w:r w:rsidRPr="00D12945">
              <w:rPr>
                <w:rFonts w:ascii="Times New Roman" w:hAnsi="Times New Roman" w:cs="Times New Roman"/>
                <w:lang w:eastAsia="lt-LT"/>
              </w:rPr>
              <w:t>visas bendrojo ugdymo mokyklos pastatas turi būti pilnai pritaikytas laisvai ir savarankiškai į jį patekti ir po jį judėti įvairių fizinių galimybių asmenims. Pilnai pritaikyta mokykla laikoma tada, kai nėra jokių fizinių kliūčių (arba jos kompensuotos alternatyviomis judėjimą lengvinančiomis priemonėmis), ribojančių savarankišką patekimą į pastatą ir judėjimą pastato viduje visose erdvėse, nepriklausomai nuo asmens turimų judėjimo galimybių, bei į ŠVIS Mokyklų pritaikymo neįgaliesiems anketos duomenų 2-ąjį klausimą atsakoma „Pritaikyta“. Įgyvendinus projektą pilnai pritaikytoje bendrojo ugdymo mokykloje turi būti vadovaujantis vientisumo principu (t. y. visi prieinamumo elementai tarpusavyje turi būti logiškai susiję) įgyvendintos visos toliau nurodytos priemonės:</w:t>
            </w:r>
          </w:p>
          <w:p w14:paraId="0C970387" w14:textId="77777777" w:rsidR="008977F6" w:rsidRPr="00BB6F1D" w:rsidRDefault="008977F6" w:rsidP="008977F6">
            <w:pPr>
              <w:jc w:val="both"/>
              <w:rPr>
                <w:rFonts w:ascii="Times New Roman" w:hAnsi="Times New Roman" w:cs="Times New Roman"/>
                <w:lang w:eastAsia="lt-LT"/>
              </w:rPr>
            </w:pPr>
            <w:r>
              <w:rPr>
                <w:rFonts w:ascii="Times New Roman" w:hAnsi="Times New Roman" w:cs="Times New Roman"/>
                <w:lang w:eastAsia="lt-LT"/>
              </w:rPr>
              <w:lastRenderedPageBreak/>
              <w:t xml:space="preserve">1.4.1. </w:t>
            </w:r>
            <w:r w:rsidRPr="00BB6F1D">
              <w:rPr>
                <w:rFonts w:ascii="Times New Roman" w:hAnsi="Times New Roman" w:cs="Times New Roman"/>
                <w:lang w:eastAsia="lt-LT"/>
              </w:rPr>
              <w:t>įrengti pandusai patekti į mokyklos pastatą arba pritaikytas kitoks universalaus dizaino sprendimas, lygiaverčiai ar geriau užtikrinantis patekimą į mokyklos pastato vidų;</w:t>
            </w:r>
          </w:p>
          <w:p w14:paraId="186F0F30"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1.4.2. užtikrintas patekimas į visus pastato aukštus įrengiant liftą ar vertikalų keltuvą;</w:t>
            </w:r>
          </w:p>
          <w:p w14:paraId="77A66E23"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1.4.3. kiekviename pastato aukšte turi būti įrengta bent viena tualeto patalpa, pritaikyta asmenims su negalia;</w:t>
            </w:r>
          </w:p>
          <w:p w14:paraId="46DC234F"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1.4.4. panaikintos visos kliūtys judėjimui dėl grindų aukščių skirtumų (slenksčiai, laipteliai, aukščių perkritimai);</w:t>
            </w:r>
          </w:p>
          <w:p w14:paraId="06436B70"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1.4.5. paženklintos laiptų bent pirmos ir paskutinės pakopos;</w:t>
            </w:r>
          </w:p>
          <w:p w14:paraId="637D6414" w14:textId="77777777" w:rsidR="008977F6" w:rsidRPr="00BB6F1D" w:rsidRDefault="008977F6" w:rsidP="008977F6">
            <w:pPr>
              <w:pStyle w:val="ListParagraph"/>
              <w:ind w:left="32"/>
              <w:jc w:val="both"/>
              <w:rPr>
                <w:rFonts w:ascii="Times New Roman" w:hAnsi="Times New Roman" w:cs="Times New Roman"/>
                <w:lang w:eastAsia="lt-LT"/>
              </w:rPr>
            </w:pPr>
            <w:r w:rsidRPr="00BB6F1D">
              <w:rPr>
                <w:rFonts w:ascii="Times New Roman" w:hAnsi="Times New Roman" w:cs="Times New Roman"/>
                <w:lang w:eastAsia="lt-LT"/>
              </w:rPr>
              <w:t>1.4.6. jeigu mokyklos pastate yra keli to paties dalyko mokymo kabinetai, tai bent po vieną kabinetą kiekvienam dalykui ir bent po vieną kiekvienos klasės kabinetą turi būti prieinami ir pritaikyti įvairių negalių turintiems asmenims (pakankamo pločio durys, tinkamas patalpos apšvietimas, vieno lygio grindys ir t. t.);</w:t>
            </w:r>
          </w:p>
          <w:p w14:paraId="5C753C8A"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1.4.7. visos bendrojo naudojimo patalpos (valgykla, biblioteka, aktų salė ir pan.) turi būti lengvai prieinamos įvairių negalių turintiems asmenims;</w:t>
            </w:r>
          </w:p>
          <w:p w14:paraId="18A05BD8" w14:textId="77777777" w:rsidR="008977F6" w:rsidRPr="00BB6F1D"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1.4.8. įrengtas žymėjimas regos sutrikimų turintiems asmenims (</w:t>
            </w:r>
            <w:proofErr w:type="spellStart"/>
            <w:r w:rsidRPr="00BB6F1D">
              <w:rPr>
                <w:rFonts w:ascii="Times New Roman" w:hAnsi="Times New Roman" w:cs="Times New Roman"/>
                <w:lang w:eastAsia="lt-LT"/>
              </w:rPr>
              <w:t>taktiliniai</w:t>
            </w:r>
            <w:proofErr w:type="spellEnd"/>
            <w:r w:rsidRPr="00BB6F1D">
              <w:rPr>
                <w:rFonts w:ascii="Times New Roman" w:hAnsi="Times New Roman" w:cs="Times New Roman"/>
                <w:lang w:eastAsia="lt-LT"/>
              </w:rPr>
              <w:t xml:space="preserve"> kabinetų numeriai ir pavadinimai, aukštų planai ir pan.); </w:t>
            </w:r>
          </w:p>
          <w:p w14:paraId="5AF01B8C"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1.4.9. mokyklos teritorijoje esantys pėsčiųjų takai tarp mokyklos pastato ir lauko edukacinių erdvių, taip pat ir tarp neįgaliųjų automobilių parkavimo vietos, įskaitant mokyklinio transporto keleivių išlaipinimo vietas (jei yra poreikis), bei įėjimo į mokyklos pastatą turi būti pritaikyti asmenims su negalia, judantiems neįgaliojo vežimėliu, ar kurių judėjimo galimybės apsunkintos dėl kitų priežasčių;</w:t>
            </w:r>
          </w:p>
          <w:p w14:paraId="485DBEE6"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1.4.10. pažymėtos neįgaliųjų transporto priemonių parkavimo vietos;</w:t>
            </w:r>
          </w:p>
          <w:p w14:paraId="4F714CC1" w14:textId="77777777" w:rsidR="008977F6"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1.4.11. galimi kiti papildomi aplinkos pritaikymo įvairių negalių turintiems asmenims sprendimai, kurie neturėtų galimo judėjimą ribojančio poveikio kitų asmenų atžvilgiu (pvz., neblokuotų laiptų pločio ir pan.);</w:t>
            </w:r>
          </w:p>
          <w:p w14:paraId="489A61BA" w14:textId="77777777" w:rsidR="008977F6" w:rsidRPr="00C07CC5" w:rsidRDefault="008977F6" w:rsidP="008977F6">
            <w:pPr>
              <w:jc w:val="both"/>
              <w:rPr>
                <w:rFonts w:ascii="Times New Roman" w:hAnsi="Times New Roman" w:cs="Times New Roman"/>
                <w:lang w:eastAsia="lt-LT"/>
              </w:rPr>
            </w:pPr>
            <w:r w:rsidRPr="00BB6F1D">
              <w:rPr>
                <w:rFonts w:ascii="Times New Roman" w:hAnsi="Times New Roman" w:cs="Times New Roman"/>
                <w:lang w:eastAsia="lt-LT"/>
              </w:rPr>
              <w:t>1.4.12. įrengtas sensorinis kambarys ir / arba nusiraminimo erdvės.</w:t>
            </w:r>
          </w:p>
          <w:p w14:paraId="65A3FFB3" w14:textId="77777777" w:rsidR="008977F6" w:rsidRDefault="008977F6" w:rsidP="008977F6">
            <w:pPr>
              <w:rPr>
                <w:rFonts w:ascii="Times New Roman" w:hAnsi="Times New Roman" w:cs="Times New Roman"/>
                <w:lang w:eastAsia="lt-LT"/>
              </w:rPr>
            </w:pPr>
          </w:p>
          <w:p w14:paraId="5F955BC7"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2. </w:t>
            </w:r>
            <w:r w:rsidRPr="004C74A9">
              <w:rPr>
                <w:rFonts w:ascii="Times New Roman" w:hAnsi="Times New Roman" w:cs="Times New Roman"/>
                <w:u w:val="single"/>
                <w:lang w:eastAsia="lt-LT"/>
              </w:rPr>
              <w:t>Įgyvendinant projektus pagal 2 punkte nurodytą veiklą:</w:t>
            </w:r>
          </w:p>
          <w:p w14:paraId="7FEED4C1" w14:textId="77777777" w:rsidR="008977F6" w:rsidRPr="004C74A9" w:rsidRDefault="008977F6" w:rsidP="008977F6">
            <w:pPr>
              <w:spacing w:after="120"/>
              <w:ind w:left="32"/>
              <w:jc w:val="both"/>
              <w:rPr>
                <w:rFonts w:ascii="Times New Roman" w:hAnsi="Times New Roman" w:cs="Times New Roman"/>
                <w:lang w:eastAsia="lt-LT"/>
              </w:rPr>
            </w:pPr>
            <w:r>
              <w:rPr>
                <w:rFonts w:ascii="Times New Roman" w:hAnsi="Times New Roman" w:cs="Times New Roman"/>
              </w:rPr>
              <w:t xml:space="preserve">2.1. </w:t>
            </w:r>
            <w:r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864ECCC" w14:textId="77777777" w:rsidR="008977F6" w:rsidRPr="004C74A9" w:rsidRDefault="008977F6" w:rsidP="008977F6">
            <w:pPr>
              <w:spacing w:after="120"/>
              <w:ind w:left="32"/>
              <w:jc w:val="both"/>
              <w:rPr>
                <w:rFonts w:ascii="Times New Roman" w:hAnsi="Times New Roman" w:cs="Times New Roman"/>
                <w:lang w:eastAsia="lt-LT"/>
              </w:rPr>
            </w:pPr>
            <w:r w:rsidRPr="004C74A9">
              <w:rPr>
                <w:rFonts w:ascii="Times New Roman" w:hAnsi="Times New Roman" w:cs="Times New Roman"/>
                <w:lang w:eastAsia="lt-LT"/>
              </w:rPr>
              <w:t>2.2.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22DD0B2E"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2.3. turi būti įrengtos arba atnaujintos esamos lauko edukacinės erdvės, skirtos naujai kuriamoms ikimokyklinio ugdymo grupėms. Gali būti tiesiami pėsčiųjų takai tarp naujai sukurtų ikimokyklinio ugdymo grupių ir joms skirtų lauko edukacinių erdvių;</w:t>
            </w:r>
          </w:p>
          <w:p w14:paraId="1502989D" w14:textId="77777777" w:rsidR="008977F6" w:rsidRPr="004C74A9" w:rsidRDefault="008977F6" w:rsidP="008977F6">
            <w:pPr>
              <w:spacing w:after="120"/>
              <w:jc w:val="both"/>
              <w:rPr>
                <w:rFonts w:ascii="Times New Roman" w:hAnsi="Times New Roman" w:cs="Times New Roman"/>
                <w:lang w:eastAsia="lt-LT"/>
              </w:rPr>
            </w:pPr>
            <w:r w:rsidRPr="004C74A9">
              <w:rPr>
                <w:rFonts w:ascii="Times New Roman" w:hAnsi="Times New Roman" w:cs="Times New Roman"/>
                <w:lang w:eastAsia="lt-LT"/>
              </w:rPr>
              <w:t>2.4. tvarkant visų ikimokyklinio ugdymo įstaigos grupių reikmėms naudojamas vidaus edukacines erdves, projekto lėšomis galima atlikti rangos darbus ir patalpas aprūpinti reikiamais baldais bei vaizdo, garso ir kompiuterine technika.</w:t>
            </w:r>
          </w:p>
          <w:p w14:paraId="1FA57BA8" w14:textId="77777777" w:rsidR="008977F6" w:rsidRDefault="008977F6" w:rsidP="008977F6">
            <w:pPr>
              <w:rPr>
                <w:rFonts w:ascii="Times New Roman" w:hAnsi="Times New Roman" w:cs="Times New Roman"/>
                <w:lang w:eastAsia="lt-LT"/>
              </w:rPr>
            </w:pPr>
          </w:p>
          <w:p w14:paraId="2A858D7C" w14:textId="77777777" w:rsidR="008977F6" w:rsidRDefault="008977F6" w:rsidP="008977F6">
            <w:pPr>
              <w:spacing w:after="120"/>
              <w:rPr>
                <w:rFonts w:ascii="Times New Roman" w:hAnsi="Times New Roman" w:cs="Times New Roman"/>
                <w:lang w:eastAsia="lt-LT"/>
              </w:rPr>
            </w:pPr>
            <w:r>
              <w:rPr>
                <w:rFonts w:ascii="Times New Roman" w:hAnsi="Times New Roman" w:cs="Times New Roman"/>
                <w:lang w:eastAsia="lt-LT"/>
              </w:rPr>
              <w:t xml:space="preserve">3. </w:t>
            </w:r>
            <w:r w:rsidRPr="004C74A9">
              <w:rPr>
                <w:rFonts w:ascii="Times New Roman" w:hAnsi="Times New Roman" w:cs="Times New Roman"/>
                <w:u w:val="single"/>
                <w:lang w:eastAsia="lt-LT"/>
              </w:rPr>
              <w:t xml:space="preserve">Įgyvendinant projektus pagal </w:t>
            </w:r>
            <w:r>
              <w:rPr>
                <w:rFonts w:ascii="Times New Roman" w:hAnsi="Times New Roman" w:cs="Times New Roman"/>
                <w:u w:val="single"/>
                <w:lang w:eastAsia="lt-LT"/>
              </w:rPr>
              <w:t>3</w:t>
            </w:r>
            <w:r w:rsidRPr="004C74A9">
              <w:rPr>
                <w:rFonts w:ascii="Times New Roman" w:hAnsi="Times New Roman" w:cs="Times New Roman"/>
                <w:u w:val="single"/>
                <w:lang w:eastAsia="lt-LT"/>
              </w:rPr>
              <w:t xml:space="preserve"> punkte nurodytą veiklą:</w:t>
            </w:r>
          </w:p>
          <w:p w14:paraId="6091A363" w14:textId="77777777" w:rsidR="008977F6" w:rsidRPr="00D47783" w:rsidRDefault="008977F6" w:rsidP="008977F6">
            <w:pPr>
              <w:spacing w:after="120"/>
              <w:ind w:left="32"/>
              <w:jc w:val="both"/>
              <w:rPr>
                <w:rFonts w:ascii="Times New Roman" w:hAnsi="Times New Roman" w:cs="Times New Roman"/>
                <w:lang w:eastAsia="lt-LT"/>
              </w:rPr>
            </w:pPr>
            <w:r w:rsidRPr="00A00FFA">
              <w:rPr>
                <w:iCs/>
              </w:rPr>
              <w:t xml:space="preserve">3.1. </w:t>
            </w:r>
            <w:r w:rsidRPr="00D47783">
              <w:rPr>
                <w:rFonts w:ascii="Times New Roman" w:hAnsi="Times New Roman" w:cs="Times New Roman"/>
                <w:lang w:eastAsia="lt-LT"/>
              </w:rPr>
              <w:t>visos mokiniams pavėžėti įsigyjamos transporto priemonės turi atitikti žalumo reikalavimus, nurodytus Gairių 3.2.10 ir 3.2.11 papunkčiuose;</w:t>
            </w:r>
          </w:p>
          <w:p w14:paraId="4E3608E5" w14:textId="77777777" w:rsidR="008977F6" w:rsidRPr="00D47783" w:rsidRDefault="008977F6" w:rsidP="008977F6">
            <w:pPr>
              <w:spacing w:after="120"/>
              <w:ind w:left="32"/>
              <w:jc w:val="both"/>
              <w:rPr>
                <w:rFonts w:ascii="Times New Roman" w:hAnsi="Times New Roman" w:cs="Times New Roman"/>
                <w:lang w:eastAsia="lt-LT"/>
              </w:rPr>
            </w:pPr>
            <w:r w:rsidRPr="00D47783">
              <w:rPr>
                <w:rFonts w:ascii="Times New Roman" w:hAnsi="Times New Roman" w:cs="Times New Roman"/>
                <w:lang w:eastAsia="lt-LT"/>
              </w:rPr>
              <w:t>3.2. kelios savivaldybės gali pasirinkti kartu įgyvendinti vieną bendrą projektą.</w:t>
            </w:r>
          </w:p>
          <w:p w14:paraId="0A0023AB" w14:textId="77777777" w:rsidR="008977F6" w:rsidRDefault="008977F6" w:rsidP="008977F6">
            <w:pPr>
              <w:rPr>
                <w:rFonts w:ascii="Times New Roman" w:hAnsi="Times New Roman" w:cs="Times New Roman"/>
                <w:lang w:eastAsia="lt-LT"/>
              </w:rPr>
            </w:pPr>
          </w:p>
          <w:p w14:paraId="42650EDE"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39F839E2"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lastRenderedPageBreak/>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02D167C6" w14:textId="77777777" w:rsidR="008977F6"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4B4267CB" w14:textId="77777777" w:rsidR="00B41913" w:rsidRDefault="008977F6" w:rsidP="00AF4DDE">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79DE1AE9" w14:textId="77777777" w:rsidR="006B02BD" w:rsidRPr="00D47783" w:rsidRDefault="006B02BD" w:rsidP="006B02BD">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Pr>
                <w:rFonts w:ascii="Times New Roman" w:hAnsi="Times New Roman" w:cs="Times New Roman"/>
                <w:lang w:eastAsia="lt-LT"/>
              </w:rPr>
              <w:t>Rengiami projektai:</w:t>
            </w:r>
          </w:p>
          <w:p w14:paraId="58BB49F7"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Gairių III skyriaus 2 dalyje  nurodytus projektams taikomus reikalavimus;</w:t>
            </w:r>
          </w:p>
          <w:p w14:paraId="2411632C"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VII skyriuje nurodytus projektų išlaidų reikalavimus;</w:t>
            </w:r>
          </w:p>
          <w:p w14:paraId="4A164BA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atitikti bendruosius projektų atrankos kriterijus, nustatytus Strateginio valdymo metodikoje;</w:t>
            </w:r>
          </w:p>
          <w:p w14:paraId="54620AA2"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503EBA13" w14:textId="77777777" w:rsidR="006B02BD" w:rsidRDefault="006B02BD" w:rsidP="006B02BD">
            <w:pPr>
              <w:pStyle w:val="ListParagraph"/>
              <w:spacing w:after="120"/>
              <w:jc w:val="both"/>
              <w:rPr>
                <w:rFonts w:ascii="Times New Roman" w:hAnsi="Times New Roman" w:cs="Times New Roman"/>
                <w:lang w:eastAsia="lt-LT"/>
              </w:rPr>
            </w:pPr>
          </w:p>
          <w:p w14:paraId="117540D9" w14:textId="77777777" w:rsidR="006B02BD" w:rsidRPr="0015022F" w:rsidRDefault="006B02BD" w:rsidP="006B02BD">
            <w:pPr>
              <w:pStyle w:val="ListParagraph"/>
              <w:numPr>
                <w:ilvl w:val="0"/>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b/>
                <w:lang w:eastAsia="lt-LT"/>
              </w:rPr>
              <w:t>Parengtumo reikalavimai:</w:t>
            </w:r>
          </w:p>
          <w:p w14:paraId="5A45856B"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381C49BD"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7E36C8A3" w14:textId="77777777" w:rsidR="006B02BD" w:rsidRDefault="006B02BD" w:rsidP="006B02BD">
            <w:pPr>
              <w:pStyle w:val="ListParagraph"/>
              <w:numPr>
                <w:ilvl w:val="1"/>
                <w:numId w:val="27"/>
              </w:numPr>
              <w:spacing w:after="120" w:line="259" w:lineRule="auto"/>
              <w:jc w:val="both"/>
              <w:rPr>
                <w:rFonts w:ascii="Times New Roman" w:hAnsi="Times New Roman" w:cs="Times New Roman"/>
                <w:lang w:eastAsia="lt-LT"/>
              </w:rPr>
            </w:pPr>
            <w:r w:rsidRPr="00C07CC5">
              <w:rPr>
                <w:rFonts w:ascii="Times New Roman" w:hAnsi="Times New Roman" w:cs="Times New Roman"/>
                <w:lang w:eastAsia="lt-LT"/>
              </w:rPr>
              <w:t>Jei numatoma prisidėti prie projekto įgyvendinimo savo lėšomis, įskaitant ir netinkamoms finansuoti projekto išlaidoms apmokėti, turi būti gautas bei su PĮP pateiktas savivaldybės tarybos sprendimas dėl projekto įgyvendinimo</w:t>
            </w:r>
            <w:r>
              <w:rPr>
                <w:rFonts w:ascii="Times New Roman" w:hAnsi="Times New Roman" w:cs="Times New Roman"/>
                <w:lang w:eastAsia="lt-LT"/>
              </w:rPr>
              <w:t>.</w:t>
            </w:r>
          </w:p>
          <w:p w14:paraId="31C64C8E" w14:textId="3C871133" w:rsidR="00F57938" w:rsidRPr="00933EAC" w:rsidRDefault="006B02BD" w:rsidP="00933EAC">
            <w:pPr>
              <w:pStyle w:val="ListParagraph"/>
              <w:numPr>
                <w:ilvl w:val="1"/>
                <w:numId w:val="27"/>
              </w:numPr>
              <w:spacing w:after="120" w:line="259" w:lineRule="auto"/>
              <w:jc w:val="both"/>
              <w:rPr>
                <w:rFonts w:ascii="Times New Roman" w:hAnsi="Times New Roman" w:cs="Times New Roman"/>
                <w:lang w:eastAsia="lt-LT"/>
              </w:rPr>
            </w:pPr>
            <w:r w:rsidRPr="006B02BD">
              <w:rPr>
                <w:rFonts w:ascii="Times New Roman" w:hAnsi="Times New Roman" w:cs="Times New Roman"/>
                <w:lang w:eastAsia="lt-LT"/>
              </w:rPr>
              <w:t>Turi būti pateikti kiti Gairių III skyriaus 2 dalyje  nurodyti, kartu su PĮP pateikiami, priedai</w:t>
            </w:r>
            <w:r w:rsidRPr="006B02BD">
              <w:rPr>
                <w:rFonts w:eastAsia="Calibri"/>
                <w:lang w:eastAsia="lt-LT"/>
              </w:rPr>
              <w:t>.</w:t>
            </w:r>
          </w:p>
        </w:tc>
      </w:tr>
      <w:tr w:rsidR="00B41913" w:rsidRPr="008B168C" w14:paraId="31C64C92" w14:textId="77777777" w:rsidTr="001C4966">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451"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1C4966">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451"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536A4353" w14:textId="7DF4569D" w:rsidR="00062C76" w:rsidRPr="00062C76" w:rsidRDefault="00062C76" w:rsidP="00062C76">
            <w:pPr>
              <w:jc w:val="both"/>
              <w:rPr>
                <w:rFonts w:ascii="Times New Roman" w:hAnsi="Times New Roman" w:cs="Times New Roman"/>
              </w:rPr>
            </w:pPr>
            <w:r w:rsidRPr="00062C76">
              <w:rPr>
                <w:rFonts w:ascii="Times New Roman" w:hAnsi="Times New Roman" w:cs="Times New Roman"/>
              </w:rPr>
              <w:t>2.10. pagal poreikį galimos M2 arba M3 klasės transporto priemonės. Įsigyjamos tikslinės transporto priemonės gali būti varomos elektra ar vandeniliu, biodujomis, pagamintomis iš Europos Parlamento ir Tarybos direktyvos (ES) 2018/2001 (RED II) reikalavimus atitinkančių žaliavų, arba hibridinės. Biodujomis, pagamintomis iš Europos Parlamento ir Tarybos direktyvos (ES) 2018/2001 (RED II) reikalavimus atitinkančių žaliavų, varomos arba hibridinės (elektra / benzinas, elektra / dyzelinas) transporto priemonės turi būti ne žemesnio nei EURO VI-E standarto, kuris reglamentuoja teršalų išmetimą iš sunkiųjų transporto priemonių. Šis reikalavimas turi būti įrašytas transporto priemonių pirkimo dokumentuose, paslaugų įsigijimo ir kituose dokumentuose;</w:t>
            </w:r>
          </w:p>
          <w:p w14:paraId="2EA59860" w14:textId="55616AD7" w:rsidR="00062C76" w:rsidRPr="00062C76" w:rsidRDefault="00062C76" w:rsidP="00062C76">
            <w:pPr>
              <w:jc w:val="both"/>
              <w:rPr>
                <w:rFonts w:ascii="Times New Roman" w:hAnsi="Times New Roman" w:cs="Times New Roman"/>
              </w:rPr>
            </w:pPr>
            <w:r w:rsidRPr="00062C76">
              <w:rPr>
                <w:rFonts w:ascii="Times New Roman" w:hAnsi="Times New Roman" w:cs="Times New Roman"/>
              </w:rPr>
              <w:t>2.11. M kategorijos kelių transporto priemonių atveju 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p w14:paraId="23453360" w14:textId="37A90782"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062C76">
              <w:rPr>
                <w:rFonts w:ascii="Times New Roman" w:hAnsi="Times New Roman" w:cs="Times New Roman"/>
              </w:rPr>
              <w:t>2</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lastRenderedPageBreak/>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1C4966">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451"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1C4966">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451"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1C4966">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451"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1C4966">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451" w:type="dxa"/>
            <w:gridSpan w:val="6"/>
            <w:shd w:val="clear" w:color="auto" w:fill="auto"/>
          </w:tcPr>
          <w:p w14:paraId="21802096" w14:textId="3C33244F" w:rsidR="00642EDA" w:rsidRDefault="006F5760" w:rsidP="000446C4">
            <w:pPr>
              <w:jc w:val="both"/>
              <w:rPr>
                <w:rFonts w:ascii="Times New Roman" w:hAnsi="Times New Roman" w:cs="Times New Roman"/>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 xml:space="preserve">-01-03 </w:t>
            </w:r>
            <w:r w:rsidR="00642EDA">
              <w:rPr>
                <w:rFonts w:ascii="Times New Roman" w:hAnsi="Times New Roman" w:cs="Times New Roman"/>
                <w:iCs/>
              </w:rPr>
              <w:t xml:space="preserve">veiklos įgyvendinimo pabaiga: </w:t>
            </w:r>
            <w:r w:rsidR="00642EDA" w:rsidRPr="004E483D">
              <w:rPr>
                <w:rFonts w:ascii="Times New Roman" w:hAnsi="Times New Roman" w:cs="Times New Roman"/>
                <w:iCs/>
              </w:rPr>
              <w:t>202</w:t>
            </w:r>
            <w:r w:rsidR="008C1318">
              <w:rPr>
                <w:rFonts w:ascii="Times New Roman" w:hAnsi="Times New Roman" w:cs="Times New Roman"/>
                <w:iCs/>
              </w:rPr>
              <w:t>6</w:t>
            </w:r>
            <w:r w:rsidR="00642EDA" w:rsidRPr="004E483D">
              <w:rPr>
                <w:rFonts w:ascii="Times New Roman" w:hAnsi="Times New Roman" w:cs="Times New Roman"/>
                <w:iCs/>
              </w:rPr>
              <w:t xml:space="preserve"> m. I</w:t>
            </w:r>
            <w:r w:rsidR="008C1318">
              <w:rPr>
                <w:rFonts w:ascii="Times New Roman" w:hAnsi="Times New Roman" w:cs="Times New Roman"/>
                <w:iCs/>
              </w:rPr>
              <w:t>II</w:t>
            </w:r>
            <w:r w:rsidR="00642EDA" w:rsidRPr="004E483D">
              <w:rPr>
                <w:rFonts w:ascii="Times New Roman" w:hAnsi="Times New Roman" w:cs="Times New Roman"/>
                <w:iCs/>
              </w:rPr>
              <w:t xml:space="preserve"> </w:t>
            </w:r>
            <w:proofErr w:type="spellStart"/>
            <w:r w:rsidR="00642EDA" w:rsidRPr="004E483D">
              <w:rPr>
                <w:rFonts w:ascii="Times New Roman" w:hAnsi="Times New Roman" w:cs="Times New Roman"/>
                <w:iCs/>
              </w:rPr>
              <w:t>ketv</w:t>
            </w:r>
            <w:proofErr w:type="spellEnd"/>
            <w:r w:rsidR="00642EDA" w:rsidRPr="00F90CA5">
              <w:rPr>
                <w:rFonts w:ascii="Times New Roman" w:hAnsi="Times New Roman" w:cs="Times New Roman"/>
                <w:iCs/>
              </w:rPr>
              <w:t>.</w:t>
            </w:r>
          </w:p>
          <w:p w14:paraId="60612A1C" w14:textId="77777777" w:rsidR="00F90CA5" w:rsidRDefault="00F90CA5" w:rsidP="000446C4">
            <w:pPr>
              <w:jc w:val="both"/>
              <w:rPr>
                <w:rFonts w:ascii="Times New Roman" w:hAnsi="Times New Roman" w:cs="Times New Roman"/>
              </w:rPr>
            </w:pPr>
          </w:p>
          <w:p w14:paraId="6FC66BD9" w14:textId="381FFB3A" w:rsidR="00F90CA5" w:rsidRDefault="006F5760" w:rsidP="000446C4">
            <w:pPr>
              <w:jc w:val="both"/>
              <w:rPr>
                <w:rFonts w:ascii="Times New Roman" w:hAnsi="Times New Roman" w:cs="Times New Roman"/>
                <w:iCs/>
              </w:rPr>
            </w:pPr>
            <w:r w:rsidRPr="00F47476">
              <w:rPr>
                <w:rFonts w:ascii="Times New Roman" w:eastAsia="Times New Roman" w:hAnsi="Times New Roman" w:cs="Times New Roman"/>
              </w:rPr>
              <w:t>12-003-03-01-23-(RE)-29-(LT029-01-03-01)</w:t>
            </w:r>
            <w:r>
              <w:rPr>
                <w:rFonts w:ascii="Times New Roman" w:eastAsia="Times New Roman" w:hAnsi="Times New Roman" w:cs="Times New Roman"/>
              </w:rPr>
              <w:t>-02-05</w:t>
            </w:r>
            <w:r w:rsidR="00131BAD">
              <w:rPr>
                <w:rFonts w:ascii="Times New Roman" w:eastAsia="Times New Roman" w:hAnsi="Times New Roman" w:cs="Times New Roman"/>
              </w:rPr>
              <w:t xml:space="preserve"> </w:t>
            </w:r>
            <w:r w:rsidR="00F90CA5">
              <w:rPr>
                <w:rFonts w:ascii="Times New Roman" w:hAnsi="Times New Roman" w:cs="Times New Roman"/>
                <w:iCs/>
              </w:rPr>
              <w:t xml:space="preserve">veiklos įgyvendinimo pabaiga: </w:t>
            </w:r>
            <w:r w:rsidR="00F90CA5" w:rsidRPr="004E483D">
              <w:rPr>
                <w:rFonts w:ascii="Times New Roman" w:hAnsi="Times New Roman" w:cs="Times New Roman"/>
                <w:iCs/>
              </w:rPr>
              <w:t xml:space="preserve">2026 m. I </w:t>
            </w:r>
            <w:proofErr w:type="spellStart"/>
            <w:r w:rsidR="00F90CA5" w:rsidRPr="004E483D">
              <w:rPr>
                <w:rFonts w:ascii="Times New Roman" w:hAnsi="Times New Roman" w:cs="Times New Roman"/>
                <w:iCs/>
              </w:rPr>
              <w:t>ketv</w:t>
            </w:r>
            <w:proofErr w:type="spellEnd"/>
            <w:r w:rsidR="00F90CA5" w:rsidRPr="004E483D">
              <w:rPr>
                <w:rFonts w:ascii="Times New Roman" w:hAnsi="Times New Roman" w:cs="Times New Roman"/>
                <w:iCs/>
              </w:rPr>
              <w:t>.</w:t>
            </w:r>
          </w:p>
          <w:p w14:paraId="517A7AE1" w14:textId="77777777" w:rsidR="00131BAD" w:rsidRDefault="00131BAD" w:rsidP="000446C4">
            <w:pPr>
              <w:jc w:val="both"/>
              <w:rPr>
                <w:rFonts w:ascii="Times New Roman" w:hAnsi="Times New Roman" w:cs="Times New Roman"/>
                <w:iCs/>
              </w:rPr>
            </w:pPr>
          </w:p>
          <w:p w14:paraId="731F3BED" w14:textId="7A29E8BE" w:rsidR="00131BAD" w:rsidRPr="000446C4" w:rsidRDefault="00131BAD" w:rsidP="000446C4">
            <w:pPr>
              <w:jc w:val="both"/>
              <w:rPr>
                <w:rFonts w:ascii="Times New Roman" w:hAnsi="Times New Roman" w:cs="Times New Roman"/>
              </w:rPr>
            </w:pPr>
          </w:p>
        </w:tc>
      </w:tr>
      <w:tr w:rsidR="000446C4" w:rsidRPr="008B168C" w14:paraId="31C64CA7" w14:textId="77777777" w:rsidTr="001C4966">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451"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1C4966">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451"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1C4966">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451"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1C4966">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451"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1C4966">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451"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1C4966">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451"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1C4966">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451"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1C4966">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451"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1C4966">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451"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1C4966">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640"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811"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1C4966">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640"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1" w:type="dxa"/>
            <w:gridSpan w:val="4"/>
            <w:shd w:val="clear" w:color="auto" w:fill="auto"/>
          </w:tcPr>
          <w:p w14:paraId="42958D25" w14:textId="0CF67EC0" w:rsidR="000446C4" w:rsidRPr="009C094C" w:rsidRDefault="00602347"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602347"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602347"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602347"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602347"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602347"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602347"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602347"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5D80D35E"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lastRenderedPageBreak/>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5D63A654" w14:textId="67C1FBEB" w:rsidR="00E20D60" w:rsidRDefault="007D2659" w:rsidP="000C79DA">
            <w:pPr>
              <w:jc w:val="both"/>
              <w:rPr>
                <w:rFonts w:ascii="Times New Roman" w:hAnsi="Times New Roman" w:cs="Times New Roman"/>
              </w:rPr>
            </w:pPr>
            <w:r>
              <w:rPr>
                <w:rFonts w:ascii="Times New Roman" w:hAnsi="Times New Roman" w:cs="Times New Roman"/>
              </w:rPr>
              <w:t xml:space="preserve">8. </w:t>
            </w:r>
            <w:r w:rsidR="00F83BE6" w:rsidRPr="00F83BE6">
              <w:rPr>
                <w:rFonts w:ascii="Times New Roman" w:hAnsi="Times New Roman" w:cs="Times New Roman"/>
              </w:rPr>
              <w:t>konsultacijų su Neįgaliųjų reikalų departamentu prie Socialinės apsaugos ir darbo ministerijos dėl planuojamų įgyvendinti techninių sprendinių ir inžinerinių priemonių ir gautas rekomendacijas patvirtinantis dokumentas, jeigu jis yra gautas iki projekto įgyvendinimo plano pateikimo Administruojančiajai institucijai dienos;</w:t>
            </w:r>
          </w:p>
          <w:p w14:paraId="4C53DAA2" w14:textId="36A72A3F" w:rsidR="00D75E7E" w:rsidRDefault="00E20D60" w:rsidP="000C79DA">
            <w:pPr>
              <w:jc w:val="both"/>
              <w:rPr>
                <w:rFonts w:ascii="Times New Roman" w:hAnsi="Times New Roman" w:cs="Times New Roman"/>
              </w:rPr>
            </w:pPr>
            <w:r>
              <w:rPr>
                <w:rFonts w:ascii="Times New Roman" w:hAnsi="Times New Roman" w:cs="Times New Roman"/>
              </w:rPr>
              <w:t xml:space="preserve">9.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1C4966">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640"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1"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602347"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602347"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1C4966">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640"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1"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1C4966">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640"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811"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602347"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6005F5E3" w:rsidR="00CA6F1D" w:rsidRDefault="004E483D" w:rsidP="00CA6F1D">
            <w:pPr>
              <w:jc w:val="both"/>
              <w:rPr>
                <w:rFonts w:ascii="Times New Roman" w:hAnsi="Times New Roman" w:cs="Times New Roman"/>
              </w:rPr>
            </w:pPr>
            <w:r>
              <w:rPr>
                <w:rFonts w:ascii="Times New Roman" w:hAnsi="Times New Roman" w:cs="Times New Roman"/>
              </w:rPr>
              <w:t>Utenos</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5F34EB9A" w14:textId="64592E56" w:rsidR="00F83BE6" w:rsidRDefault="00602347" w:rsidP="00CA6F1D">
            <w:pPr>
              <w:jc w:val="both"/>
              <w:rPr>
                <w:rFonts w:ascii="Times New Roman" w:hAnsi="Times New Roman" w:cs="Times New Roman"/>
              </w:rPr>
            </w:pPr>
            <w:hyperlink r:id="rId25" w:history="1">
              <w:r w:rsidR="008C1318" w:rsidRPr="00D15277">
                <w:rPr>
                  <w:rStyle w:val="Hyperlink"/>
                  <w:rFonts w:ascii="Times New Roman" w:hAnsi="Times New Roman" w:cs="Times New Roman"/>
                </w:rPr>
                <w:t>https://www.e-tar.lt/portal/lt/legalAct/579ce010a1fd11ed8df094f359a60216/asr</w:t>
              </w:r>
            </w:hyperlink>
            <w:r w:rsidR="008C1318">
              <w:rPr>
                <w:rFonts w:ascii="Times New Roman" w:hAnsi="Times New Roman" w:cs="Times New Roman"/>
              </w:rPr>
              <w:t xml:space="preserve"> </w:t>
            </w:r>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602347"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1C4966">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640"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811"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1C4966">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640"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811"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966815">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B7E7B2" w14:textId="77777777" w:rsidR="0018418D" w:rsidRDefault="0018418D" w:rsidP="00213DCB">
      <w:pPr>
        <w:spacing w:after="0" w:line="240" w:lineRule="auto"/>
      </w:pPr>
      <w:r>
        <w:separator/>
      </w:r>
    </w:p>
  </w:endnote>
  <w:endnote w:type="continuationSeparator" w:id="0">
    <w:p w14:paraId="0B49F654" w14:textId="77777777" w:rsidR="0018418D" w:rsidRDefault="0018418D" w:rsidP="00213DCB">
      <w:pPr>
        <w:spacing w:after="0" w:line="240" w:lineRule="auto"/>
      </w:pPr>
      <w:r>
        <w:continuationSeparator/>
      </w:r>
    </w:p>
  </w:endnote>
  <w:endnote w:type="continuationNotice" w:id="1">
    <w:p w14:paraId="353EF494" w14:textId="77777777" w:rsidR="0018418D" w:rsidRDefault="001841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0266D" w14:textId="77777777" w:rsidR="0018418D" w:rsidRDefault="0018418D" w:rsidP="00213DCB">
      <w:pPr>
        <w:spacing w:after="0" w:line="240" w:lineRule="auto"/>
      </w:pPr>
      <w:r>
        <w:separator/>
      </w:r>
    </w:p>
  </w:footnote>
  <w:footnote w:type="continuationSeparator" w:id="0">
    <w:p w14:paraId="174B6C7D" w14:textId="77777777" w:rsidR="0018418D" w:rsidRDefault="0018418D" w:rsidP="00213DCB">
      <w:pPr>
        <w:spacing w:after="0" w:line="240" w:lineRule="auto"/>
      </w:pPr>
      <w:r>
        <w:continuationSeparator/>
      </w:r>
    </w:p>
  </w:footnote>
  <w:footnote w:type="continuationNotice" w:id="1">
    <w:p w14:paraId="312E869B" w14:textId="77777777" w:rsidR="0018418D" w:rsidRDefault="0018418D">
      <w:pPr>
        <w:spacing w:after="0" w:line="240" w:lineRule="auto"/>
      </w:pPr>
    </w:p>
  </w:footnote>
  <w:footnote w:id="2">
    <w:p w14:paraId="2EC18A26" w14:textId="3C63DD4F" w:rsidR="00CB0AAE" w:rsidRDefault="00CB0AAE">
      <w:pPr>
        <w:pStyle w:val="FootnoteText"/>
      </w:pPr>
      <w:r>
        <w:rPr>
          <w:rStyle w:val="FootnoteReference"/>
        </w:rPr>
        <w:footnoteRef/>
      </w:r>
      <w:r>
        <w:t xml:space="preserve"> </w:t>
      </w:r>
      <w:r w:rsidR="007979CC">
        <w:t xml:space="preserve">Patvirtintas </w:t>
      </w:r>
      <w:r w:rsidR="00524486">
        <w:t>Utenos</w:t>
      </w:r>
      <w:r w:rsidR="00B52847">
        <w:t xml:space="preserve"> regiono plėtros tarybos 2023 m. </w:t>
      </w:r>
      <w:r w:rsidR="00524486">
        <w:t>sausio</w:t>
      </w:r>
      <w:r w:rsidR="00B52847">
        <w:t xml:space="preserve"> </w:t>
      </w:r>
      <w:r w:rsidR="00524486">
        <w:t>30</w:t>
      </w:r>
      <w:r w:rsidR="00B52847">
        <w:t xml:space="preserve"> d. sprendimu Nr. </w:t>
      </w:r>
      <w:r w:rsidR="00524486">
        <w:t xml:space="preserve">KS(T)-4 </w:t>
      </w:r>
      <w:r w:rsidR="00C54C63">
        <w:t xml:space="preserve"> </w:t>
      </w:r>
      <w:r w:rsidR="000E0ABF">
        <w:t xml:space="preserve">„Dėl 2022–2030 m. </w:t>
      </w:r>
      <w:r w:rsidR="00524486">
        <w:t>Utenos</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A472274E"/>
    <w:lvl w:ilvl="0">
      <w:start w:val="4"/>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58431435">
    <w:abstractNumId w:val="10"/>
  </w:num>
  <w:num w:numId="2" w16cid:durableId="567771043">
    <w:abstractNumId w:val="14"/>
  </w:num>
  <w:num w:numId="3" w16cid:durableId="1212770525">
    <w:abstractNumId w:val="4"/>
  </w:num>
  <w:num w:numId="4" w16cid:durableId="1106848715">
    <w:abstractNumId w:val="0"/>
  </w:num>
  <w:num w:numId="5" w16cid:durableId="1911041811">
    <w:abstractNumId w:val="11"/>
  </w:num>
  <w:num w:numId="6" w16cid:durableId="560334615">
    <w:abstractNumId w:val="19"/>
  </w:num>
  <w:num w:numId="7" w16cid:durableId="2021882743">
    <w:abstractNumId w:val="8"/>
  </w:num>
  <w:num w:numId="8" w16cid:durableId="20935653">
    <w:abstractNumId w:val="6"/>
  </w:num>
  <w:num w:numId="9" w16cid:durableId="1676688415">
    <w:abstractNumId w:val="7"/>
  </w:num>
  <w:num w:numId="10" w16cid:durableId="111678902">
    <w:abstractNumId w:val="21"/>
  </w:num>
  <w:num w:numId="11" w16cid:durableId="1798329098">
    <w:abstractNumId w:val="12"/>
  </w:num>
  <w:num w:numId="12" w16cid:durableId="713698774">
    <w:abstractNumId w:val="15"/>
  </w:num>
  <w:num w:numId="13" w16cid:durableId="1602833765">
    <w:abstractNumId w:val="21"/>
    <w:lvlOverride w:ilvl="0"/>
    <w:lvlOverride w:ilvl="1">
      <w:startOverride w:val="2"/>
    </w:lvlOverride>
    <w:lvlOverride w:ilvl="2"/>
    <w:lvlOverride w:ilvl="3"/>
    <w:lvlOverride w:ilvl="4"/>
    <w:lvlOverride w:ilvl="5"/>
    <w:lvlOverride w:ilvl="6"/>
    <w:lvlOverride w:ilvl="7"/>
    <w:lvlOverride w:ilvl="8"/>
  </w:num>
  <w:num w:numId="14" w16cid:durableId="1111826333">
    <w:abstractNumId w:val="18"/>
  </w:num>
  <w:num w:numId="15" w16cid:durableId="639193878">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902063099">
    <w:abstractNumId w:val="21"/>
  </w:num>
  <w:num w:numId="17" w16cid:durableId="905995071">
    <w:abstractNumId w:val="21"/>
  </w:num>
  <w:num w:numId="18" w16cid:durableId="1215313403">
    <w:abstractNumId w:val="21"/>
  </w:num>
  <w:num w:numId="19" w16cid:durableId="42876686">
    <w:abstractNumId w:val="21"/>
  </w:num>
  <w:num w:numId="20" w16cid:durableId="75520423">
    <w:abstractNumId w:val="21"/>
  </w:num>
  <w:num w:numId="21" w16cid:durableId="1979140096">
    <w:abstractNumId w:val="21"/>
  </w:num>
  <w:num w:numId="22" w16cid:durableId="1783573373">
    <w:abstractNumId w:val="17"/>
  </w:num>
  <w:num w:numId="23" w16cid:durableId="1284576240">
    <w:abstractNumId w:val="5"/>
  </w:num>
  <w:num w:numId="24" w16cid:durableId="1377466698">
    <w:abstractNumId w:val="9"/>
  </w:num>
  <w:num w:numId="25" w16cid:durableId="274824937">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377710124">
    <w:abstractNumId w:val="20"/>
  </w:num>
  <w:num w:numId="27" w16cid:durableId="1757482007">
    <w:abstractNumId w:val="3"/>
  </w:num>
  <w:num w:numId="28" w16cid:durableId="670792840">
    <w:abstractNumId w:val="1"/>
  </w:num>
  <w:num w:numId="29" w16cid:durableId="169588892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5447244">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06CA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69ED"/>
    <w:rsid w:val="00047431"/>
    <w:rsid w:val="0004747B"/>
    <w:rsid w:val="00047B79"/>
    <w:rsid w:val="00047E4C"/>
    <w:rsid w:val="00050112"/>
    <w:rsid w:val="00050215"/>
    <w:rsid w:val="00053A24"/>
    <w:rsid w:val="000545EB"/>
    <w:rsid w:val="00056965"/>
    <w:rsid w:val="000579BE"/>
    <w:rsid w:val="0005FC15"/>
    <w:rsid w:val="00060A91"/>
    <w:rsid w:val="00062C76"/>
    <w:rsid w:val="0006356E"/>
    <w:rsid w:val="00063685"/>
    <w:rsid w:val="00063B04"/>
    <w:rsid w:val="00065F8C"/>
    <w:rsid w:val="00066F03"/>
    <w:rsid w:val="00066FA4"/>
    <w:rsid w:val="00067059"/>
    <w:rsid w:val="000707C8"/>
    <w:rsid w:val="000707D3"/>
    <w:rsid w:val="000718C3"/>
    <w:rsid w:val="00072562"/>
    <w:rsid w:val="00072881"/>
    <w:rsid w:val="00072DAB"/>
    <w:rsid w:val="00073ADE"/>
    <w:rsid w:val="0007583C"/>
    <w:rsid w:val="000772F0"/>
    <w:rsid w:val="00077EEB"/>
    <w:rsid w:val="00081148"/>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3AE"/>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6297"/>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0DBC"/>
    <w:rsid w:val="000F143C"/>
    <w:rsid w:val="000F259E"/>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1181C"/>
    <w:rsid w:val="001219D2"/>
    <w:rsid w:val="00124BEC"/>
    <w:rsid w:val="00124C82"/>
    <w:rsid w:val="001263AB"/>
    <w:rsid w:val="001302E6"/>
    <w:rsid w:val="00130EE5"/>
    <w:rsid w:val="00131318"/>
    <w:rsid w:val="00131BAD"/>
    <w:rsid w:val="001321D5"/>
    <w:rsid w:val="00135DC6"/>
    <w:rsid w:val="001371D0"/>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3E00"/>
    <w:rsid w:val="00175392"/>
    <w:rsid w:val="00177388"/>
    <w:rsid w:val="00181140"/>
    <w:rsid w:val="00181B7B"/>
    <w:rsid w:val="00181C19"/>
    <w:rsid w:val="00181E22"/>
    <w:rsid w:val="00182BD9"/>
    <w:rsid w:val="00182F21"/>
    <w:rsid w:val="0018418D"/>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66"/>
    <w:rsid w:val="001C497B"/>
    <w:rsid w:val="001C4BCD"/>
    <w:rsid w:val="001C5230"/>
    <w:rsid w:val="001C64ED"/>
    <w:rsid w:val="001C7627"/>
    <w:rsid w:val="001D023B"/>
    <w:rsid w:val="001D108C"/>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45"/>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53C0"/>
    <w:rsid w:val="00225D82"/>
    <w:rsid w:val="00226100"/>
    <w:rsid w:val="00227AED"/>
    <w:rsid w:val="002316C8"/>
    <w:rsid w:val="00233087"/>
    <w:rsid w:val="00234760"/>
    <w:rsid w:val="00236325"/>
    <w:rsid w:val="00237FE8"/>
    <w:rsid w:val="00241AAD"/>
    <w:rsid w:val="002426A0"/>
    <w:rsid w:val="00243187"/>
    <w:rsid w:val="00243C1F"/>
    <w:rsid w:val="00244167"/>
    <w:rsid w:val="00244F72"/>
    <w:rsid w:val="002469A5"/>
    <w:rsid w:val="00247A62"/>
    <w:rsid w:val="00254C6A"/>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6FAB"/>
    <w:rsid w:val="00297B35"/>
    <w:rsid w:val="002A3847"/>
    <w:rsid w:val="002A510F"/>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5A3D"/>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3CA4"/>
    <w:rsid w:val="003243AA"/>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527"/>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451"/>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12D6"/>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07727"/>
    <w:rsid w:val="00410B95"/>
    <w:rsid w:val="00411B48"/>
    <w:rsid w:val="0041222B"/>
    <w:rsid w:val="00412339"/>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1EA7"/>
    <w:rsid w:val="00453808"/>
    <w:rsid w:val="00453C87"/>
    <w:rsid w:val="0045579F"/>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0E6B"/>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1367"/>
    <w:rsid w:val="004D248D"/>
    <w:rsid w:val="004D3FC2"/>
    <w:rsid w:val="004D42A7"/>
    <w:rsid w:val="004D43A0"/>
    <w:rsid w:val="004D51AD"/>
    <w:rsid w:val="004D5CAA"/>
    <w:rsid w:val="004D61B5"/>
    <w:rsid w:val="004D695C"/>
    <w:rsid w:val="004E483D"/>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77E"/>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48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4013"/>
    <w:rsid w:val="00565033"/>
    <w:rsid w:val="005653F9"/>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A7C57"/>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347"/>
    <w:rsid w:val="00602E48"/>
    <w:rsid w:val="00606666"/>
    <w:rsid w:val="00606F71"/>
    <w:rsid w:val="0060767A"/>
    <w:rsid w:val="00610D09"/>
    <w:rsid w:val="006127E4"/>
    <w:rsid w:val="006144AA"/>
    <w:rsid w:val="006151A7"/>
    <w:rsid w:val="00617014"/>
    <w:rsid w:val="00617DF9"/>
    <w:rsid w:val="00620DEB"/>
    <w:rsid w:val="006214D9"/>
    <w:rsid w:val="00622700"/>
    <w:rsid w:val="00622BE7"/>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3FEE"/>
    <w:rsid w:val="00656256"/>
    <w:rsid w:val="00657BF0"/>
    <w:rsid w:val="00657E67"/>
    <w:rsid w:val="006600DE"/>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6C2C"/>
    <w:rsid w:val="006874CB"/>
    <w:rsid w:val="00690B9E"/>
    <w:rsid w:val="00692865"/>
    <w:rsid w:val="006A00FF"/>
    <w:rsid w:val="006A1058"/>
    <w:rsid w:val="006A2DBF"/>
    <w:rsid w:val="006A2E0D"/>
    <w:rsid w:val="006A47F9"/>
    <w:rsid w:val="006B02B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F06CD"/>
    <w:rsid w:val="006F0B78"/>
    <w:rsid w:val="006F0BC2"/>
    <w:rsid w:val="006F1C16"/>
    <w:rsid w:val="006F24F6"/>
    <w:rsid w:val="006F2AF7"/>
    <w:rsid w:val="006F5760"/>
    <w:rsid w:val="006F6005"/>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060E"/>
    <w:rsid w:val="00731A2A"/>
    <w:rsid w:val="00732239"/>
    <w:rsid w:val="00732F4F"/>
    <w:rsid w:val="00732F7C"/>
    <w:rsid w:val="0073377E"/>
    <w:rsid w:val="0073384C"/>
    <w:rsid w:val="00734C63"/>
    <w:rsid w:val="00734D07"/>
    <w:rsid w:val="007363A8"/>
    <w:rsid w:val="0074016E"/>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565"/>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339"/>
    <w:rsid w:val="007F5CFB"/>
    <w:rsid w:val="0080381E"/>
    <w:rsid w:val="00804035"/>
    <w:rsid w:val="00804092"/>
    <w:rsid w:val="00804AE2"/>
    <w:rsid w:val="00805CFA"/>
    <w:rsid w:val="008071B6"/>
    <w:rsid w:val="00810106"/>
    <w:rsid w:val="00810DAB"/>
    <w:rsid w:val="0081258E"/>
    <w:rsid w:val="00813080"/>
    <w:rsid w:val="00815926"/>
    <w:rsid w:val="00815989"/>
    <w:rsid w:val="00816450"/>
    <w:rsid w:val="00816EC2"/>
    <w:rsid w:val="00817581"/>
    <w:rsid w:val="00817D04"/>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7CC"/>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5D7C"/>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7F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1318"/>
    <w:rsid w:val="008C26E5"/>
    <w:rsid w:val="008C2F6A"/>
    <w:rsid w:val="008C363F"/>
    <w:rsid w:val="008C4A2B"/>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3EAC"/>
    <w:rsid w:val="009346E0"/>
    <w:rsid w:val="00934745"/>
    <w:rsid w:val="00935D22"/>
    <w:rsid w:val="00937F8D"/>
    <w:rsid w:val="00940379"/>
    <w:rsid w:val="00940FFB"/>
    <w:rsid w:val="00941F4F"/>
    <w:rsid w:val="009420E9"/>
    <w:rsid w:val="009422F6"/>
    <w:rsid w:val="00942DD6"/>
    <w:rsid w:val="00943314"/>
    <w:rsid w:val="009435A1"/>
    <w:rsid w:val="00943CFB"/>
    <w:rsid w:val="009446DF"/>
    <w:rsid w:val="0094685E"/>
    <w:rsid w:val="00952E09"/>
    <w:rsid w:val="00953EF0"/>
    <w:rsid w:val="0095471C"/>
    <w:rsid w:val="00955102"/>
    <w:rsid w:val="00956267"/>
    <w:rsid w:val="009605E8"/>
    <w:rsid w:val="00960ECE"/>
    <w:rsid w:val="00961255"/>
    <w:rsid w:val="00961396"/>
    <w:rsid w:val="00961C0A"/>
    <w:rsid w:val="00962A9D"/>
    <w:rsid w:val="0096329A"/>
    <w:rsid w:val="00966389"/>
    <w:rsid w:val="0096659E"/>
    <w:rsid w:val="00966815"/>
    <w:rsid w:val="00970896"/>
    <w:rsid w:val="0097242D"/>
    <w:rsid w:val="00972A45"/>
    <w:rsid w:val="00972C98"/>
    <w:rsid w:val="00972E17"/>
    <w:rsid w:val="00973308"/>
    <w:rsid w:val="009755E6"/>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2C3"/>
    <w:rsid w:val="009A4936"/>
    <w:rsid w:val="009A52E8"/>
    <w:rsid w:val="009B1DDE"/>
    <w:rsid w:val="009B2049"/>
    <w:rsid w:val="009B2594"/>
    <w:rsid w:val="009B41E0"/>
    <w:rsid w:val="009B436F"/>
    <w:rsid w:val="009B46A3"/>
    <w:rsid w:val="009B5561"/>
    <w:rsid w:val="009B5D6F"/>
    <w:rsid w:val="009B5E7F"/>
    <w:rsid w:val="009B714C"/>
    <w:rsid w:val="009B73BC"/>
    <w:rsid w:val="009C038F"/>
    <w:rsid w:val="009C089C"/>
    <w:rsid w:val="009C094C"/>
    <w:rsid w:val="009C13B7"/>
    <w:rsid w:val="009C218E"/>
    <w:rsid w:val="009C361D"/>
    <w:rsid w:val="009C4241"/>
    <w:rsid w:val="009C4AB2"/>
    <w:rsid w:val="009C5210"/>
    <w:rsid w:val="009C6525"/>
    <w:rsid w:val="009C674C"/>
    <w:rsid w:val="009C6BC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45F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B4B"/>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7691F"/>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2F1"/>
    <w:rsid w:val="00A97C35"/>
    <w:rsid w:val="00A97F0E"/>
    <w:rsid w:val="00AA113B"/>
    <w:rsid w:val="00AA11C5"/>
    <w:rsid w:val="00AA2A69"/>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3D21"/>
    <w:rsid w:val="00AF4DDE"/>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75A"/>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04A4"/>
    <w:rsid w:val="00BB1A8D"/>
    <w:rsid w:val="00BB27C5"/>
    <w:rsid w:val="00BB3CD5"/>
    <w:rsid w:val="00BB3EDB"/>
    <w:rsid w:val="00BB4DA4"/>
    <w:rsid w:val="00BB627B"/>
    <w:rsid w:val="00BB66B6"/>
    <w:rsid w:val="00BB67BF"/>
    <w:rsid w:val="00BB69A1"/>
    <w:rsid w:val="00BB6D3D"/>
    <w:rsid w:val="00BC1270"/>
    <w:rsid w:val="00BC1845"/>
    <w:rsid w:val="00BC309A"/>
    <w:rsid w:val="00BC3C1E"/>
    <w:rsid w:val="00BC4C0B"/>
    <w:rsid w:val="00BC5D01"/>
    <w:rsid w:val="00BC69DC"/>
    <w:rsid w:val="00BC702D"/>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0570D"/>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47CE0"/>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13F2"/>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38A"/>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0214"/>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20B"/>
    <w:rsid w:val="00D325BF"/>
    <w:rsid w:val="00D32747"/>
    <w:rsid w:val="00D32C98"/>
    <w:rsid w:val="00D337E9"/>
    <w:rsid w:val="00D33A41"/>
    <w:rsid w:val="00D33CC2"/>
    <w:rsid w:val="00D344F5"/>
    <w:rsid w:val="00D35453"/>
    <w:rsid w:val="00D366DA"/>
    <w:rsid w:val="00D37B80"/>
    <w:rsid w:val="00D40AE7"/>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1F76"/>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38CB"/>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A7E5F"/>
    <w:rsid w:val="00DB09B7"/>
    <w:rsid w:val="00DB7158"/>
    <w:rsid w:val="00DC04FB"/>
    <w:rsid w:val="00DC0ADF"/>
    <w:rsid w:val="00DC1663"/>
    <w:rsid w:val="00DC1839"/>
    <w:rsid w:val="00DC437A"/>
    <w:rsid w:val="00DC457B"/>
    <w:rsid w:val="00DC4A83"/>
    <w:rsid w:val="00DC6631"/>
    <w:rsid w:val="00DC6EDF"/>
    <w:rsid w:val="00DC7931"/>
    <w:rsid w:val="00DC7F21"/>
    <w:rsid w:val="00DD0658"/>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0D60"/>
    <w:rsid w:val="00E2147E"/>
    <w:rsid w:val="00E21C3E"/>
    <w:rsid w:val="00E22D2E"/>
    <w:rsid w:val="00E23DC5"/>
    <w:rsid w:val="00E278EC"/>
    <w:rsid w:val="00E27991"/>
    <w:rsid w:val="00E31364"/>
    <w:rsid w:val="00E321E5"/>
    <w:rsid w:val="00E37450"/>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6C3"/>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51D"/>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476"/>
    <w:rsid w:val="00F47541"/>
    <w:rsid w:val="00F50CED"/>
    <w:rsid w:val="00F52F19"/>
    <w:rsid w:val="00F54418"/>
    <w:rsid w:val="00F54BDA"/>
    <w:rsid w:val="00F57938"/>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77BBD"/>
    <w:rsid w:val="00F809FC"/>
    <w:rsid w:val="00F82DC2"/>
    <w:rsid w:val="00F83BE6"/>
    <w:rsid w:val="00F87E19"/>
    <w:rsid w:val="00F90CA5"/>
    <w:rsid w:val="00F91D74"/>
    <w:rsid w:val="00F9272F"/>
    <w:rsid w:val="00F93B44"/>
    <w:rsid w:val="00F958B5"/>
    <w:rsid w:val="00F96A41"/>
    <w:rsid w:val="00F96C32"/>
    <w:rsid w:val="00FA33E9"/>
    <w:rsid w:val="00FA6DBF"/>
    <w:rsid w:val="00FA7BCD"/>
    <w:rsid w:val="00FB23FA"/>
    <w:rsid w:val="00FB3F79"/>
    <w:rsid w:val="00FB4D6E"/>
    <w:rsid w:val="00FB78C4"/>
    <w:rsid w:val="00FB7C7B"/>
    <w:rsid w:val="00FC07A6"/>
    <w:rsid w:val="00FC1D4E"/>
    <w:rsid w:val="00FC20CF"/>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819"/>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579ce010a1fd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579ce010a1fd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77388"/>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670DE"/>
    <w:rsid w:val="007A1E62"/>
    <w:rsid w:val="007D36F7"/>
    <w:rsid w:val="00803552"/>
    <w:rsid w:val="00804DF7"/>
    <w:rsid w:val="00857481"/>
    <w:rsid w:val="008D1F47"/>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3220B"/>
    <w:rsid w:val="00D431B8"/>
    <w:rsid w:val="00D874F0"/>
    <w:rsid w:val="00DD4385"/>
    <w:rsid w:val="00DF0263"/>
    <w:rsid w:val="00E24E0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9BB32-0667-4C3D-B81D-126114F11823}"/>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35FCD76E-9D27-4E9B-94F8-7D9C186A7C62}"/>
</file>

<file path=docProps/app.xml><?xml version="1.0" encoding="utf-8"?>
<Properties xmlns="http://schemas.openxmlformats.org/officeDocument/2006/extended-properties" xmlns:vt="http://schemas.openxmlformats.org/officeDocument/2006/docPropsVTypes">
  <Template>Normal</Template>
  <TotalTime>3</TotalTime>
  <Pages>18</Pages>
  <Words>28483</Words>
  <Characters>16236</Characters>
  <Application>Microsoft Office Word</Application>
  <DocSecurity>0</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29-003-P</dc:title>
  <dc:subject/>
  <dc:creator>Zita  Markevičienė</dc:creator>
  <cp:keywords/>
  <dc:description/>
  <cp:lastModifiedBy>Irma Marozienė</cp:lastModifiedBy>
  <cp:revision>5</cp:revision>
  <dcterms:created xsi:type="dcterms:W3CDTF">2024-05-16T16:22:00Z</dcterms:created>
  <dcterms:modified xsi:type="dcterms:W3CDTF">2024-05-17T11:05:00Z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vt:lpwstr>
  </property>
  <property fmtid="{D5CDD505-2E9C-101B-9397-08002B2CF9AE}" pid="6" name="ContentTypeId">
    <vt:lpwstr>0x01010085772C3215B6614FB6DE0E33B8FFBAB8</vt:lpwstr>
  </property>
  <property fmtid="{D5CDD505-2E9C-101B-9397-08002B2CF9AE}" pid="7" name="DmsPermissionsUsers">
    <vt:lpwstr>753;#Irma Marozienė;#120;#Ričardas Šokaitis</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