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01CB2" w14:textId="77777777" w:rsidR="0036662A" w:rsidRPr="00017566" w:rsidRDefault="0036662A" w:rsidP="0036662A">
      <w:pPr>
        <w:jc w:val="center"/>
        <w:rPr>
          <w:b/>
          <w:bCs/>
        </w:rPr>
      </w:pPr>
      <w:r w:rsidRPr="00017566">
        <w:rPr>
          <w:b/>
          <w:bCs/>
        </w:rPr>
        <w:t xml:space="preserve">LIETUVOS RESPUBLIKOS </w:t>
      </w:r>
      <w:r w:rsidR="00AA30C9" w:rsidRPr="00017566">
        <w:rPr>
          <w:b/>
          <w:bCs/>
        </w:rPr>
        <w:t>EKONOMIKOS IR INOVACIJŲ</w:t>
      </w:r>
      <w:r w:rsidRPr="00017566">
        <w:rPr>
          <w:b/>
          <w:bCs/>
        </w:rPr>
        <w:t xml:space="preserve"> MINISTERIJA</w:t>
      </w:r>
    </w:p>
    <w:p w14:paraId="4BE9C383" w14:textId="77777777" w:rsidR="0036662A" w:rsidRPr="00017566" w:rsidRDefault="0036662A" w:rsidP="0036662A">
      <w:pPr>
        <w:jc w:val="center"/>
        <w:rPr>
          <w:b/>
          <w:bCs/>
        </w:rPr>
      </w:pPr>
    </w:p>
    <w:p w14:paraId="61FE5354" w14:textId="292EF3D3" w:rsidR="0036662A" w:rsidRPr="00017566" w:rsidRDefault="0036662A" w:rsidP="00DD3616">
      <w:pPr>
        <w:jc w:val="center"/>
        <w:rPr>
          <w:b/>
          <w:bCs/>
        </w:rPr>
      </w:pPr>
      <w:r w:rsidRPr="00017566">
        <w:rPr>
          <w:b/>
          <w:bCs/>
        </w:rPr>
        <w:t xml:space="preserve">SOCIALINIŲ IR EKONOMINIŲ PARTNERIŲ PATEIKTŲ PASTABŲ IR PASIŪLYMŲ DĖL </w:t>
      </w:r>
      <w:r w:rsidR="00BF5514" w:rsidRPr="006A24D6">
        <w:rPr>
          <w:b/>
          <w:caps/>
          <w:szCs w:val="24"/>
        </w:rPr>
        <w:t>2022–2030 METŲ EKONOMIKOS TRANSFORMACIJOS IR KONKURENCINGUMO PLĖTROS PROGRAMOS PAŽANGOS PRIEMONĖS NR. 05-001-01-05-05 „SKATINTI ĮMONES SKAITMENIZUOTIS“</w:t>
      </w:r>
      <w:r w:rsidR="00BF5514">
        <w:rPr>
          <w:b/>
          <w:caps/>
          <w:szCs w:val="24"/>
        </w:rPr>
        <w:t xml:space="preserve"> veiklos „</w:t>
      </w:r>
      <w:r w:rsidR="00BF5514" w:rsidRPr="00C61753">
        <w:rPr>
          <w:b/>
          <w:caps/>
          <w:szCs w:val="24"/>
        </w:rPr>
        <w:t>Skatinti skaitmeninių kompetencijų plėtrą didelio našumo skaičiavimo, dirbtinio intelekto, kibernetinio saugumo taikymo srityse</w:t>
      </w:r>
      <w:r w:rsidR="00BF5514">
        <w:rPr>
          <w:b/>
          <w:caps/>
          <w:szCs w:val="24"/>
        </w:rPr>
        <w:t xml:space="preserve">“ poveiklės „LABAI MAŽŲ, MAŽŲ IR VIDUTINIŲ ĮMONIŲ (TOLIAU </w:t>
      </w:r>
      <w:r w:rsidR="00BF5514" w:rsidRPr="000F3CD9">
        <w:rPr>
          <w:b/>
          <w:bCs/>
          <w:szCs w:val="24"/>
        </w:rPr>
        <w:t>–</w:t>
      </w:r>
      <w:r w:rsidR="00BF5514">
        <w:rPr>
          <w:b/>
          <w:caps/>
          <w:szCs w:val="24"/>
        </w:rPr>
        <w:t xml:space="preserve"> mvį) </w:t>
      </w:r>
      <w:r w:rsidR="00BF5514" w:rsidRPr="00C61753">
        <w:rPr>
          <w:b/>
          <w:caps/>
          <w:szCs w:val="24"/>
        </w:rPr>
        <w:t>čekių skaitmeninimo ir technologijų paslaugoms įsigyti finansavimas</w:t>
      </w:r>
      <w:r w:rsidR="00BF5514">
        <w:rPr>
          <w:b/>
          <w:caps/>
          <w:szCs w:val="24"/>
        </w:rPr>
        <w:t>“ (sostinės regionas) ir poveiklės „</w:t>
      </w:r>
      <w:r w:rsidR="00BF5514" w:rsidRPr="00C61753">
        <w:rPr>
          <w:b/>
          <w:caps/>
          <w:szCs w:val="24"/>
        </w:rPr>
        <w:t>MVĮ čekių skaitmeninimo ir technologijų paslaugoms įsigyti finansavimas</w:t>
      </w:r>
      <w:r w:rsidR="00BF5514">
        <w:rPr>
          <w:b/>
          <w:caps/>
          <w:szCs w:val="24"/>
        </w:rPr>
        <w:t>“ (</w:t>
      </w:r>
      <w:r w:rsidR="00BF5514" w:rsidRPr="008C62CA">
        <w:rPr>
          <w:b/>
          <w:bCs/>
          <w:iCs/>
          <w:szCs w:val="24"/>
        </w:rPr>
        <w:t>VIDURIO IR VAKARŲ LIETUVOS REGIONAS)</w:t>
      </w:r>
      <w:r w:rsidR="00BF5514">
        <w:rPr>
          <w:b/>
          <w:bCs/>
          <w:iCs/>
          <w:szCs w:val="24"/>
        </w:rPr>
        <w:t xml:space="preserve"> </w:t>
      </w:r>
      <w:r w:rsidR="00BF5514">
        <w:rPr>
          <w:b/>
          <w:bCs/>
          <w:szCs w:val="24"/>
        </w:rPr>
        <w:t>PROJEKTŲ FINANSAVIMO SĄLYGŲ</w:t>
      </w:r>
      <w:r w:rsidR="00053ACF">
        <w:rPr>
          <w:szCs w:val="24"/>
        </w:rPr>
        <w:t xml:space="preserve"> </w:t>
      </w:r>
      <w:r w:rsidR="00BF5514">
        <w:rPr>
          <w:b/>
          <w:bCs/>
          <w:caps/>
        </w:rPr>
        <w:t>aprašo projekto</w:t>
      </w:r>
      <w:r w:rsidR="00A323E0" w:rsidRPr="00DD3616">
        <w:rPr>
          <w:b/>
          <w:bCs/>
          <w:caps/>
        </w:rPr>
        <w:t xml:space="preserve"> DERINIMAS</w:t>
      </w:r>
    </w:p>
    <w:p w14:paraId="74CF9614" w14:textId="77777777" w:rsidR="0036662A" w:rsidRPr="00017566" w:rsidRDefault="0036662A" w:rsidP="0036662A">
      <w:pPr>
        <w:rPr>
          <w:b/>
          <w:bCs/>
        </w:rPr>
      </w:pPr>
    </w:p>
    <w:tbl>
      <w:tblPr>
        <w:tblStyle w:val="TableGrid"/>
        <w:tblW w:w="14742" w:type="dxa"/>
        <w:tblInd w:w="108" w:type="dxa"/>
        <w:tblLook w:val="04A0" w:firstRow="1" w:lastRow="0" w:firstColumn="1" w:lastColumn="0" w:noHBand="0" w:noVBand="1"/>
      </w:tblPr>
      <w:tblGrid>
        <w:gridCol w:w="6804"/>
        <w:gridCol w:w="7938"/>
      </w:tblGrid>
      <w:tr w:rsidR="0036662A" w:rsidRPr="00947246" w14:paraId="186CD4CE" w14:textId="77777777" w:rsidTr="00335D39">
        <w:tc>
          <w:tcPr>
            <w:tcW w:w="6804" w:type="dxa"/>
          </w:tcPr>
          <w:p w14:paraId="5ABD71ED" w14:textId="53972006" w:rsidR="0036662A" w:rsidRPr="00947246" w:rsidRDefault="0036662A" w:rsidP="00335D39">
            <w:pPr>
              <w:rPr>
                <w:b/>
                <w:szCs w:val="24"/>
              </w:rPr>
            </w:pPr>
            <w:r w:rsidRPr="00947246">
              <w:rPr>
                <w:b/>
                <w:szCs w:val="24"/>
              </w:rPr>
              <w:t xml:space="preserve">Paskelbimo </w:t>
            </w:r>
            <w:r w:rsidRPr="00947246">
              <w:rPr>
                <w:szCs w:val="24"/>
              </w:rPr>
              <w:t>www.</w:t>
            </w:r>
            <w:r w:rsidR="005B09A6" w:rsidRPr="00947246">
              <w:rPr>
                <w:szCs w:val="24"/>
              </w:rPr>
              <w:t xml:space="preserve"> 2021.esinvesticijos.lt </w:t>
            </w:r>
            <w:r w:rsidRPr="00947246">
              <w:rPr>
                <w:b/>
                <w:szCs w:val="24"/>
              </w:rPr>
              <w:t>data</w:t>
            </w:r>
          </w:p>
        </w:tc>
        <w:tc>
          <w:tcPr>
            <w:tcW w:w="7938" w:type="dxa"/>
          </w:tcPr>
          <w:p w14:paraId="30C88A42" w14:textId="0DD64DFE" w:rsidR="0036662A" w:rsidRPr="00947246" w:rsidRDefault="00F65129" w:rsidP="00335D39">
            <w:pPr>
              <w:rPr>
                <w:szCs w:val="24"/>
              </w:rPr>
            </w:pPr>
            <w:r w:rsidRPr="00947246">
              <w:rPr>
                <w:szCs w:val="24"/>
              </w:rPr>
              <w:t>202</w:t>
            </w:r>
            <w:r w:rsidR="00BF5514" w:rsidRPr="00947246">
              <w:rPr>
                <w:szCs w:val="24"/>
                <w:lang w:val="en-US"/>
              </w:rPr>
              <w:t>4</w:t>
            </w:r>
            <w:r w:rsidRPr="00947246">
              <w:rPr>
                <w:szCs w:val="24"/>
              </w:rPr>
              <w:t>-0</w:t>
            </w:r>
            <w:r w:rsidR="00BF5514" w:rsidRPr="00947246">
              <w:rPr>
                <w:szCs w:val="24"/>
              </w:rPr>
              <w:t>6</w:t>
            </w:r>
            <w:r w:rsidRPr="00947246">
              <w:rPr>
                <w:szCs w:val="24"/>
              </w:rPr>
              <w:t>-</w:t>
            </w:r>
            <w:r w:rsidR="00703E9B" w:rsidRPr="00947246">
              <w:rPr>
                <w:szCs w:val="24"/>
              </w:rPr>
              <w:t>05</w:t>
            </w:r>
          </w:p>
        </w:tc>
      </w:tr>
      <w:tr w:rsidR="0036662A" w:rsidRPr="00947246" w14:paraId="0B887416" w14:textId="77777777" w:rsidTr="00335D39">
        <w:tc>
          <w:tcPr>
            <w:tcW w:w="6804" w:type="dxa"/>
          </w:tcPr>
          <w:p w14:paraId="222C999C" w14:textId="77777777" w:rsidR="0036662A" w:rsidRPr="00947246" w:rsidRDefault="0036662A" w:rsidP="00335D39">
            <w:pPr>
              <w:rPr>
                <w:b/>
                <w:szCs w:val="24"/>
              </w:rPr>
            </w:pPr>
            <w:r w:rsidRPr="00947246">
              <w:rPr>
                <w:b/>
                <w:szCs w:val="24"/>
              </w:rPr>
              <w:t>Ar gauta pastabų ir (ar) pasiūlymų?</w:t>
            </w:r>
          </w:p>
          <w:p w14:paraId="240DC70C" w14:textId="77777777" w:rsidR="0036662A" w:rsidRPr="00947246" w:rsidRDefault="0036662A" w:rsidP="0036662A">
            <w:pPr>
              <w:rPr>
                <w:i/>
                <w:szCs w:val="24"/>
              </w:rPr>
            </w:pPr>
            <w:r w:rsidRPr="00947246">
              <w:rPr>
                <w:i/>
                <w:szCs w:val="24"/>
              </w:rPr>
              <w:t>Jei pastabų ir pasiūlymų nebuvo gauta, į kitą klausimą neatsakoma ir žemiau esanti lentelė nepildoma</w:t>
            </w:r>
          </w:p>
        </w:tc>
        <w:tc>
          <w:tcPr>
            <w:tcW w:w="7938" w:type="dxa"/>
          </w:tcPr>
          <w:p w14:paraId="3F99D4E0" w14:textId="289C4488" w:rsidR="0036662A" w:rsidRPr="00947246" w:rsidRDefault="005B09A6" w:rsidP="0070221E">
            <w:pPr>
              <w:rPr>
                <w:szCs w:val="24"/>
              </w:rPr>
            </w:pPr>
            <w:r w:rsidRPr="00947246">
              <w:rPr>
                <w:szCs w:val="24"/>
              </w:rPr>
              <w:fldChar w:fldCharType="begin">
                <w:ffData>
                  <w:name w:val="Check1"/>
                  <w:enabled/>
                  <w:calcOnExit w:val="0"/>
                  <w:checkBox>
                    <w:sizeAuto/>
                    <w:default w:val="1"/>
                  </w:checkBox>
                </w:ffData>
              </w:fldChar>
            </w:r>
            <w:bookmarkStart w:id="0" w:name="Check1"/>
            <w:r w:rsidRPr="00947246">
              <w:rPr>
                <w:szCs w:val="24"/>
              </w:rPr>
              <w:instrText xml:space="preserve"> FORMCHECKBOX </w:instrText>
            </w:r>
            <w:r w:rsidR="00E91E33">
              <w:rPr>
                <w:szCs w:val="24"/>
              </w:rPr>
            </w:r>
            <w:r w:rsidR="00E91E33">
              <w:rPr>
                <w:szCs w:val="24"/>
              </w:rPr>
              <w:fldChar w:fldCharType="separate"/>
            </w:r>
            <w:r w:rsidRPr="00947246">
              <w:rPr>
                <w:szCs w:val="24"/>
              </w:rPr>
              <w:fldChar w:fldCharType="end"/>
            </w:r>
            <w:bookmarkEnd w:id="0"/>
            <w:r w:rsidR="0036662A" w:rsidRPr="00947246">
              <w:rPr>
                <w:szCs w:val="24"/>
              </w:rPr>
              <w:t xml:space="preserve"> Taip </w:t>
            </w:r>
            <w:sdt>
              <w:sdtPr>
                <w:rPr>
                  <w:szCs w:val="24"/>
                </w:rPr>
                <w:id w:val="164368749"/>
              </w:sdtPr>
              <w:sdtEndPr/>
              <w:sdtContent>
                <w:r w:rsidRPr="00947246">
                  <w:rPr>
                    <w:b/>
                    <w:szCs w:val="24"/>
                  </w:rPr>
                  <w:fldChar w:fldCharType="begin">
                    <w:ffData>
                      <w:name w:val=""/>
                      <w:enabled/>
                      <w:calcOnExit w:val="0"/>
                      <w:checkBox>
                        <w:sizeAuto/>
                        <w:default w:val="0"/>
                      </w:checkBox>
                    </w:ffData>
                  </w:fldChar>
                </w:r>
                <w:r w:rsidRPr="00947246">
                  <w:rPr>
                    <w:b/>
                    <w:szCs w:val="24"/>
                  </w:rPr>
                  <w:instrText xml:space="preserve"> FORMCHECKBOX </w:instrText>
                </w:r>
                <w:r w:rsidR="00E91E33">
                  <w:rPr>
                    <w:b/>
                    <w:szCs w:val="24"/>
                  </w:rPr>
                </w:r>
                <w:r w:rsidR="00E91E33">
                  <w:rPr>
                    <w:b/>
                    <w:szCs w:val="24"/>
                  </w:rPr>
                  <w:fldChar w:fldCharType="separate"/>
                </w:r>
                <w:r w:rsidRPr="00947246">
                  <w:rPr>
                    <w:b/>
                    <w:szCs w:val="24"/>
                  </w:rPr>
                  <w:fldChar w:fldCharType="end"/>
                </w:r>
                <w:r w:rsidR="0036662A" w:rsidRPr="00947246">
                  <w:rPr>
                    <w:szCs w:val="24"/>
                  </w:rPr>
                  <w:t xml:space="preserve"> </w:t>
                </w:r>
              </w:sdtContent>
            </w:sdt>
            <w:r w:rsidR="0036662A" w:rsidRPr="00947246">
              <w:rPr>
                <w:szCs w:val="24"/>
              </w:rPr>
              <w:t xml:space="preserve"> Ne</w:t>
            </w:r>
            <w:r w:rsidR="0036662A" w:rsidRPr="00947246">
              <w:rPr>
                <w:szCs w:val="24"/>
              </w:rPr>
              <w:fldChar w:fldCharType="begin"/>
            </w:r>
            <w:r w:rsidR="0036662A" w:rsidRPr="00947246">
              <w:rPr>
                <w:szCs w:val="24"/>
              </w:rPr>
              <w:instrText xml:space="preserve"> FILLIN   \* MERGEFORMAT </w:instrText>
            </w:r>
            <w:r w:rsidR="0036662A" w:rsidRPr="00947246">
              <w:rPr>
                <w:szCs w:val="24"/>
              </w:rPr>
              <w:fldChar w:fldCharType="end"/>
            </w:r>
          </w:p>
        </w:tc>
      </w:tr>
      <w:tr w:rsidR="0036662A" w:rsidRPr="00947246" w14:paraId="48ACEA96" w14:textId="77777777" w:rsidTr="00335D39">
        <w:tc>
          <w:tcPr>
            <w:tcW w:w="6804" w:type="dxa"/>
          </w:tcPr>
          <w:p w14:paraId="0CDA3A40" w14:textId="77777777" w:rsidR="0036662A" w:rsidRPr="00947246" w:rsidRDefault="0036662A" w:rsidP="00335D39">
            <w:pPr>
              <w:rPr>
                <w:b/>
                <w:szCs w:val="24"/>
              </w:rPr>
            </w:pPr>
            <w:r w:rsidRPr="00947246">
              <w:rPr>
                <w:b/>
                <w:szCs w:val="24"/>
              </w:rPr>
              <w:t>Ar į visas pastabas ir (ar) pasiūlymus atsižvelgta?</w:t>
            </w:r>
          </w:p>
          <w:p w14:paraId="2AF95CF4" w14:textId="77777777" w:rsidR="0036662A" w:rsidRPr="00947246" w:rsidRDefault="0036662A" w:rsidP="00335D39">
            <w:pPr>
              <w:rPr>
                <w:i/>
                <w:szCs w:val="24"/>
              </w:rPr>
            </w:pPr>
            <w:r w:rsidRPr="00947246">
              <w:rPr>
                <w:i/>
                <w:szCs w:val="24"/>
              </w:rPr>
              <w:t>Jei atsižvelgta į visas pastabas ir (ar) pasiūlymus, žemiau esanti lentelė nepildoma</w:t>
            </w:r>
          </w:p>
        </w:tc>
        <w:tc>
          <w:tcPr>
            <w:tcW w:w="7938" w:type="dxa"/>
          </w:tcPr>
          <w:p w14:paraId="3B6FBCDB" w14:textId="307BF88D" w:rsidR="0036662A" w:rsidRPr="00947246" w:rsidRDefault="00E91E33" w:rsidP="0070221E">
            <w:pPr>
              <w:rPr>
                <w:szCs w:val="24"/>
              </w:rPr>
            </w:pPr>
            <w:sdt>
              <w:sdtPr>
                <w:rPr>
                  <w:szCs w:val="24"/>
                </w:rPr>
                <w:id w:val="-338542889"/>
              </w:sdtPr>
              <w:sdtEndPr/>
              <w:sdtContent>
                <w:r w:rsidR="00053ACF" w:rsidRPr="00947246">
                  <w:rPr>
                    <w:szCs w:val="24"/>
                  </w:rPr>
                  <w:fldChar w:fldCharType="begin">
                    <w:ffData>
                      <w:name w:val=""/>
                      <w:enabled w:val="0"/>
                      <w:calcOnExit w:val="0"/>
                      <w:checkBox>
                        <w:sizeAuto/>
                        <w:default w:val="0"/>
                      </w:checkBox>
                    </w:ffData>
                  </w:fldChar>
                </w:r>
                <w:r w:rsidR="00053ACF" w:rsidRPr="00947246">
                  <w:rPr>
                    <w:szCs w:val="24"/>
                  </w:rPr>
                  <w:instrText xml:space="preserve"> FORMCHECKBOX </w:instrText>
                </w:r>
                <w:r>
                  <w:rPr>
                    <w:szCs w:val="24"/>
                  </w:rPr>
                </w:r>
                <w:r>
                  <w:rPr>
                    <w:szCs w:val="24"/>
                  </w:rPr>
                  <w:fldChar w:fldCharType="separate"/>
                </w:r>
                <w:r w:rsidR="00053ACF" w:rsidRPr="00947246">
                  <w:rPr>
                    <w:szCs w:val="24"/>
                  </w:rPr>
                  <w:fldChar w:fldCharType="end"/>
                </w:r>
              </w:sdtContent>
            </w:sdt>
            <w:r w:rsidR="00015942" w:rsidRPr="00947246">
              <w:rPr>
                <w:szCs w:val="24"/>
              </w:rPr>
              <w:t xml:space="preserve"> </w:t>
            </w:r>
            <w:r w:rsidR="0036662A" w:rsidRPr="00947246">
              <w:rPr>
                <w:szCs w:val="24"/>
              </w:rPr>
              <w:t xml:space="preserve">Taip </w:t>
            </w:r>
            <w:sdt>
              <w:sdtPr>
                <w:rPr>
                  <w:szCs w:val="24"/>
                </w:rPr>
                <w:id w:val="-1548671976"/>
              </w:sdtPr>
              <w:sdtEndPr/>
              <w:sdtContent>
                <w:r w:rsidR="003A2203">
                  <w:rPr>
                    <w:szCs w:val="24"/>
                  </w:rPr>
                  <w:fldChar w:fldCharType="begin">
                    <w:ffData>
                      <w:name w:val=""/>
                      <w:enabled w:val="0"/>
                      <w:calcOnExit w:val="0"/>
                      <w:checkBox>
                        <w:sizeAuto/>
                        <w:default w:val="1"/>
                      </w:checkBox>
                    </w:ffData>
                  </w:fldChar>
                </w:r>
                <w:r w:rsidR="003A2203">
                  <w:rPr>
                    <w:szCs w:val="24"/>
                  </w:rPr>
                  <w:instrText xml:space="preserve"> FORMCHECKBOX </w:instrText>
                </w:r>
                <w:r>
                  <w:rPr>
                    <w:szCs w:val="24"/>
                  </w:rPr>
                </w:r>
                <w:r>
                  <w:rPr>
                    <w:szCs w:val="24"/>
                  </w:rPr>
                  <w:fldChar w:fldCharType="separate"/>
                </w:r>
                <w:r w:rsidR="003A2203">
                  <w:rPr>
                    <w:szCs w:val="24"/>
                  </w:rPr>
                  <w:fldChar w:fldCharType="end"/>
                </w:r>
              </w:sdtContent>
            </w:sdt>
            <w:r w:rsidR="0036662A" w:rsidRPr="00947246">
              <w:rPr>
                <w:szCs w:val="24"/>
              </w:rPr>
              <w:t xml:space="preserve"> Ne </w:t>
            </w:r>
          </w:p>
        </w:tc>
      </w:tr>
    </w:tbl>
    <w:p w14:paraId="2CB04BD8" w14:textId="77777777" w:rsidR="0036662A" w:rsidRPr="00017566" w:rsidRDefault="0036662A" w:rsidP="0036662A">
      <w:pPr>
        <w:rPr>
          <w:szCs w:val="24"/>
        </w:rPr>
      </w:pPr>
    </w:p>
    <w:tbl>
      <w:tblPr>
        <w:tblStyle w:val="TableGrid"/>
        <w:tblW w:w="14771" w:type="dxa"/>
        <w:tblLayout w:type="fixed"/>
        <w:tblLook w:val="04A0" w:firstRow="1" w:lastRow="0" w:firstColumn="1" w:lastColumn="0" w:noHBand="0" w:noVBand="1"/>
      </w:tblPr>
      <w:tblGrid>
        <w:gridCol w:w="567"/>
        <w:gridCol w:w="1560"/>
        <w:gridCol w:w="7541"/>
        <w:gridCol w:w="5103"/>
      </w:tblGrid>
      <w:tr w:rsidR="0036662A" w:rsidRPr="00DA7383" w14:paraId="6A4E2F17" w14:textId="77777777" w:rsidTr="00B14CA7">
        <w:tc>
          <w:tcPr>
            <w:tcW w:w="567" w:type="dxa"/>
          </w:tcPr>
          <w:p w14:paraId="025A5EA9" w14:textId="77777777" w:rsidR="0036662A" w:rsidRPr="00DA7383" w:rsidRDefault="0036662A" w:rsidP="00020CB7">
            <w:pPr>
              <w:jc w:val="center"/>
              <w:rPr>
                <w:b/>
                <w:szCs w:val="24"/>
              </w:rPr>
            </w:pPr>
            <w:r w:rsidRPr="00DA7383">
              <w:rPr>
                <w:b/>
                <w:szCs w:val="24"/>
              </w:rPr>
              <w:t>Nr.</w:t>
            </w:r>
          </w:p>
        </w:tc>
        <w:tc>
          <w:tcPr>
            <w:tcW w:w="1560" w:type="dxa"/>
          </w:tcPr>
          <w:p w14:paraId="5FEE2DEB" w14:textId="7E1EC09F" w:rsidR="0036662A" w:rsidRPr="00DA7383" w:rsidRDefault="0036662A" w:rsidP="00020CB7">
            <w:pPr>
              <w:jc w:val="center"/>
              <w:rPr>
                <w:b/>
                <w:szCs w:val="24"/>
              </w:rPr>
            </w:pPr>
            <w:r w:rsidRPr="00DA7383">
              <w:rPr>
                <w:b/>
                <w:szCs w:val="24"/>
              </w:rPr>
              <w:t>Institucija</w:t>
            </w:r>
            <w:r w:rsidR="00601513" w:rsidRPr="00DA7383">
              <w:rPr>
                <w:b/>
                <w:szCs w:val="24"/>
              </w:rPr>
              <w:t>, organizacija</w:t>
            </w:r>
          </w:p>
        </w:tc>
        <w:tc>
          <w:tcPr>
            <w:tcW w:w="7541" w:type="dxa"/>
          </w:tcPr>
          <w:p w14:paraId="4F6476E0" w14:textId="77777777" w:rsidR="0036662A" w:rsidRPr="00DA7383" w:rsidRDefault="0036662A" w:rsidP="00020CB7">
            <w:pPr>
              <w:jc w:val="center"/>
              <w:rPr>
                <w:b/>
                <w:szCs w:val="24"/>
              </w:rPr>
            </w:pPr>
            <w:r w:rsidRPr="00DA7383">
              <w:rPr>
                <w:b/>
                <w:bCs/>
                <w:szCs w:val="24"/>
              </w:rPr>
              <w:t>Pastabos ir pasiūlymai</w:t>
            </w:r>
          </w:p>
        </w:tc>
        <w:tc>
          <w:tcPr>
            <w:tcW w:w="5103" w:type="dxa"/>
          </w:tcPr>
          <w:p w14:paraId="5C314C6F" w14:textId="77777777" w:rsidR="0036662A" w:rsidRPr="00DA7383" w:rsidRDefault="0036662A" w:rsidP="00020CB7">
            <w:pPr>
              <w:jc w:val="center"/>
              <w:rPr>
                <w:b/>
                <w:szCs w:val="24"/>
              </w:rPr>
            </w:pPr>
            <w:r w:rsidRPr="00DA7383">
              <w:rPr>
                <w:b/>
                <w:bCs/>
                <w:szCs w:val="24"/>
              </w:rPr>
              <w:t>Pastabų ir pasiūlymų vertinimas ir (jei taikoma) argumentai, kodėl neatsižvelgta į pastabas ar pasiūlymus</w:t>
            </w:r>
          </w:p>
        </w:tc>
      </w:tr>
      <w:tr w:rsidR="00DA7383" w:rsidRPr="00DA7383" w14:paraId="7BC0E9A4" w14:textId="77777777" w:rsidTr="00DA7383">
        <w:trPr>
          <w:trHeight w:val="3100"/>
        </w:trPr>
        <w:tc>
          <w:tcPr>
            <w:tcW w:w="567" w:type="dxa"/>
          </w:tcPr>
          <w:p w14:paraId="1EBD869E" w14:textId="721DDCC6" w:rsidR="00DA7383" w:rsidRPr="00DA7383" w:rsidRDefault="00DA7383" w:rsidP="00CB2A30">
            <w:pPr>
              <w:jc w:val="both"/>
              <w:rPr>
                <w:bCs/>
                <w:szCs w:val="24"/>
                <w:lang w:val="en-US"/>
              </w:rPr>
            </w:pPr>
            <w:r w:rsidRPr="00DA7383">
              <w:rPr>
                <w:bCs/>
                <w:szCs w:val="24"/>
                <w:lang w:val="en-US"/>
              </w:rPr>
              <w:t>1.</w:t>
            </w:r>
          </w:p>
        </w:tc>
        <w:tc>
          <w:tcPr>
            <w:tcW w:w="1560" w:type="dxa"/>
          </w:tcPr>
          <w:p w14:paraId="67E21624" w14:textId="7EE9CF01" w:rsidR="00DA7383" w:rsidRPr="00DA7383" w:rsidRDefault="00DA7383" w:rsidP="00CB2A30">
            <w:pPr>
              <w:jc w:val="both"/>
              <w:rPr>
                <w:color w:val="808080"/>
                <w:szCs w:val="24"/>
              </w:rPr>
            </w:pPr>
            <w:r w:rsidRPr="00DA7383">
              <w:rPr>
                <w:szCs w:val="24"/>
              </w:rPr>
              <w:t>Lietuvos inžinerijos ir technologijų pramonės asociacija (LINPRA)</w:t>
            </w:r>
          </w:p>
        </w:tc>
        <w:tc>
          <w:tcPr>
            <w:tcW w:w="7541" w:type="dxa"/>
          </w:tcPr>
          <w:p w14:paraId="2CBBA9B2" w14:textId="77777777" w:rsidR="00DA7383" w:rsidRPr="00DA7383" w:rsidRDefault="00DA7383" w:rsidP="00CB2A30">
            <w:pPr>
              <w:pStyle w:val="xxmsolistparagraph"/>
              <w:spacing w:after="0" w:line="240" w:lineRule="auto"/>
              <w:ind w:left="0"/>
              <w:jc w:val="both"/>
              <w:rPr>
                <w:rFonts w:ascii="Times New Roman" w:eastAsia="Times New Roman" w:hAnsi="Times New Roman" w:cs="Times New Roman"/>
                <w:sz w:val="24"/>
                <w:szCs w:val="24"/>
              </w:rPr>
            </w:pPr>
            <w:r w:rsidRPr="00DA7383">
              <w:rPr>
                <w:rFonts w:ascii="Times New Roman" w:eastAsia="Times New Roman" w:hAnsi="Times New Roman" w:cs="Times New Roman"/>
                <w:sz w:val="24"/>
                <w:szCs w:val="24"/>
              </w:rPr>
              <w:t>Paslaugas gaunančioms MVĮ gali būti aktuali tik viena iš išvardintų paslaugų sričių (skaitmeninimo auditai, rekomendacijos arba konsultacijos), todėl siūlome nekelti reikalavimo paslaugų teikėjui privalomai turėti patirtį visose trijose paslaugų srityse.</w:t>
            </w:r>
          </w:p>
          <w:p w14:paraId="3669CBB2" w14:textId="77777777" w:rsidR="00DA7383" w:rsidRPr="00DA7383" w:rsidRDefault="00DA7383" w:rsidP="00CB2A30">
            <w:pPr>
              <w:pStyle w:val="xxmsolistparagraph"/>
              <w:spacing w:after="0" w:line="240" w:lineRule="auto"/>
              <w:ind w:left="0"/>
              <w:jc w:val="both"/>
              <w:rPr>
                <w:rFonts w:ascii="Times New Roman" w:eastAsia="Times New Roman" w:hAnsi="Times New Roman" w:cs="Times New Roman"/>
                <w:sz w:val="24"/>
                <w:szCs w:val="24"/>
              </w:rPr>
            </w:pPr>
            <w:r w:rsidRPr="00DA7383">
              <w:rPr>
                <w:rFonts w:ascii="Times New Roman" w:eastAsia="Times New Roman" w:hAnsi="Times New Roman" w:cs="Times New Roman"/>
                <w:sz w:val="24"/>
                <w:szCs w:val="24"/>
              </w:rPr>
              <w:t>Paslaugas gaunančioms MVĮ gali būti aktuali tik viena iš išvardintų technologinių sričių (dirbtinio intelekto, didelio (aukšto) našumo skaičiavimo (</w:t>
            </w:r>
            <w:proofErr w:type="spellStart"/>
            <w:r w:rsidRPr="00DA7383">
              <w:rPr>
                <w:rFonts w:ascii="Times New Roman" w:eastAsia="Times New Roman" w:hAnsi="Times New Roman" w:cs="Times New Roman"/>
                <w:sz w:val="24"/>
                <w:szCs w:val="24"/>
              </w:rPr>
              <w:t>superkompiuterijos</w:t>
            </w:r>
            <w:proofErr w:type="spellEnd"/>
            <w:r w:rsidRPr="00DA7383">
              <w:rPr>
                <w:rFonts w:ascii="Times New Roman" w:eastAsia="Times New Roman" w:hAnsi="Times New Roman" w:cs="Times New Roman"/>
                <w:sz w:val="24"/>
                <w:szCs w:val="24"/>
              </w:rPr>
              <w:t>) ir kibernetinio saugumo), todėl siūlome nekelti reikalavimo paslaugų teikėjui turėti kompetencijas ir patirtį visose trijose technologinėse srityse.</w:t>
            </w:r>
          </w:p>
          <w:p w14:paraId="13B84C70" w14:textId="77777777" w:rsidR="00DA7383" w:rsidRPr="00DA7383" w:rsidRDefault="00DA7383" w:rsidP="00CB2A30">
            <w:pPr>
              <w:pStyle w:val="xxmsolistparagraph"/>
              <w:spacing w:after="0" w:line="240" w:lineRule="auto"/>
              <w:ind w:left="0"/>
              <w:jc w:val="both"/>
              <w:rPr>
                <w:rFonts w:ascii="Times New Roman" w:eastAsia="Times New Roman" w:hAnsi="Times New Roman" w:cs="Times New Roman"/>
                <w:sz w:val="24"/>
                <w:szCs w:val="24"/>
              </w:rPr>
            </w:pPr>
            <w:r w:rsidRPr="00DA7383">
              <w:rPr>
                <w:rFonts w:ascii="Times New Roman" w:eastAsia="Times New Roman" w:hAnsi="Times New Roman" w:cs="Times New Roman"/>
                <w:sz w:val="24"/>
                <w:szCs w:val="24"/>
              </w:rPr>
              <w:t xml:space="preserve">Šiuo metu DIH (SIC – Skaitmeninių inovacijos centrų) katalogas nėra viešai prieinamas, o jame esančių </w:t>
            </w:r>
            <w:proofErr w:type="spellStart"/>
            <w:r w:rsidRPr="00DA7383">
              <w:rPr>
                <w:rFonts w:ascii="Times New Roman" w:eastAsia="Times New Roman" w:hAnsi="Times New Roman" w:cs="Times New Roman"/>
                <w:sz w:val="24"/>
                <w:szCs w:val="24"/>
              </w:rPr>
              <w:t>SIC‘ų</w:t>
            </w:r>
            <w:proofErr w:type="spellEnd"/>
            <w:r w:rsidRPr="00DA7383">
              <w:rPr>
                <w:rFonts w:ascii="Times New Roman" w:eastAsia="Times New Roman" w:hAnsi="Times New Roman" w:cs="Times New Roman"/>
                <w:sz w:val="24"/>
                <w:szCs w:val="24"/>
              </w:rPr>
              <w:t xml:space="preserve"> veikla EK nėra </w:t>
            </w:r>
            <w:proofErr w:type="spellStart"/>
            <w:r w:rsidRPr="00DA7383">
              <w:rPr>
                <w:rFonts w:ascii="Times New Roman" w:eastAsia="Times New Roman" w:hAnsi="Times New Roman" w:cs="Times New Roman"/>
                <w:sz w:val="24"/>
                <w:szCs w:val="24"/>
              </w:rPr>
              <w:t>monitorinama</w:t>
            </w:r>
            <w:proofErr w:type="spellEnd"/>
            <w:r w:rsidRPr="00DA7383">
              <w:rPr>
                <w:rFonts w:ascii="Times New Roman" w:eastAsia="Times New Roman" w:hAnsi="Times New Roman" w:cs="Times New Roman"/>
                <w:sz w:val="24"/>
                <w:szCs w:val="24"/>
              </w:rPr>
              <w:t xml:space="preserve"> (matuojama). Todėl tikslinga būtų reikalauti, kad paslaugų teikėjai būtų ne </w:t>
            </w:r>
            <w:r w:rsidRPr="00DA7383">
              <w:rPr>
                <w:rFonts w:ascii="Times New Roman" w:eastAsia="Times New Roman" w:hAnsi="Times New Roman" w:cs="Times New Roman"/>
                <w:sz w:val="24"/>
                <w:szCs w:val="24"/>
              </w:rPr>
              <w:lastRenderedPageBreak/>
              <w:t>skaitmeninių inovacijų centrai su „</w:t>
            </w:r>
            <w:proofErr w:type="spellStart"/>
            <w:r w:rsidRPr="00DA7383">
              <w:rPr>
                <w:rFonts w:ascii="Times New Roman" w:eastAsia="Times New Roman" w:hAnsi="Times New Roman" w:cs="Times New Roman"/>
                <w:sz w:val="24"/>
                <w:szCs w:val="24"/>
              </w:rPr>
              <w:t>Fully</w:t>
            </w:r>
            <w:proofErr w:type="spellEnd"/>
            <w:r w:rsidRPr="00DA7383">
              <w:rPr>
                <w:rFonts w:ascii="Times New Roman" w:eastAsia="Times New Roman" w:hAnsi="Times New Roman" w:cs="Times New Roman"/>
                <w:sz w:val="24"/>
                <w:szCs w:val="24"/>
              </w:rPr>
              <w:t xml:space="preserve"> </w:t>
            </w:r>
            <w:proofErr w:type="spellStart"/>
            <w:r w:rsidRPr="00DA7383">
              <w:rPr>
                <w:rFonts w:ascii="Times New Roman" w:eastAsia="Times New Roman" w:hAnsi="Times New Roman" w:cs="Times New Roman"/>
                <w:sz w:val="24"/>
                <w:szCs w:val="24"/>
              </w:rPr>
              <w:t>operational</w:t>
            </w:r>
            <w:proofErr w:type="spellEnd"/>
            <w:r w:rsidRPr="00DA7383">
              <w:rPr>
                <w:rFonts w:ascii="Times New Roman" w:eastAsia="Times New Roman" w:hAnsi="Times New Roman" w:cs="Times New Roman"/>
                <w:sz w:val="24"/>
                <w:szCs w:val="24"/>
              </w:rPr>
              <w:t>“ suteiktu statusus, o viešai prieinamų Europos skaitmeninių inovacijų centrų (</w:t>
            </w:r>
            <w:hyperlink r:id="rId11" w:history="1">
              <w:r w:rsidRPr="00DA7383">
                <w:rPr>
                  <w:rStyle w:val="Hyperlink"/>
                  <w:rFonts w:ascii="Times New Roman" w:eastAsia="Times New Roman" w:hAnsi="Times New Roman" w:cs="Times New Roman"/>
                  <w:sz w:val="24"/>
                  <w:szCs w:val="24"/>
                </w:rPr>
                <w:t>https://european-digital-innovation-hubs.ec.europa.eu/edih-catalogue?f%5B0%5D=country%3ALithuania</w:t>
              </w:r>
            </w:hyperlink>
            <w:r w:rsidRPr="00DA7383">
              <w:rPr>
                <w:rFonts w:ascii="Times New Roman" w:eastAsia="Times New Roman" w:hAnsi="Times New Roman" w:cs="Times New Roman"/>
                <w:sz w:val="24"/>
                <w:szCs w:val="24"/>
              </w:rPr>
              <w:t xml:space="preserve"> ) nariai.</w:t>
            </w:r>
          </w:p>
          <w:p w14:paraId="20591B8A" w14:textId="77777777" w:rsidR="00DA7383" w:rsidRPr="00DA7383" w:rsidRDefault="00DA7383" w:rsidP="00CB2A30">
            <w:pPr>
              <w:jc w:val="both"/>
              <w:rPr>
                <w:szCs w:val="24"/>
              </w:rPr>
            </w:pPr>
            <w:r w:rsidRPr="00DA7383">
              <w:rPr>
                <w:szCs w:val="24"/>
              </w:rPr>
              <w:t>Reikalavimas būti „eksploatuojančiu skaitmeninių inovacijų centrą“ yra perteklinis ir apribojantis paslaugų teikėjų dalyvavimą. Tokį atitikimą sunku paaiškinti, be to, niekur nėra viešai prieinamos informacijos, kokios organizacijos atitinka šį kriterijų. Todėl siūlome šio reikalavimo netaikyti.</w:t>
            </w:r>
          </w:p>
          <w:p w14:paraId="158226EA" w14:textId="77777777" w:rsidR="00DA7383" w:rsidRPr="00DA7383" w:rsidRDefault="00DA7383" w:rsidP="00CB2A30">
            <w:pPr>
              <w:jc w:val="both"/>
              <w:rPr>
                <w:b/>
                <w:bCs/>
                <w:szCs w:val="24"/>
              </w:rPr>
            </w:pPr>
          </w:p>
          <w:p w14:paraId="15822F1D" w14:textId="77777777" w:rsidR="00DA7383" w:rsidRPr="00DA7383" w:rsidRDefault="00DA7383" w:rsidP="00CB2A30">
            <w:pPr>
              <w:pStyle w:val="xxmsonormal"/>
              <w:jc w:val="both"/>
              <w:rPr>
                <w:rFonts w:ascii="Times New Roman" w:eastAsia="Times New Roman" w:hAnsi="Times New Roman" w:cs="Times New Roman"/>
                <w:sz w:val="24"/>
                <w:szCs w:val="24"/>
              </w:rPr>
            </w:pPr>
            <w:r w:rsidRPr="00DA7383">
              <w:rPr>
                <w:rFonts w:ascii="Times New Roman" w:eastAsia="Times New Roman" w:hAnsi="Times New Roman" w:cs="Times New Roman"/>
                <w:sz w:val="24"/>
                <w:szCs w:val="24"/>
              </w:rPr>
              <w:t>Siūloma 2.3.10 papunktį išdėstyti taip:</w:t>
            </w:r>
          </w:p>
          <w:p w14:paraId="3E5624EE" w14:textId="77777777" w:rsidR="00DA7383" w:rsidRPr="00DA7383" w:rsidRDefault="00DA7383" w:rsidP="00CB2A30">
            <w:pPr>
              <w:pStyle w:val="xxmsonormal"/>
              <w:jc w:val="both"/>
              <w:rPr>
                <w:rFonts w:ascii="Times New Roman" w:eastAsia="Times New Roman" w:hAnsi="Times New Roman" w:cs="Times New Roman"/>
                <w:sz w:val="24"/>
                <w:szCs w:val="24"/>
              </w:rPr>
            </w:pPr>
            <w:r w:rsidRPr="00DA7383">
              <w:rPr>
                <w:rFonts w:ascii="Times New Roman" w:eastAsia="Times New Roman" w:hAnsi="Times New Roman" w:cs="Times New Roman"/>
                <w:sz w:val="24"/>
                <w:szCs w:val="24"/>
              </w:rPr>
              <w:t>Paslaugos teikėjas, iš kurio MVĮ įsigys paslaugą, turi turėti pakankamai patirties, t. y. konsultacijas ir technologijų perdavimo paslaugas skaitmeninimo srityje (atlieka skaitmeninius auditus ir / arba rengia rekomendacijas dėl rezultatais grįstų skaitmeninių inovacijų diegimo plano parengimo ir / arba konsultuoja skaitmeninimo klausimais bent vienoje iš šių sričių - dirbtinio intelekto, didelio (aukšto) našumo skaičiavimo (</w:t>
            </w:r>
            <w:proofErr w:type="spellStart"/>
            <w:r w:rsidRPr="00DA7383">
              <w:rPr>
                <w:rFonts w:ascii="Times New Roman" w:eastAsia="Times New Roman" w:hAnsi="Times New Roman" w:cs="Times New Roman"/>
                <w:sz w:val="24"/>
                <w:szCs w:val="24"/>
              </w:rPr>
              <w:t>superkompiuterijos</w:t>
            </w:r>
            <w:proofErr w:type="spellEnd"/>
            <w:r w:rsidRPr="00DA7383">
              <w:rPr>
                <w:rFonts w:ascii="Times New Roman" w:eastAsia="Times New Roman" w:hAnsi="Times New Roman" w:cs="Times New Roman"/>
                <w:sz w:val="24"/>
                <w:szCs w:val="24"/>
              </w:rPr>
              <w:t>) ir kibernetinio saugumo srityse) teikia nuolat, ne trumpiau kaip 3 metus arba ne trumpiau kaip 1 metus, jei paslaugos teikėjas yra bent vieno Europos Komisijos kataloge registruoto Europos skaitmeninių inovacijų centro narys (</w:t>
            </w:r>
            <w:hyperlink r:id="rId12" w:history="1">
              <w:r w:rsidRPr="00DA7383">
                <w:rPr>
                  <w:rFonts w:ascii="Times New Roman" w:eastAsia="Times New Roman" w:hAnsi="Times New Roman" w:cs="Times New Roman"/>
                  <w:sz w:val="24"/>
                  <w:szCs w:val="24"/>
                </w:rPr>
                <w:t>https://european-digital-innovation-hubs.ec.europa.eu/edih-catalogue?f%5B0%5D=country%3ALithuania</w:t>
              </w:r>
            </w:hyperlink>
            <w:r w:rsidRPr="00DA7383">
              <w:rPr>
                <w:rFonts w:ascii="Times New Roman" w:eastAsia="Times New Roman" w:hAnsi="Times New Roman" w:cs="Times New Roman"/>
                <w:sz w:val="24"/>
                <w:szCs w:val="24"/>
              </w:rPr>
              <w:t xml:space="preserve">). </w:t>
            </w:r>
          </w:p>
          <w:p w14:paraId="774FF2F0" w14:textId="77777777" w:rsidR="00DA7383" w:rsidRDefault="00DA7383" w:rsidP="00CB2A30">
            <w:pPr>
              <w:pStyle w:val="xxmsonormal"/>
              <w:jc w:val="both"/>
              <w:rPr>
                <w:rFonts w:ascii="Times New Roman" w:eastAsia="Times New Roman" w:hAnsi="Times New Roman" w:cs="Times New Roman"/>
                <w:sz w:val="24"/>
                <w:szCs w:val="24"/>
              </w:rPr>
            </w:pPr>
            <w:r w:rsidRPr="00DA7383">
              <w:rPr>
                <w:rFonts w:ascii="Times New Roman" w:eastAsia="Times New Roman" w:hAnsi="Times New Roman" w:cs="Times New Roman"/>
                <w:sz w:val="24"/>
                <w:szCs w:val="24"/>
              </w:rPr>
              <w:t xml:space="preserve">Administruojančioji institucija paslaugos teikėjo atitiktį vertins pagal PFSA 3 priede pateiktą informaciją. </w:t>
            </w:r>
          </w:p>
          <w:p w14:paraId="7E24975B" w14:textId="77777777" w:rsidR="00443FB5" w:rsidRDefault="00443FB5" w:rsidP="00CB2A30">
            <w:pPr>
              <w:pStyle w:val="xxmsonormal"/>
              <w:jc w:val="both"/>
              <w:rPr>
                <w:rFonts w:ascii="Times New Roman" w:eastAsia="Times New Roman" w:hAnsi="Times New Roman" w:cs="Times New Roman"/>
                <w:sz w:val="24"/>
                <w:szCs w:val="24"/>
              </w:rPr>
            </w:pPr>
          </w:p>
          <w:p w14:paraId="65614BBF" w14:textId="77777777" w:rsidR="00443FB5" w:rsidRDefault="00443FB5" w:rsidP="00443FB5">
            <w:pPr>
              <w:jc w:val="both"/>
            </w:pPr>
            <w:r>
              <w:t xml:space="preserve">Taip pat norime atkreipti dėmesį jog Kibernetinio saugumo auditų ir rekomendacijų teikimo forma turėtų iš esmės skirtis nuo buvusių priemonių kaip „Pramonės </w:t>
            </w:r>
            <w:proofErr w:type="spellStart"/>
            <w:r>
              <w:t>skaimeninimas</w:t>
            </w:r>
            <w:proofErr w:type="spellEnd"/>
            <w:r>
              <w:t xml:space="preserve"> Lt“ rekomendacinės formos.</w:t>
            </w:r>
          </w:p>
          <w:p w14:paraId="0E87EF36" w14:textId="77777777" w:rsidR="00443FB5" w:rsidRDefault="00443FB5" w:rsidP="00443FB5">
            <w:pPr>
              <w:jc w:val="both"/>
            </w:pPr>
          </w:p>
          <w:p w14:paraId="67784C80" w14:textId="0FF0ABF5" w:rsidR="00443FB5" w:rsidRPr="00443FB5" w:rsidRDefault="00443FB5" w:rsidP="00443FB5">
            <w:pPr>
              <w:jc w:val="both"/>
            </w:pPr>
            <w:r>
              <w:t>Kibernetinio saugumo auditai ir rekomendacijos turėtų atitikti NIS2 (TIS2) direktyvos reikalavimus, o audito ir rekomendacijų teikimo rekomendacinę formą būtina derinti su socialiniais partneriais.</w:t>
            </w:r>
          </w:p>
        </w:tc>
        <w:tc>
          <w:tcPr>
            <w:tcW w:w="5103" w:type="dxa"/>
          </w:tcPr>
          <w:p w14:paraId="3E19B936" w14:textId="77777777" w:rsidR="00DF36FC" w:rsidRDefault="003A2203" w:rsidP="00DF36FC">
            <w:pPr>
              <w:jc w:val="both"/>
              <w:rPr>
                <w:szCs w:val="24"/>
              </w:rPr>
            </w:pPr>
            <w:r w:rsidRPr="003A2203">
              <w:rPr>
                <w:szCs w:val="24"/>
              </w:rPr>
              <w:lastRenderedPageBreak/>
              <w:t>Atsižvelgta</w:t>
            </w:r>
            <w:r w:rsidR="00DF36FC">
              <w:rPr>
                <w:szCs w:val="24"/>
              </w:rPr>
              <w:t>, patikslinta bus taip:</w:t>
            </w:r>
          </w:p>
          <w:p w14:paraId="6F69C7B1" w14:textId="6313BC77" w:rsidR="00DF36FC" w:rsidRPr="00E91E33" w:rsidRDefault="00DF36FC" w:rsidP="00E91E33">
            <w:pPr>
              <w:pStyle w:val="pf0"/>
              <w:spacing w:before="0" w:beforeAutospacing="0" w:after="0" w:afterAutospacing="0"/>
              <w:jc w:val="both"/>
            </w:pPr>
            <w:r w:rsidRPr="00E91E33">
              <w:t xml:space="preserve">Paslaugos teikėjas, iš kurio MVĮ įsigys paslaugą, turi turėti pakankamai patirties, t. y. konsultacijas ir technologijų perdavimo paslaugas skaitmeninimo srityje (atlieka skaitmeninius auditus ir / arba rengia rekomendacijas dėl rezultatais grįstų skaitmeninių inovacijų diegimo plano parengimo ir / arba konsultuoja skaitmeninimo klausimais bent vienoje iš šių sričių </w:t>
            </w:r>
            <w:r w:rsidR="00222B62" w:rsidRPr="00DA7383">
              <w:t>–</w:t>
            </w:r>
            <w:r w:rsidRPr="00E91E33">
              <w:t xml:space="preserve"> dirbtinio intelekto, didelio (aukšto) našumo skaičiavimo (</w:t>
            </w:r>
            <w:proofErr w:type="spellStart"/>
            <w:r w:rsidRPr="00E91E33">
              <w:t>superkompiuterijos</w:t>
            </w:r>
            <w:proofErr w:type="spellEnd"/>
            <w:r w:rsidRPr="00E91E33">
              <w:t xml:space="preserve">) ir kibernetinio saugumo srityse) teikia nuolat, ne trumpiau kaip 3 metus arba ne trumpiau kaip 1 </w:t>
            </w:r>
            <w:r w:rsidRPr="00E91E33">
              <w:lastRenderedPageBreak/>
              <w:t>metus, jei paslaugos teikėjas yra bent vieno Europos Komisijos kataloge registruoto Europos skaitmeninių inovacijų centro narys (</w:t>
            </w:r>
            <w:hyperlink r:id="rId13" w:history="1">
              <w:r w:rsidRPr="00E91E33">
                <w:t>https://european-digital-innovation-hubs.ec.europa.eu/edih-catalogue?f%5B0%5D=country%3ALithuania</w:t>
              </w:r>
            </w:hyperlink>
            <w:r w:rsidRPr="00E91E33">
              <w:t>). Paslaugos teikėjo patirtis turi atitikt</w:t>
            </w:r>
            <w:r w:rsidR="00E91E33">
              <w:t>i</w:t>
            </w:r>
            <w:r w:rsidRPr="00E91E33">
              <w:t xml:space="preserve"> projekte numatytos teikti paslaugos sritį.</w:t>
            </w:r>
          </w:p>
          <w:p w14:paraId="481ED1F4" w14:textId="77777777" w:rsidR="00DF36FC" w:rsidRPr="00E91E33" w:rsidRDefault="00DF36FC" w:rsidP="00E91E33">
            <w:pPr>
              <w:pStyle w:val="pf0"/>
              <w:spacing w:before="0" w:beforeAutospacing="0" w:after="0" w:afterAutospacing="0"/>
              <w:jc w:val="both"/>
            </w:pPr>
            <w:r w:rsidRPr="00E91E33">
              <w:t xml:space="preserve">Administruojančioji institucija paslaugos teikėjo atitiktį vertins pagal PFSA 3 priede pateiktą informaciją. </w:t>
            </w:r>
          </w:p>
          <w:p w14:paraId="59FBF080" w14:textId="77777777" w:rsidR="00DF36FC" w:rsidRDefault="00DF36FC" w:rsidP="00CB2A30">
            <w:pPr>
              <w:jc w:val="both"/>
              <w:rPr>
                <w:szCs w:val="24"/>
              </w:rPr>
            </w:pPr>
          </w:p>
          <w:p w14:paraId="0D1BBA26" w14:textId="0AAE5B6A" w:rsidR="00DA7383" w:rsidRPr="003A2203" w:rsidRDefault="00DA7383" w:rsidP="00CB2A30">
            <w:pPr>
              <w:jc w:val="both"/>
              <w:rPr>
                <w:szCs w:val="24"/>
              </w:rPr>
            </w:pPr>
          </w:p>
        </w:tc>
      </w:tr>
      <w:tr w:rsidR="0038693F" w:rsidRPr="00DA7383" w14:paraId="2012DD38" w14:textId="77777777" w:rsidTr="00DA7383">
        <w:trPr>
          <w:trHeight w:val="3100"/>
        </w:trPr>
        <w:tc>
          <w:tcPr>
            <w:tcW w:w="567" w:type="dxa"/>
            <w:vMerge w:val="restart"/>
          </w:tcPr>
          <w:p w14:paraId="7ABCAE71" w14:textId="7D4089A2" w:rsidR="0038693F" w:rsidRPr="00DA7383" w:rsidRDefault="0038693F" w:rsidP="00CB2A30">
            <w:pPr>
              <w:jc w:val="both"/>
              <w:rPr>
                <w:bCs/>
                <w:szCs w:val="24"/>
                <w:lang w:val="en-US"/>
              </w:rPr>
            </w:pPr>
            <w:r>
              <w:rPr>
                <w:bCs/>
                <w:szCs w:val="24"/>
                <w:lang w:val="en-US"/>
              </w:rPr>
              <w:lastRenderedPageBreak/>
              <w:t>2.</w:t>
            </w:r>
          </w:p>
        </w:tc>
        <w:tc>
          <w:tcPr>
            <w:tcW w:w="1560" w:type="dxa"/>
            <w:vMerge w:val="restart"/>
          </w:tcPr>
          <w:p w14:paraId="337D215C" w14:textId="5A1A3F03" w:rsidR="0038693F" w:rsidRPr="00DA7383" w:rsidRDefault="003A2203" w:rsidP="00CB2A30">
            <w:pPr>
              <w:jc w:val="both"/>
              <w:rPr>
                <w:szCs w:val="24"/>
              </w:rPr>
            </w:pPr>
            <w:r>
              <w:rPr>
                <w:szCs w:val="24"/>
              </w:rPr>
              <w:t>F</w:t>
            </w:r>
            <w:r w:rsidR="0038693F">
              <w:rPr>
                <w:szCs w:val="24"/>
              </w:rPr>
              <w:t>izinis asmuo</w:t>
            </w:r>
          </w:p>
        </w:tc>
        <w:tc>
          <w:tcPr>
            <w:tcW w:w="7541" w:type="dxa"/>
          </w:tcPr>
          <w:p w14:paraId="62758715" w14:textId="6ABEF6CC" w:rsidR="0038693F" w:rsidRPr="0038693F" w:rsidRDefault="0038693F" w:rsidP="0038693F">
            <w:pPr>
              <w:pStyle w:val="xxmsolistparagraph"/>
              <w:spacing w:after="0" w:line="240" w:lineRule="auto"/>
              <w:ind w:left="0"/>
              <w:jc w:val="both"/>
              <w:rPr>
                <w:rFonts w:ascii="Times New Roman" w:eastAsia="Times New Roman" w:hAnsi="Times New Roman" w:cs="Times New Roman"/>
                <w:sz w:val="24"/>
                <w:szCs w:val="20"/>
              </w:rPr>
            </w:pPr>
            <w:r w:rsidRPr="0038693F">
              <w:rPr>
                <w:rFonts w:ascii="Times New Roman" w:eastAsia="Times New Roman" w:hAnsi="Times New Roman" w:cs="Times New Roman"/>
                <w:sz w:val="24"/>
                <w:szCs w:val="20"/>
              </w:rPr>
              <w:t>Pašome, bent iki 10 000 Eur padidinti galimą maksimalią paramos sumą, kadangi reikalinga pilna paraiška, ji teik</w:t>
            </w:r>
            <w:r w:rsidR="003A2203">
              <w:rPr>
                <w:rFonts w:ascii="Times New Roman" w:eastAsia="Times New Roman" w:hAnsi="Times New Roman" w:cs="Times New Roman"/>
                <w:sz w:val="24"/>
                <w:szCs w:val="20"/>
              </w:rPr>
              <w:t>i</w:t>
            </w:r>
            <w:r w:rsidRPr="0038693F">
              <w:rPr>
                <w:rFonts w:ascii="Times New Roman" w:eastAsia="Times New Roman" w:hAnsi="Times New Roman" w:cs="Times New Roman"/>
                <w:sz w:val="24"/>
                <w:szCs w:val="20"/>
              </w:rPr>
              <w:t>ama per DMS,  o įgyvendinimas taip pat reikalauja daug dokumentų. Dėl ko administracinė našta tampa neproporcinga gaunamai paramai.</w:t>
            </w:r>
            <w:r w:rsidRPr="0038693F">
              <w:rPr>
                <w:rFonts w:ascii="Times New Roman" w:eastAsia="Times New Roman" w:hAnsi="Times New Roman" w:cs="Times New Roman"/>
                <w:sz w:val="24"/>
                <w:szCs w:val="20"/>
              </w:rPr>
              <w:br/>
            </w:r>
          </w:p>
        </w:tc>
        <w:tc>
          <w:tcPr>
            <w:tcW w:w="5103" w:type="dxa"/>
          </w:tcPr>
          <w:p w14:paraId="50A5377D" w14:textId="21CC4103" w:rsidR="003A2203" w:rsidRDefault="003A2203" w:rsidP="00CB2A30">
            <w:pPr>
              <w:jc w:val="both"/>
            </w:pPr>
            <w:r>
              <w:t>Neatsižvelgta.</w:t>
            </w:r>
          </w:p>
          <w:p w14:paraId="51CC2777" w14:textId="48A081ED" w:rsidR="0038693F" w:rsidRPr="0038693F" w:rsidRDefault="0038693F" w:rsidP="00CB2A30">
            <w:pPr>
              <w:jc w:val="both"/>
              <w:rPr>
                <w:szCs w:val="24"/>
              </w:rPr>
            </w:pPr>
            <w:r w:rsidRPr="0038693F">
              <w:rPr>
                <w:szCs w:val="24"/>
              </w:rPr>
              <w:t>Maksimali paramos suma yra nustatyta fiksuotųjų įkainių tyrimo ataskaitoje, remiantis istoriniais duomenimis.</w:t>
            </w:r>
            <w:r w:rsidR="00662199">
              <w:rPr>
                <w:szCs w:val="24"/>
              </w:rPr>
              <w:t xml:space="preserve"> Ataskaita tvirtinama Europos Komisijos kartu su Investicijų programos pakeitimais.</w:t>
            </w:r>
            <w:r w:rsidRPr="0038693F">
              <w:rPr>
                <w:szCs w:val="24"/>
              </w:rPr>
              <w:t xml:space="preserve"> Kadangi bus taikoma tęstinė atranka, taikomi fiksuotieji įkainiai, padidinti maksimalios finansavimo sumos nėra galimybių.</w:t>
            </w:r>
          </w:p>
        </w:tc>
      </w:tr>
      <w:tr w:rsidR="0038693F" w:rsidRPr="00DA7383" w14:paraId="677EFA3C" w14:textId="77777777" w:rsidTr="00DA7383">
        <w:trPr>
          <w:trHeight w:val="3100"/>
        </w:trPr>
        <w:tc>
          <w:tcPr>
            <w:tcW w:w="567" w:type="dxa"/>
            <w:vMerge/>
          </w:tcPr>
          <w:p w14:paraId="15543D5D" w14:textId="77777777" w:rsidR="0038693F" w:rsidRPr="0038693F" w:rsidRDefault="0038693F" w:rsidP="00CB2A30">
            <w:pPr>
              <w:jc w:val="both"/>
              <w:rPr>
                <w:bCs/>
                <w:szCs w:val="24"/>
              </w:rPr>
            </w:pPr>
          </w:p>
        </w:tc>
        <w:tc>
          <w:tcPr>
            <w:tcW w:w="1560" w:type="dxa"/>
            <w:vMerge/>
          </w:tcPr>
          <w:p w14:paraId="5BC2CFB5" w14:textId="77777777" w:rsidR="0038693F" w:rsidRPr="00DA7383" w:rsidRDefault="0038693F" w:rsidP="00CB2A30">
            <w:pPr>
              <w:jc w:val="both"/>
              <w:rPr>
                <w:szCs w:val="24"/>
              </w:rPr>
            </w:pPr>
          </w:p>
        </w:tc>
        <w:tc>
          <w:tcPr>
            <w:tcW w:w="7541" w:type="dxa"/>
          </w:tcPr>
          <w:p w14:paraId="1F6EA99A" w14:textId="1849BD99" w:rsidR="0038693F" w:rsidRDefault="0038693F" w:rsidP="0038693F">
            <w:pPr>
              <w:jc w:val="both"/>
            </w:pPr>
            <w:r>
              <w:t>Siūloma padidinti finansavimo intensyvumą iki 75% bent jau Vidurio ir vakarų Lietuvos regiono pareiškėjams. Be to parama siejasi – atitinka  sumanių specializacijų kryptis, tad reglamentai turėtų leisti intensyvumo padi</w:t>
            </w:r>
            <w:r w:rsidR="00E91E33">
              <w:t>di</w:t>
            </w:r>
            <w:r>
              <w:t>nimą.</w:t>
            </w:r>
          </w:p>
          <w:p w14:paraId="5BA73210" w14:textId="77777777" w:rsidR="0038693F" w:rsidRPr="0038693F" w:rsidRDefault="0038693F" w:rsidP="0038693F">
            <w:pPr>
              <w:pStyle w:val="xxmsolistparagraph"/>
              <w:spacing w:after="0" w:line="240" w:lineRule="auto"/>
              <w:ind w:left="0"/>
              <w:jc w:val="both"/>
              <w:rPr>
                <w:rFonts w:ascii="Times New Roman" w:eastAsia="Times New Roman" w:hAnsi="Times New Roman" w:cs="Times New Roman"/>
                <w:sz w:val="24"/>
                <w:szCs w:val="20"/>
              </w:rPr>
            </w:pPr>
          </w:p>
        </w:tc>
        <w:tc>
          <w:tcPr>
            <w:tcW w:w="5103" w:type="dxa"/>
          </w:tcPr>
          <w:p w14:paraId="38386B73" w14:textId="4E29119A" w:rsidR="0038693F" w:rsidRPr="003A2203" w:rsidRDefault="003A2203" w:rsidP="00CB2A30">
            <w:pPr>
              <w:jc w:val="both"/>
              <w:rPr>
                <w:szCs w:val="24"/>
              </w:rPr>
            </w:pPr>
            <w:r>
              <w:rPr>
                <w:szCs w:val="24"/>
              </w:rPr>
              <w:t xml:space="preserve">Atsižvelgta, intensyvumas VVL regione bus nustatytas iki </w:t>
            </w:r>
            <w:r w:rsidRPr="003A2203">
              <w:rPr>
                <w:szCs w:val="24"/>
              </w:rPr>
              <w:t>75 proc</w:t>
            </w:r>
            <w:r>
              <w:rPr>
                <w:szCs w:val="24"/>
              </w:rPr>
              <w:t>.</w:t>
            </w:r>
          </w:p>
        </w:tc>
      </w:tr>
    </w:tbl>
    <w:p w14:paraId="00AABEA2" w14:textId="77777777" w:rsidR="005C5ECB" w:rsidRPr="00947246" w:rsidRDefault="005C5ECB" w:rsidP="00CB2A30">
      <w:pPr>
        <w:jc w:val="both"/>
        <w:rPr>
          <w:szCs w:val="24"/>
        </w:rPr>
      </w:pPr>
    </w:p>
    <w:sectPr w:rsidR="005C5ECB" w:rsidRPr="00947246" w:rsidSect="003940F3">
      <w:headerReference w:type="default" r:id="rId14"/>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109095" w14:textId="77777777" w:rsidR="00DE09DA" w:rsidRDefault="00DE09DA" w:rsidP="003940F3">
      <w:r>
        <w:separator/>
      </w:r>
    </w:p>
  </w:endnote>
  <w:endnote w:type="continuationSeparator" w:id="0">
    <w:p w14:paraId="234BEC87" w14:textId="77777777" w:rsidR="00DE09DA" w:rsidRDefault="00DE09DA" w:rsidP="003940F3">
      <w:r>
        <w:continuationSeparator/>
      </w:r>
    </w:p>
  </w:endnote>
  <w:endnote w:type="continuationNotice" w:id="1">
    <w:p w14:paraId="33C76505" w14:textId="77777777" w:rsidR="00DE09DA" w:rsidRDefault="00DE09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4E86C9" w14:textId="77777777" w:rsidR="00DE09DA" w:rsidRDefault="00DE09DA" w:rsidP="003940F3">
      <w:r>
        <w:separator/>
      </w:r>
    </w:p>
  </w:footnote>
  <w:footnote w:type="continuationSeparator" w:id="0">
    <w:p w14:paraId="4B466D94" w14:textId="77777777" w:rsidR="00DE09DA" w:rsidRDefault="00DE09DA" w:rsidP="003940F3">
      <w:r>
        <w:continuationSeparator/>
      </w:r>
    </w:p>
  </w:footnote>
  <w:footnote w:type="continuationNotice" w:id="1">
    <w:p w14:paraId="171C1B6E" w14:textId="77777777" w:rsidR="00DE09DA" w:rsidRDefault="00DE09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3048512"/>
      <w:docPartObj>
        <w:docPartGallery w:val="Page Numbers (Top of Page)"/>
        <w:docPartUnique/>
      </w:docPartObj>
    </w:sdtPr>
    <w:sdtEndPr/>
    <w:sdtContent>
      <w:p w14:paraId="79AEDFE0" w14:textId="6B5879F1" w:rsidR="003940F3" w:rsidRDefault="003940F3">
        <w:pPr>
          <w:pStyle w:val="Header"/>
          <w:jc w:val="center"/>
        </w:pPr>
        <w:r>
          <w:fldChar w:fldCharType="begin"/>
        </w:r>
        <w:r>
          <w:instrText>PAGE   \* MERGEFORMAT</w:instrText>
        </w:r>
        <w:r>
          <w:fldChar w:fldCharType="separate"/>
        </w:r>
        <w:r>
          <w:t>2</w:t>
        </w:r>
        <w:r>
          <w:fldChar w:fldCharType="end"/>
        </w:r>
      </w:p>
    </w:sdtContent>
  </w:sdt>
  <w:p w14:paraId="2B083A92" w14:textId="77777777" w:rsidR="003940F3" w:rsidRDefault="003940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E27B7"/>
    <w:multiLevelType w:val="hybridMultilevel"/>
    <w:tmpl w:val="82A67B6E"/>
    <w:lvl w:ilvl="0" w:tplc="A81473C4">
      <w:start w:val="1"/>
      <w:numFmt w:val="decimal"/>
      <w:lvlText w:val="%1."/>
      <w:lvlJc w:val="left"/>
      <w:pPr>
        <w:ind w:left="720" w:hanging="360"/>
      </w:pPr>
    </w:lvl>
    <w:lvl w:ilvl="1" w:tplc="801AF7C4">
      <w:start w:val="1"/>
      <w:numFmt w:val="lowerLetter"/>
      <w:lvlText w:val="%2."/>
      <w:lvlJc w:val="left"/>
      <w:pPr>
        <w:ind w:left="1440" w:hanging="360"/>
      </w:pPr>
    </w:lvl>
    <w:lvl w:ilvl="2" w:tplc="A8BCC85C">
      <w:start w:val="1"/>
      <w:numFmt w:val="lowerRoman"/>
      <w:lvlText w:val="%3."/>
      <w:lvlJc w:val="right"/>
      <w:pPr>
        <w:ind w:left="2160" w:hanging="180"/>
      </w:pPr>
    </w:lvl>
    <w:lvl w:ilvl="3" w:tplc="E76E1A12">
      <w:start w:val="1"/>
      <w:numFmt w:val="decimal"/>
      <w:lvlText w:val="%4."/>
      <w:lvlJc w:val="left"/>
      <w:pPr>
        <w:ind w:left="2880" w:hanging="360"/>
      </w:pPr>
    </w:lvl>
    <w:lvl w:ilvl="4" w:tplc="96C81506">
      <w:start w:val="1"/>
      <w:numFmt w:val="lowerLetter"/>
      <w:lvlText w:val="%5."/>
      <w:lvlJc w:val="left"/>
      <w:pPr>
        <w:ind w:left="3600" w:hanging="360"/>
      </w:pPr>
    </w:lvl>
    <w:lvl w:ilvl="5" w:tplc="FB0E14E8">
      <w:start w:val="1"/>
      <w:numFmt w:val="lowerRoman"/>
      <w:lvlText w:val="%6."/>
      <w:lvlJc w:val="right"/>
      <w:pPr>
        <w:ind w:left="4320" w:hanging="180"/>
      </w:pPr>
    </w:lvl>
    <w:lvl w:ilvl="6" w:tplc="7A046DE8">
      <w:start w:val="1"/>
      <w:numFmt w:val="decimal"/>
      <w:lvlText w:val="%7."/>
      <w:lvlJc w:val="left"/>
      <w:pPr>
        <w:ind w:left="5040" w:hanging="360"/>
      </w:pPr>
    </w:lvl>
    <w:lvl w:ilvl="7" w:tplc="D65AC394">
      <w:start w:val="1"/>
      <w:numFmt w:val="lowerLetter"/>
      <w:lvlText w:val="%8."/>
      <w:lvlJc w:val="left"/>
      <w:pPr>
        <w:ind w:left="5760" w:hanging="360"/>
      </w:pPr>
    </w:lvl>
    <w:lvl w:ilvl="8" w:tplc="75D83D0E">
      <w:start w:val="1"/>
      <w:numFmt w:val="lowerRoman"/>
      <w:lvlText w:val="%9."/>
      <w:lvlJc w:val="right"/>
      <w:pPr>
        <w:ind w:left="6480" w:hanging="180"/>
      </w:pPr>
    </w:lvl>
  </w:abstractNum>
  <w:abstractNum w:abstractNumId="1" w15:restartNumberingAfterBreak="0">
    <w:nsid w:val="0C2A54BA"/>
    <w:multiLevelType w:val="hybridMultilevel"/>
    <w:tmpl w:val="79B0B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E1839"/>
    <w:multiLevelType w:val="hybridMultilevel"/>
    <w:tmpl w:val="4E9A0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8B6BCD"/>
    <w:multiLevelType w:val="multilevel"/>
    <w:tmpl w:val="E84896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F054AB0"/>
    <w:multiLevelType w:val="hybridMultilevel"/>
    <w:tmpl w:val="9752D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7A0720"/>
    <w:multiLevelType w:val="hybridMultilevel"/>
    <w:tmpl w:val="3B12ACF2"/>
    <w:lvl w:ilvl="0" w:tplc="F904D03C">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6" w15:restartNumberingAfterBreak="0">
    <w:nsid w:val="33B7227D"/>
    <w:multiLevelType w:val="hybridMultilevel"/>
    <w:tmpl w:val="82A67B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4F72D24"/>
    <w:multiLevelType w:val="hybridMultilevel"/>
    <w:tmpl w:val="C762A306"/>
    <w:lvl w:ilvl="0" w:tplc="04090011">
      <w:start w:val="1"/>
      <w:numFmt w:val="decimal"/>
      <w:lvlText w:val="%1)"/>
      <w:lvlJc w:val="left"/>
      <w:pPr>
        <w:ind w:left="13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3B6E62"/>
    <w:multiLevelType w:val="hybridMultilevel"/>
    <w:tmpl w:val="73645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050309"/>
    <w:multiLevelType w:val="hybridMultilevel"/>
    <w:tmpl w:val="82A67B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8287768"/>
    <w:multiLevelType w:val="hybridMultilevel"/>
    <w:tmpl w:val="51B0681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52F95D9B"/>
    <w:multiLevelType w:val="hybridMultilevel"/>
    <w:tmpl w:val="88361AC4"/>
    <w:lvl w:ilvl="0" w:tplc="54A831E0">
      <w:start w:val="1"/>
      <w:numFmt w:val="decimal"/>
      <w:lvlText w:val="%1."/>
      <w:lvlJc w:val="left"/>
      <w:pPr>
        <w:ind w:left="720" w:hanging="360"/>
      </w:pPr>
      <w:rPr>
        <w:rFonts w:hint="default"/>
        <w:b/>
        <w:bCs w:val="0"/>
        <w:i/>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311795E"/>
    <w:multiLevelType w:val="hybridMultilevel"/>
    <w:tmpl w:val="00CE2688"/>
    <w:lvl w:ilvl="0" w:tplc="71D20B7C">
      <w:start w:val="1"/>
      <w:numFmt w:val="lowerLetter"/>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3" w15:restartNumberingAfterBreak="0">
    <w:nsid w:val="55B12484"/>
    <w:multiLevelType w:val="hybridMultilevel"/>
    <w:tmpl w:val="06181FCC"/>
    <w:lvl w:ilvl="0" w:tplc="CBB0B520">
      <w:numFmt w:val="bullet"/>
      <w:lvlText w:val="-"/>
      <w:lvlJc w:val="left"/>
      <w:pPr>
        <w:ind w:left="720" w:hanging="360"/>
      </w:pPr>
      <w:rPr>
        <w:rFonts w:ascii="Verdana" w:eastAsia="Calibri" w:hAnsi="Verdana"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594A3E60"/>
    <w:multiLevelType w:val="hybridMultilevel"/>
    <w:tmpl w:val="38B60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68430E2"/>
    <w:multiLevelType w:val="hybridMultilevel"/>
    <w:tmpl w:val="234ED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9232BFF"/>
    <w:multiLevelType w:val="hybridMultilevel"/>
    <w:tmpl w:val="A10CB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75A803EB"/>
    <w:multiLevelType w:val="hybridMultilevel"/>
    <w:tmpl w:val="E43A0C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CF213EC"/>
    <w:multiLevelType w:val="hybridMultilevel"/>
    <w:tmpl w:val="B5B67670"/>
    <w:lvl w:ilvl="0" w:tplc="1998478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0" w15:restartNumberingAfterBreak="0">
    <w:nsid w:val="7F1F2A98"/>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16cid:durableId="1193377737">
    <w:abstractNumId w:val="17"/>
  </w:num>
  <w:num w:numId="2" w16cid:durableId="885410026">
    <w:abstractNumId w:val="16"/>
  </w:num>
  <w:num w:numId="3" w16cid:durableId="1562981366">
    <w:abstractNumId w:val="18"/>
  </w:num>
  <w:num w:numId="4" w16cid:durableId="392239668">
    <w:abstractNumId w:val="2"/>
  </w:num>
  <w:num w:numId="5" w16cid:durableId="308630702">
    <w:abstractNumId w:val="4"/>
  </w:num>
  <w:num w:numId="6" w16cid:durableId="2060545454">
    <w:abstractNumId w:val="1"/>
  </w:num>
  <w:num w:numId="7" w16cid:durableId="1447046276">
    <w:abstractNumId w:val="5"/>
  </w:num>
  <w:num w:numId="8" w16cid:durableId="1946957105">
    <w:abstractNumId w:val="8"/>
  </w:num>
  <w:num w:numId="9" w16cid:durableId="861014471">
    <w:abstractNumId w:val="19"/>
  </w:num>
  <w:num w:numId="10" w16cid:durableId="863636958">
    <w:abstractNumId w:val="7"/>
  </w:num>
  <w:num w:numId="11" w16cid:durableId="213858329">
    <w:abstractNumId w:val="20"/>
  </w:num>
  <w:num w:numId="12" w16cid:durableId="1547982564">
    <w:abstractNumId w:val="13"/>
  </w:num>
  <w:num w:numId="13" w16cid:durableId="2051760053">
    <w:abstractNumId w:val="11"/>
  </w:num>
  <w:num w:numId="14" w16cid:durableId="443229702">
    <w:abstractNumId w:val="15"/>
  </w:num>
  <w:num w:numId="15" w16cid:durableId="5735853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636343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7413143">
    <w:abstractNumId w:val="14"/>
  </w:num>
  <w:num w:numId="18" w16cid:durableId="8864501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9945466">
    <w:abstractNumId w:val="0"/>
  </w:num>
  <w:num w:numId="20" w16cid:durableId="570042958">
    <w:abstractNumId w:val="9"/>
  </w:num>
  <w:num w:numId="21" w16cid:durableId="1261446500">
    <w:abstractNumId w:val="6"/>
  </w:num>
  <w:num w:numId="22" w16cid:durableId="15883479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2A"/>
    <w:rsid w:val="00000F36"/>
    <w:rsid w:val="00005FAA"/>
    <w:rsid w:val="00007463"/>
    <w:rsid w:val="0001428A"/>
    <w:rsid w:val="00015942"/>
    <w:rsid w:val="00016435"/>
    <w:rsid w:val="00017566"/>
    <w:rsid w:val="000202E8"/>
    <w:rsid w:val="00020CB7"/>
    <w:rsid w:val="00023010"/>
    <w:rsid w:val="000240C4"/>
    <w:rsid w:val="00030D25"/>
    <w:rsid w:val="00030DBB"/>
    <w:rsid w:val="0003188A"/>
    <w:rsid w:val="00032985"/>
    <w:rsid w:val="00033CEB"/>
    <w:rsid w:val="00044CAB"/>
    <w:rsid w:val="00046DFE"/>
    <w:rsid w:val="000503C5"/>
    <w:rsid w:val="00050427"/>
    <w:rsid w:val="00053ACF"/>
    <w:rsid w:val="00053D41"/>
    <w:rsid w:val="00055508"/>
    <w:rsid w:val="00060B0B"/>
    <w:rsid w:val="00062328"/>
    <w:rsid w:val="00062518"/>
    <w:rsid w:val="00063152"/>
    <w:rsid w:val="000640C7"/>
    <w:rsid w:val="00066215"/>
    <w:rsid w:val="000671F1"/>
    <w:rsid w:val="00070B21"/>
    <w:rsid w:val="00070ED6"/>
    <w:rsid w:val="00070EF3"/>
    <w:rsid w:val="00074F28"/>
    <w:rsid w:val="00077247"/>
    <w:rsid w:val="00081BC9"/>
    <w:rsid w:val="000844E7"/>
    <w:rsid w:val="000909EB"/>
    <w:rsid w:val="00095A64"/>
    <w:rsid w:val="00095B14"/>
    <w:rsid w:val="00096840"/>
    <w:rsid w:val="00096A65"/>
    <w:rsid w:val="000A0E20"/>
    <w:rsid w:val="000A3FD2"/>
    <w:rsid w:val="000B19E9"/>
    <w:rsid w:val="000B1AF5"/>
    <w:rsid w:val="000B2D7C"/>
    <w:rsid w:val="000B4B61"/>
    <w:rsid w:val="000B7125"/>
    <w:rsid w:val="000C6DCD"/>
    <w:rsid w:val="000D22BB"/>
    <w:rsid w:val="000D2E71"/>
    <w:rsid w:val="000D3EFE"/>
    <w:rsid w:val="000D577D"/>
    <w:rsid w:val="000D748B"/>
    <w:rsid w:val="000E057B"/>
    <w:rsid w:val="000E128C"/>
    <w:rsid w:val="000E1F0C"/>
    <w:rsid w:val="000E275C"/>
    <w:rsid w:val="000E5A48"/>
    <w:rsid w:val="000E7177"/>
    <w:rsid w:val="000E7A99"/>
    <w:rsid w:val="000F1049"/>
    <w:rsid w:val="000F4E81"/>
    <w:rsid w:val="000F5CE6"/>
    <w:rsid w:val="00102735"/>
    <w:rsid w:val="001030C4"/>
    <w:rsid w:val="00105F91"/>
    <w:rsid w:val="00106571"/>
    <w:rsid w:val="001132AD"/>
    <w:rsid w:val="00115372"/>
    <w:rsid w:val="0011654F"/>
    <w:rsid w:val="00124A1B"/>
    <w:rsid w:val="00143277"/>
    <w:rsid w:val="001445E4"/>
    <w:rsid w:val="00150B26"/>
    <w:rsid w:val="00156FCF"/>
    <w:rsid w:val="00157004"/>
    <w:rsid w:val="001577E4"/>
    <w:rsid w:val="00162289"/>
    <w:rsid w:val="001661A8"/>
    <w:rsid w:val="001705CF"/>
    <w:rsid w:val="00175B04"/>
    <w:rsid w:val="00182879"/>
    <w:rsid w:val="0018373E"/>
    <w:rsid w:val="0018469B"/>
    <w:rsid w:val="00184FC3"/>
    <w:rsid w:val="00186511"/>
    <w:rsid w:val="0019085C"/>
    <w:rsid w:val="00191782"/>
    <w:rsid w:val="001923DD"/>
    <w:rsid w:val="00194702"/>
    <w:rsid w:val="001A0E47"/>
    <w:rsid w:val="001A5935"/>
    <w:rsid w:val="001C2F60"/>
    <w:rsid w:val="001C65B5"/>
    <w:rsid w:val="001D0FA0"/>
    <w:rsid w:val="001D3C04"/>
    <w:rsid w:val="001D6507"/>
    <w:rsid w:val="001D6F4A"/>
    <w:rsid w:val="001E1992"/>
    <w:rsid w:val="001E4CE7"/>
    <w:rsid w:val="001E6748"/>
    <w:rsid w:val="001E67A5"/>
    <w:rsid w:val="001E754D"/>
    <w:rsid w:val="001E7DBF"/>
    <w:rsid w:val="0020434A"/>
    <w:rsid w:val="0020614F"/>
    <w:rsid w:val="00207E63"/>
    <w:rsid w:val="00211B2A"/>
    <w:rsid w:val="00212ADD"/>
    <w:rsid w:val="00222B62"/>
    <w:rsid w:val="00224286"/>
    <w:rsid w:val="0022435B"/>
    <w:rsid w:val="00227E2E"/>
    <w:rsid w:val="0023024D"/>
    <w:rsid w:val="00233335"/>
    <w:rsid w:val="00234AE2"/>
    <w:rsid w:val="002364BE"/>
    <w:rsid w:val="00241069"/>
    <w:rsid w:val="00241C69"/>
    <w:rsid w:val="00242329"/>
    <w:rsid w:val="0024541C"/>
    <w:rsid w:val="00247BB5"/>
    <w:rsid w:val="00256BE3"/>
    <w:rsid w:val="00266F48"/>
    <w:rsid w:val="00270AE5"/>
    <w:rsid w:val="00271242"/>
    <w:rsid w:val="0027186C"/>
    <w:rsid w:val="002730D8"/>
    <w:rsid w:val="002768BA"/>
    <w:rsid w:val="00277AEF"/>
    <w:rsid w:val="002805B2"/>
    <w:rsid w:val="00280FCB"/>
    <w:rsid w:val="00281473"/>
    <w:rsid w:val="00282D46"/>
    <w:rsid w:val="002923A6"/>
    <w:rsid w:val="002929F7"/>
    <w:rsid w:val="00294FB1"/>
    <w:rsid w:val="00297A12"/>
    <w:rsid w:val="00297D19"/>
    <w:rsid w:val="002A27A2"/>
    <w:rsid w:val="002A2BDD"/>
    <w:rsid w:val="002B1648"/>
    <w:rsid w:val="002B1AF9"/>
    <w:rsid w:val="002B31F3"/>
    <w:rsid w:val="002C57F4"/>
    <w:rsid w:val="002C7407"/>
    <w:rsid w:val="002C79BA"/>
    <w:rsid w:val="002D0B08"/>
    <w:rsid w:val="002D1CED"/>
    <w:rsid w:val="002D4D56"/>
    <w:rsid w:val="002D6D79"/>
    <w:rsid w:val="002E1B28"/>
    <w:rsid w:val="002F3746"/>
    <w:rsid w:val="002F697B"/>
    <w:rsid w:val="003113C8"/>
    <w:rsid w:val="00316D2C"/>
    <w:rsid w:val="00316DF4"/>
    <w:rsid w:val="003214A4"/>
    <w:rsid w:val="00330974"/>
    <w:rsid w:val="00330EC9"/>
    <w:rsid w:val="00333A39"/>
    <w:rsid w:val="003375A5"/>
    <w:rsid w:val="00344A49"/>
    <w:rsid w:val="0034540C"/>
    <w:rsid w:val="00347151"/>
    <w:rsid w:val="00347C65"/>
    <w:rsid w:val="003529B3"/>
    <w:rsid w:val="003618F1"/>
    <w:rsid w:val="003652F0"/>
    <w:rsid w:val="00366151"/>
    <w:rsid w:val="0036662A"/>
    <w:rsid w:val="003865B8"/>
    <w:rsid w:val="0038693F"/>
    <w:rsid w:val="00391584"/>
    <w:rsid w:val="0039259D"/>
    <w:rsid w:val="003940F3"/>
    <w:rsid w:val="0039580B"/>
    <w:rsid w:val="00397AD7"/>
    <w:rsid w:val="003A18E7"/>
    <w:rsid w:val="003A1AD9"/>
    <w:rsid w:val="003A2203"/>
    <w:rsid w:val="003A332E"/>
    <w:rsid w:val="003A644C"/>
    <w:rsid w:val="003A67CC"/>
    <w:rsid w:val="003B2FAE"/>
    <w:rsid w:val="003B6643"/>
    <w:rsid w:val="003B726A"/>
    <w:rsid w:val="003C6054"/>
    <w:rsid w:val="003C7C78"/>
    <w:rsid w:val="003D4EB4"/>
    <w:rsid w:val="003E09D5"/>
    <w:rsid w:val="003E23D1"/>
    <w:rsid w:val="003E77A4"/>
    <w:rsid w:val="003F1F09"/>
    <w:rsid w:val="003F28B5"/>
    <w:rsid w:val="003F5676"/>
    <w:rsid w:val="003F7DF8"/>
    <w:rsid w:val="0040628C"/>
    <w:rsid w:val="004136A8"/>
    <w:rsid w:val="00414392"/>
    <w:rsid w:val="00417DC7"/>
    <w:rsid w:val="00421AD5"/>
    <w:rsid w:val="004274A1"/>
    <w:rsid w:val="004322A4"/>
    <w:rsid w:val="00435B06"/>
    <w:rsid w:val="004378EE"/>
    <w:rsid w:val="00443FB5"/>
    <w:rsid w:val="00447D74"/>
    <w:rsid w:val="00447F7C"/>
    <w:rsid w:val="00452AAF"/>
    <w:rsid w:val="00452FA3"/>
    <w:rsid w:val="00455305"/>
    <w:rsid w:val="004631DA"/>
    <w:rsid w:val="004639C4"/>
    <w:rsid w:val="00475D1E"/>
    <w:rsid w:val="00475E13"/>
    <w:rsid w:val="00482B56"/>
    <w:rsid w:val="004853EA"/>
    <w:rsid w:val="00485F22"/>
    <w:rsid w:val="00487204"/>
    <w:rsid w:val="004876E5"/>
    <w:rsid w:val="00491347"/>
    <w:rsid w:val="004923DB"/>
    <w:rsid w:val="0049531C"/>
    <w:rsid w:val="004A0897"/>
    <w:rsid w:val="004A42BF"/>
    <w:rsid w:val="004A5F41"/>
    <w:rsid w:val="004A607E"/>
    <w:rsid w:val="004A6A07"/>
    <w:rsid w:val="004A704E"/>
    <w:rsid w:val="004B1CC3"/>
    <w:rsid w:val="004B2CD5"/>
    <w:rsid w:val="004B5C52"/>
    <w:rsid w:val="004C1CE4"/>
    <w:rsid w:val="004C44BD"/>
    <w:rsid w:val="004C49C0"/>
    <w:rsid w:val="004C58E9"/>
    <w:rsid w:val="004D11D5"/>
    <w:rsid w:val="004D1FB6"/>
    <w:rsid w:val="004D5FC3"/>
    <w:rsid w:val="004D66FF"/>
    <w:rsid w:val="004E0590"/>
    <w:rsid w:val="004E358F"/>
    <w:rsid w:val="004E6B69"/>
    <w:rsid w:val="004F24DB"/>
    <w:rsid w:val="004F7609"/>
    <w:rsid w:val="005004F3"/>
    <w:rsid w:val="005054C5"/>
    <w:rsid w:val="0050761B"/>
    <w:rsid w:val="00510A85"/>
    <w:rsid w:val="005206B0"/>
    <w:rsid w:val="00520904"/>
    <w:rsid w:val="00527115"/>
    <w:rsid w:val="0053023F"/>
    <w:rsid w:val="005303DC"/>
    <w:rsid w:val="00530480"/>
    <w:rsid w:val="0053182B"/>
    <w:rsid w:val="005376D6"/>
    <w:rsid w:val="0054453C"/>
    <w:rsid w:val="00547C74"/>
    <w:rsid w:val="005516A5"/>
    <w:rsid w:val="005533C2"/>
    <w:rsid w:val="00563838"/>
    <w:rsid w:val="00563B3D"/>
    <w:rsid w:val="005671CE"/>
    <w:rsid w:val="005702A5"/>
    <w:rsid w:val="00571253"/>
    <w:rsid w:val="0057371A"/>
    <w:rsid w:val="00581B51"/>
    <w:rsid w:val="005903F9"/>
    <w:rsid w:val="00591ECD"/>
    <w:rsid w:val="00593EE0"/>
    <w:rsid w:val="005953D7"/>
    <w:rsid w:val="00597AFF"/>
    <w:rsid w:val="005A0AC7"/>
    <w:rsid w:val="005A3FE6"/>
    <w:rsid w:val="005A4A5F"/>
    <w:rsid w:val="005A771F"/>
    <w:rsid w:val="005B09A6"/>
    <w:rsid w:val="005B1293"/>
    <w:rsid w:val="005B79FB"/>
    <w:rsid w:val="005B7C13"/>
    <w:rsid w:val="005C11A9"/>
    <w:rsid w:val="005C492A"/>
    <w:rsid w:val="005C5B4A"/>
    <w:rsid w:val="005C5ECB"/>
    <w:rsid w:val="005D1053"/>
    <w:rsid w:val="005E0604"/>
    <w:rsid w:val="005E1221"/>
    <w:rsid w:val="005E5744"/>
    <w:rsid w:val="005F038F"/>
    <w:rsid w:val="005F0F88"/>
    <w:rsid w:val="005F2639"/>
    <w:rsid w:val="00601513"/>
    <w:rsid w:val="00605339"/>
    <w:rsid w:val="006078D1"/>
    <w:rsid w:val="00607C88"/>
    <w:rsid w:val="006106A7"/>
    <w:rsid w:val="00611C52"/>
    <w:rsid w:val="00613BBB"/>
    <w:rsid w:val="00615ACB"/>
    <w:rsid w:val="006179ED"/>
    <w:rsid w:val="006259D7"/>
    <w:rsid w:val="00626D21"/>
    <w:rsid w:val="006301B9"/>
    <w:rsid w:val="00631726"/>
    <w:rsid w:val="00633EC5"/>
    <w:rsid w:val="006351B9"/>
    <w:rsid w:val="00635B87"/>
    <w:rsid w:val="00642D34"/>
    <w:rsid w:val="006507EE"/>
    <w:rsid w:val="00661D02"/>
    <w:rsid w:val="00662199"/>
    <w:rsid w:val="00665BE2"/>
    <w:rsid w:val="0067708D"/>
    <w:rsid w:val="0067787C"/>
    <w:rsid w:val="00677B1E"/>
    <w:rsid w:val="00677C93"/>
    <w:rsid w:val="006824CC"/>
    <w:rsid w:val="00683235"/>
    <w:rsid w:val="006836FA"/>
    <w:rsid w:val="00686E67"/>
    <w:rsid w:val="00690AB6"/>
    <w:rsid w:val="00690B46"/>
    <w:rsid w:val="00696DBF"/>
    <w:rsid w:val="00696E7D"/>
    <w:rsid w:val="006A1E78"/>
    <w:rsid w:val="006A22E2"/>
    <w:rsid w:val="006B0D85"/>
    <w:rsid w:val="006B526A"/>
    <w:rsid w:val="006B75D2"/>
    <w:rsid w:val="006C0163"/>
    <w:rsid w:val="006C0AD7"/>
    <w:rsid w:val="006C702F"/>
    <w:rsid w:val="006D1718"/>
    <w:rsid w:val="006E05A9"/>
    <w:rsid w:val="006E0B8B"/>
    <w:rsid w:val="006E16C9"/>
    <w:rsid w:val="006E67AE"/>
    <w:rsid w:val="006E798D"/>
    <w:rsid w:val="006E7C89"/>
    <w:rsid w:val="006F23CE"/>
    <w:rsid w:val="006F4DC3"/>
    <w:rsid w:val="0070221E"/>
    <w:rsid w:val="00703E9B"/>
    <w:rsid w:val="007070F4"/>
    <w:rsid w:val="00707C95"/>
    <w:rsid w:val="00710DD2"/>
    <w:rsid w:val="0072623F"/>
    <w:rsid w:val="007263AF"/>
    <w:rsid w:val="00727011"/>
    <w:rsid w:val="007350FF"/>
    <w:rsid w:val="007410B0"/>
    <w:rsid w:val="00741C32"/>
    <w:rsid w:val="00742585"/>
    <w:rsid w:val="00747BC9"/>
    <w:rsid w:val="00751DDD"/>
    <w:rsid w:val="007537EC"/>
    <w:rsid w:val="00760318"/>
    <w:rsid w:val="00761496"/>
    <w:rsid w:val="00761F33"/>
    <w:rsid w:val="007769FC"/>
    <w:rsid w:val="0078534B"/>
    <w:rsid w:val="00787C89"/>
    <w:rsid w:val="00791279"/>
    <w:rsid w:val="007972A2"/>
    <w:rsid w:val="007A58CC"/>
    <w:rsid w:val="007B3E81"/>
    <w:rsid w:val="007C1CA1"/>
    <w:rsid w:val="007D3038"/>
    <w:rsid w:val="007D42C6"/>
    <w:rsid w:val="007E1501"/>
    <w:rsid w:val="007E33DA"/>
    <w:rsid w:val="007E69B5"/>
    <w:rsid w:val="007F0F67"/>
    <w:rsid w:val="007F5F38"/>
    <w:rsid w:val="0080172F"/>
    <w:rsid w:val="00803394"/>
    <w:rsid w:val="00807773"/>
    <w:rsid w:val="00807C29"/>
    <w:rsid w:val="00811BF1"/>
    <w:rsid w:val="008127AF"/>
    <w:rsid w:val="00814122"/>
    <w:rsid w:val="00817EF3"/>
    <w:rsid w:val="0082428A"/>
    <w:rsid w:val="008359DC"/>
    <w:rsid w:val="00852673"/>
    <w:rsid w:val="0085384B"/>
    <w:rsid w:val="0085430B"/>
    <w:rsid w:val="00856EDA"/>
    <w:rsid w:val="008576A6"/>
    <w:rsid w:val="00865C80"/>
    <w:rsid w:val="008663E3"/>
    <w:rsid w:val="00870F24"/>
    <w:rsid w:val="0087169A"/>
    <w:rsid w:val="00880909"/>
    <w:rsid w:val="00881A04"/>
    <w:rsid w:val="008820BA"/>
    <w:rsid w:val="00885539"/>
    <w:rsid w:val="00885C3D"/>
    <w:rsid w:val="00890A7C"/>
    <w:rsid w:val="008923B9"/>
    <w:rsid w:val="00894683"/>
    <w:rsid w:val="008A3E24"/>
    <w:rsid w:val="008A53CB"/>
    <w:rsid w:val="008A5A0D"/>
    <w:rsid w:val="008B3037"/>
    <w:rsid w:val="008C1AF6"/>
    <w:rsid w:val="008C3DAE"/>
    <w:rsid w:val="008C4CE9"/>
    <w:rsid w:val="008D4415"/>
    <w:rsid w:val="008D444C"/>
    <w:rsid w:val="008D55D4"/>
    <w:rsid w:val="008D5F38"/>
    <w:rsid w:val="008D7278"/>
    <w:rsid w:val="008E2069"/>
    <w:rsid w:val="008E2AC8"/>
    <w:rsid w:val="008E3A92"/>
    <w:rsid w:val="008E3C68"/>
    <w:rsid w:val="008F38C3"/>
    <w:rsid w:val="008F56B6"/>
    <w:rsid w:val="00914A06"/>
    <w:rsid w:val="009220EC"/>
    <w:rsid w:val="00926630"/>
    <w:rsid w:val="00932D0C"/>
    <w:rsid w:val="00933886"/>
    <w:rsid w:val="00934F45"/>
    <w:rsid w:val="009422B0"/>
    <w:rsid w:val="009426AD"/>
    <w:rsid w:val="00947246"/>
    <w:rsid w:val="00947C9D"/>
    <w:rsid w:val="00954EEB"/>
    <w:rsid w:val="00956C1E"/>
    <w:rsid w:val="0097341D"/>
    <w:rsid w:val="009913E3"/>
    <w:rsid w:val="009924A0"/>
    <w:rsid w:val="0099342A"/>
    <w:rsid w:val="009961A8"/>
    <w:rsid w:val="009A1219"/>
    <w:rsid w:val="009A3E23"/>
    <w:rsid w:val="009A662F"/>
    <w:rsid w:val="009A7038"/>
    <w:rsid w:val="009B2BC0"/>
    <w:rsid w:val="009B3957"/>
    <w:rsid w:val="009B4714"/>
    <w:rsid w:val="009B7A40"/>
    <w:rsid w:val="009C1904"/>
    <w:rsid w:val="009C2D62"/>
    <w:rsid w:val="009C5F59"/>
    <w:rsid w:val="009C687C"/>
    <w:rsid w:val="009D3B8E"/>
    <w:rsid w:val="009D3BAD"/>
    <w:rsid w:val="009E1857"/>
    <w:rsid w:val="009E4DA6"/>
    <w:rsid w:val="009E58D9"/>
    <w:rsid w:val="009E69E2"/>
    <w:rsid w:val="009E7F18"/>
    <w:rsid w:val="009F0535"/>
    <w:rsid w:val="009F4BD9"/>
    <w:rsid w:val="00A00DB1"/>
    <w:rsid w:val="00A05F9C"/>
    <w:rsid w:val="00A076DC"/>
    <w:rsid w:val="00A127C6"/>
    <w:rsid w:val="00A16C8B"/>
    <w:rsid w:val="00A23D91"/>
    <w:rsid w:val="00A24DB0"/>
    <w:rsid w:val="00A26CB7"/>
    <w:rsid w:val="00A2721F"/>
    <w:rsid w:val="00A31C11"/>
    <w:rsid w:val="00A323E0"/>
    <w:rsid w:val="00A34915"/>
    <w:rsid w:val="00A3535C"/>
    <w:rsid w:val="00A35603"/>
    <w:rsid w:val="00A37D8F"/>
    <w:rsid w:val="00A4128B"/>
    <w:rsid w:val="00A442E9"/>
    <w:rsid w:val="00A47552"/>
    <w:rsid w:val="00A47E71"/>
    <w:rsid w:val="00A51B2D"/>
    <w:rsid w:val="00A52C00"/>
    <w:rsid w:val="00A533D4"/>
    <w:rsid w:val="00A54BBD"/>
    <w:rsid w:val="00A65189"/>
    <w:rsid w:val="00A6632E"/>
    <w:rsid w:val="00A7066D"/>
    <w:rsid w:val="00A709C3"/>
    <w:rsid w:val="00A725A8"/>
    <w:rsid w:val="00A73B39"/>
    <w:rsid w:val="00A80ADA"/>
    <w:rsid w:val="00A845D7"/>
    <w:rsid w:val="00A86A73"/>
    <w:rsid w:val="00A91F0C"/>
    <w:rsid w:val="00A937EF"/>
    <w:rsid w:val="00A9443D"/>
    <w:rsid w:val="00AA30C9"/>
    <w:rsid w:val="00AA3EF8"/>
    <w:rsid w:val="00AB2F7C"/>
    <w:rsid w:val="00AB4283"/>
    <w:rsid w:val="00AC4B6C"/>
    <w:rsid w:val="00AC6352"/>
    <w:rsid w:val="00AC644B"/>
    <w:rsid w:val="00AC6C48"/>
    <w:rsid w:val="00AC73C3"/>
    <w:rsid w:val="00AD5789"/>
    <w:rsid w:val="00AE3CE8"/>
    <w:rsid w:val="00AE4ABF"/>
    <w:rsid w:val="00AE6787"/>
    <w:rsid w:val="00AF029B"/>
    <w:rsid w:val="00AF0898"/>
    <w:rsid w:val="00AF0A0D"/>
    <w:rsid w:val="00AF1F99"/>
    <w:rsid w:val="00AF25D0"/>
    <w:rsid w:val="00AF2A89"/>
    <w:rsid w:val="00AF4CD9"/>
    <w:rsid w:val="00B00E19"/>
    <w:rsid w:val="00B058B6"/>
    <w:rsid w:val="00B0591B"/>
    <w:rsid w:val="00B06DF8"/>
    <w:rsid w:val="00B07C1B"/>
    <w:rsid w:val="00B14AA0"/>
    <w:rsid w:val="00B14CA7"/>
    <w:rsid w:val="00B259E5"/>
    <w:rsid w:val="00B26628"/>
    <w:rsid w:val="00B3130A"/>
    <w:rsid w:val="00B33BD8"/>
    <w:rsid w:val="00B41981"/>
    <w:rsid w:val="00B42F3A"/>
    <w:rsid w:val="00B4351C"/>
    <w:rsid w:val="00B44625"/>
    <w:rsid w:val="00B46548"/>
    <w:rsid w:val="00B47BB9"/>
    <w:rsid w:val="00B51113"/>
    <w:rsid w:val="00B64726"/>
    <w:rsid w:val="00B66D73"/>
    <w:rsid w:val="00B67720"/>
    <w:rsid w:val="00B70A77"/>
    <w:rsid w:val="00B71F86"/>
    <w:rsid w:val="00B7378D"/>
    <w:rsid w:val="00B748DF"/>
    <w:rsid w:val="00B75709"/>
    <w:rsid w:val="00B87121"/>
    <w:rsid w:val="00B905D0"/>
    <w:rsid w:val="00B92508"/>
    <w:rsid w:val="00B92EC5"/>
    <w:rsid w:val="00B9676C"/>
    <w:rsid w:val="00BA3F54"/>
    <w:rsid w:val="00BA57E5"/>
    <w:rsid w:val="00BA694E"/>
    <w:rsid w:val="00BB138B"/>
    <w:rsid w:val="00BC4039"/>
    <w:rsid w:val="00BC5BDA"/>
    <w:rsid w:val="00BD0780"/>
    <w:rsid w:val="00BD17AE"/>
    <w:rsid w:val="00BD4663"/>
    <w:rsid w:val="00BE1C9A"/>
    <w:rsid w:val="00BE1E8F"/>
    <w:rsid w:val="00BE6468"/>
    <w:rsid w:val="00BE6CC1"/>
    <w:rsid w:val="00BF5514"/>
    <w:rsid w:val="00BF587A"/>
    <w:rsid w:val="00BF7592"/>
    <w:rsid w:val="00C02E76"/>
    <w:rsid w:val="00C13806"/>
    <w:rsid w:val="00C146A1"/>
    <w:rsid w:val="00C1798F"/>
    <w:rsid w:val="00C2262B"/>
    <w:rsid w:val="00C23560"/>
    <w:rsid w:val="00C24850"/>
    <w:rsid w:val="00C25577"/>
    <w:rsid w:val="00C25B44"/>
    <w:rsid w:val="00C26B0C"/>
    <w:rsid w:val="00C3317D"/>
    <w:rsid w:val="00C33E49"/>
    <w:rsid w:val="00C35591"/>
    <w:rsid w:val="00C35A56"/>
    <w:rsid w:val="00C40546"/>
    <w:rsid w:val="00C41BD5"/>
    <w:rsid w:val="00C41EDB"/>
    <w:rsid w:val="00C42FA7"/>
    <w:rsid w:val="00C469DB"/>
    <w:rsid w:val="00C52B5C"/>
    <w:rsid w:val="00C535B1"/>
    <w:rsid w:val="00C5774B"/>
    <w:rsid w:val="00C578A1"/>
    <w:rsid w:val="00C60C6F"/>
    <w:rsid w:val="00C6260A"/>
    <w:rsid w:val="00C728D0"/>
    <w:rsid w:val="00C72AC6"/>
    <w:rsid w:val="00C730D6"/>
    <w:rsid w:val="00C7415C"/>
    <w:rsid w:val="00C81DDD"/>
    <w:rsid w:val="00C85D29"/>
    <w:rsid w:val="00C916C8"/>
    <w:rsid w:val="00C94B40"/>
    <w:rsid w:val="00C96B29"/>
    <w:rsid w:val="00C97E60"/>
    <w:rsid w:val="00CA08AD"/>
    <w:rsid w:val="00CA2E85"/>
    <w:rsid w:val="00CA3ADD"/>
    <w:rsid w:val="00CA4007"/>
    <w:rsid w:val="00CA6AE7"/>
    <w:rsid w:val="00CB2043"/>
    <w:rsid w:val="00CB2790"/>
    <w:rsid w:val="00CB2A30"/>
    <w:rsid w:val="00CB505F"/>
    <w:rsid w:val="00CB6AA8"/>
    <w:rsid w:val="00CB7939"/>
    <w:rsid w:val="00CC5451"/>
    <w:rsid w:val="00CD7F0A"/>
    <w:rsid w:val="00CE28F2"/>
    <w:rsid w:val="00CE3166"/>
    <w:rsid w:val="00CE3F94"/>
    <w:rsid w:val="00CE53AB"/>
    <w:rsid w:val="00CF169A"/>
    <w:rsid w:val="00CF1DFC"/>
    <w:rsid w:val="00CF2C5D"/>
    <w:rsid w:val="00CF78C6"/>
    <w:rsid w:val="00CF7C87"/>
    <w:rsid w:val="00D0429B"/>
    <w:rsid w:val="00D16B4A"/>
    <w:rsid w:val="00D16C72"/>
    <w:rsid w:val="00D245EA"/>
    <w:rsid w:val="00D24AF2"/>
    <w:rsid w:val="00D36D9D"/>
    <w:rsid w:val="00D3775B"/>
    <w:rsid w:val="00D4190F"/>
    <w:rsid w:val="00D44882"/>
    <w:rsid w:val="00D548C8"/>
    <w:rsid w:val="00D54ED4"/>
    <w:rsid w:val="00D554B6"/>
    <w:rsid w:val="00D6001B"/>
    <w:rsid w:val="00D633A3"/>
    <w:rsid w:val="00D64E07"/>
    <w:rsid w:val="00D66763"/>
    <w:rsid w:val="00D7108A"/>
    <w:rsid w:val="00D73ECD"/>
    <w:rsid w:val="00D74707"/>
    <w:rsid w:val="00D75FA7"/>
    <w:rsid w:val="00D85087"/>
    <w:rsid w:val="00D85ACE"/>
    <w:rsid w:val="00D965B9"/>
    <w:rsid w:val="00DA7383"/>
    <w:rsid w:val="00DB3586"/>
    <w:rsid w:val="00DB5C6B"/>
    <w:rsid w:val="00DC1011"/>
    <w:rsid w:val="00DC11E3"/>
    <w:rsid w:val="00DC5385"/>
    <w:rsid w:val="00DC769B"/>
    <w:rsid w:val="00DC7728"/>
    <w:rsid w:val="00DC7AB7"/>
    <w:rsid w:val="00DD3616"/>
    <w:rsid w:val="00DD622B"/>
    <w:rsid w:val="00DD6CB9"/>
    <w:rsid w:val="00DE09DA"/>
    <w:rsid w:val="00DE1BD0"/>
    <w:rsid w:val="00DE27F8"/>
    <w:rsid w:val="00DE55A6"/>
    <w:rsid w:val="00DE693B"/>
    <w:rsid w:val="00DF36FC"/>
    <w:rsid w:val="00E010D9"/>
    <w:rsid w:val="00E0238C"/>
    <w:rsid w:val="00E1444A"/>
    <w:rsid w:val="00E14905"/>
    <w:rsid w:val="00E17087"/>
    <w:rsid w:val="00E307F8"/>
    <w:rsid w:val="00E30E83"/>
    <w:rsid w:val="00E314FC"/>
    <w:rsid w:val="00E409B4"/>
    <w:rsid w:val="00E42B0B"/>
    <w:rsid w:val="00E47083"/>
    <w:rsid w:val="00E47926"/>
    <w:rsid w:val="00E52C47"/>
    <w:rsid w:val="00E53DCA"/>
    <w:rsid w:val="00E6399A"/>
    <w:rsid w:val="00E71AB0"/>
    <w:rsid w:val="00E72F4B"/>
    <w:rsid w:val="00E730FB"/>
    <w:rsid w:val="00E7635E"/>
    <w:rsid w:val="00E768AA"/>
    <w:rsid w:val="00E828B5"/>
    <w:rsid w:val="00E8785C"/>
    <w:rsid w:val="00E87AF4"/>
    <w:rsid w:val="00E91E33"/>
    <w:rsid w:val="00E95B1A"/>
    <w:rsid w:val="00EA47FF"/>
    <w:rsid w:val="00EB6DB9"/>
    <w:rsid w:val="00EB7F68"/>
    <w:rsid w:val="00EC036E"/>
    <w:rsid w:val="00EC0828"/>
    <w:rsid w:val="00EC38AE"/>
    <w:rsid w:val="00EC641A"/>
    <w:rsid w:val="00EC6B07"/>
    <w:rsid w:val="00ED0AC3"/>
    <w:rsid w:val="00ED76BF"/>
    <w:rsid w:val="00EE0D2D"/>
    <w:rsid w:val="00EE5396"/>
    <w:rsid w:val="00EE6176"/>
    <w:rsid w:val="00EF0A83"/>
    <w:rsid w:val="00EF46FE"/>
    <w:rsid w:val="00EF4BDF"/>
    <w:rsid w:val="00EF5D3D"/>
    <w:rsid w:val="00EF6363"/>
    <w:rsid w:val="00F047A9"/>
    <w:rsid w:val="00F063F4"/>
    <w:rsid w:val="00F07C3A"/>
    <w:rsid w:val="00F12C7D"/>
    <w:rsid w:val="00F15BB7"/>
    <w:rsid w:val="00F15C25"/>
    <w:rsid w:val="00F16636"/>
    <w:rsid w:val="00F17A0F"/>
    <w:rsid w:val="00F201A8"/>
    <w:rsid w:val="00F30E99"/>
    <w:rsid w:val="00F34B89"/>
    <w:rsid w:val="00F36127"/>
    <w:rsid w:val="00F37C02"/>
    <w:rsid w:val="00F43952"/>
    <w:rsid w:val="00F449CA"/>
    <w:rsid w:val="00F45551"/>
    <w:rsid w:val="00F45F44"/>
    <w:rsid w:val="00F46B15"/>
    <w:rsid w:val="00F46DCE"/>
    <w:rsid w:val="00F50C1A"/>
    <w:rsid w:val="00F51170"/>
    <w:rsid w:val="00F56078"/>
    <w:rsid w:val="00F636CC"/>
    <w:rsid w:val="00F636EC"/>
    <w:rsid w:val="00F638E9"/>
    <w:rsid w:val="00F64252"/>
    <w:rsid w:val="00F65129"/>
    <w:rsid w:val="00F66624"/>
    <w:rsid w:val="00F66BB6"/>
    <w:rsid w:val="00F66C18"/>
    <w:rsid w:val="00F7164D"/>
    <w:rsid w:val="00F74AD4"/>
    <w:rsid w:val="00F74C31"/>
    <w:rsid w:val="00F75651"/>
    <w:rsid w:val="00F760E7"/>
    <w:rsid w:val="00F7759E"/>
    <w:rsid w:val="00F822A7"/>
    <w:rsid w:val="00F8394C"/>
    <w:rsid w:val="00F83B83"/>
    <w:rsid w:val="00F860AD"/>
    <w:rsid w:val="00F90E2E"/>
    <w:rsid w:val="00FA05C8"/>
    <w:rsid w:val="00FA1112"/>
    <w:rsid w:val="00FA1C73"/>
    <w:rsid w:val="00FA2FC9"/>
    <w:rsid w:val="00FA2FE9"/>
    <w:rsid w:val="00FB2A58"/>
    <w:rsid w:val="00FB32DA"/>
    <w:rsid w:val="00FC1DE0"/>
    <w:rsid w:val="00FC48EB"/>
    <w:rsid w:val="00FC7091"/>
    <w:rsid w:val="00FD0EAB"/>
    <w:rsid w:val="00FE2A36"/>
    <w:rsid w:val="00FE47BC"/>
    <w:rsid w:val="00FF329F"/>
    <w:rsid w:val="00FF5AD3"/>
    <w:rsid w:val="1AF987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6727"/>
  <w15:docId w15:val="{A873F7E0-89E4-4626-BDB9-F1F5FAE3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62A"/>
    <w:pPr>
      <w:spacing w:after="0"/>
      <w:jc w:val="left"/>
    </w:pPr>
    <w:rPr>
      <w:rFonts w:eastAsia="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Red,Bullet EY,lp1,Bullet 1,Use Case List Paragraph,Numbering,ERP-List Paragraph,List Paragraph11"/>
    <w:basedOn w:val="Normal"/>
    <w:link w:val="ListParagraphChar"/>
    <w:uiPriority w:val="34"/>
    <w:qFormat/>
    <w:rsid w:val="0036662A"/>
    <w:pPr>
      <w:ind w:left="720"/>
      <w:contextualSpacing/>
    </w:pPr>
  </w:style>
  <w:style w:type="table" w:styleId="TableGrid">
    <w:name w:val="Table Grid"/>
    <w:basedOn w:val="TableNorma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62A"/>
    <w:rPr>
      <w:rFonts w:ascii="Tahoma" w:hAnsi="Tahoma" w:cs="Tahoma"/>
      <w:sz w:val="16"/>
      <w:szCs w:val="16"/>
    </w:rPr>
  </w:style>
  <w:style w:type="character" w:customStyle="1" w:styleId="BalloonTextChar">
    <w:name w:val="Balloon Text Char"/>
    <w:basedOn w:val="DefaultParagraphFont"/>
    <w:link w:val="BalloonText"/>
    <w:uiPriority w:val="99"/>
    <w:semiHidden/>
    <w:rsid w:val="0036662A"/>
    <w:rPr>
      <w:rFonts w:ascii="Tahoma" w:eastAsia="Times New Roman" w:hAnsi="Tahoma" w:cs="Tahoma"/>
      <w:sz w:val="16"/>
      <w:szCs w:val="16"/>
      <w:lang w:eastAsia="lt-LT"/>
    </w:rPr>
  </w:style>
  <w:style w:type="character" w:styleId="Hyperlink">
    <w:name w:val="Hyperlink"/>
    <w:basedOn w:val="DefaultParagraphFont"/>
    <w:uiPriority w:val="99"/>
    <w:unhideWhenUsed/>
    <w:rsid w:val="00E010D9"/>
    <w:rPr>
      <w:color w:val="0000FF" w:themeColor="hyperlink"/>
      <w:u w:val="single"/>
    </w:rPr>
  </w:style>
  <w:style w:type="character" w:styleId="UnresolvedMention">
    <w:name w:val="Unresolved Mention"/>
    <w:basedOn w:val="DefaultParagraphFont"/>
    <w:uiPriority w:val="99"/>
    <w:semiHidden/>
    <w:unhideWhenUsed/>
    <w:rsid w:val="00E010D9"/>
    <w:rPr>
      <w:color w:val="605E5C"/>
      <w:shd w:val="clear" w:color="auto" w:fill="E1DFDD"/>
    </w:rPr>
  </w:style>
  <w:style w:type="character" w:styleId="CommentReference">
    <w:name w:val="annotation reference"/>
    <w:basedOn w:val="DefaultParagraphFont"/>
    <w:uiPriority w:val="99"/>
    <w:semiHidden/>
    <w:unhideWhenUsed/>
    <w:rsid w:val="00C02E76"/>
    <w:rPr>
      <w:sz w:val="16"/>
      <w:szCs w:val="16"/>
    </w:rPr>
  </w:style>
  <w:style w:type="paragraph" w:styleId="CommentText">
    <w:name w:val="annotation text"/>
    <w:basedOn w:val="Normal"/>
    <w:link w:val="CommentTextChar"/>
    <w:uiPriority w:val="99"/>
    <w:unhideWhenUsed/>
    <w:rsid w:val="00C02E76"/>
    <w:rPr>
      <w:sz w:val="20"/>
    </w:rPr>
  </w:style>
  <w:style w:type="character" w:customStyle="1" w:styleId="CommentTextChar">
    <w:name w:val="Comment Text Char"/>
    <w:basedOn w:val="DefaultParagraphFont"/>
    <w:link w:val="CommentText"/>
    <w:uiPriority w:val="99"/>
    <w:rsid w:val="00C02E76"/>
    <w:rPr>
      <w:rFonts w:eastAsia="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02E76"/>
    <w:rPr>
      <w:b/>
      <w:bCs/>
    </w:rPr>
  </w:style>
  <w:style w:type="character" w:customStyle="1" w:styleId="CommentSubjectChar">
    <w:name w:val="Comment Subject Char"/>
    <w:basedOn w:val="CommentTextChar"/>
    <w:link w:val="CommentSubject"/>
    <w:uiPriority w:val="99"/>
    <w:semiHidden/>
    <w:rsid w:val="00C02E76"/>
    <w:rPr>
      <w:rFonts w:eastAsia="Times New Roman"/>
      <w:b/>
      <w:bCs/>
      <w:sz w:val="20"/>
      <w:szCs w:val="20"/>
      <w:lang w:eastAsia="lt-LT"/>
    </w:rPr>
  </w:style>
  <w:style w:type="paragraph" w:styleId="Revision">
    <w:name w:val="Revision"/>
    <w:hidden/>
    <w:uiPriority w:val="99"/>
    <w:semiHidden/>
    <w:rsid w:val="00DC11E3"/>
    <w:pPr>
      <w:spacing w:after="0"/>
      <w:jc w:val="left"/>
    </w:pPr>
    <w:rPr>
      <w:rFonts w:eastAsia="Times New Roman"/>
      <w:szCs w:val="20"/>
      <w:lang w:eastAsia="lt-LT"/>
    </w:r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
    <w:basedOn w:val="DefaultParagraphFont"/>
    <w:link w:val="ListParagraph"/>
    <w:uiPriority w:val="34"/>
    <w:locked/>
    <w:rsid w:val="00C1798F"/>
    <w:rPr>
      <w:rFonts w:eastAsia="Times New Roman"/>
      <w:szCs w:val="20"/>
      <w:lang w:eastAsia="lt-LT"/>
    </w:rPr>
  </w:style>
  <w:style w:type="paragraph" w:styleId="Header">
    <w:name w:val="header"/>
    <w:basedOn w:val="Normal"/>
    <w:link w:val="HeaderChar"/>
    <w:uiPriority w:val="99"/>
    <w:unhideWhenUsed/>
    <w:rsid w:val="003940F3"/>
    <w:pPr>
      <w:tabs>
        <w:tab w:val="center" w:pos="4819"/>
        <w:tab w:val="right" w:pos="9638"/>
      </w:tabs>
    </w:pPr>
  </w:style>
  <w:style w:type="character" w:customStyle="1" w:styleId="HeaderChar">
    <w:name w:val="Header Char"/>
    <w:basedOn w:val="DefaultParagraphFont"/>
    <w:link w:val="Header"/>
    <w:uiPriority w:val="99"/>
    <w:rsid w:val="003940F3"/>
    <w:rPr>
      <w:rFonts w:eastAsia="Times New Roman"/>
      <w:szCs w:val="20"/>
      <w:lang w:eastAsia="lt-LT"/>
    </w:rPr>
  </w:style>
  <w:style w:type="paragraph" w:styleId="Footer">
    <w:name w:val="footer"/>
    <w:basedOn w:val="Normal"/>
    <w:link w:val="FooterChar"/>
    <w:uiPriority w:val="99"/>
    <w:unhideWhenUsed/>
    <w:rsid w:val="003940F3"/>
    <w:pPr>
      <w:tabs>
        <w:tab w:val="center" w:pos="4819"/>
        <w:tab w:val="right" w:pos="9638"/>
      </w:tabs>
    </w:pPr>
  </w:style>
  <w:style w:type="character" w:customStyle="1" w:styleId="FooterChar">
    <w:name w:val="Footer Char"/>
    <w:basedOn w:val="DefaultParagraphFont"/>
    <w:link w:val="Footer"/>
    <w:uiPriority w:val="99"/>
    <w:rsid w:val="003940F3"/>
    <w:rPr>
      <w:rFonts w:eastAsia="Times New Roman"/>
      <w:szCs w:val="20"/>
      <w:lang w:eastAsia="lt-LT"/>
    </w:rPr>
  </w:style>
  <w:style w:type="paragraph" w:customStyle="1" w:styleId="Default">
    <w:name w:val="Default"/>
    <w:rsid w:val="00316DF4"/>
    <w:pPr>
      <w:autoSpaceDE w:val="0"/>
      <w:autoSpaceDN w:val="0"/>
      <w:adjustRightInd w:val="0"/>
      <w:spacing w:after="0"/>
      <w:jc w:val="left"/>
    </w:pPr>
    <w:rPr>
      <w:color w:val="000000"/>
      <w:szCs w:val="24"/>
    </w:rPr>
  </w:style>
  <w:style w:type="paragraph" w:customStyle="1" w:styleId="gmail-msolistparagraph">
    <w:name w:val="gmail-msolistparagraph"/>
    <w:basedOn w:val="Normal"/>
    <w:rsid w:val="00CE28F2"/>
    <w:pPr>
      <w:spacing w:before="100" w:beforeAutospacing="1" w:after="100" w:afterAutospacing="1"/>
    </w:pPr>
    <w:rPr>
      <w:rFonts w:ascii="Calibri" w:eastAsiaTheme="minorHAnsi" w:hAnsi="Calibri" w:cs="Calibri"/>
      <w:sz w:val="22"/>
      <w:szCs w:val="22"/>
    </w:rPr>
  </w:style>
  <w:style w:type="paragraph" w:styleId="NormalWeb">
    <w:name w:val="Normal (Web)"/>
    <w:basedOn w:val="Normal"/>
    <w:uiPriority w:val="99"/>
    <w:unhideWhenUsed/>
    <w:rsid w:val="003618F1"/>
    <w:pPr>
      <w:spacing w:before="100" w:beforeAutospacing="1" w:after="100" w:afterAutospacing="1"/>
    </w:pPr>
    <w:rPr>
      <w:szCs w:val="24"/>
    </w:rPr>
  </w:style>
  <w:style w:type="paragraph" w:customStyle="1" w:styleId="pf0">
    <w:name w:val="pf0"/>
    <w:basedOn w:val="Normal"/>
    <w:rsid w:val="00807C29"/>
    <w:pPr>
      <w:spacing w:before="100" w:beforeAutospacing="1" w:after="100" w:afterAutospacing="1"/>
    </w:pPr>
    <w:rPr>
      <w:szCs w:val="24"/>
    </w:rPr>
  </w:style>
  <w:style w:type="character" w:customStyle="1" w:styleId="cf01">
    <w:name w:val="cf01"/>
    <w:basedOn w:val="DefaultParagraphFont"/>
    <w:rsid w:val="00807C29"/>
    <w:rPr>
      <w:rFonts w:ascii="Segoe UI" w:hAnsi="Segoe UI" w:cs="Segoe UI" w:hint="default"/>
      <w:sz w:val="18"/>
      <w:szCs w:val="18"/>
    </w:rPr>
  </w:style>
  <w:style w:type="character" w:customStyle="1" w:styleId="cf11">
    <w:name w:val="cf11"/>
    <w:basedOn w:val="DefaultParagraphFont"/>
    <w:rsid w:val="00807C29"/>
    <w:rPr>
      <w:rFonts w:ascii="Segoe UI" w:hAnsi="Segoe UI" w:cs="Segoe UI" w:hint="default"/>
      <w:b/>
      <w:bCs/>
      <w:sz w:val="18"/>
      <w:szCs w:val="18"/>
    </w:rPr>
  </w:style>
  <w:style w:type="paragraph" w:customStyle="1" w:styleId="xxmsolistparagraph">
    <w:name w:val="x_xmsolistparagraph"/>
    <w:basedOn w:val="Normal"/>
    <w:rsid w:val="00947246"/>
    <w:pPr>
      <w:spacing w:after="160" w:line="252" w:lineRule="auto"/>
      <w:ind w:left="720"/>
    </w:pPr>
    <w:rPr>
      <w:rFonts w:ascii="Calibri" w:eastAsiaTheme="minorHAnsi" w:hAnsi="Calibri" w:cs="Calibri"/>
      <w:sz w:val="22"/>
      <w:szCs w:val="22"/>
    </w:rPr>
  </w:style>
  <w:style w:type="paragraph" w:customStyle="1" w:styleId="xxmsonormal">
    <w:name w:val="x_xmsonormal"/>
    <w:basedOn w:val="Normal"/>
    <w:rsid w:val="00947246"/>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65022">
      <w:bodyDiv w:val="1"/>
      <w:marLeft w:val="0"/>
      <w:marRight w:val="0"/>
      <w:marTop w:val="0"/>
      <w:marBottom w:val="0"/>
      <w:divBdr>
        <w:top w:val="none" w:sz="0" w:space="0" w:color="auto"/>
        <w:left w:val="none" w:sz="0" w:space="0" w:color="auto"/>
        <w:bottom w:val="none" w:sz="0" w:space="0" w:color="auto"/>
        <w:right w:val="none" w:sz="0" w:space="0" w:color="auto"/>
      </w:divBdr>
    </w:div>
    <w:div w:id="94596317">
      <w:bodyDiv w:val="1"/>
      <w:marLeft w:val="0"/>
      <w:marRight w:val="0"/>
      <w:marTop w:val="0"/>
      <w:marBottom w:val="0"/>
      <w:divBdr>
        <w:top w:val="none" w:sz="0" w:space="0" w:color="auto"/>
        <w:left w:val="none" w:sz="0" w:space="0" w:color="auto"/>
        <w:bottom w:val="none" w:sz="0" w:space="0" w:color="auto"/>
        <w:right w:val="none" w:sz="0" w:space="0" w:color="auto"/>
      </w:divBdr>
    </w:div>
    <w:div w:id="140007236">
      <w:bodyDiv w:val="1"/>
      <w:marLeft w:val="0"/>
      <w:marRight w:val="0"/>
      <w:marTop w:val="0"/>
      <w:marBottom w:val="0"/>
      <w:divBdr>
        <w:top w:val="none" w:sz="0" w:space="0" w:color="auto"/>
        <w:left w:val="none" w:sz="0" w:space="0" w:color="auto"/>
        <w:bottom w:val="none" w:sz="0" w:space="0" w:color="auto"/>
        <w:right w:val="none" w:sz="0" w:space="0" w:color="auto"/>
      </w:divBdr>
    </w:div>
    <w:div w:id="165482875">
      <w:bodyDiv w:val="1"/>
      <w:marLeft w:val="0"/>
      <w:marRight w:val="0"/>
      <w:marTop w:val="0"/>
      <w:marBottom w:val="0"/>
      <w:divBdr>
        <w:top w:val="none" w:sz="0" w:space="0" w:color="auto"/>
        <w:left w:val="none" w:sz="0" w:space="0" w:color="auto"/>
        <w:bottom w:val="none" w:sz="0" w:space="0" w:color="auto"/>
        <w:right w:val="none" w:sz="0" w:space="0" w:color="auto"/>
      </w:divBdr>
    </w:div>
    <w:div w:id="172843787">
      <w:bodyDiv w:val="1"/>
      <w:marLeft w:val="0"/>
      <w:marRight w:val="0"/>
      <w:marTop w:val="0"/>
      <w:marBottom w:val="0"/>
      <w:divBdr>
        <w:top w:val="none" w:sz="0" w:space="0" w:color="auto"/>
        <w:left w:val="none" w:sz="0" w:space="0" w:color="auto"/>
        <w:bottom w:val="none" w:sz="0" w:space="0" w:color="auto"/>
        <w:right w:val="none" w:sz="0" w:space="0" w:color="auto"/>
      </w:divBdr>
    </w:div>
    <w:div w:id="220945418">
      <w:bodyDiv w:val="1"/>
      <w:marLeft w:val="0"/>
      <w:marRight w:val="0"/>
      <w:marTop w:val="0"/>
      <w:marBottom w:val="0"/>
      <w:divBdr>
        <w:top w:val="none" w:sz="0" w:space="0" w:color="auto"/>
        <w:left w:val="none" w:sz="0" w:space="0" w:color="auto"/>
        <w:bottom w:val="none" w:sz="0" w:space="0" w:color="auto"/>
        <w:right w:val="none" w:sz="0" w:space="0" w:color="auto"/>
      </w:divBdr>
    </w:div>
    <w:div w:id="227888025">
      <w:bodyDiv w:val="1"/>
      <w:marLeft w:val="0"/>
      <w:marRight w:val="0"/>
      <w:marTop w:val="0"/>
      <w:marBottom w:val="0"/>
      <w:divBdr>
        <w:top w:val="none" w:sz="0" w:space="0" w:color="auto"/>
        <w:left w:val="none" w:sz="0" w:space="0" w:color="auto"/>
        <w:bottom w:val="none" w:sz="0" w:space="0" w:color="auto"/>
        <w:right w:val="none" w:sz="0" w:space="0" w:color="auto"/>
      </w:divBdr>
    </w:div>
    <w:div w:id="231814667">
      <w:bodyDiv w:val="1"/>
      <w:marLeft w:val="0"/>
      <w:marRight w:val="0"/>
      <w:marTop w:val="0"/>
      <w:marBottom w:val="0"/>
      <w:divBdr>
        <w:top w:val="none" w:sz="0" w:space="0" w:color="auto"/>
        <w:left w:val="none" w:sz="0" w:space="0" w:color="auto"/>
        <w:bottom w:val="none" w:sz="0" w:space="0" w:color="auto"/>
        <w:right w:val="none" w:sz="0" w:space="0" w:color="auto"/>
      </w:divBdr>
    </w:div>
    <w:div w:id="303892564">
      <w:bodyDiv w:val="1"/>
      <w:marLeft w:val="0"/>
      <w:marRight w:val="0"/>
      <w:marTop w:val="0"/>
      <w:marBottom w:val="0"/>
      <w:divBdr>
        <w:top w:val="none" w:sz="0" w:space="0" w:color="auto"/>
        <w:left w:val="none" w:sz="0" w:space="0" w:color="auto"/>
        <w:bottom w:val="none" w:sz="0" w:space="0" w:color="auto"/>
        <w:right w:val="none" w:sz="0" w:space="0" w:color="auto"/>
      </w:divBdr>
    </w:div>
    <w:div w:id="383525066">
      <w:bodyDiv w:val="1"/>
      <w:marLeft w:val="0"/>
      <w:marRight w:val="0"/>
      <w:marTop w:val="0"/>
      <w:marBottom w:val="0"/>
      <w:divBdr>
        <w:top w:val="none" w:sz="0" w:space="0" w:color="auto"/>
        <w:left w:val="none" w:sz="0" w:space="0" w:color="auto"/>
        <w:bottom w:val="none" w:sz="0" w:space="0" w:color="auto"/>
        <w:right w:val="none" w:sz="0" w:space="0" w:color="auto"/>
      </w:divBdr>
    </w:div>
    <w:div w:id="408961857">
      <w:bodyDiv w:val="1"/>
      <w:marLeft w:val="0"/>
      <w:marRight w:val="0"/>
      <w:marTop w:val="0"/>
      <w:marBottom w:val="0"/>
      <w:divBdr>
        <w:top w:val="none" w:sz="0" w:space="0" w:color="auto"/>
        <w:left w:val="none" w:sz="0" w:space="0" w:color="auto"/>
        <w:bottom w:val="none" w:sz="0" w:space="0" w:color="auto"/>
        <w:right w:val="none" w:sz="0" w:space="0" w:color="auto"/>
      </w:divBdr>
    </w:div>
    <w:div w:id="461073143">
      <w:bodyDiv w:val="1"/>
      <w:marLeft w:val="0"/>
      <w:marRight w:val="0"/>
      <w:marTop w:val="0"/>
      <w:marBottom w:val="0"/>
      <w:divBdr>
        <w:top w:val="none" w:sz="0" w:space="0" w:color="auto"/>
        <w:left w:val="none" w:sz="0" w:space="0" w:color="auto"/>
        <w:bottom w:val="none" w:sz="0" w:space="0" w:color="auto"/>
        <w:right w:val="none" w:sz="0" w:space="0" w:color="auto"/>
      </w:divBdr>
    </w:div>
    <w:div w:id="465664184">
      <w:bodyDiv w:val="1"/>
      <w:marLeft w:val="0"/>
      <w:marRight w:val="0"/>
      <w:marTop w:val="0"/>
      <w:marBottom w:val="0"/>
      <w:divBdr>
        <w:top w:val="none" w:sz="0" w:space="0" w:color="auto"/>
        <w:left w:val="none" w:sz="0" w:space="0" w:color="auto"/>
        <w:bottom w:val="none" w:sz="0" w:space="0" w:color="auto"/>
        <w:right w:val="none" w:sz="0" w:space="0" w:color="auto"/>
      </w:divBdr>
    </w:div>
    <w:div w:id="661197588">
      <w:bodyDiv w:val="1"/>
      <w:marLeft w:val="0"/>
      <w:marRight w:val="0"/>
      <w:marTop w:val="0"/>
      <w:marBottom w:val="0"/>
      <w:divBdr>
        <w:top w:val="none" w:sz="0" w:space="0" w:color="auto"/>
        <w:left w:val="none" w:sz="0" w:space="0" w:color="auto"/>
        <w:bottom w:val="none" w:sz="0" w:space="0" w:color="auto"/>
        <w:right w:val="none" w:sz="0" w:space="0" w:color="auto"/>
      </w:divBdr>
    </w:div>
    <w:div w:id="745147535">
      <w:bodyDiv w:val="1"/>
      <w:marLeft w:val="0"/>
      <w:marRight w:val="0"/>
      <w:marTop w:val="0"/>
      <w:marBottom w:val="0"/>
      <w:divBdr>
        <w:top w:val="none" w:sz="0" w:space="0" w:color="auto"/>
        <w:left w:val="none" w:sz="0" w:space="0" w:color="auto"/>
        <w:bottom w:val="none" w:sz="0" w:space="0" w:color="auto"/>
        <w:right w:val="none" w:sz="0" w:space="0" w:color="auto"/>
      </w:divBdr>
    </w:div>
    <w:div w:id="762651193">
      <w:bodyDiv w:val="1"/>
      <w:marLeft w:val="0"/>
      <w:marRight w:val="0"/>
      <w:marTop w:val="0"/>
      <w:marBottom w:val="0"/>
      <w:divBdr>
        <w:top w:val="none" w:sz="0" w:space="0" w:color="auto"/>
        <w:left w:val="none" w:sz="0" w:space="0" w:color="auto"/>
        <w:bottom w:val="none" w:sz="0" w:space="0" w:color="auto"/>
        <w:right w:val="none" w:sz="0" w:space="0" w:color="auto"/>
      </w:divBdr>
    </w:div>
    <w:div w:id="767434540">
      <w:bodyDiv w:val="1"/>
      <w:marLeft w:val="0"/>
      <w:marRight w:val="0"/>
      <w:marTop w:val="0"/>
      <w:marBottom w:val="0"/>
      <w:divBdr>
        <w:top w:val="none" w:sz="0" w:space="0" w:color="auto"/>
        <w:left w:val="none" w:sz="0" w:space="0" w:color="auto"/>
        <w:bottom w:val="none" w:sz="0" w:space="0" w:color="auto"/>
        <w:right w:val="none" w:sz="0" w:space="0" w:color="auto"/>
      </w:divBdr>
    </w:div>
    <w:div w:id="800655316">
      <w:bodyDiv w:val="1"/>
      <w:marLeft w:val="0"/>
      <w:marRight w:val="0"/>
      <w:marTop w:val="0"/>
      <w:marBottom w:val="0"/>
      <w:divBdr>
        <w:top w:val="none" w:sz="0" w:space="0" w:color="auto"/>
        <w:left w:val="none" w:sz="0" w:space="0" w:color="auto"/>
        <w:bottom w:val="none" w:sz="0" w:space="0" w:color="auto"/>
        <w:right w:val="none" w:sz="0" w:space="0" w:color="auto"/>
      </w:divBdr>
    </w:div>
    <w:div w:id="857279575">
      <w:bodyDiv w:val="1"/>
      <w:marLeft w:val="0"/>
      <w:marRight w:val="0"/>
      <w:marTop w:val="0"/>
      <w:marBottom w:val="0"/>
      <w:divBdr>
        <w:top w:val="none" w:sz="0" w:space="0" w:color="auto"/>
        <w:left w:val="none" w:sz="0" w:space="0" w:color="auto"/>
        <w:bottom w:val="none" w:sz="0" w:space="0" w:color="auto"/>
        <w:right w:val="none" w:sz="0" w:space="0" w:color="auto"/>
      </w:divBdr>
    </w:div>
    <w:div w:id="993333683">
      <w:bodyDiv w:val="1"/>
      <w:marLeft w:val="0"/>
      <w:marRight w:val="0"/>
      <w:marTop w:val="0"/>
      <w:marBottom w:val="0"/>
      <w:divBdr>
        <w:top w:val="none" w:sz="0" w:space="0" w:color="auto"/>
        <w:left w:val="none" w:sz="0" w:space="0" w:color="auto"/>
        <w:bottom w:val="none" w:sz="0" w:space="0" w:color="auto"/>
        <w:right w:val="none" w:sz="0" w:space="0" w:color="auto"/>
      </w:divBdr>
    </w:div>
    <w:div w:id="1019618785">
      <w:bodyDiv w:val="1"/>
      <w:marLeft w:val="0"/>
      <w:marRight w:val="0"/>
      <w:marTop w:val="0"/>
      <w:marBottom w:val="0"/>
      <w:divBdr>
        <w:top w:val="none" w:sz="0" w:space="0" w:color="auto"/>
        <w:left w:val="none" w:sz="0" w:space="0" w:color="auto"/>
        <w:bottom w:val="none" w:sz="0" w:space="0" w:color="auto"/>
        <w:right w:val="none" w:sz="0" w:space="0" w:color="auto"/>
      </w:divBdr>
    </w:div>
    <w:div w:id="1036003478">
      <w:bodyDiv w:val="1"/>
      <w:marLeft w:val="0"/>
      <w:marRight w:val="0"/>
      <w:marTop w:val="0"/>
      <w:marBottom w:val="0"/>
      <w:divBdr>
        <w:top w:val="none" w:sz="0" w:space="0" w:color="auto"/>
        <w:left w:val="none" w:sz="0" w:space="0" w:color="auto"/>
        <w:bottom w:val="none" w:sz="0" w:space="0" w:color="auto"/>
        <w:right w:val="none" w:sz="0" w:space="0" w:color="auto"/>
      </w:divBdr>
    </w:div>
    <w:div w:id="1049256562">
      <w:bodyDiv w:val="1"/>
      <w:marLeft w:val="0"/>
      <w:marRight w:val="0"/>
      <w:marTop w:val="0"/>
      <w:marBottom w:val="0"/>
      <w:divBdr>
        <w:top w:val="none" w:sz="0" w:space="0" w:color="auto"/>
        <w:left w:val="none" w:sz="0" w:space="0" w:color="auto"/>
        <w:bottom w:val="none" w:sz="0" w:space="0" w:color="auto"/>
        <w:right w:val="none" w:sz="0" w:space="0" w:color="auto"/>
      </w:divBdr>
    </w:div>
    <w:div w:id="1056515308">
      <w:bodyDiv w:val="1"/>
      <w:marLeft w:val="0"/>
      <w:marRight w:val="0"/>
      <w:marTop w:val="0"/>
      <w:marBottom w:val="0"/>
      <w:divBdr>
        <w:top w:val="none" w:sz="0" w:space="0" w:color="auto"/>
        <w:left w:val="none" w:sz="0" w:space="0" w:color="auto"/>
        <w:bottom w:val="none" w:sz="0" w:space="0" w:color="auto"/>
        <w:right w:val="none" w:sz="0" w:space="0" w:color="auto"/>
      </w:divBdr>
    </w:div>
    <w:div w:id="1078749374">
      <w:bodyDiv w:val="1"/>
      <w:marLeft w:val="0"/>
      <w:marRight w:val="0"/>
      <w:marTop w:val="0"/>
      <w:marBottom w:val="0"/>
      <w:divBdr>
        <w:top w:val="none" w:sz="0" w:space="0" w:color="auto"/>
        <w:left w:val="none" w:sz="0" w:space="0" w:color="auto"/>
        <w:bottom w:val="none" w:sz="0" w:space="0" w:color="auto"/>
        <w:right w:val="none" w:sz="0" w:space="0" w:color="auto"/>
      </w:divBdr>
    </w:div>
    <w:div w:id="1113400567">
      <w:bodyDiv w:val="1"/>
      <w:marLeft w:val="0"/>
      <w:marRight w:val="0"/>
      <w:marTop w:val="0"/>
      <w:marBottom w:val="0"/>
      <w:divBdr>
        <w:top w:val="none" w:sz="0" w:space="0" w:color="auto"/>
        <w:left w:val="none" w:sz="0" w:space="0" w:color="auto"/>
        <w:bottom w:val="none" w:sz="0" w:space="0" w:color="auto"/>
        <w:right w:val="none" w:sz="0" w:space="0" w:color="auto"/>
      </w:divBdr>
    </w:div>
    <w:div w:id="1161431738">
      <w:bodyDiv w:val="1"/>
      <w:marLeft w:val="0"/>
      <w:marRight w:val="0"/>
      <w:marTop w:val="0"/>
      <w:marBottom w:val="0"/>
      <w:divBdr>
        <w:top w:val="none" w:sz="0" w:space="0" w:color="auto"/>
        <w:left w:val="none" w:sz="0" w:space="0" w:color="auto"/>
        <w:bottom w:val="none" w:sz="0" w:space="0" w:color="auto"/>
        <w:right w:val="none" w:sz="0" w:space="0" w:color="auto"/>
      </w:divBdr>
    </w:div>
    <w:div w:id="1201629985">
      <w:bodyDiv w:val="1"/>
      <w:marLeft w:val="0"/>
      <w:marRight w:val="0"/>
      <w:marTop w:val="0"/>
      <w:marBottom w:val="0"/>
      <w:divBdr>
        <w:top w:val="none" w:sz="0" w:space="0" w:color="auto"/>
        <w:left w:val="none" w:sz="0" w:space="0" w:color="auto"/>
        <w:bottom w:val="none" w:sz="0" w:space="0" w:color="auto"/>
        <w:right w:val="none" w:sz="0" w:space="0" w:color="auto"/>
      </w:divBdr>
    </w:div>
    <w:div w:id="1216350205">
      <w:bodyDiv w:val="1"/>
      <w:marLeft w:val="0"/>
      <w:marRight w:val="0"/>
      <w:marTop w:val="0"/>
      <w:marBottom w:val="0"/>
      <w:divBdr>
        <w:top w:val="none" w:sz="0" w:space="0" w:color="auto"/>
        <w:left w:val="none" w:sz="0" w:space="0" w:color="auto"/>
        <w:bottom w:val="none" w:sz="0" w:space="0" w:color="auto"/>
        <w:right w:val="none" w:sz="0" w:space="0" w:color="auto"/>
      </w:divBdr>
    </w:div>
    <w:div w:id="1250193716">
      <w:bodyDiv w:val="1"/>
      <w:marLeft w:val="0"/>
      <w:marRight w:val="0"/>
      <w:marTop w:val="0"/>
      <w:marBottom w:val="0"/>
      <w:divBdr>
        <w:top w:val="none" w:sz="0" w:space="0" w:color="auto"/>
        <w:left w:val="none" w:sz="0" w:space="0" w:color="auto"/>
        <w:bottom w:val="none" w:sz="0" w:space="0" w:color="auto"/>
        <w:right w:val="none" w:sz="0" w:space="0" w:color="auto"/>
      </w:divBdr>
    </w:div>
    <w:div w:id="1251424846">
      <w:bodyDiv w:val="1"/>
      <w:marLeft w:val="0"/>
      <w:marRight w:val="0"/>
      <w:marTop w:val="0"/>
      <w:marBottom w:val="0"/>
      <w:divBdr>
        <w:top w:val="none" w:sz="0" w:space="0" w:color="auto"/>
        <w:left w:val="none" w:sz="0" w:space="0" w:color="auto"/>
        <w:bottom w:val="none" w:sz="0" w:space="0" w:color="auto"/>
        <w:right w:val="none" w:sz="0" w:space="0" w:color="auto"/>
      </w:divBdr>
    </w:div>
    <w:div w:id="1254244540">
      <w:bodyDiv w:val="1"/>
      <w:marLeft w:val="0"/>
      <w:marRight w:val="0"/>
      <w:marTop w:val="0"/>
      <w:marBottom w:val="0"/>
      <w:divBdr>
        <w:top w:val="none" w:sz="0" w:space="0" w:color="auto"/>
        <w:left w:val="none" w:sz="0" w:space="0" w:color="auto"/>
        <w:bottom w:val="none" w:sz="0" w:space="0" w:color="auto"/>
        <w:right w:val="none" w:sz="0" w:space="0" w:color="auto"/>
      </w:divBdr>
    </w:div>
    <w:div w:id="1369380209">
      <w:bodyDiv w:val="1"/>
      <w:marLeft w:val="0"/>
      <w:marRight w:val="0"/>
      <w:marTop w:val="0"/>
      <w:marBottom w:val="0"/>
      <w:divBdr>
        <w:top w:val="none" w:sz="0" w:space="0" w:color="auto"/>
        <w:left w:val="none" w:sz="0" w:space="0" w:color="auto"/>
        <w:bottom w:val="none" w:sz="0" w:space="0" w:color="auto"/>
        <w:right w:val="none" w:sz="0" w:space="0" w:color="auto"/>
      </w:divBdr>
    </w:div>
    <w:div w:id="1401096537">
      <w:bodyDiv w:val="1"/>
      <w:marLeft w:val="0"/>
      <w:marRight w:val="0"/>
      <w:marTop w:val="0"/>
      <w:marBottom w:val="0"/>
      <w:divBdr>
        <w:top w:val="none" w:sz="0" w:space="0" w:color="auto"/>
        <w:left w:val="none" w:sz="0" w:space="0" w:color="auto"/>
        <w:bottom w:val="none" w:sz="0" w:space="0" w:color="auto"/>
        <w:right w:val="none" w:sz="0" w:space="0" w:color="auto"/>
      </w:divBdr>
    </w:div>
    <w:div w:id="1449858653">
      <w:bodyDiv w:val="1"/>
      <w:marLeft w:val="0"/>
      <w:marRight w:val="0"/>
      <w:marTop w:val="0"/>
      <w:marBottom w:val="0"/>
      <w:divBdr>
        <w:top w:val="none" w:sz="0" w:space="0" w:color="auto"/>
        <w:left w:val="none" w:sz="0" w:space="0" w:color="auto"/>
        <w:bottom w:val="none" w:sz="0" w:space="0" w:color="auto"/>
        <w:right w:val="none" w:sz="0" w:space="0" w:color="auto"/>
      </w:divBdr>
    </w:div>
    <w:div w:id="1531527956">
      <w:bodyDiv w:val="1"/>
      <w:marLeft w:val="0"/>
      <w:marRight w:val="0"/>
      <w:marTop w:val="0"/>
      <w:marBottom w:val="0"/>
      <w:divBdr>
        <w:top w:val="none" w:sz="0" w:space="0" w:color="auto"/>
        <w:left w:val="none" w:sz="0" w:space="0" w:color="auto"/>
        <w:bottom w:val="none" w:sz="0" w:space="0" w:color="auto"/>
        <w:right w:val="none" w:sz="0" w:space="0" w:color="auto"/>
      </w:divBdr>
    </w:div>
    <w:div w:id="1569925861">
      <w:bodyDiv w:val="1"/>
      <w:marLeft w:val="0"/>
      <w:marRight w:val="0"/>
      <w:marTop w:val="0"/>
      <w:marBottom w:val="0"/>
      <w:divBdr>
        <w:top w:val="none" w:sz="0" w:space="0" w:color="auto"/>
        <w:left w:val="none" w:sz="0" w:space="0" w:color="auto"/>
        <w:bottom w:val="none" w:sz="0" w:space="0" w:color="auto"/>
        <w:right w:val="none" w:sz="0" w:space="0" w:color="auto"/>
      </w:divBdr>
    </w:div>
    <w:div w:id="1637683477">
      <w:bodyDiv w:val="1"/>
      <w:marLeft w:val="0"/>
      <w:marRight w:val="0"/>
      <w:marTop w:val="0"/>
      <w:marBottom w:val="0"/>
      <w:divBdr>
        <w:top w:val="none" w:sz="0" w:space="0" w:color="auto"/>
        <w:left w:val="none" w:sz="0" w:space="0" w:color="auto"/>
        <w:bottom w:val="none" w:sz="0" w:space="0" w:color="auto"/>
        <w:right w:val="none" w:sz="0" w:space="0" w:color="auto"/>
      </w:divBdr>
    </w:div>
    <w:div w:id="1668897795">
      <w:bodyDiv w:val="1"/>
      <w:marLeft w:val="0"/>
      <w:marRight w:val="0"/>
      <w:marTop w:val="0"/>
      <w:marBottom w:val="0"/>
      <w:divBdr>
        <w:top w:val="none" w:sz="0" w:space="0" w:color="auto"/>
        <w:left w:val="none" w:sz="0" w:space="0" w:color="auto"/>
        <w:bottom w:val="none" w:sz="0" w:space="0" w:color="auto"/>
        <w:right w:val="none" w:sz="0" w:space="0" w:color="auto"/>
      </w:divBdr>
    </w:div>
    <w:div w:id="1694921694">
      <w:bodyDiv w:val="1"/>
      <w:marLeft w:val="0"/>
      <w:marRight w:val="0"/>
      <w:marTop w:val="0"/>
      <w:marBottom w:val="0"/>
      <w:divBdr>
        <w:top w:val="none" w:sz="0" w:space="0" w:color="auto"/>
        <w:left w:val="none" w:sz="0" w:space="0" w:color="auto"/>
        <w:bottom w:val="none" w:sz="0" w:space="0" w:color="auto"/>
        <w:right w:val="none" w:sz="0" w:space="0" w:color="auto"/>
      </w:divBdr>
    </w:div>
    <w:div w:id="1702899963">
      <w:bodyDiv w:val="1"/>
      <w:marLeft w:val="0"/>
      <w:marRight w:val="0"/>
      <w:marTop w:val="0"/>
      <w:marBottom w:val="0"/>
      <w:divBdr>
        <w:top w:val="none" w:sz="0" w:space="0" w:color="auto"/>
        <w:left w:val="none" w:sz="0" w:space="0" w:color="auto"/>
        <w:bottom w:val="none" w:sz="0" w:space="0" w:color="auto"/>
        <w:right w:val="none" w:sz="0" w:space="0" w:color="auto"/>
      </w:divBdr>
    </w:div>
    <w:div w:id="1716851444">
      <w:bodyDiv w:val="1"/>
      <w:marLeft w:val="0"/>
      <w:marRight w:val="0"/>
      <w:marTop w:val="0"/>
      <w:marBottom w:val="0"/>
      <w:divBdr>
        <w:top w:val="none" w:sz="0" w:space="0" w:color="auto"/>
        <w:left w:val="none" w:sz="0" w:space="0" w:color="auto"/>
        <w:bottom w:val="none" w:sz="0" w:space="0" w:color="auto"/>
        <w:right w:val="none" w:sz="0" w:space="0" w:color="auto"/>
      </w:divBdr>
    </w:div>
    <w:div w:id="1737976010">
      <w:bodyDiv w:val="1"/>
      <w:marLeft w:val="0"/>
      <w:marRight w:val="0"/>
      <w:marTop w:val="0"/>
      <w:marBottom w:val="0"/>
      <w:divBdr>
        <w:top w:val="none" w:sz="0" w:space="0" w:color="auto"/>
        <w:left w:val="none" w:sz="0" w:space="0" w:color="auto"/>
        <w:bottom w:val="none" w:sz="0" w:space="0" w:color="auto"/>
        <w:right w:val="none" w:sz="0" w:space="0" w:color="auto"/>
      </w:divBdr>
    </w:div>
    <w:div w:id="1763062590">
      <w:bodyDiv w:val="1"/>
      <w:marLeft w:val="0"/>
      <w:marRight w:val="0"/>
      <w:marTop w:val="0"/>
      <w:marBottom w:val="0"/>
      <w:divBdr>
        <w:top w:val="none" w:sz="0" w:space="0" w:color="auto"/>
        <w:left w:val="none" w:sz="0" w:space="0" w:color="auto"/>
        <w:bottom w:val="none" w:sz="0" w:space="0" w:color="auto"/>
        <w:right w:val="none" w:sz="0" w:space="0" w:color="auto"/>
      </w:divBdr>
    </w:div>
    <w:div w:id="1992903637">
      <w:bodyDiv w:val="1"/>
      <w:marLeft w:val="0"/>
      <w:marRight w:val="0"/>
      <w:marTop w:val="0"/>
      <w:marBottom w:val="0"/>
      <w:divBdr>
        <w:top w:val="none" w:sz="0" w:space="0" w:color="auto"/>
        <w:left w:val="none" w:sz="0" w:space="0" w:color="auto"/>
        <w:bottom w:val="none" w:sz="0" w:space="0" w:color="auto"/>
        <w:right w:val="none" w:sz="0" w:space="0" w:color="auto"/>
      </w:divBdr>
    </w:div>
    <w:div w:id="1997689127">
      <w:bodyDiv w:val="1"/>
      <w:marLeft w:val="0"/>
      <w:marRight w:val="0"/>
      <w:marTop w:val="0"/>
      <w:marBottom w:val="0"/>
      <w:divBdr>
        <w:top w:val="none" w:sz="0" w:space="0" w:color="auto"/>
        <w:left w:val="none" w:sz="0" w:space="0" w:color="auto"/>
        <w:bottom w:val="none" w:sz="0" w:space="0" w:color="auto"/>
        <w:right w:val="none" w:sz="0" w:space="0" w:color="auto"/>
      </w:divBdr>
    </w:div>
    <w:div w:id="2100514381">
      <w:bodyDiv w:val="1"/>
      <w:marLeft w:val="0"/>
      <w:marRight w:val="0"/>
      <w:marTop w:val="0"/>
      <w:marBottom w:val="0"/>
      <w:divBdr>
        <w:top w:val="none" w:sz="0" w:space="0" w:color="auto"/>
        <w:left w:val="none" w:sz="0" w:space="0" w:color="auto"/>
        <w:bottom w:val="none" w:sz="0" w:space="0" w:color="auto"/>
        <w:right w:val="none" w:sz="0" w:space="0" w:color="auto"/>
      </w:divBdr>
    </w:div>
    <w:div w:id="212156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opean-digital-innovation-hubs.ec.europa.eu/edih-catalogue?f%5B0%5D=country%3ALithuani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opean-digital-innovation-hubs.ec.europa.eu/edih-catalogue?f%5B0%5D=country%3ALithuani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opean-digital-innovation-hubs.ec.europa.eu/edih-catalogue?f%5B0%5D=country%3ALithuani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DC7B2-3BA9-4B3E-820A-2B2972A87872}">
  <ds:schemaRefs>
    <ds:schemaRef ds:uri="http://schemas.microsoft.com/sharepoint/v3/contenttype/forms"/>
  </ds:schemaRefs>
</ds:datastoreItem>
</file>

<file path=customXml/itemProps2.xml><?xml version="1.0" encoding="utf-8"?>
<ds:datastoreItem xmlns:ds="http://schemas.openxmlformats.org/officeDocument/2006/customXml" ds:itemID="{738DCA48-3B40-4546-B1E3-D76316BFB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15E84C-FA8D-4B1E-A0B9-223138485345}">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4.xml><?xml version="1.0" encoding="utf-8"?>
<ds:datastoreItem xmlns:ds="http://schemas.openxmlformats.org/officeDocument/2006/customXml" ds:itemID="{6692929F-4D35-46B6-9635-23F2EC6A2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4026</Words>
  <Characters>2296</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6310</CharactersWithSpaces>
  <SharedDoc>false</SharedDoc>
  <HLinks>
    <vt:vector size="24" baseType="variant">
      <vt:variant>
        <vt:i4>18</vt:i4>
      </vt:variant>
      <vt:variant>
        <vt:i4>17</vt:i4>
      </vt:variant>
      <vt:variant>
        <vt:i4>0</vt:i4>
      </vt:variant>
      <vt:variant>
        <vt:i4>5</vt:i4>
      </vt:variant>
      <vt:variant>
        <vt:lpwstr>https://european-digital-innovation-hubs.ec.europa.eu/edih-catalogue?f%5B0%5D=country%3ALithuania</vt:lpwstr>
      </vt:variant>
      <vt:variant>
        <vt:lpwstr/>
      </vt:variant>
      <vt:variant>
        <vt:i4>18</vt:i4>
      </vt:variant>
      <vt:variant>
        <vt:i4>14</vt:i4>
      </vt:variant>
      <vt:variant>
        <vt:i4>0</vt:i4>
      </vt:variant>
      <vt:variant>
        <vt:i4>5</vt:i4>
      </vt:variant>
      <vt:variant>
        <vt:lpwstr>https://european-digital-innovation-hubs.ec.europa.eu/edih-catalogue?f%5B0%5D=country%3ALithuania</vt:lpwstr>
      </vt:variant>
      <vt:variant>
        <vt:lpwstr/>
      </vt:variant>
      <vt:variant>
        <vt:i4>5111895</vt:i4>
      </vt:variant>
      <vt:variant>
        <vt:i4>3</vt:i4>
      </vt:variant>
      <vt:variant>
        <vt:i4>0</vt:i4>
      </vt:variant>
      <vt:variant>
        <vt:i4>5</vt:i4>
      </vt:variant>
      <vt:variant>
        <vt:lpwstr>https://kam.lt/tinklu-ir-informaciniu-sistemu-direktyva/</vt:lpwstr>
      </vt:variant>
      <vt:variant>
        <vt:lpwstr/>
      </vt:variant>
      <vt:variant>
        <vt:i4>18</vt:i4>
      </vt:variant>
      <vt:variant>
        <vt:i4>0</vt:i4>
      </vt:variant>
      <vt:variant>
        <vt:i4>0</vt:i4>
      </vt:variant>
      <vt:variant>
        <vt:i4>5</vt:i4>
      </vt:variant>
      <vt:variant>
        <vt:lpwstr>https://european-digital-innovation-hubs.ec.europa.eu/edih-catalogue?f%5B0%5D=country%3ALithuania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 Zaikovska-Tomkevičienė</dc:creator>
  <cp:lastModifiedBy>Edita Rudakaitė-Šaukštel</cp:lastModifiedBy>
  <cp:revision>3</cp:revision>
  <dcterms:created xsi:type="dcterms:W3CDTF">2024-06-25T10:01:00Z</dcterms:created>
  <dcterms:modified xsi:type="dcterms:W3CDTF">2024-06-25T11:50:00Z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