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D32D8" w14:textId="3B6ABF1B" w:rsidR="008871C1" w:rsidRDefault="00D97BFF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8871C1" w:rsidRDefault="00D97BFF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8871C1" w:rsidRDefault="008871C1">
      <w:pPr>
        <w:widowControl w:val="0"/>
        <w:jc w:val="right"/>
        <w:textAlignment w:val="baseline"/>
        <w:rPr>
          <w:szCs w:val="24"/>
        </w:rPr>
      </w:pPr>
    </w:p>
    <w:p w14:paraId="664E2DAF" w14:textId="3B338B7D" w:rsidR="008871C1" w:rsidRPr="0023503B" w:rsidRDefault="0023503B" w:rsidP="0023503B">
      <w:pPr>
        <w:widowControl w:val="0"/>
        <w:jc w:val="center"/>
        <w:textAlignment w:val="baseline"/>
        <w:rPr>
          <w:b/>
          <w:bCs/>
          <w:iCs/>
          <w:szCs w:val="24"/>
        </w:rPr>
      </w:pPr>
      <w:r w:rsidRPr="0023503B">
        <w:rPr>
          <w:b/>
          <w:bCs/>
          <w:iCs/>
          <w:szCs w:val="24"/>
        </w:rPr>
        <w:t>LIETUVOS RESPUBLIKOS SOCIALINĖS APSAUGOS IR DARBO MINISTERIJA</w:t>
      </w:r>
    </w:p>
    <w:p w14:paraId="5B9AC0C8" w14:textId="60316781" w:rsidR="008871C1" w:rsidRDefault="00D97BF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</w:t>
      </w:r>
    </w:p>
    <w:p w14:paraId="5AE29B7C" w14:textId="43549ECF" w:rsidR="008871C1" w:rsidRDefault="00D97BF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8871C1" w:rsidRDefault="008871C1">
      <w:pPr>
        <w:widowControl w:val="0"/>
        <w:textAlignment w:val="baseline"/>
        <w:rPr>
          <w:szCs w:val="24"/>
        </w:rPr>
      </w:pPr>
    </w:p>
    <w:p w14:paraId="084D70BE" w14:textId="77777777" w:rsidR="00990D1F" w:rsidRDefault="00990D1F" w:rsidP="00990D1F">
      <w:pPr>
        <w:rPr>
          <w:szCs w:val="24"/>
        </w:rPr>
      </w:pPr>
      <w:r w:rsidRPr="008D0A86">
        <w:rPr>
          <w:szCs w:val="24"/>
        </w:rPr>
        <w:t>Lietuvos Respublikos ekonomikos ir inovacijų ministerijai</w:t>
      </w:r>
    </w:p>
    <w:p w14:paraId="1DEAE1BF" w14:textId="42FDD958" w:rsidR="00990D1F" w:rsidRPr="008D0A86" w:rsidRDefault="00990D1F" w:rsidP="00990D1F">
      <w:pPr>
        <w:rPr>
          <w:szCs w:val="24"/>
        </w:rPr>
      </w:pPr>
      <w:r w:rsidRPr="008D0A86">
        <w:rPr>
          <w:szCs w:val="24"/>
        </w:rPr>
        <w:t>V</w:t>
      </w:r>
      <w:r w:rsidR="00843A15">
        <w:rPr>
          <w:szCs w:val="24"/>
        </w:rPr>
        <w:t>iešajai įstaigai</w:t>
      </w:r>
      <w:r w:rsidRPr="008D0A86">
        <w:rPr>
          <w:szCs w:val="24"/>
        </w:rPr>
        <w:t xml:space="preserve"> Centrinei projektų valdymo agentūrai</w:t>
      </w:r>
    </w:p>
    <w:p w14:paraId="56E3231E" w14:textId="77777777" w:rsidR="00990D1F" w:rsidRPr="00CD141A" w:rsidRDefault="00990D1F" w:rsidP="00990D1F">
      <w:pPr>
        <w:jc w:val="both"/>
        <w:rPr>
          <w:szCs w:val="24"/>
        </w:rPr>
      </w:pPr>
      <w:r w:rsidRPr="00CD141A">
        <w:rPr>
          <w:szCs w:val="24"/>
        </w:rPr>
        <w:t>UŽDARAJAI AKCINEI BENDROVEI „INVESTICIJŲ IR VERSLO GARANTIJOS“</w:t>
      </w:r>
    </w:p>
    <w:p w14:paraId="62C721B8" w14:textId="752FB0EC" w:rsidR="00990D1F" w:rsidRDefault="00843A15" w:rsidP="00990D1F">
      <w:pPr>
        <w:rPr>
          <w:szCs w:val="24"/>
        </w:rPr>
      </w:pPr>
      <w:r>
        <w:rPr>
          <w:szCs w:val="24"/>
        </w:rPr>
        <w:t>Viešajai įstaigai Inovacijų agentūrai</w:t>
      </w:r>
    </w:p>
    <w:p w14:paraId="1EA47AC8" w14:textId="1698D2CE" w:rsidR="008871C1" w:rsidRDefault="00D97BFF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8871C1" w:rsidRDefault="00D97BFF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8871C1" w:rsidRDefault="008871C1">
      <w:pPr>
        <w:widowControl w:val="0"/>
        <w:textAlignment w:val="baseline"/>
        <w:rPr>
          <w:szCs w:val="24"/>
        </w:rPr>
      </w:pPr>
    </w:p>
    <w:p w14:paraId="7534FC61" w14:textId="4C2F64DB" w:rsidR="008871C1" w:rsidRDefault="00D97BFF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8871C1" w:rsidRDefault="008871C1">
      <w:pPr>
        <w:widowControl w:val="0"/>
        <w:jc w:val="center"/>
        <w:textAlignment w:val="baseline"/>
        <w:rPr>
          <w:szCs w:val="24"/>
        </w:rPr>
      </w:pPr>
    </w:p>
    <w:p w14:paraId="2EE47239" w14:textId="0A8869E7" w:rsidR="008871C1" w:rsidRDefault="00D97BF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5ED4">
        <w:rPr>
          <w:szCs w:val="24"/>
          <w:lang w:val="en-US"/>
        </w:rPr>
        <w:t>24</w:t>
      </w:r>
      <w:r>
        <w:rPr>
          <w:szCs w:val="24"/>
        </w:rPr>
        <w:t xml:space="preserve"> m. </w:t>
      </w:r>
      <w:r w:rsidR="00E75ED4">
        <w:rPr>
          <w:szCs w:val="24"/>
        </w:rPr>
        <w:t xml:space="preserve">liepos 5 </w:t>
      </w:r>
      <w:r>
        <w:rPr>
          <w:szCs w:val="24"/>
        </w:rPr>
        <w:t>d.</w:t>
      </w:r>
    </w:p>
    <w:p w14:paraId="523DCB94" w14:textId="77777777" w:rsidR="008871C1" w:rsidRDefault="008871C1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8871C1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8871C1" w:rsidRDefault="00D97BF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1907F899" w:rsidR="008871C1" w:rsidRDefault="0023503B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>
              <w:rPr>
                <w:i/>
                <w:szCs w:val="24"/>
              </w:rPr>
              <w:t>Lietuvos Respublikos socialinės apsaugos ir darbo ministerija</w:t>
            </w:r>
          </w:p>
        </w:tc>
      </w:tr>
      <w:tr w:rsidR="008871C1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8871C1" w:rsidRDefault="00D97BF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0BD5E92" w14:textId="4B5990E5" w:rsidR="008871C1" w:rsidRPr="00B3389A" w:rsidRDefault="0023503B" w:rsidP="0023503B">
            <w:pPr>
              <w:ind w:right="-57"/>
              <w:rPr>
                <w:i/>
                <w:szCs w:val="24"/>
              </w:rPr>
            </w:pPr>
            <w:r w:rsidRPr="00B3389A">
              <w:rPr>
                <w:i/>
                <w:szCs w:val="24"/>
              </w:rPr>
              <w:t>Subsidijų darbo užmokesčiui teikimas Verslumo skatinimo fondo (toliau – VSF) paskolų gavėjams</w:t>
            </w:r>
          </w:p>
        </w:tc>
      </w:tr>
      <w:tr w:rsidR="008871C1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8871C1" w:rsidRDefault="00D97BF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327C1B71" w:rsidR="008871C1" w:rsidRPr="00B3389A" w:rsidRDefault="0023503B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B3389A">
              <w:rPr>
                <w:i/>
                <w:color w:val="000000"/>
                <w:szCs w:val="24"/>
                <w:shd w:val="clear" w:color="auto" w:fill="DBE5F1"/>
              </w:rPr>
              <w:t>9,82</w:t>
            </w:r>
          </w:p>
        </w:tc>
      </w:tr>
      <w:tr w:rsidR="008871C1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8871C1" w:rsidRDefault="00D97BF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196F4F54" w14:textId="19F106B8" w:rsidR="0023503B" w:rsidRPr="00B3389A" w:rsidRDefault="0023503B">
            <w:pPr>
              <w:jc w:val="both"/>
              <w:rPr>
                <w:i/>
                <w:color w:val="000000"/>
                <w:szCs w:val="24"/>
                <w:lang w:eastAsia="lt-LT"/>
              </w:rPr>
            </w:pPr>
            <w:r w:rsidRPr="00B3389A">
              <w:rPr>
                <w:i/>
                <w:color w:val="000000"/>
                <w:szCs w:val="24"/>
                <w:lang w:eastAsia="lt-LT"/>
              </w:rPr>
              <w:t>2021–2027 m. ES struktūrinių fondų lėšos;</w:t>
            </w:r>
          </w:p>
          <w:p w14:paraId="0E10E3DE" w14:textId="4E9B92AA" w:rsidR="008871C1" w:rsidRPr="00B3389A" w:rsidRDefault="0023503B">
            <w:pPr>
              <w:jc w:val="both"/>
              <w:rPr>
                <w:i/>
                <w:szCs w:val="24"/>
              </w:rPr>
            </w:pPr>
            <w:r w:rsidRPr="00B3389A">
              <w:rPr>
                <w:i/>
                <w:color w:val="000000"/>
                <w:szCs w:val="24"/>
                <w:lang w:eastAsia="lt-LT"/>
              </w:rPr>
              <w:t xml:space="preserve">2021–2027 m. ES struktūrinių fondų </w:t>
            </w:r>
            <w:r w:rsidRPr="00B3389A">
              <w:rPr>
                <w:i/>
                <w:szCs w:val="24"/>
              </w:rPr>
              <w:t>bendrojo finansavimo lėšos.</w:t>
            </w:r>
          </w:p>
        </w:tc>
      </w:tr>
      <w:tr w:rsidR="008871C1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8871C1" w:rsidRDefault="00D97BF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716DA81D" w:rsidR="008871C1" w:rsidRPr="00B3389A" w:rsidRDefault="0023503B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B3389A">
              <w:rPr>
                <w:i/>
                <w:szCs w:val="24"/>
              </w:rPr>
              <w:t>4.1.4. Plėtoti savarankišką užimtumą ir darbo vietų kūrimą</w:t>
            </w:r>
          </w:p>
        </w:tc>
      </w:tr>
      <w:tr w:rsidR="008871C1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8871C1" w:rsidRDefault="00D97BF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1BFB854A" w14:textId="77777777" w:rsidR="008871C1" w:rsidRDefault="00D97BF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8871C1" w:rsidRDefault="00D97BF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5CBBA608" w:rsidR="008871C1" w:rsidRDefault="0023503B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x</w:t>
            </w:r>
            <w:r>
              <w:rPr>
                <w:szCs w:val="24"/>
              </w:rPr>
              <w:t xml:space="preserve"> Tęstinės projektų atrankos</w:t>
            </w:r>
          </w:p>
          <w:p w14:paraId="34CC3669" w14:textId="77777777" w:rsidR="008871C1" w:rsidRDefault="00D97BF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bCs/>
                <w:szCs w:val="24"/>
                <w:lang w:eastAsia="lt-LT"/>
              </w:rPr>
              <w:t xml:space="preserve"> Finansinė priemonė</w:t>
            </w:r>
          </w:p>
          <w:p w14:paraId="19502A19" w14:textId="7C41E46A" w:rsidR="008871C1" w:rsidRDefault="00D97BFF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(Pažymimas vienas iš projektų atrankos būdų (finansavimo forma žymima, kai įgyvendinamos finansinės priemonės).)</w:t>
            </w:r>
          </w:p>
        </w:tc>
      </w:tr>
    </w:tbl>
    <w:p w14:paraId="2A20A757" w14:textId="77777777" w:rsidR="008871C1" w:rsidRDefault="008871C1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788"/>
      </w:tblGrid>
      <w:tr w:rsidR="008871C1" w14:paraId="51B3363E" w14:textId="77777777">
        <w:tc>
          <w:tcPr>
            <w:tcW w:w="6629" w:type="dxa"/>
            <w:shd w:val="clear" w:color="auto" w:fill="auto"/>
          </w:tcPr>
          <w:p w14:paraId="41C0751E" w14:textId="3881BC77" w:rsidR="008871C1" w:rsidRDefault="00D97BF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 w:rsidR="0023503B">
              <w:rPr>
                <w:b/>
                <w:bCs/>
                <w:szCs w:val="24"/>
                <w:lang w:eastAsia="lt-LT"/>
              </w:rPr>
              <w:t>x</w:t>
            </w:r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0F59E8CD" w14:textId="77777777" w:rsidR="008871C1" w:rsidRDefault="00D97BF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0744BF57" w14:textId="77777777" w:rsidR="008871C1" w:rsidRDefault="00D97BFF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788" w:type="dxa"/>
            <w:shd w:val="clear" w:color="auto" w:fill="auto"/>
          </w:tcPr>
          <w:p w14:paraId="736D2F4A" w14:textId="6A0633AB" w:rsidR="008871C1" w:rsidRDefault="0023503B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x Nustatymas</w:t>
            </w:r>
          </w:p>
          <w:p w14:paraId="3EBC1D0C" w14:textId="4F0CFC23" w:rsidR="008871C1" w:rsidRDefault="00D97BF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8871C1" w14:paraId="6C9B72A7" w14:textId="77777777">
        <w:tc>
          <w:tcPr>
            <w:tcW w:w="6629" w:type="dxa"/>
            <w:shd w:val="clear" w:color="auto" w:fill="auto"/>
            <w:vAlign w:val="center"/>
          </w:tcPr>
          <w:p w14:paraId="6334BD0A" w14:textId="6FE24095" w:rsidR="008871C1" w:rsidRDefault="00D97BF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794524A3" w14:textId="1E4EDD4A" w:rsidR="008871C1" w:rsidRPr="00E44737" w:rsidRDefault="0079376C" w:rsidP="006A6CE8">
            <w:pPr>
              <w:pStyle w:val="Sraopastraip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E44737">
              <w:rPr>
                <w:i/>
                <w:iCs/>
                <w:szCs w:val="24"/>
              </w:rPr>
              <w:t xml:space="preserve">Pareiškėjas yra </w:t>
            </w:r>
            <w:r w:rsidR="003333D2" w:rsidRPr="00E44737">
              <w:rPr>
                <w:i/>
                <w:iCs/>
                <w:szCs w:val="24"/>
              </w:rPr>
              <w:t>VSF</w:t>
            </w:r>
            <w:r w:rsidRPr="00E44737">
              <w:rPr>
                <w:i/>
                <w:iCs/>
                <w:szCs w:val="24"/>
              </w:rPr>
              <w:t xml:space="preserve"> paskolos gavėjas, gavęs ir panaudojęs gautą paskolą</w:t>
            </w:r>
            <w:r w:rsidR="00287DED" w:rsidRPr="00E44737">
              <w:rPr>
                <w:i/>
                <w:iCs/>
                <w:szCs w:val="24"/>
              </w:rPr>
              <w:t xml:space="preserve"> pagal skatinamąją </w:t>
            </w:r>
            <w:r w:rsidR="00AB12F5" w:rsidRPr="00E44737">
              <w:rPr>
                <w:i/>
                <w:iCs/>
                <w:color w:val="000000"/>
              </w:rPr>
              <w:t>finansinę priemonę „Verslumo skatinimas 3“</w:t>
            </w:r>
            <w:r w:rsidR="00C00715" w:rsidRPr="00E44737">
              <w:rPr>
                <w:i/>
                <w:iCs/>
                <w:color w:val="000000"/>
              </w:rPr>
              <w:t xml:space="preserve"> (toliau – VSF3</w:t>
            </w:r>
            <w:r w:rsidR="00E36129" w:rsidRPr="00E44737">
              <w:rPr>
                <w:i/>
                <w:iCs/>
                <w:color w:val="000000"/>
              </w:rPr>
              <w:t xml:space="preserve"> priemonė</w:t>
            </w:r>
            <w:r w:rsidR="00C00715" w:rsidRPr="00E44737">
              <w:rPr>
                <w:i/>
                <w:iCs/>
                <w:color w:val="000000"/>
              </w:rPr>
              <w:t>).</w:t>
            </w:r>
          </w:p>
        </w:tc>
      </w:tr>
      <w:tr w:rsidR="008871C1" w14:paraId="225452A9" w14:textId="77777777">
        <w:tc>
          <w:tcPr>
            <w:tcW w:w="6629" w:type="dxa"/>
            <w:shd w:val="clear" w:color="auto" w:fill="auto"/>
            <w:vAlign w:val="center"/>
          </w:tcPr>
          <w:p w14:paraId="228A712C" w14:textId="56261FD1" w:rsidR="008871C1" w:rsidRDefault="00D97BF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74595665" w14:textId="31C50246" w:rsidR="008871C1" w:rsidRPr="00641254" w:rsidRDefault="0079376C" w:rsidP="0079376C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>
              <w:rPr>
                <w:bCs/>
                <w:i/>
                <w:szCs w:val="24"/>
                <w:lang w:eastAsia="lt-LT"/>
              </w:rPr>
              <w:t xml:space="preserve">Vertinama </w:t>
            </w:r>
            <w:r w:rsidR="003333D2">
              <w:rPr>
                <w:bCs/>
                <w:i/>
                <w:szCs w:val="24"/>
                <w:lang w:eastAsia="lt-LT"/>
              </w:rPr>
              <w:t xml:space="preserve">jungtinio projekto </w:t>
            </w:r>
            <w:r w:rsidR="00641254">
              <w:rPr>
                <w:bCs/>
                <w:i/>
                <w:szCs w:val="24"/>
                <w:lang w:eastAsia="lt-LT"/>
              </w:rPr>
              <w:t xml:space="preserve">(toliau – JP) </w:t>
            </w:r>
            <w:r w:rsidR="003333D2">
              <w:rPr>
                <w:bCs/>
                <w:i/>
                <w:szCs w:val="24"/>
                <w:lang w:eastAsia="lt-LT"/>
              </w:rPr>
              <w:t xml:space="preserve">vykdytojo nustatytos formos </w:t>
            </w:r>
            <w:r w:rsidRPr="0079376C">
              <w:rPr>
                <w:bCs/>
                <w:i/>
                <w:szCs w:val="24"/>
                <w:lang w:eastAsia="lt-LT"/>
              </w:rPr>
              <w:t>p</w:t>
            </w:r>
            <w:r w:rsidRPr="0079376C">
              <w:rPr>
                <w:i/>
                <w:szCs w:val="24"/>
              </w:rPr>
              <w:t xml:space="preserve">ažymoje apie </w:t>
            </w:r>
            <w:r w:rsidR="0001389F">
              <w:rPr>
                <w:i/>
                <w:szCs w:val="24"/>
              </w:rPr>
              <w:t xml:space="preserve">VSF3 priemonės </w:t>
            </w:r>
            <w:r w:rsidRPr="0079376C">
              <w:rPr>
                <w:i/>
                <w:szCs w:val="24"/>
              </w:rPr>
              <w:t>paskolos panaudojimą pateikta informacija</w:t>
            </w:r>
            <w:r w:rsidR="00641254">
              <w:rPr>
                <w:i/>
                <w:szCs w:val="24"/>
              </w:rPr>
              <w:t xml:space="preserve"> apie JP projekto pareiškėjui suteiktos paskolos dydį ir faktinį panaudojimą</w:t>
            </w:r>
            <w:r w:rsidR="003333D2">
              <w:rPr>
                <w:i/>
                <w:szCs w:val="24"/>
              </w:rPr>
              <w:t xml:space="preserve">. </w:t>
            </w:r>
            <w:r w:rsidRPr="0079376C">
              <w:rPr>
                <w:i/>
                <w:szCs w:val="24"/>
              </w:rPr>
              <w:t>Pažyma turi būti pasirašyta</w:t>
            </w:r>
            <w:r w:rsidR="00641254">
              <w:rPr>
                <w:i/>
                <w:szCs w:val="24"/>
              </w:rPr>
              <w:t xml:space="preserve"> JP projekto</w:t>
            </w:r>
            <w:r w:rsidRPr="0079376C">
              <w:rPr>
                <w:i/>
                <w:szCs w:val="24"/>
              </w:rPr>
              <w:t xml:space="preserve"> pareiškėjo ir patvirtinta paskolą išdavusios finansinės institucijos. </w:t>
            </w:r>
          </w:p>
        </w:tc>
      </w:tr>
      <w:tr w:rsidR="008871C1" w14:paraId="394004C0" w14:textId="77777777">
        <w:tc>
          <w:tcPr>
            <w:tcW w:w="6629" w:type="dxa"/>
            <w:shd w:val="clear" w:color="auto" w:fill="auto"/>
            <w:vAlign w:val="center"/>
          </w:tcPr>
          <w:p w14:paraId="17F3DB83" w14:textId="4623DD08" w:rsidR="008871C1" w:rsidRDefault="00D97BF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01E7EB71" w14:textId="6F25B0A4" w:rsidR="008871C1" w:rsidRPr="00E573FD" w:rsidRDefault="00897912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val="en-US"/>
              </w:rPr>
            </w:pPr>
            <w:r w:rsidRPr="004159ED">
              <w:rPr>
                <w:i/>
                <w:iCs/>
                <w:color w:val="000000"/>
              </w:rPr>
              <w:t xml:space="preserve">Įgyvendinant </w:t>
            </w:r>
            <w:r w:rsidR="00775513" w:rsidRPr="004159ED">
              <w:rPr>
                <w:i/>
                <w:iCs/>
                <w:color w:val="000000"/>
              </w:rPr>
              <w:t>2021–2030 metų plėtros programos valdytojos Lietuvos Respublikos socialinės apsaugos ir darbo ministerijos įtraukios darbo rinkos</w:t>
            </w:r>
            <w:r w:rsidR="00775513" w:rsidRPr="004159ED">
              <w:rPr>
                <w:b/>
                <w:bCs/>
                <w:i/>
                <w:iCs/>
                <w:color w:val="000000"/>
              </w:rPr>
              <w:t> </w:t>
            </w:r>
            <w:r w:rsidR="00775513" w:rsidRPr="004159ED">
              <w:rPr>
                <w:i/>
                <w:iCs/>
                <w:color w:val="000000"/>
              </w:rPr>
              <w:t>plėtros programos pažangos</w:t>
            </w:r>
            <w:r w:rsidRPr="004159ED">
              <w:rPr>
                <w:i/>
                <w:iCs/>
                <w:color w:val="000000"/>
              </w:rPr>
              <w:t xml:space="preserve"> </w:t>
            </w:r>
            <w:r w:rsidR="00775513" w:rsidRPr="004159ED">
              <w:rPr>
                <w:i/>
                <w:iCs/>
                <w:color w:val="000000"/>
              </w:rPr>
              <w:t>priemonės</w:t>
            </w:r>
            <w:r w:rsidRPr="004159ED">
              <w:rPr>
                <w:i/>
                <w:iCs/>
                <w:color w:val="000000"/>
              </w:rPr>
              <w:t xml:space="preserve"> </w:t>
            </w:r>
            <w:r w:rsidR="00775513" w:rsidRPr="004159ED">
              <w:rPr>
                <w:i/>
                <w:iCs/>
                <w:color w:val="000000"/>
              </w:rPr>
              <w:t>Nr. 09-001-02-03-03 „Skatinti verslumą“ </w:t>
            </w:r>
            <w:r w:rsidRPr="004159ED">
              <w:rPr>
                <w:i/>
                <w:iCs/>
                <w:color w:val="000000"/>
              </w:rPr>
              <w:t xml:space="preserve">veiklą </w:t>
            </w:r>
            <w:r w:rsidR="004159ED">
              <w:rPr>
                <w:i/>
                <w:szCs w:val="24"/>
              </w:rPr>
              <w:t>„</w:t>
            </w:r>
            <w:r w:rsidRPr="00B3389A">
              <w:rPr>
                <w:i/>
                <w:szCs w:val="24"/>
              </w:rPr>
              <w:t xml:space="preserve">Subsidijų darbo užmokesčiui teikimas </w:t>
            </w:r>
            <w:r w:rsidR="00936A10">
              <w:rPr>
                <w:i/>
                <w:szCs w:val="24"/>
              </w:rPr>
              <w:t>VSF paskolų gavėjams</w:t>
            </w:r>
            <w:r w:rsidR="004159ED">
              <w:rPr>
                <w:i/>
                <w:szCs w:val="24"/>
              </w:rPr>
              <w:t>“</w:t>
            </w:r>
            <w:r w:rsidR="00936A10">
              <w:rPr>
                <w:i/>
                <w:szCs w:val="24"/>
              </w:rPr>
              <w:t xml:space="preserve"> </w:t>
            </w:r>
            <w:r w:rsidR="0079376C">
              <w:rPr>
                <w:bCs/>
                <w:i/>
                <w:szCs w:val="24"/>
                <w:lang w:eastAsia="lt-LT"/>
              </w:rPr>
              <w:t xml:space="preserve">siekiama naujai </w:t>
            </w:r>
            <w:r w:rsidR="00534FCC">
              <w:rPr>
                <w:bCs/>
                <w:i/>
                <w:szCs w:val="24"/>
                <w:lang w:eastAsia="lt-LT"/>
              </w:rPr>
              <w:t xml:space="preserve">įsisteigusioms SVV įmonėms, pasinaudojusioms </w:t>
            </w:r>
            <w:r w:rsidR="00095AE6">
              <w:rPr>
                <w:bCs/>
                <w:i/>
                <w:szCs w:val="24"/>
                <w:lang w:eastAsia="lt-LT"/>
              </w:rPr>
              <w:t>VSF</w:t>
            </w:r>
            <w:r w:rsidR="00534FCC">
              <w:rPr>
                <w:bCs/>
                <w:i/>
                <w:szCs w:val="24"/>
                <w:lang w:eastAsia="lt-LT"/>
              </w:rPr>
              <w:t xml:space="preserve"> paskola,</w:t>
            </w:r>
            <w:r w:rsidR="00E256A8">
              <w:rPr>
                <w:bCs/>
                <w:i/>
                <w:szCs w:val="24"/>
                <w:lang w:eastAsia="lt-LT"/>
              </w:rPr>
              <w:t xml:space="preserve"> </w:t>
            </w:r>
            <w:r w:rsidR="006F600B">
              <w:rPr>
                <w:bCs/>
                <w:i/>
                <w:szCs w:val="24"/>
                <w:lang w:eastAsia="lt-LT"/>
              </w:rPr>
              <w:t xml:space="preserve">pagal </w:t>
            </w:r>
            <w:r w:rsidR="00C36B40">
              <w:rPr>
                <w:bCs/>
                <w:i/>
                <w:szCs w:val="24"/>
                <w:lang w:eastAsia="lt-LT"/>
              </w:rPr>
              <w:t xml:space="preserve">VSF3 priemonę, </w:t>
            </w:r>
            <w:r w:rsidR="00E256A8">
              <w:rPr>
                <w:bCs/>
                <w:i/>
                <w:szCs w:val="24"/>
                <w:lang w:eastAsia="lt-LT"/>
              </w:rPr>
              <w:t>padėti įsitvirtinti veiklos pradžioje</w:t>
            </w:r>
            <w:r w:rsidR="00E155FE">
              <w:rPr>
                <w:bCs/>
                <w:i/>
                <w:szCs w:val="24"/>
                <w:lang w:eastAsia="lt-LT"/>
              </w:rPr>
              <w:t>,</w:t>
            </w:r>
            <w:r w:rsidR="00534FCC">
              <w:rPr>
                <w:bCs/>
                <w:i/>
                <w:szCs w:val="24"/>
                <w:lang w:eastAsia="lt-LT"/>
              </w:rPr>
              <w:t xml:space="preserve"> tokiu būdu padidinant jų galimybes sėkmingai veikti ir sumažinti bankroto tikimybę tada, kai rizikos yra didžiausios. </w:t>
            </w:r>
            <w:r w:rsidR="00F43256">
              <w:rPr>
                <w:bCs/>
                <w:i/>
                <w:szCs w:val="24"/>
                <w:lang w:eastAsia="lt-LT"/>
              </w:rPr>
              <w:t>ESF</w:t>
            </w:r>
            <w:r w:rsidR="00F43256">
              <w:rPr>
                <w:bCs/>
                <w:i/>
                <w:szCs w:val="24"/>
                <w:lang w:val="en-US" w:eastAsia="lt-LT"/>
              </w:rPr>
              <w:t xml:space="preserve">+ </w:t>
            </w:r>
            <w:r w:rsidR="00F43256">
              <w:rPr>
                <w:bCs/>
                <w:i/>
                <w:szCs w:val="24"/>
                <w:lang w:eastAsia="lt-LT"/>
              </w:rPr>
              <w:t>lėšomis finansuojama p</w:t>
            </w:r>
            <w:r w:rsidR="00534FCC">
              <w:rPr>
                <w:bCs/>
                <w:i/>
                <w:szCs w:val="24"/>
                <w:lang w:eastAsia="lt-LT"/>
              </w:rPr>
              <w:t>riemonė pad</w:t>
            </w:r>
            <w:r w:rsidR="00AF4BF4">
              <w:rPr>
                <w:bCs/>
                <w:i/>
                <w:szCs w:val="24"/>
                <w:lang w:eastAsia="lt-LT"/>
              </w:rPr>
              <w:t>ės</w:t>
            </w:r>
            <w:r w:rsidR="00534FCC">
              <w:rPr>
                <w:bCs/>
                <w:i/>
                <w:szCs w:val="24"/>
                <w:lang w:eastAsia="lt-LT"/>
              </w:rPr>
              <w:t xml:space="preserve"> laikinai </w:t>
            </w:r>
            <w:r w:rsidR="001F6902">
              <w:rPr>
                <w:bCs/>
                <w:i/>
                <w:szCs w:val="24"/>
                <w:lang w:eastAsia="lt-LT"/>
              </w:rPr>
              <w:t xml:space="preserve">(iki </w:t>
            </w:r>
            <w:r w:rsidR="001F6902">
              <w:rPr>
                <w:bCs/>
                <w:i/>
                <w:szCs w:val="24"/>
                <w:lang w:val="en-US" w:eastAsia="lt-LT"/>
              </w:rPr>
              <w:t>18 m</w:t>
            </w:r>
            <w:r w:rsidR="001F6902">
              <w:rPr>
                <w:bCs/>
                <w:i/>
                <w:szCs w:val="24"/>
                <w:lang w:eastAsia="lt-LT"/>
              </w:rPr>
              <w:t xml:space="preserve">ėn.) </w:t>
            </w:r>
            <w:r w:rsidR="00534FCC">
              <w:rPr>
                <w:bCs/>
                <w:i/>
                <w:szCs w:val="24"/>
                <w:lang w:eastAsia="lt-LT"/>
              </w:rPr>
              <w:t>sumažinti darbuotojų išlaikymo kaštus, taip pat prisid</w:t>
            </w:r>
            <w:r w:rsidR="009B353C">
              <w:rPr>
                <w:bCs/>
                <w:i/>
                <w:szCs w:val="24"/>
                <w:lang w:eastAsia="lt-LT"/>
              </w:rPr>
              <w:t>ės</w:t>
            </w:r>
            <w:r w:rsidR="00534FCC">
              <w:rPr>
                <w:bCs/>
                <w:i/>
                <w:szCs w:val="24"/>
                <w:lang w:eastAsia="lt-LT"/>
              </w:rPr>
              <w:t xml:space="preserve"> prie naujų darbo vietų kūrimo, ypač su sunkumais darbo rinkoje susiduriantiems asmenims</w:t>
            </w:r>
            <w:r w:rsidR="00142A89">
              <w:rPr>
                <w:bCs/>
                <w:i/>
                <w:szCs w:val="24"/>
                <w:lang w:eastAsia="lt-LT"/>
              </w:rPr>
              <w:t>.</w:t>
            </w:r>
            <w:r w:rsidR="00534FCC">
              <w:rPr>
                <w:bCs/>
                <w:i/>
                <w:szCs w:val="24"/>
                <w:lang w:eastAsia="lt-LT"/>
              </w:rPr>
              <w:t xml:space="preserve"> </w:t>
            </w:r>
            <w:r w:rsidR="00003DB4">
              <w:rPr>
                <w:bCs/>
                <w:i/>
                <w:szCs w:val="24"/>
                <w:lang w:eastAsia="lt-LT"/>
              </w:rPr>
              <w:t>Darbo užmokestis</w:t>
            </w:r>
            <w:r w:rsidR="009853AF">
              <w:rPr>
                <w:bCs/>
                <w:i/>
                <w:szCs w:val="24"/>
                <w:lang w:eastAsia="lt-LT"/>
              </w:rPr>
              <w:t xml:space="preserve"> bus kompensuojamas pagal </w:t>
            </w:r>
            <w:r w:rsidR="00142A89">
              <w:rPr>
                <w:bCs/>
                <w:i/>
                <w:szCs w:val="24"/>
                <w:lang w:eastAsia="lt-LT"/>
              </w:rPr>
              <w:t>fiksuotąjį įkainį</w:t>
            </w:r>
            <w:r w:rsidR="004C3774">
              <w:rPr>
                <w:bCs/>
                <w:i/>
                <w:szCs w:val="24"/>
                <w:lang w:eastAsia="lt-LT"/>
              </w:rPr>
              <w:t xml:space="preserve">, nustatant didesnį intensyvumą už įdarbintus </w:t>
            </w:r>
            <w:r w:rsidR="00640AAF">
              <w:rPr>
                <w:bCs/>
                <w:i/>
                <w:szCs w:val="24"/>
                <w:lang w:eastAsia="lt-LT"/>
              </w:rPr>
              <w:t xml:space="preserve">sudėtingesnėje situacijoje darbo rinkoje esančius asmenis (bedarbius, </w:t>
            </w:r>
            <w:r w:rsidR="006968EE">
              <w:rPr>
                <w:bCs/>
                <w:i/>
                <w:szCs w:val="24"/>
                <w:lang w:eastAsia="lt-LT"/>
              </w:rPr>
              <w:t xml:space="preserve">per paskutinius </w:t>
            </w:r>
            <w:r w:rsidR="006968EE">
              <w:rPr>
                <w:bCs/>
                <w:i/>
                <w:szCs w:val="24"/>
                <w:lang w:val="en-US" w:eastAsia="lt-LT"/>
              </w:rPr>
              <w:t xml:space="preserve">12 </w:t>
            </w:r>
            <w:r w:rsidR="006968EE" w:rsidRPr="0094543A">
              <w:rPr>
                <w:bCs/>
                <w:i/>
                <w:szCs w:val="24"/>
                <w:lang w:eastAsia="lt-LT"/>
              </w:rPr>
              <w:t>mėnesi</w:t>
            </w:r>
            <w:r w:rsidR="0094543A" w:rsidRPr="0094543A">
              <w:rPr>
                <w:bCs/>
                <w:i/>
                <w:szCs w:val="24"/>
                <w:lang w:eastAsia="lt-LT"/>
              </w:rPr>
              <w:t>ų</w:t>
            </w:r>
            <w:r w:rsidR="00E072FC">
              <w:rPr>
                <w:bCs/>
                <w:i/>
                <w:szCs w:val="24"/>
                <w:lang w:eastAsia="lt-LT"/>
              </w:rPr>
              <w:t xml:space="preserve"> ne mažiau kaip </w:t>
            </w:r>
            <w:r w:rsidR="00E072FC">
              <w:rPr>
                <w:bCs/>
                <w:i/>
                <w:szCs w:val="24"/>
                <w:lang w:val="en-US" w:eastAsia="lt-LT"/>
              </w:rPr>
              <w:t>6 m</w:t>
            </w:r>
            <w:r w:rsidR="00E072FC">
              <w:rPr>
                <w:bCs/>
                <w:i/>
                <w:szCs w:val="24"/>
                <w:lang w:eastAsia="lt-LT"/>
              </w:rPr>
              <w:t>ėn. registruotus Užimtumo tarnyboje, neį</w:t>
            </w:r>
            <w:r w:rsidR="0094543A">
              <w:rPr>
                <w:bCs/>
                <w:i/>
                <w:szCs w:val="24"/>
                <w:lang w:eastAsia="lt-LT"/>
              </w:rPr>
              <w:t>galiuosius,</w:t>
            </w:r>
            <w:r w:rsidR="001C00CC">
              <w:rPr>
                <w:bCs/>
                <w:i/>
                <w:szCs w:val="24"/>
                <w:lang w:eastAsia="lt-LT"/>
              </w:rPr>
              <w:t xml:space="preserve"> pabėgėlius ir pan.). </w:t>
            </w:r>
            <w:r w:rsidR="0094543A">
              <w:rPr>
                <w:bCs/>
                <w:i/>
                <w:szCs w:val="24"/>
                <w:lang w:eastAsia="lt-LT"/>
              </w:rPr>
              <w:t xml:space="preserve"> </w:t>
            </w:r>
            <w:r w:rsidR="007603D1" w:rsidRPr="00D25A44">
              <w:rPr>
                <w:bCs/>
                <w:i/>
                <w:szCs w:val="24"/>
                <w:lang w:eastAsia="lt-LT"/>
              </w:rPr>
              <w:t xml:space="preserve">Maksimali </w:t>
            </w:r>
            <w:r w:rsidR="00D25A44" w:rsidRPr="00D25A44">
              <w:rPr>
                <w:bCs/>
                <w:i/>
                <w:szCs w:val="24"/>
                <w:lang w:eastAsia="lt-LT"/>
              </w:rPr>
              <w:t>finansavimo suma negalės viršyti 50% gautos ir panaudotos paskolos sumos</w:t>
            </w:r>
            <w:r w:rsidR="000561A4">
              <w:rPr>
                <w:bCs/>
                <w:i/>
                <w:szCs w:val="24"/>
                <w:lang w:eastAsia="lt-LT"/>
              </w:rPr>
              <w:t xml:space="preserve"> pagal VSF3 priemonę</w:t>
            </w:r>
            <w:r w:rsidR="00D25A44" w:rsidRPr="00D25A44">
              <w:rPr>
                <w:bCs/>
                <w:i/>
                <w:szCs w:val="24"/>
                <w:lang w:eastAsia="lt-LT"/>
              </w:rPr>
              <w:t>.</w:t>
            </w:r>
            <w:r w:rsidR="00D25A44">
              <w:rPr>
                <w:bCs/>
                <w:i/>
                <w:szCs w:val="24"/>
                <w:lang w:val="en-US" w:eastAsia="lt-LT"/>
              </w:rPr>
              <w:t xml:space="preserve"> </w:t>
            </w:r>
            <w:r w:rsidR="00534FCC">
              <w:rPr>
                <w:bCs/>
                <w:i/>
                <w:szCs w:val="24"/>
                <w:lang w:eastAsia="lt-LT"/>
              </w:rPr>
              <w:t xml:space="preserve">Atsižvelgiant į tai, kad tai yra papildanti priemonė, nustatomas specialusis atrankos kriterijus, kad tik </w:t>
            </w:r>
            <w:r w:rsidR="00234218">
              <w:rPr>
                <w:bCs/>
                <w:i/>
                <w:szCs w:val="24"/>
                <w:lang w:eastAsia="lt-LT"/>
              </w:rPr>
              <w:t>VSF3 priemonės</w:t>
            </w:r>
            <w:r w:rsidR="00534FCC">
              <w:rPr>
                <w:bCs/>
                <w:i/>
                <w:szCs w:val="24"/>
                <w:lang w:eastAsia="lt-LT"/>
              </w:rPr>
              <w:t xml:space="preserve"> paskolų gavėjai gali </w:t>
            </w:r>
            <w:r w:rsidR="00D83F7A">
              <w:rPr>
                <w:bCs/>
                <w:i/>
                <w:szCs w:val="24"/>
                <w:lang w:eastAsia="lt-LT"/>
              </w:rPr>
              <w:t>pretenduoti</w:t>
            </w:r>
            <w:r w:rsidR="000A60F1">
              <w:rPr>
                <w:bCs/>
                <w:i/>
                <w:szCs w:val="24"/>
                <w:lang w:eastAsia="lt-LT"/>
              </w:rPr>
              <w:t xml:space="preserve"> į</w:t>
            </w:r>
            <w:r w:rsidR="00534FCC">
              <w:rPr>
                <w:bCs/>
                <w:i/>
                <w:szCs w:val="24"/>
                <w:lang w:eastAsia="lt-LT"/>
              </w:rPr>
              <w:t xml:space="preserve"> </w:t>
            </w:r>
            <w:r w:rsidR="00F50F10">
              <w:rPr>
                <w:bCs/>
                <w:i/>
                <w:szCs w:val="24"/>
                <w:lang w:eastAsia="lt-LT"/>
              </w:rPr>
              <w:t>finansavimą</w:t>
            </w:r>
            <w:r w:rsidR="00534FCC">
              <w:rPr>
                <w:bCs/>
                <w:i/>
                <w:szCs w:val="24"/>
                <w:lang w:eastAsia="lt-LT"/>
              </w:rPr>
              <w:t xml:space="preserve">. </w:t>
            </w:r>
            <w:r w:rsidR="00E573FD">
              <w:rPr>
                <w:bCs/>
                <w:i/>
                <w:szCs w:val="24"/>
                <w:lang w:eastAsia="lt-LT"/>
              </w:rPr>
              <w:t>VSF3</w:t>
            </w:r>
            <w:r w:rsidR="00284A48">
              <w:rPr>
                <w:bCs/>
                <w:i/>
                <w:szCs w:val="24"/>
                <w:lang w:eastAsia="lt-LT"/>
              </w:rPr>
              <w:t xml:space="preserve"> priemonės paskolos bus teikiamos iš </w:t>
            </w:r>
            <w:r w:rsidR="007A0C16">
              <w:rPr>
                <w:bCs/>
                <w:i/>
                <w:szCs w:val="24"/>
                <w:lang w:eastAsia="lt-LT"/>
              </w:rPr>
              <w:t xml:space="preserve">ankstesnių </w:t>
            </w:r>
            <w:r w:rsidR="00C96CE2">
              <w:rPr>
                <w:bCs/>
                <w:i/>
                <w:szCs w:val="24"/>
                <w:lang w:eastAsia="lt-LT"/>
              </w:rPr>
              <w:t>ES struktūrinių fondų finansavimo per</w:t>
            </w:r>
            <w:r w:rsidR="00C96CE2" w:rsidRPr="00C96CE2">
              <w:rPr>
                <w:bCs/>
                <w:i/>
                <w:szCs w:val="24"/>
                <w:lang w:eastAsia="lt-LT"/>
              </w:rPr>
              <w:t xml:space="preserve">iodų </w:t>
            </w:r>
            <w:r w:rsidR="00C96CE2" w:rsidRPr="00C96CE2">
              <w:rPr>
                <w:i/>
                <w:color w:val="000000"/>
              </w:rPr>
              <w:t>grįšiančių lėšų ir (ar) grįžusių lėšų.</w:t>
            </w:r>
          </w:p>
        </w:tc>
      </w:tr>
    </w:tbl>
    <w:p w14:paraId="68030FA7" w14:textId="77777777" w:rsidR="008871C1" w:rsidRDefault="008871C1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8871C1" w14:paraId="148A9663" w14:textId="77777777" w:rsidTr="000561A4">
        <w:tc>
          <w:tcPr>
            <w:tcW w:w="5419" w:type="dxa"/>
          </w:tcPr>
          <w:p w14:paraId="76C2560D" w14:textId="62AC2029" w:rsidR="008871C1" w:rsidRDefault="00DD51CE" w:rsidP="00E75ED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Viceministrė</w:t>
            </w:r>
          </w:p>
        </w:tc>
        <w:tc>
          <w:tcPr>
            <w:tcW w:w="1533" w:type="dxa"/>
            <w:tcBorders>
              <w:bottom w:val="nil"/>
            </w:tcBorders>
          </w:tcPr>
          <w:p w14:paraId="186C3739" w14:textId="77777777" w:rsidR="008871C1" w:rsidRDefault="008871C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497" w:type="dxa"/>
          </w:tcPr>
          <w:p w14:paraId="0A8F3AFC" w14:textId="77777777" w:rsidR="008871C1" w:rsidRDefault="008871C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14:paraId="33D68EA5" w14:textId="77777777" w:rsidR="008871C1" w:rsidRDefault="008871C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32" w:type="dxa"/>
          </w:tcPr>
          <w:p w14:paraId="492B1327" w14:textId="3AE97352" w:rsidR="008871C1" w:rsidRDefault="00DD51CE" w:rsidP="00E75ED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Justina Jakštienė</w:t>
            </w:r>
          </w:p>
        </w:tc>
      </w:tr>
      <w:tr w:rsidR="008871C1" w14:paraId="0BE1540A" w14:textId="77777777" w:rsidTr="000561A4">
        <w:tc>
          <w:tcPr>
            <w:tcW w:w="5419" w:type="dxa"/>
          </w:tcPr>
          <w:p w14:paraId="23B817ED" w14:textId="654D43C2" w:rsidR="008871C1" w:rsidRDefault="00D97BFF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33" w:type="dxa"/>
            <w:tcBorders>
              <w:top w:val="nil"/>
              <w:bottom w:val="nil"/>
            </w:tcBorders>
          </w:tcPr>
          <w:p w14:paraId="687AAF45" w14:textId="77777777" w:rsidR="008871C1" w:rsidRDefault="008871C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97" w:type="dxa"/>
          </w:tcPr>
          <w:p w14:paraId="45A2D18B" w14:textId="1467188A" w:rsidR="008871C1" w:rsidRDefault="00D97BFF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124D956B" w14:textId="77777777" w:rsidR="008871C1" w:rsidRDefault="008871C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32" w:type="dxa"/>
          </w:tcPr>
          <w:p w14:paraId="4569EE21" w14:textId="25222BA0" w:rsidR="008871C1" w:rsidRDefault="00D97BFF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1221B249" w14:textId="03BC4E18" w:rsidR="008871C1" w:rsidRDefault="00D97BFF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8871C1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96461"/>
    <w:multiLevelType w:val="hybridMultilevel"/>
    <w:tmpl w:val="15CA26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828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A"/>
    <w:rsid w:val="00003DB4"/>
    <w:rsid w:val="0001389F"/>
    <w:rsid w:val="000561A4"/>
    <w:rsid w:val="00070717"/>
    <w:rsid w:val="00095AE6"/>
    <w:rsid w:val="000A60F1"/>
    <w:rsid w:val="000C5EA2"/>
    <w:rsid w:val="0014232E"/>
    <w:rsid w:val="00142A89"/>
    <w:rsid w:val="001B010B"/>
    <w:rsid w:val="001C00CC"/>
    <w:rsid w:val="001F6902"/>
    <w:rsid w:val="00234218"/>
    <w:rsid w:val="0023503B"/>
    <w:rsid w:val="00284A48"/>
    <w:rsid w:val="00287DED"/>
    <w:rsid w:val="002C7142"/>
    <w:rsid w:val="002D7A67"/>
    <w:rsid w:val="003333D2"/>
    <w:rsid w:val="004159ED"/>
    <w:rsid w:val="004C1FD0"/>
    <w:rsid w:val="004C3774"/>
    <w:rsid w:val="00534FCC"/>
    <w:rsid w:val="00640AAF"/>
    <w:rsid w:val="00641254"/>
    <w:rsid w:val="00687817"/>
    <w:rsid w:val="00695C2A"/>
    <w:rsid w:val="006968EE"/>
    <w:rsid w:val="006A6CE8"/>
    <w:rsid w:val="006F600B"/>
    <w:rsid w:val="007603D1"/>
    <w:rsid w:val="00775513"/>
    <w:rsid w:val="0079376C"/>
    <w:rsid w:val="007A0C16"/>
    <w:rsid w:val="00843A15"/>
    <w:rsid w:val="008871C1"/>
    <w:rsid w:val="00897912"/>
    <w:rsid w:val="0090018A"/>
    <w:rsid w:val="00934EFC"/>
    <w:rsid w:val="00936A10"/>
    <w:rsid w:val="0094543A"/>
    <w:rsid w:val="00964DA5"/>
    <w:rsid w:val="009853AF"/>
    <w:rsid w:val="00990D1F"/>
    <w:rsid w:val="009B353C"/>
    <w:rsid w:val="00A378C7"/>
    <w:rsid w:val="00AB12F5"/>
    <w:rsid w:val="00AF4BF4"/>
    <w:rsid w:val="00B258A8"/>
    <w:rsid w:val="00B3389A"/>
    <w:rsid w:val="00C00715"/>
    <w:rsid w:val="00C23F03"/>
    <w:rsid w:val="00C33B30"/>
    <w:rsid w:val="00C36B40"/>
    <w:rsid w:val="00C81F80"/>
    <w:rsid w:val="00C96CE2"/>
    <w:rsid w:val="00CA1A69"/>
    <w:rsid w:val="00CF7C9F"/>
    <w:rsid w:val="00D25A44"/>
    <w:rsid w:val="00D83F7A"/>
    <w:rsid w:val="00D97BFF"/>
    <w:rsid w:val="00DD51CE"/>
    <w:rsid w:val="00DE01BB"/>
    <w:rsid w:val="00E072FC"/>
    <w:rsid w:val="00E155FE"/>
    <w:rsid w:val="00E17ECA"/>
    <w:rsid w:val="00E256A8"/>
    <w:rsid w:val="00E36129"/>
    <w:rsid w:val="00E44737"/>
    <w:rsid w:val="00E573FD"/>
    <w:rsid w:val="00E75ED4"/>
    <w:rsid w:val="00F43256"/>
    <w:rsid w:val="00F5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4EC48205-00EF-4973-A2AF-D7BA75EE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6A6CE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378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378C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378C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378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378C7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DE01B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E0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B4142-3ADD-4E06-9568-58A208482E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9D2A13-EA86-423D-9AE2-4FD0E74C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2024-07-05T09:08:00Z</dcterms:created>
  <dc:creator>FM</dc:creator>
  <cp:lastModifiedBy>Donatas Petroka</cp:lastModifiedBy>
  <cp:lastPrinted>2017-02-13T08:49:00Z</cp:lastPrinted>
  <dcterms:modified xsi:type="dcterms:W3CDTF">2024-07-05T09:27:00Z</dcterms:modified>
  <cp:revision>3</cp:revision>
  <dc:title>Veiksmų programų administravimo</dc:title>
</cp:coreProperties>
</file>