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58F3A" w14:textId="1221FF1C" w:rsidR="00EF26D3" w:rsidRPr="00B135A3" w:rsidRDefault="00EF26D3" w:rsidP="006B6964">
      <w:pPr>
        <w:pStyle w:val="Titulinispavadinimas"/>
      </w:pPr>
    </w:p>
    <w:p w14:paraId="6334810E" w14:textId="77777777" w:rsidR="00EF26D3" w:rsidRPr="003C0378" w:rsidRDefault="00EF26D3" w:rsidP="00EF26D3">
      <w:pPr>
        <w:tabs>
          <w:tab w:val="left" w:pos="0"/>
        </w:tabs>
        <w:ind w:right="849"/>
        <w:jc w:val="center"/>
        <w:rPr>
          <w:rFonts w:cs="Times New Roman"/>
          <w:b/>
          <w:sz w:val="56"/>
        </w:rPr>
      </w:pPr>
    </w:p>
    <w:p w14:paraId="7047DFE2" w14:textId="77777777" w:rsidR="00EF26D3" w:rsidRPr="003C0378" w:rsidRDefault="00EF26D3" w:rsidP="00EF26D3">
      <w:pPr>
        <w:tabs>
          <w:tab w:val="left" w:pos="0"/>
        </w:tabs>
        <w:ind w:right="95"/>
        <w:jc w:val="center"/>
        <w:rPr>
          <w:rFonts w:cs="Times New Roman"/>
          <w:b/>
          <w:sz w:val="56"/>
        </w:rPr>
      </w:pPr>
    </w:p>
    <w:p w14:paraId="1064CD3A" w14:textId="77777777" w:rsidR="00EF26D3" w:rsidRPr="003C0378" w:rsidRDefault="00EF26D3" w:rsidP="00EF26D3">
      <w:pPr>
        <w:tabs>
          <w:tab w:val="left" w:pos="0"/>
          <w:tab w:val="left" w:pos="8647"/>
        </w:tabs>
        <w:ind w:right="-46"/>
        <w:jc w:val="center"/>
        <w:rPr>
          <w:rFonts w:cs="Times New Roman"/>
          <w:b/>
          <w:sz w:val="56"/>
        </w:rPr>
      </w:pPr>
    </w:p>
    <w:p w14:paraId="0621E1BF" w14:textId="6274A28E" w:rsidR="00EF26D3" w:rsidRPr="003C0378" w:rsidRDefault="00487AC7" w:rsidP="00EF26D3">
      <w:pPr>
        <w:tabs>
          <w:tab w:val="left" w:pos="0"/>
          <w:tab w:val="left" w:pos="8647"/>
        </w:tabs>
        <w:ind w:right="-46"/>
        <w:jc w:val="center"/>
        <w:rPr>
          <w:rFonts w:cs="Times New Roman"/>
          <w:b/>
          <w:sz w:val="56"/>
          <w:szCs w:val="56"/>
        </w:rPr>
      </w:pPr>
      <w:r w:rsidRPr="003C0378">
        <w:rPr>
          <w:rFonts w:cs="Times New Roman"/>
          <w:b/>
          <w:sz w:val="56"/>
          <w:szCs w:val="56"/>
        </w:rPr>
        <w:t>Energijos efektyvumo didinim</w:t>
      </w:r>
      <w:r w:rsidR="006836FC" w:rsidRPr="003C0378">
        <w:rPr>
          <w:rFonts w:cs="Times New Roman"/>
          <w:b/>
          <w:sz w:val="56"/>
          <w:szCs w:val="56"/>
        </w:rPr>
        <w:t>o</w:t>
      </w:r>
      <w:r w:rsidRPr="003C0378">
        <w:rPr>
          <w:rFonts w:cs="Times New Roman"/>
          <w:b/>
          <w:sz w:val="56"/>
          <w:szCs w:val="56"/>
        </w:rPr>
        <w:t xml:space="preserve"> ūkio subjektams ir atsinaujinančių energijos išteklių plėtros </w:t>
      </w:r>
      <w:r w:rsidR="00357041" w:rsidRPr="003C0378">
        <w:rPr>
          <w:rFonts w:cs="Times New Roman"/>
          <w:b/>
          <w:sz w:val="56"/>
          <w:szCs w:val="56"/>
        </w:rPr>
        <w:t>išankstinio (</w:t>
      </w:r>
      <w:proofErr w:type="spellStart"/>
      <w:r w:rsidR="00357041" w:rsidRPr="001069CD">
        <w:rPr>
          <w:rFonts w:cs="Times New Roman"/>
          <w:b/>
          <w:i/>
          <w:sz w:val="56"/>
          <w:szCs w:val="56"/>
        </w:rPr>
        <w:t>ex</w:t>
      </w:r>
      <w:proofErr w:type="spellEnd"/>
      <w:r w:rsidR="00357041" w:rsidRPr="001069CD">
        <w:rPr>
          <w:rFonts w:cs="Times New Roman"/>
          <w:b/>
          <w:i/>
          <w:sz w:val="56"/>
          <w:szCs w:val="56"/>
        </w:rPr>
        <w:t xml:space="preserve"> </w:t>
      </w:r>
      <w:proofErr w:type="spellStart"/>
      <w:r w:rsidR="00357041" w:rsidRPr="001069CD">
        <w:rPr>
          <w:rFonts w:cs="Times New Roman"/>
          <w:b/>
          <w:i/>
          <w:sz w:val="56"/>
          <w:szCs w:val="56"/>
        </w:rPr>
        <w:t>ante</w:t>
      </w:r>
      <w:proofErr w:type="spellEnd"/>
      <w:r w:rsidR="00357041" w:rsidRPr="003C0378">
        <w:rPr>
          <w:rFonts w:cs="Times New Roman"/>
          <w:b/>
          <w:sz w:val="56"/>
          <w:szCs w:val="56"/>
        </w:rPr>
        <w:t>) vertinim</w:t>
      </w:r>
      <w:r w:rsidR="006836FC" w:rsidRPr="003C0378">
        <w:rPr>
          <w:rFonts w:cs="Times New Roman"/>
          <w:b/>
          <w:sz w:val="56"/>
          <w:szCs w:val="56"/>
        </w:rPr>
        <w:t>o</w:t>
      </w:r>
      <w:r w:rsidR="00357041" w:rsidRPr="003C0378">
        <w:rPr>
          <w:rFonts w:cs="Times New Roman"/>
          <w:b/>
          <w:sz w:val="56"/>
          <w:szCs w:val="56"/>
        </w:rPr>
        <w:t xml:space="preserve"> ataskait</w:t>
      </w:r>
      <w:r w:rsidR="006836FC" w:rsidRPr="003C0378">
        <w:rPr>
          <w:rFonts w:cs="Times New Roman"/>
          <w:b/>
          <w:sz w:val="56"/>
          <w:szCs w:val="56"/>
        </w:rPr>
        <w:t>os</w:t>
      </w:r>
      <w:r w:rsidR="00316670">
        <w:rPr>
          <w:rFonts w:cs="Times New Roman"/>
          <w:b/>
          <w:sz w:val="56"/>
          <w:szCs w:val="56"/>
        </w:rPr>
        <w:t xml:space="preserve">, </w:t>
      </w:r>
      <w:r w:rsidR="00316670" w:rsidRPr="00316670">
        <w:rPr>
          <w:rFonts w:cs="Times New Roman"/>
          <w:b/>
          <w:sz w:val="56"/>
          <w:szCs w:val="56"/>
        </w:rPr>
        <w:t>atsinaujinančių energijos išteklių plėtros dalies,</w:t>
      </w:r>
      <w:r w:rsidR="006836FC" w:rsidRPr="003C0378">
        <w:rPr>
          <w:rFonts w:cs="Times New Roman"/>
          <w:b/>
          <w:sz w:val="56"/>
          <w:szCs w:val="56"/>
        </w:rPr>
        <w:t xml:space="preserve"> atnaujinimas</w:t>
      </w:r>
      <w:r w:rsidR="00FD59C3" w:rsidRPr="003C0378" w:rsidDel="00FD59C3">
        <w:rPr>
          <w:rFonts w:cs="Times New Roman"/>
          <w:b/>
          <w:sz w:val="56"/>
          <w:szCs w:val="56"/>
        </w:rPr>
        <w:t xml:space="preserve"> </w:t>
      </w:r>
    </w:p>
    <w:p w14:paraId="4D017AB0" w14:textId="77777777" w:rsidR="00EF26D3" w:rsidRPr="003C0378" w:rsidRDefault="00EF26D3" w:rsidP="00EF26D3">
      <w:pPr>
        <w:tabs>
          <w:tab w:val="left" w:pos="0"/>
        </w:tabs>
        <w:ind w:right="1133"/>
        <w:jc w:val="center"/>
        <w:rPr>
          <w:rFonts w:cs="Times New Roman"/>
          <w:b/>
        </w:rPr>
      </w:pPr>
    </w:p>
    <w:p w14:paraId="4CCC9EA8" w14:textId="77777777" w:rsidR="00EF26D3" w:rsidRPr="003C0378" w:rsidRDefault="00EF26D3" w:rsidP="00EF26D3">
      <w:pPr>
        <w:tabs>
          <w:tab w:val="left" w:pos="0"/>
        </w:tabs>
        <w:ind w:right="1133"/>
        <w:jc w:val="center"/>
        <w:rPr>
          <w:rFonts w:cs="Times New Roman"/>
          <w:b/>
        </w:rPr>
      </w:pPr>
    </w:p>
    <w:p w14:paraId="60EF825F" w14:textId="77777777" w:rsidR="00EF26D3" w:rsidRPr="003C0378" w:rsidRDefault="00EF26D3" w:rsidP="00EF26D3">
      <w:pPr>
        <w:tabs>
          <w:tab w:val="left" w:pos="0"/>
        </w:tabs>
        <w:ind w:right="1133"/>
        <w:jc w:val="center"/>
        <w:rPr>
          <w:rFonts w:cs="Times New Roman"/>
          <w:b/>
        </w:rPr>
      </w:pPr>
    </w:p>
    <w:p w14:paraId="5F697391" w14:textId="77777777" w:rsidR="00EF26D3" w:rsidRPr="003C0378" w:rsidRDefault="00EF26D3" w:rsidP="00EF26D3">
      <w:pPr>
        <w:tabs>
          <w:tab w:val="left" w:pos="0"/>
        </w:tabs>
        <w:ind w:right="1133"/>
        <w:jc w:val="center"/>
        <w:rPr>
          <w:rFonts w:cs="Times New Roman"/>
          <w:b/>
        </w:rPr>
      </w:pPr>
    </w:p>
    <w:p w14:paraId="6B836195" w14:textId="77777777" w:rsidR="00EF26D3" w:rsidRPr="003C0378" w:rsidRDefault="00EF26D3" w:rsidP="00EF26D3">
      <w:pPr>
        <w:tabs>
          <w:tab w:val="left" w:pos="0"/>
        </w:tabs>
        <w:ind w:right="1133"/>
        <w:jc w:val="center"/>
        <w:rPr>
          <w:rFonts w:cs="Times New Roman"/>
          <w:b/>
        </w:rPr>
      </w:pPr>
    </w:p>
    <w:p w14:paraId="2A437E27" w14:textId="77777777" w:rsidR="00EF26D3" w:rsidRPr="003C0378" w:rsidRDefault="00EF26D3" w:rsidP="00EF26D3">
      <w:pPr>
        <w:tabs>
          <w:tab w:val="left" w:pos="0"/>
        </w:tabs>
        <w:ind w:right="1133"/>
        <w:jc w:val="center"/>
        <w:rPr>
          <w:rFonts w:cs="Times New Roman"/>
          <w:b/>
        </w:rPr>
      </w:pPr>
    </w:p>
    <w:p w14:paraId="7A4B5CBB" w14:textId="77777777" w:rsidR="00EF26D3" w:rsidRPr="003C0378" w:rsidRDefault="00EF26D3" w:rsidP="00EF26D3">
      <w:pPr>
        <w:tabs>
          <w:tab w:val="left" w:pos="0"/>
        </w:tabs>
        <w:ind w:right="1133"/>
        <w:jc w:val="center"/>
        <w:rPr>
          <w:rFonts w:cs="Times New Roman"/>
          <w:b/>
        </w:rPr>
      </w:pPr>
    </w:p>
    <w:p w14:paraId="38316579" w14:textId="32A00C14" w:rsidR="00EF26D3" w:rsidRPr="003C0378" w:rsidRDefault="00EF26D3" w:rsidP="00EF26D3">
      <w:pPr>
        <w:tabs>
          <w:tab w:val="left" w:pos="0"/>
        </w:tabs>
        <w:ind w:right="1133"/>
        <w:jc w:val="center"/>
        <w:rPr>
          <w:rFonts w:cs="Times New Roman"/>
          <w:b/>
        </w:rPr>
      </w:pPr>
    </w:p>
    <w:p w14:paraId="40FC16FC" w14:textId="77777777" w:rsidR="00E412E6" w:rsidRPr="003C0378" w:rsidRDefault="00E412E6" w:rsidP="00EF26D3">
      <w:pPr>
        <w:tabs>
          <w:tab w:val="left" w:pos="0"/>
        </w:tabs>
        <w:ind w:right="1133"/>
        <w:jc w:val="center"/>
        <w:rPr>
          <w:rFonts w:cs="Times New Roman"/>
          <w:b/>
        </w:rPr>
      </w:pPr>
    </w:p>
    <w:p w14:paraId="5A0EB064" w14:textId="51D9FBDC" w:rsidR="00EF26D3" w:rsidRPr="003C0378" w:rsidRDefault="00D123D1" w:rsidP="00EF26D3">
      <w:pPr>
        <w:tabs>
          <w:tab w:val="left" w:pos="0"/>
        </w:tabs>
        <w:ind w:right="1133"/>
        <w:jc w:val="center"/>
        <w:rPr>
          <w:rFonts w:cs="Times New Roman"/>
          <w:b/>
        </w:rPr>
      </w:pPr>
      <w:r w:rsidRPr="003C0378">
        <w:rPr>
          <w:rFonts w:cs="Times New Roman"/>
          <w:b/>
        </w:rPr>
        <w:t>2023 m</w:t>
      </w:r>
      <w:r w:rsidR="00E412E6" w:rsidRPr="003C0378">
        <w:rPr>
          <w:rFonts w:cs="Times New Roman"/>
          <w:b/>
        </w:rPr>
        <w:t>.</w:t>
      </w:r>
    </w:p>
    <w:sdt>
      <w:sdtPr>
        <w:rPr>
          <w:rFonts w:cs="Times New Roman"/>
          <w:bCs/>
          <w:sz w:val="20"/>
          <w:szCs w:val="20"/>
        </w:rPr>
        <w:id w:val="-1476832034"/>
        <w:docPartObj>
          <w:docPartGallery w:val="Table of Contents"/>
          <w:docPartUnique/>
        </w:docPartObj>
      </w:sdtPr>
      <w:sdtEndPr>
        <w:rPr>
          <w:b/>
          <w:sz w:val="22"/>
          <w:szCs w:val="22"/>
        </w:rPr>
      </w:sdtEndPr>
      <w:sdtContent>
        <w:p w14:paraId="54B7AD6D" w14:textId="7B9E8095" w:rsidR="00074F66" w:rsidRPr="00D23661" w:rsidRDefault="00A66C35" w:rsidP="00AE47CE">
          <w:pPr>
            <w:tabs>
              <w:tab w:val="left" w:pos="0"/>
            </w:tabs>
            <w:ind w:right="-46"/>
            <w:rPr>
              <w:rFonts w:cs="Times New Roman"/>
              <w:sz w:val="24"/>
              <w:szCs w:val="20"/>
            </w:rPr>
          </w:pPr>
          <w:r w:rsidRPr="00D23661">
            <w:rPr>
              <w:rFonts w:cs="Times New Roman"/>
              <w:sz w:val="28"/>
              <w:szCs w:val="20"/>
            </w:rPr>
            <w:t>Turinys</w:t>
          </w:r>
        </w:p>
        <w:p w14:paraId="1B5219C8" w14:textId="77777777" w:rsidR="00074F66" w:rsidRPr="00D23661" w:rsidRDefault="00074F66" w:rsidP="00074F66">
          <w:pPr>
            <w:ind w:firstLine="0"/>
            <w:rPr>
              <w:rFonts w:cs="Times New Roman"/>
            </w:rPr>
          </w:pPr>
        </w:p>
        <w:p w14:paraId="6593D5C2" w14:textId="2631CC8C" w:rsidR="001C0262" w:rsidRPr="00D23661" w:rsidRDefault="00A66C35">
          <w:pPr>
            <w:pStyle w:val="Turinys1"/>
            <w:rPr>
              <w:rFonts w:asciiTheme="minorHAnsi" w:hAnsiTheme="minorHAnsi" w:cstheme="minorBidi"/>
              <w:b w:val="0"/>
              <w:bCs w:val="0"/>
              <w:kern w:val="2"/>
              <w:sz w:val="22"/>
              <w:szCs w:val="22"/>
              <w14:ligatures w14:val="standardContextual"/>
            </w:rPr>
          </w:pPr>
          <w:r w:rsidRPr="00D23661">
            <w:rPr>
              <w:b w:val="0"/>
              <w:bCs w:val="0"/>
              <w:noProof w:val="0"/>
              <w:sz w:val="22"/>
              <w:szCs w:val="22"/>
            </w:rPr>
            <w:fldChar w:fldCharType="begin"/>
          </w:r>
          <w:r w:rsidRPr="00D23661">
            <w:rPr>
              <w:b w:val="0"/>
              <w:bCs w:val="0"/>
              <w:noProof w:val="0"/>
              <w:sz w:val="22"/>
              <w:szCs w:val="22"/>
            </w:rPr>
            <w:instrText xml:space="preserve"> TOC \o "1-3" \h \z \u </w:instrText>
          </w:r>
          <w:r w:rsidRPr="00D23661">
            <w:rPr>
              <w:b w:val="0"/>
              <w:bCs w:val="0"/>
              <w:noProof w:val="0"/>
              <w:sz w:val="22"/>
              <w:szCs w:val="22"/>
            </w:rPr>
            <w:fldChar w:fldCharType="separate"/>
          </w:r>
          <w:hyperlink w:anchor="_Toc170804579" w:history="1">
            <w:r w:rsidR="001C0262" w:rsidRPr="00D23661">
              <w:rPr>
                <w:rStyle w:val="Hipersaitas"/>
                <w:b w:val="0"/>
                <w:bCs w:val="0"/>
              </w:rPr>
              <w:t>1</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Įvadas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_Toc170804579 \h </w:instrText>
            </w:r>
            <w:r w:rsidR="001C0262" w:rsidRPr="00D23661">
              <w:rPr>
                <w:b w:val="0"/>
                <w:bCs w:val="0"/>
                <w:webHidden/>
              </w:rPr>
            </w:r>
            <w:r w:rsidR="001C0262" w:rsidRPr="00D23661">
              <w:rPr>
                <w:b w:val="0"/>
                <w:bCs w:val="0"/>
                <w:webHidden/>
              </w:rPr>
              <w:fldChar w:fldCharType="separate"/>
            </w:r>
            <w:r w:rsidR="00347605">
              <w:rPr>
                <w:b w:val="0"/>
                <w:bCs w:val="0"/>
                <w:webHidden/>
              </w:rPr>
              <w:t>9</w:t>
            </w:r>
            <w:r w:rsidR="001C0262" w:rsidRPr="00D23661">
              <w:rPr>
                <w:b w:val="0"/>
                <w:bCs w:val="0"/>
                <w:webHidden/>
              </w:rPr>
              <w:fldChar w:fldCharType="end"/>
            </w:r>
          </w:hyperlink>
        </w:p>
        <w:p w14:paraId="737C5F5F" w14:textId="03AB73FC"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580" w:history="1">
            <w:r w:rsidR="001C0262" w:rsidRPr="00D23661">
              <w:rPr>
                <w:rStyle w:val="Hipersaitas"/>
                <w:b w:val="0"/>
                <w:bCs w:val="0"/>
              </w:rPr>
              <w:t>1.1</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Vertinimo tikslas ir apimtis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_Toc170804580 \h </w:instrText>
            </w:r>
            <w:r w:rsidR="001C0262" w:rsidRPr="00D23661">
              <w:rPr>
                <w:b w:val="0"/>
                <w:bCs w:val="0"/>
                <w:webHidden/>
              </w:rPr>
            </w:r>
            <w:r w:rsidR="001C0262" w:rsidRPr="00D23661">
              <w:rPr>
                <w:b w:val="0"/>
                <w:bCs w:val="0"/>
                <w:webHidden/>
              </w:rPr>
              <w:fldChar w:fldCharType="separate"/>
            </w:r>
            <w:r w:rsidR="00347605">
              <w:rPr>
                <w:b w:val="0"/>
                <w:bCs w:val="0"/>
                <w:webHidden/>
              </w:rPr>
              <w:t>9</w:t>
            </w:r>
            <w:r w:rsidR="001C0262" w:rsidRPr="00D23661">
              <w:rPr>
                <w:b w:val="0"/>
                <w:bCs w:val="0"/>
                <w:webHidden/>
              </w:rPr>
              <w:fldChar w:fldCharType="end"/>
            </w:r>
          </w:hyperlink>
        </w:p>
        <w:p w14:paraId="0563AEEF" w14:textId="3D5794EE"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581" w:history="1">
            <w:r w:rsidR="001C0262" w:rsidRPr="00D23661">
              <w:rPr>
                <w:rStyle w:val="Hipersaitas"/>
                <w:b w:val="0"/>
                <w:bCs w:val="0"/>
              </w:rPr>
              <w:t>1.2</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Vertinimo metodika</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_Toc170804581 \h </w:instrText>
            </w:r>
            <w:r w:rsidR="001C0262" w:rsidRPr="00D23661">
              <w:rPr>
                <w:b w:val="0"/>
                <w:bCs w:val="0"/>
                <w:webHidden/>
              </w:rPr>
            </w:r>
            <w:r w:rsidR="001C0262" w:rsidRPr="00D23661">
              <w:rPr>
                <w:b w:val="0"/>
                <w:bCs w:val="0"/>
                <w:webHidden/>
              </w:rPr>
              <w:fldChar w:fldCharType="separate"/>
            </w:r>
            <w:r w:rsidR="00347605">
              <w:rPr>
                <w:b w:val="0"/>
                <w:bCs w:val="0"/>
                <w:webHidden/>
              </w:rPr>
              <w:t>10</w:t>
            </w:r>
            <w:r w:rsidR="001C0262" w:rsidRPr="00D23661">
              <w:rPr>
                <w:b w:val="0"/>
                <w:bCs w:val="0"/>
                <w:webHidden/>
              </w:rPr>
              <w:fldChar w:fldCharType="end"/>
            </w:r>
          </w:hyperlink>
        </w:p>
        <w:p w14:paraId="5C3ABE32" w14:textId="6AE7BFB5"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582" w:history="1">
            <w:r w:rsidR="001C0262" w:rsidRPr="00D23661">
              <w:rPr>
                <w:rStyle w:val="Hipersaitas"/>
                <w:b w:val="0"/>
                <w:bCs w:val="0"/>
              </w:rPr>
              <w:t>2</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Investicijų poreikio analizė</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_Toc170804582 \h </w:instrText>
            </w:r>
            <w:r w:rsidR="001C0262" w:rsidRPr="00D23661">
              <w:rPr>
                <w:b w:val="0"/>
                <w:bCs w:val="0"/>
                <w:webHidden/>
              </w:rPr>
            </w:r>
            <w:r w:rsidR="001C0262" w:rsidRPr="00D23661">
              <w:rPr>
                <w:b w:val="0"/>
                <w:bCs w:val="0"/>
                <w:webHidden/>
              </w:rPr>
              <w:fldChar w:fldCharType="separate"/>
            </w:r>
            <w:r w:rsidR="00347605">
              <w:rPr>
                <w:b w:val="0"/>
                <w:bCs w:val="0"/>
                <w:webHidden/>
              </w:rPr>
              <w:t>12</w:t>
            </w:r>
            <w:r w:rsidR="001C0262" w:rsidRPr="00D23661">
              <w:rPr>
                <w:b w:val="0"/>
                <w:bCs w:val="0"/>
                <w:webHidden/>
              </w:rPr>
              <w:fldChar w:fldCharType="end"/>
            </w:r>
          </w:hyperlink>
        </w:p>
        <w:p w14:paraId="549F66EB" w14:textId="724ED11A"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3" w:history="1">
            <w:r w:rsidR="001C0262" w:rsidRPr="00D23661">
              <w:rPr>
                <w:rStyle w:val="Hipersaitas"/>
                <w:rFonts w:cs="Times New Roman"/>
                <w:noProof/>
              </w:rPr>
              <w:t>2.1</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Investicijų paklausos vertinimas 2021–2030 m. laikotarpiu</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_Toc170804583 \h </w:instrText>
            </w:r>
            <w:r w:rsidR="001C0262" w:rsidRPr="00D23661">
              <w:rPr>
                <w:noProof/>
                <w:webHidden/>
              </w:rPr>
            </w:r>
            <w:r w:rsidR="001C0262" w:rsidRPr="00D23661">
              <w:rPr>
                <w:noProof/>
                <w:webHidden/>
              </w:rPr>
              <w:fldChar w:fldCharType="separate"/>
            </w:r>
            <w:r w:rsidR="00347605">
              <w:rPr>
                <w:noProof/>
                <w:webHidden/>
              </w:rPr>
              <w:t>12</w:t>
            </w:r>
            <w:r w:rsidR="001C0262" w:rsidRPr="00D23661">
              <w:rPr>
                <w:noProof/>
                <w:webHidden/>
              </w:rPr>
              <w:fldChar w:fldCharType="end"/>
            </w:r>
          </w:hyperlink>
        </w:p>
        <w:p w14:paraId="023C2EA6" w14:textId="4EE3B9BE"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4" w:history="1">
            <w:r w:rsidR="001C0262" w:rsidRPr="00D23661">
              <w:rPr>
                <w:rStyle w:val="Hipersaitas"/>
                <w:rFonts w:cs="Times New Roman"/>
                <w:noProof/>
              </w:rPr>
              <w:t>2.1.1</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plėtros strateginė darbotvarkė 2021–2030 m.</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_Toc170804584 \h </w:instrText>
            </w:r>
            <w:r w:rsidR="001C0262" w:rsidRPr="00D23661">
              <w:rPr>
                <w:noProof/>
                <w:webHidden/>
              </w:rPr>
            </w:r>
            <w:r w:rsidR="001C0262" w:rsidRPr="00D23661">
              <w:rPr>
                <w:noProof/>
                <w:webHidden/>
              </w:rPr>
              <w:fldChar w:fldCharType="separate"/>
            </w:r>
            <w:r w:rsidR="00347605">
              <w:rPr>
                <w:noProof/>
                <w:webHidden/>
              </w:rPr>
              <w:t>12</w:t>
            </w:r>
            <w:r w:rsidR="001C0262" w:rsidRPr="00D23661">
              <w:rPr>
                <w:noProof/>
                <w:webHidden/>
              </w:rPr>
              <w:fldChar w:fldCharType="end"/>
            </w:r>
          </w:hyperlink>
        </w:p>
        <w:p w14:paraId="59D651A6" w14:textId="32761E31"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5" w:history="1">
            <w:r w:rsidR="001C0262" w:rsidRPr="00D23661">
              <w:rPr>
                <w:rStyle w:val="Hipersaitas"/>
                <w:rFonts w:cs="Times New Roman"/>
                <w:noProof/>
              </w:rPr>
              <w:t>2.1.2</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plėtros galimybės atskirose tikslinėse grupėse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_Toc170804585 \h </w:instrText>
            </w:r>
            <w:r w:rsidR="001C0262" w:rsidRPr="00D23661">
              <w:rPr>
                <w:noProof/>
                <w:webHidden/>
              </w:rPr>
            </w:r>
            <w:r w:rsidR="001C0262" w:rsidRPr="00D23661">
              <w:rPr>
                <w:noProof/>
                <w:webHidden/>
              </w:rPr>
              <w:fldChar w:fldCharType="separate"/>
            </w:r>
            <w:r w:rsidR="00347605">
              <w:rPr>
                <w:noProof/>
                <w:webHidden/>
              </w:rPr>
              <w:t>14</w:t>
            </w:r>
            <w:r w:rsidR="001C0262" w:rsidRPr="00D23661">
              <w:rPr>
                <w:noProof/>
                <w:webHidden/>
              </w:rPr>
              <w:fldChar w:fldCharType="end"/>
            </w:r>
          </w:hyperlink>
        </w:p>
        <w:p w14:paraId="0E0721C1" w14:textId="23C4B5D9"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6" w:history="1">
            <w:r w:rsidR="001C0262" w:rsidRPr="00D23661">
              <w:rPr>
                <w:rStyle w:val="Hipersaitas"/>
                <w:noProof/>
              </w:rPr>
              <w:t>2.1.2.1</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plėtra verslo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_Toc170804586 \h </w:instrText>
            </w:r>
            <w:r w:rsidR="001C0262" w:rsidRPr="00D23661">
              <w:rPr>
                <w:noProof/>
                <w:webHidden/>
              </w:rPr>
            </w:r>
            <w:r w:rsidR="001C0262" w:rsidRPr="00D23661">
              <w:rPr>
                <w:noProof/>
                <w:webHidden/>
              </w:rPr>
              <w:fldChar w:fldCharType="separate"/>
            </w:r>
            <w:r w:rsidR="00347605">
              <w:rPr>
                <w:noProof/>
                <w:webHidden/>
              </w:rPr>
              <w:t>16</w:t>
            </w:r>
            <w:r w:rsidR="001C0262" w:rsidRPr="00D23661">
              <w:rPr>
                <w:noProof/>
                <w:webHidden/>
              </w:rPr>
              <w:fldChar w:fldCharType="end"/>
            </w:r>
          </w:hyperlink>
        </w:p>
        <w:p w14:paraId="42A6A86E" w14:textId="10415FD1"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7" w:history="1">
            <w:r w:rsidR="001C0262" w:rsidRPr="00D23661">
              <w:rPr>
                <w:rStyle w:val="Hipersaitas"/>
                <w:rFonts w:cs="Times New Roman"/>
                <w:noProof/>
              </w:rPr>
              <w:t>2.1.2.2</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 xml:space="preserve">AEI plėtros galimybės </w:t>
            </w:r>
            <w:r w:rsidR="001C0262" w:rsidRPr="00D23661">
              <w:rPr>
                <w:rStyle w:val="Hipersaitas"/>
                <w:noProof/>
              </w:rPr>
              <w:t>VJA</w:t>
            </w:r>
            <w:r w:rsidR="001C0262" w:rsidRPr="00D23661">
              <w:rPr>
                <w:rStyle w:val="Hipersaitas"/>
                <w:rFonts w:cs="Times New Roman"/>
                <w:noProof/>
              </w:rPr>
              <w:t xml:space="preserve">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_Toc170804587 \h </w:instrText>
            </w:r>
            <w:r w:rsidR="001C0262" w:rsidRPr="00D23661">
              <w:rPr>
                <w:noProof/>
                <w:webHidden/>
              </w:rPr>
            </w:r>
            <w:r w:rsidR="001C0262" w:rsidRPr="00D23661">
              <w:rPr>
                <w:noProof/>
                <w:webHidden/>
              </w:rPr>
              <w:fldChar w:fldCharType="separate"/>
            </w:r>
            <w:r w:rsidR="00347605">
              <w:rPr>
                <w:noProof/>
                <w:webHidden/>
              </w:rPr>
              <w:t>19</w:t>
            </w:r>
            <w:r w:rsidR="001C0262" w:rsidRPr="00D23661">
              <w:rPr>
                <w:noProof/>
                <w:webHidden/>
              </w:rPr>
              <w:fldChar w:fldCharType="end"/>
            </w:r>
          </w:hyperlink>
        </w:p>
        <w:p w14:paraId="0E984A19" w14:textId="6979F2A8"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8" w:history="1">
            <w:r w:rsidR="001C0262" w:rsidRPr="00D23661">
              <w:rPr>
                <w:rStyle w:val="Hipersaitas"/>
                <w:rFonts w:cs="Times New Roman"/>
                <w:noProof/>
              </w:rPr>
              <w:t>2.1.2.3</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plėtros galimybės AIEB</w:t>
            </w:r>
            <w:r w:rsidR="001C0262" w:rsidRPr="00D23661">
              <w:rPr>
                <w:rStyle w:val="Hipersaitas"/>
                <w:noProof/>
              </w:rPr>
              <w:t xml:space="preserve"> </w:t>
            </w:r>
            <w:r w:rsidR="001C0262" w:rsidRPr="00D23661">
              <w:rPr>
                <w:rStyle w:val="Hipersaitas"/>
                <w:rFonts w:cs="Times New Roman"/>
                <w:noProof/>
              </w:rPr>
              <w:t>bei PEB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_Toc170804588 \h </w:instrText>
            </w:r>
            <w:r w:rsidR="001C0262" w:rsidRPr="00D23661">
              <w:rPr>
                <w:noProof/>
                <w:webHidden/>
              </w:rPr>
            </w:r>
            <w:r w:rsidR="001C0262" w:rsidRPr="00D23661">
              <w:rPr>
                <w:noProof/>
                <w:webHidden/>
              </w:rPr>
              <w:fldChar w:fldCharType="separate"/>
            </w:r>
            <w:r w:rsidR="00347605">
              <w:rPr>
                <w:noProof/>
                <w:webHidden/>
              </w:rPr>
              <w:t>22</w:t>
            </w:r>
            <w:r w:rsidR="001C0262" w:rsidRPr="00D23661">
              <w:rPr>
                <w:noProof/>
                <w:webHidden/>
              </w:rPr>
              <w:fldChar w:fldCharType="end"/>
            </w:r>
          </w:hyperlink>
        </w:p>
        <w:p w14:paraId="035F5529" w14:textId="08AF2E9C"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89" w:history="1">
            <w:r w:rsidR="001C0262" w:rsidRPr="00D23661">
              <w:rPr>
                <w:rStyle w:val="Hipersaitas"/>
                <w:rFonts w:cs="Times New Roman"/>
                <w:noProof/>
              </w:rPr>
              <w:t>2.1.3</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investicijų paklausos apibendrinimas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_Toc170804589 \h </w:instrText>
            </w:r>
            <w:r w:rsidR="001C0262" w:rsidRPr="00D23661">
              <w:rPr>
                <w:noProof/>
                <w:webHidden/>
              </w:rPr>
            </w:r>
            <w:r w:rsidR="001C0262" w:rsidRPr="00D23661">
              <w:rPr>
                <w:noProof/>
                <w:webHidden/>
              </w:rPr>
              <w:fldChar w:fldCharType="separate"/>
            </w:r>
            <w:r w:rsidR="00347605">
              <w:rPr>
                <w:noProof/>
                <w:webHidden/>
              </w:rPr>
              <w:t>24</w:t>
            </w:r>
            <w:r w:rsidR="001C0262" w:rsidRPr="00D23661">
              <w:rPr>
                <w:noProof/>
                <w:webHidden/>
              </w:rPr>
              <w:fldChar w:fldCharType="end"/>
            </w:r>
          </w:hyperlink>
        </w:p>
        <w:p w14:paraId="7B52C295" w14:textId="4D198948"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0" w:history="1">
            <w:r w:rsidR="001C0262" w:rsidRPr="00D23661">
              <w:rPr>
                <w:rStyle w:val="Hipersaitas"/>
                <w:rFonts w:cs="Times New Roman"/>
                <w:noProof/>
              </w:rPr>
              <w:t>2.2</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investicijų pasiūlos vertinimas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_Toc170804590 \h </w:instrText>
            </w:r>
            <w:r w:rsidR="001C0262" w:rsidRPr="00D23661">
              <w:rPr>
                <w:noProof/>
                <w:webHidden/>
              </w:rPr>
            </w:r>
            <w:r w:rsidR="001C0262" w:rsidRPr="00D23661">
              <w:rPr>
                <w:noProof/>
                <w:webHidden/>
              </w:rPr>
              <w:fldChar w:fldCharType="separate"/>
            </w:r>
            <w:r w:rsidR="00347605">
              <w:rPr>
                <w:noProof/>
                <w:webHidden/>
              </w:rPr>
              <w:t>25</w:t>
            </w:r>
            <w:r w:rsidR="001C0262" w:rsidRPr="00D23661">
              <w:rPr>
                <w:noProof/>
                <w:webHidden/>
              </w:rPr>
              <w:fldChar w:fldCharType="end"/>
            </w:r>
          </w:hyperlink>
        </w:p>
        <w:p w14:paraId="30FFD347" w14:textId="12742A8C"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1" w:history="1">
            <w:r w:rsidR="001C0262" w:rsidRPr="00D23661">
              <w:rPr>
                <w:rStyle w:val="Hipersaitas"/>
                <w:rFonts w:cs="Times New Roman"/>
                <w:noProof/>
              </w:rPr>
              <w:t>2.2.1</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Prieinamas viešųjų šaltinių ir pareiškėjų ko–finansavimo lėšų mastas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_Toc170804591 \h </w:instrText>
            </w:r>
            <w:r w:rsidR="001C0262" w:rsidRPr="00D23661">
              <w:rPr>
                <w:noProof/>
                <w:webHidden/>
              </w:rPr>
            </w:r>
            <w:r w:rsidR="001C0262" w:rsidRPr="00D23661">
              <w:rPr>
                <w:noProof/>
                <w:webHidden/>
              </w:rPr>
              <w:fldChar w:fldCharType="separate"/>
            </w:r>
            <w:r w:rsidR="00347605">
              <w:rPr>
                <w:noProof/>
                <w:webHidden/>
              </w:rPr>
              <w:t>25</w:t>
            </w:r>
            <w:r w:rsidR="001C0262" w:rsidRPr="00D23661">
              <w:rPr>
                <w:noProof/>
                <w:webHidden/>
              </w:rPr>
              <w:fldChar w:fldCharType="end"/>
            </w:r>
          </w:hyperlink>
        </w:p>
        <w:p w14:paraId="61591C17" w14:textId="0FF2FBCB"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2" w:history="1">
            <w:r w:rsidR="001C0262" w:rsidRPr="00D23661">
              <w:rPr>
                <w:rStyle w:val="Hipersaitas"/>
                <w:noProof/>
              </w:rPr>
              <w:t>2.2.2</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Prieinamas finansų įstaigų finansavimo mastas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_Toc170804592 \h </w:instrText>
            </w:r>
            <w:r w:rsidR="001C0262" w:rsidRPr="00D23661">
              <w:rPr>
                <w:noProof/>
                <w:webHidden/>
              </w:rPr>
            </w:r>
            <w:r w:rsidR="001C0262" w:rsidRPr="00D23661">
              <w:rPr>
                <w:noProof/>
                <w:webHidden/>
              </w:rPr>
              <w:fldChar w:fldCharType="separate"/>
            </w:r>
            <w:r w:rsidR="00347605">
              <w:rPr>
                <w:noProof/>
                <w:webHidden/>
              </w:rPr>
              <w:t>27</w:t>
            </w:r>
            <w:r w:rsidR="001C0262" w:rsidRPr="00D23661">
              <w:rPr>
                <w:noProof/>
                <w:webHidden/>
              </w:rPr>
              <w:fldChar w:fldCharType="end"/>
            </w:r>
          </w:hyperlink>
        </w:p>
        <w:p w14:paraId="32977B45" w14:textId="0D72BDC3"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3" w:history="1">
            <w:r w:rsidR="001C0262" w:rsidRPr="00D23661">
              <w:rPr>
                <w:rStyle w:val="Hipersaitas"/>
                <w:rFonts w:cs="Times New Roman"/>
                <w:noProof/>
              </w:rPr>
              <w:t>2.2.3</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Prieinamų lėšų elektros gamybos iš AEI plėtrai apibendrinimas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_Toc170804593 \h </w:instrText>
            </w:r>
            <w:r w:rsidR="001C0262" w:rsidRPr="00D23661">
              <w:rPr>
                <w:noProof/>
                <w:webHidden/>
              </w:rPr>
            </w:r>
            <w:r w:rsidR="001C0262" w:rsidRPr="00D23661">
              <w:rPr>
                <w:noProof/>
                <w:webHidden/>
              </w:rPr>
              <w:fldChar w:fldCharType="separate"/>
            </w:r>
            <w:r w:rsidR="00347605">
              <w:rPr>
                <w:noProof/>
                <w:webHidden/>
              </w:rPr>
              <w:t>28</w:t>
            </w:r>
            <w:r w:rsidR="001C0262" w:rsidRPr="00D23661">
              <w:rPr>
                <w:noProof/>
                <w:webHidden/>
              </w:rPr>
              <w:fldChar w:fldCharType="end"/>
            </w:r>
          </w:hyperlink>
        </w:p>
        <w:p w14:paraId="7860C288" w14:textId="7C8A789C"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4" w:history="1">
            <w:r w:rsidR="001C0262" w:rsidRPr="00D23661">
              <w:rPr>
                <w:rStyle w:val="Hipersaitas"/>
                <w:rFonts w:cs="Times New Roman"/>
                <w:noProof/>
              </w:rPr>
              <w:t>2.3</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AEI investicijų trūkumo vertinimas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_Toc170804594 \h </w:instrText>
            </w:r>
            <w:r w:rsidR="001C0262" w:rsidRPr="00D23661">
              <w:rPr>
                <w:noProof/>
                <w:webHidden/>
              </w:rPr>
            </w:r>
            <w:r w:rsidR="001C0262" w:rsidRPr="00D23661">
              <w:rPr>
                <w:noProof/>
                <w:webHidden/>
              </w:rPr>
              <w:fldChar w:fldCharType="separate"/>
            </w:r>
            <w:r w:rsidR="00347605">
              <w:rPr>
                <w:noProof/>
                <w:webHidden/>
              </w:rPr>
              <w:t>29</w:t>
            </w:r>
            <w:r w:rsidR="001C0262" w:rsidRPr="00D23661">
              <w:rPr>
                <w:noProof/>
                <w:webHidden/>
              </w:rPr>
              <w:fldChar w:fldCharType="end"/>
            </w:r>
          </w:hyperlink>
        </w:p>
        <w:p w14:paraId="3313CBA6" w14:textId="660FDC7C"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595" w:history="1">
            <w:r w:rsidR="001C0262" w:rsidRPr="00D23661">
              <w:rPr>
                <w:rStyle w:val="Hipersaitas"/>
                <w:b w:val="0"/>
                <w:bCs w:val="0"/>
              </w:rPr>
              <w:t>3</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Jautrumo analizė</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_Toc170804595 \h </w:instrText>
            </w:r>
            <w:r w:rsidR="001C0262" w:rsidRPr="00D23661">
              <w:rPr>
                <w:b w:val="0"/>
                <w:bCs w:val="0"/>
                <w:webHidden/>
              </w:rPr>
            </w:r>
            <w:r w:rsidR="001C0262" w:rsidRPr="00D23661">
              <w:rPr>
                <w:b w:val="0"/>
                <w:bCs w:val="0"/>
                <w:webHidden/>
              </w:rPr>
              <w:fldChar w:fldCharType="separate"/>
            </w:r>
            <w:r w:rsidR="00347605">
              <w:rPr>
                <w:b w:val="0"/>
                <w:bCs w:val="0"/>
                <w:webHidden/>
              </w:rPr>
              <w:t>30</w:t>
            </w:r>
            <w:r w:rsidR="001C0262" w:rsidRPr="00D23661">
              <w:rPr>
                <w:b w:val="0"/>
                <w:bCs w:val="0"/>
                <w:webHidden/>
              </w:rPr>
              <w:fldChar w:fldCharType="end"/>
            </w:r>
          </w:hyperlink>
        </w:p>
        <w:p w14:paraId="19787D0B" w14:textId="20E3AD8E" w:rsidR="001C0262" w:rsidRPr="00D23661" w:rsidRDefault="001F03B6">
          <w:pPr>
            <w:pStyle w:val="Turinys3"/>
            <w:rPr>
              <w:rFonts w:asciiTheme="minorHAnsi" w:hAnsiTheme="minorHAnsi"/>
              <w:bCs w:val="0"/>
              <w:kern w:val="2"/>
              <w:sz w:val="22"/>
              <w:szCs w:val="22"/>
              <w:lang w:eastAsia="lt-LT"/>
              <w14:ligatures w14:val="standardContextual"/>
            </w:rPr>
          </w:pPr>
          <w:hyperlink w:anchor="_Toc170804596" w:history="1">
            <w:r w:rsidR="001C0262" w:rsidRPr="00D23661">
              <w:rPr>
                <w:rStyle w:val="Hipersaitas"/>
                <w:bCs w:val="0"/>
              </w:rPr>
              <w:t>Pagrindinės jautrumo analizės prielaidos</w:t>
            </w:r>
            <w:r w:rsidR="001C0262" w:rsidRPr="00D23661">
              <w:rPr>
                <w:bCs w:val="0"/>
                <w:webHidden/>
              </w:rPr>
              <w:tab/>
            </w:r>
            <w:r w:rsidR="001C0262" w:rsidRPr="00D23661">
              <w:rPr>
                <w:bCs w:val="0"/>
                <w:webHidden/>
              </w:rPr>
              <w:fldChar w:fldCharType="begin"/>
            </w:r>
            <w:r w:rsidR="001C0262" w:rsidRPr="00D23661">
              <w:rPr>
                <w:bCs w:val="0"/>
                <w:webHidden/>
              </w:rPr>
              <w:instrText xml:space="preserve"> PAGEREF _Toc170804596 \h </w:instrText>
            </w:r>
            <w:r w:rsidR="001C0262" w:rsidRPr="00D23661">
              <w:rPr>
                <w:bCs w:val="0"/>
                <w:webHidden/>
              </w:rPr>
            </w:r>
            <w:r w:rsidR="001C0262" w:rsidRPr="00D23661">
              <w:rPr>
                <w:bCs w:val="0"/>
                <w:webHidden/>
              </w:rPr>
              <w:fldChar w:fldCharType="separate"/>
            </w:r>
            <w:r w:rsidR="00347605">
              <w:rPr>
                <w:bCs w:val="0"/>
                <w:webHidden/>
              </w:rPr>
              <w:t>30</w:t>
            </w:r>
            <w:r w:rsidR="001C0262" w:rsidRPr="00D23661">
              <w:rPr>
                <w:bCs w:val="0"/>
                <w:webHidden/>
              </w:rPr>
              <w:fldChar w:fldCharType="end"/>
            </w:r>
          </w:hyperlink>
        </w:p>
        <w:p w14:paraId="3E61CB64" w14:textId="000545E4"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7" w:history="1">
            <w:r w:rsidR="001C0262" w:rsidRPr="00D23661">
              <w:rPr>
                <w:rStyle w:val="Hipersaitas"/>
                <w:rFonts w:cs="Times New Roman"/>
                <w:noProof/>
              </w:rPr>
              <w:t>3.1</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Jautrumo analizė VJA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_Toc170804597 \h </w:instrText>
            </w:r>
            <w:r w:rsidR="001C0262" w:rsidRPr="00D23661">
              <w:rPr>
                <w:noProof/>
                <w:webHidden/>
              </w:rPr>
            </w:r>
            <w:r w:rsidR="001C0262" w:rsidRPr="00D23661">
              <w:rPr>
                <w:noProof/>
                <w:webHidden/>
              </w:rPr>
              <w:fldChar w:fldCharType="separate"/>
            </w:r>
            <w:r w:rsidR="00347605">
              <w:rPr>
                <w:noProof/>
                <w:webHidden/>
              </w:rPr>
              <w:t>32</w:t>
            </w:r>
            <w:r w:rsidR="001C0262" w:rsidRPr="00D23661">
              <w:rPr>
                <w:noProof/>
                <w:webHidden/>
              </w:rPr>
              <w:fldChar w:fldCharType="end"/>
            </w:r>
          </w:hyperlink>
        </w:p>
        <w:p w14:paraId="48C47E3D" w14:textId="536F31C6"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8" w:history="1">
            <w:r w:rsidR="001C0262" w:rsidRPr="00D23661">
              <w:rPr>
                <w:rStyle w:val="Hipersaitas"/>
                <w:rFonts w:cs="Times New Roman"/>
                <w:noProof/>
              </w:rPr>
              <w:t>3.2</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Jautrumo analizė verslo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_Toc170804598 \h </w:instrText>
            </w:r>
            <w:r w:rsidR="001C0262" w:rsidRPr="00D23661">
              <w:rPr>
                <w:noProof/>
                <w:webHidden/>
              </w:rPr>
            </w:r>
            <w:r w:rsidR="001C0262" w:rsidRPr="00D23661">
              <w:rPr>
                <w:noProof/>
                <w:webHidden/>
              </w:rPr>
              <w:fldChar w:fldCharType="separate"/>
            </w:r>
            <w:r w:rsidR="00347605">
              <w:rPr>
                <w:noProof/>
                <w:webHidden/>
              </w:rPr>
              <w:t>35</w:t>
            </w:r>
            <w:r w:rsidR="001C0262" w:rsidRPr="00D23661">
              <w:rPr>
                <w:noProof/>
                <w:webHidden/>
              </w:rPr>
              <w:fldChar w:fldCharType="end"/>
            </w:r>
          </w:hyperlink>
        </w:p>
        <w:p w14:paraId="352BCBDE" w14:textId="75A67544" w:rsidR="001C0262" w:rsidRPr="00D23661" w:rsidRDefault="001F03B6">
          <w:pPr>
            <w:pStyle w:val="Turinys2"/>
            <w:rPr>
              <w:rFonts w:asciiTheme="minorHAnsi" w:hAnsiTheme="minorHAnsi"/>
              <w:noProof/>
              <w:kern w:val="2"/>
              <w:sz w:val="22"/>
              <w:szCs w:val="22"/>
              <w:lang w:eastAsia="lt-LT"/>
              <w14:ligatures w14:val="standardContextual"/>
            </w:rPr>
          </w:pPr>
          <w:hyperlink w:anchor="_Toc170804599" w:history="1">
            <w:r w:rsidR="001C0262" w:rsidRPr="00D23661">
              <w:rPr>
                <w:rStyle w:val="Hipersaitas"/>
                <w:rFonts w:cs="Times New Roman"/>
                <w:noProof/>
              </w:rPr>
              <w:t>3.3</w:t>
            </w:r>
            <w:r w:rsidR="001C0262" w:rsidRPr="00D23661">
              <w:rPr>
                <w:rFonts w:asciiTheme="minorHAnsi" w:hAnsiTheme="minorHAnsi"/>
                <w:noProof/>
                <w:kern w:val="2"/>
                <w:sz w:val="22"/>
                <w:szCs w:val="22"/>
                <w:lang w:eastAsia="lt-LT"/>
                <w14:ligatures w14:val="standardContextual"/>
              </w:rPr>
              <w:tab/>
            </w:r>
            <w:r w:rsidR="001C0262" w:rsidRPr="00D23661">
              <w:rPr>
                <w:rStyle w:val="Hipersaitas"/>
                <w:rFonts w:cs="Times New Roman"/>
                <w:noProof/>
              </w:rPr>
              <w:t>Jautrumo analizė AIEB</w:t>
            </w:r>
            <w:r w:rsidR="001C0262" w:rsidRPr="00D23661">
              <w:rPr>
                <w:rStyle w:val="Hipersaitas"/>
                <w:noProof/>
              </w:rPr>
              <w:t xml:space="preserve"> </w:t>
            </w:r>
            <w:r w:rsidR="001C0262" w:rsidRPr="00D23661">
              <w:rPr>
                <w:rStyle w:val="Hipersaitas"/>
                <w:rFonts w:cs="Times New Roman"/>
                <w:noProof/>
              </w:rPr>
              <w:t>bei PEB tikslinėje grupėje</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_Toc170804599 \h </w:instrText>
            </w:r>
            <w:r w:rsidR="001C0262" w:rsidRPr="00D23661">
              <w:rPr>
                <w:noProof/>
                <w:webHidden/>
              </w:rPr>
            </w:r>
            <w:r w:rsidR="001C0262" w:rsidRPr="00D23661">
              <w:rPr>
                <w:noProof/>
                <w:webHidden/>
              </w:rPr>
              <w:fldChar w:fldCharType="separate"/>
            </w:r>
            <w:r w:rsidR="00347605">
              <w:rPr>
                <w:noProof/>
                <w:webHidden/>
              </w:rPr>
              <w:t>38</w:t>
            </w:r>
            <w:r w:rsidR="001C0262" w:rsidRPr="00D23661">
              <w:rPr>
                <w:noProof/>
                <w:webHidden/>
              </w:rPr>
              <w:fldChar w:fldCharType="end"/>
            </w:r>
          </w:hyperlink>
        </w:p>
        <w:p w14:paraId="6C38D817" w14:textId="6FC10634"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00" w:history="1">
            <w:r w:rsidR="001C0262" w:rsidRPr="00D23661">
              <w:rPr>
                <w:rStyle w:val="Hipersaitas"/>
                <w:b w:val="0"/>
                <w:bCs w:val="0"/>
              </w:rPr>
              <w:t>4</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Siūlomi finansiniai produktai ir investavimo strategija</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_Toc170804600 \h </w:instrText>
            </w:r>
            <w:r w:rsidR="001C0262" w:rsidRPr="00D23661">
              <w:rPr>
                <w:b w:val="0"/>
                <w:bCs w:val="0"/>
                <w:webHidden/>
              </w:rPr>
            </w:r>
            <w:r w:rsidR="001C0262" w:rsidRPr="00D23661">
              <w:rPr>
                <w:b w:val="0"/>
                <w:bCs w:val="0"/>
                <w:webHidden/>
              </w:rPr>
              <w:fldChar w:fldCharType="separate"/>
            </w:r>
            <w:r w:rsidR="00347605">
              <w:rPr>
                <w:b w:val="0"/>
                <w:bCs w:val="0"/>
                <w:webHidden/>
              </w:rPr>
              <w:t>40</w:t>
            </w:r>
            <w:r w:rsidR="001C0262" w:rsidRPr="00D23661">
              <w:rPr>
                <w:b w:val="0"/>
                <w:bCs w:val="0"/>
                <w:webHidden/>
              </w:rPr>
              <w:fldChar w:fldCharType="end"/>
            </w:r>
          </w:hyperlink>
        </w:p>
        <w:p w14:paraId="5BC6DF64" w14:textId="3E382805"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01" w:history="1">
            <w:r w:rsidR="001C0262" w:rsidRPr="00D23661">
              <w:rPr>
                <w:rStyle w:val="Hipersaitas"/>
                <w:b w:val="0"/>
                <w:bCs w:val="0"/>
              </w:rPr>
              <w:t>4.1</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Rinkos nepakankamumo priežastys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_Toc170804601 \h </w:instrText>
            </w:r>
            <w:r w:rsidR="001C0262" w:rsidRPr="00D23661">
              <w:rPr>
                <w:b w:val="0"/>
                <w:bCs w:val="0"/>
                <w:webHidden/>
              </w:rPr>
            </w:r>
            <w:r w:rsidR="001C0262" w:rsidRPr="00D23661">
              <w:rPr>
                <w:b w:val="0"/>
                <w:bCs w:val="0"/>
                <w:webHidden/>
              </w:rPr>
              <w:fldChar w:fldCharType="separate"/>
            </w:r>
            <w:r w:rsidR="00347605">
              <w:rPr>
                <w:b w:val="0"/>
                <w:bCs w:val="0"/>
                <w:webHidden/>
              </w:rPr>
              <w:t>40</w:t>
            </w:r>
            <w:r w:rsidR="001C0262" w:rsidRPr="00D23661">
              <w:rPr>
                <w:b w:val="0"/>
                <w:bCs w:val="0"/>
                <w:webHidden/>
              </w:rPr>
              <w:fldChar w:fldCharType="end"/>
            </w:r>
          </w:hyperlink>
        </w:p>
        <w:p w14:paraId="7774F50A" w14:textId="1B469D63" w:rsidR="001C0262" w:rsidRPr="00D23661" w:rsidRDefault="001F03B6">
          <w:pPr>
            <w:pStyle w:val="Turinys2"/>
            <w:rPr>
              <w:rFonts w:asciiTheme="minorHAnsi" w:hAnsiTheme="minorHAnsi"/>
              <w:noProof/>
              <w:kern w:val="2"/>
              <w:sz w:val="22"/>
              <w:szCs w:val="22"/>
              <w:lang w:eastAsia="lt-LT"/>
              <w14:ligatures w14:val="standardContextual"/>
            </w:rPr>
          </w:pPr>
          <w:hyperlink w:anchor="_Toc170804602" w:history="1">
            <w:r w:rsidR="001C0262" w:rsidRPr="00D23661">
              <w:rPr>
                <w:rStyle w:val="Hipersaitas"/>
                <w:noProof/>
              </w:rPr>
              <w:t>AIEB, PEB ir VJA</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_Toc170804602 \h </w:instrText>
            </w:r>
            <w:r w:rsidR="001C0262" w:rsidRPr="00D23661">
              <w:rPr>
                <w:noProof/>
                <w:webHidden/>
              </w:rPr>
            </w:r>
            <w:r w:rsidR="001C0262" w:rsidRPr="00D23661">
              <w:rPr>
                <w:noProof/>
                <w:webHidden/>
              </w:rPr>
              <w:fldChar w:fldCharType="separate"/>
            </w:r>
            <w:r w:rsidR="00347605">
              <w:rPr>
                <w:noProof/>
                <w:webHidden/>
              </w:rPr>
              <w:t>40</w:t>
            </w:r>
            <w:r w:rsidR="001C0262" w:rsidRPr="00D23661">
              <w:rPr>
                <w:noProof/>
                <w:webHidden/>
              </w:rPr>
              <w:fldChar w:fldCharType="end"/>
            </w:r>
          </w:hyperlink>
        </w:p>
        <w:p w14:paraId="5CE9682F" w14:textId="3C05113F" w:rsidR="001C0262" w:rsidRPr="00D23661" w:rsidRDefault="001F03B6">
          <w:pPr>
            <w:pStyle w:val="Turinys2"/>
            <w:rPr>
              <w:rFonts w:asciiTheme="minorHAnsi" w:hAnsiTheme="minorHAnsi"/>
              <w:noProof/>
              <w:kern w:val="2"/>
              <w:sz w:val="22"/>
              <w:szCs w:val="22"/>
              <w:lang w:eastAsia="lt-LT"/>
              <w14:ligatures w14:val="standardContextual"/>
            </w:rPr>
          </w:pPr>
          <w:hyperlink w:anchor="_Toc170804603" w:history="1">
            <w:r w:rsidR="001C0262" w:rsidRPr="00D23661">
              <w:rPr>
                <w:rStyle w:val="Hipersaitas"/>
                <w:noProof/>
              </w:rPr>
              <w:t>Verslas</w:t>
            </w:r>
            <w:r w:rsidR="009C1FCB" w:rsidRPr="00D23661">
              <w:rPr>
                <w:rStyle w:val="Hipersaitas"/>
                <w:noProof/>
              </w:rPr>
              <w:t>...</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_Toc170804603 \h </w:instrText>
            </w:r>
            <w:r w:rsidR="001C0262" w:rsidRPr="00D23661">
              <w:rPr>
                <w:noProof/>
                <w:webHidden/>
              </w:rPr>
            </w:r>
            <w:r w:rsidR="001C0262" w:rsidRPr="00D23661">
              <w:rPr>
                <w:noProof/>
                <w:webHidden/>
              </w:rPr>
              <w:fldChar w:fldCharType="separate"/>
            </w:r>
            <w:r w:rsidR="00347605">
              <w:rPr>
                <w:noProof/>
                <w:webHidden/>
              </w:rPr>
              <w:t>41</w:t>
            </w:r>
            <w:r w:rsidR="001C0262" w:rsidRPr="00D23661">
              <w:rPr>
                <w:noProof/>
                <w:webHidden/>
              </w:rPr>
              <w:fldChar w:fldCharType="end"/>
            </w:r>
          </w:hyperlink>
        </w:p>
        <w:p w14:paraId="014EAE1E" w14:textId="4CC7F79F"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04" w:history="1">
            <w:r w:rsidR="001C0262" w:rsidRPr="00D23661">
              <w:rPr>
                <w:rStyle w:val="Hipersaitas"/>
                <w:b w:val="0"/>
                <w:bCs w:val="0"/>
              </w:rPr>
              <w:t>4.2</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Galimos FP rinkos nepakankamumui spręsti</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_Toc170804604 \h </w:instrText>
            </w:r>
            <w:r w:rsidR="001C0262" w:rsidRPr="00D23661">
              <w:rPr>
                <w:b w:val="0"/>
                <w:bCs w:val="0"/>
                <w:webHidden/>
              </w:rPr>
            </w:r>
            <w:r w:rsidR="001C0262" w:rsidRPr="00D23661">
              <w:rPr>
                <w:b w:val="0"/>
                <w:bCs w:val="0"/>
                <w:webHidden/>
              </w:rPr>
              <w:fldChar w:fldCharType="separate"/>
            </w:r>
            <w:r w:rsidR="00347605">
              <w:rPr>
                <w:b w:val="0"/>
                <w:bCs w:val="0"/>
                <w:webHidden/>
              </w:rPr>
              <w:t>43</w:t>
            </w:r>
            <w:r w:rsidR="001C0262" w:rsidRPr="00D23661">
              <w:rPr>
                <w:b w:val="0"/>
                <w:bCs w:val="0"/>
                <w:webHidden/>
              </w:rPr>
              <w:fldChar w:fldCharType="end"/>
            </w:r>
          </w:hyperlink>
        </w:p>
        <w:p w14:paraId="427A5C9C" w14:textId="1F0A5064" w:rsidR="001C0262" w:rsidRPr="00D23661" w:rsidRDefault="001F03B6">
          <w:pPr>
            <w:pStyle w:val="Turinys2"/>
            <w:rPr>
              <w:rFonts w:asciiTheme="minorHAnsi" w:hAnsiTheme="minorHAnsi"/>
              <w:noProof/>
              <w:kern w:val="2"/>
              <w:sz w:val="22"/>
              <w:szCs w:val="22"/>
              <w:lang w:eastAsia="lt-LT"/>
              <w14:ligatures w14:val="standardContextual"/>
            </w:rPr>
          </w:pPr>
          <w:hyperlink w:anchor="_Toc170804605" w:history="1">
            <w:r w:rsidR="001C0262" w:rsidRPr="00D23661">
              <w:rPr>
                <w:rStyle w:val="Hipersaitas"/>
                <w:noProof/>
              </w:rPr>
              <w:t>Garantijos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_Toc170804605 \h </w:instrText>
            </w:r>
            <w:r w:rsidR="001C0262" w:rsidRPr="00D23661">
              <w:rPr>
                <w:noProof/>
                <w:webHidden/>
              </w:rPr>
            </w:r>
            <w:r w:rsidR="001C0262" w:rsidRPr="00D23661">
              <w:rPr>
                <w:noProof/>
                <w:webHidden/>
              </w:rPr>
              <w:fldChar w:fldCharType="separate"/>
            </w:r>
            <w:r w:rsidR="00347605">
              <w:rPr>
                <w:noProof/>
                <w:webHidden/>
              </w:rPr>
              <w:t>43</w:t>
            </w:r>
            <w:r w:rsidR="001C0262" w:rsidRPr="00D23661">
              <w:rPr>
                <w:noProof/>
                <w:webHidden/>
              </w:rPr>
              <w:fldChar w:fldCharType="end"/>
            </w:r>
          </w:hyperlink>
        </w:p>
        <w:p w14:paraId="6B3FB0DA" w14:textId="4073646F" w:rsidR="001C0262" w:rsidRPr="00D23661" w:rsidRDefault="001F03B6">
          <w:pPr>
            <w:pStyle w:val="Turinys2"/>
            <w:rPr>
              <w:rFonts w:asciiTheme="minorHAnsi" w:hAnsiTheme="minorHAnsi"/>
              <w:noProof/>
              <w:kern w:val="2"/>
              <w:sz w:val="22"/>
              <w:szCs w:val="22"/>
              <w:lang w:eastAsia="lt-LT"/>
              <w14:ligatures w14:val="standardContextual"/>
            </w:rPr>
          </w:pPr>
          <w:hyperlink w:anchor="_Toc170804606" w:history="1">
            <w:r w:rsidR="001C0262" w:rsidRPr="00D23661">
              <w:rPr>
                <w:rStyle w:val="Hipersaitas"/>
                <w:noProof/>
              </w:rPr>
              <w:t>Paskolos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_Toc170804606 \h </w:instrText>
            </w:r>
            <w:r w:rsidR="001C0262" w:rsidRPr="00D23661">
              <w:rPr>
                <w:noProof/>
                <w:webHidden/>
              </w:rPr>
            </w:r>
            <w:r w:rsidR="001C0262" w:rsidRPr="00D23661">
              <w:rPr>
                <w:noProof/>
                <w:webHidden/>
              </w:rPr>
              <w:fldChar w:fldCharType="separate"/>
            </w:r>
            <w:r w:rsidR="00347605">
              <w:rPr>
                <w:noProof/>
                <w:webHidden/>
              </w:rPr>
              <w:t>44</w:t>
            </w:r>
            <w:r w:rsidR="001C0262" w:rsidRPr="00D23661">
              <w:rPr>
                <w:noProof/>
                <w:webHidden/>
              </w:rPr>
              <w:fldChar w:fldCharType="end"/>
            </w:r>
          </w:hyperlink>
        </w:p>
        <w:p w14:paraId="05707AE2" w14:textId="3BF7F46E"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07" w:history="1">
            <w:r w:rsidR="001C0262" w:rsidRPr="00D23661">
              <w:rPr>
                <w:rStyle w:val="Hipersaitas"/>
                <w:b w:val="0"/>
                <w:bCs w:val="0"/>
              </w:rPr>
              <w:t>4.3</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Optimali FP AIEB, PEB, VJA ir verslo tikslinėse grupėse</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_Toc170804607 \h </w:instrText>
            </w:r>
            <w:r w:rsidR="001C0262" w:rsidRPr="00D23661">
              <w:rPr>
                <w:b w:val="0"/>
                <w:bCs w:val="0"/>
                <w:webHidden/>
              </w:rPr>
            </w:r>
            <w:r w:rsidR="001C0262" w:rsidRPr="00D23661">
              <w:rPr>
                <w:b w:val="0"/>
                <w:bCs w:val="0"/>
                <w:webHidden/>
              </w:rPr>
              <w:fldChar w:fldCharType="separate"/>
            </w:r>
            <w:r w:rsidR="00347605">
              <w:rPr>
                <w:b w:val="0"/>
                <w:bCs w:val="0"/>
                <w:webHidden/>
              </w:rPr>
              <w:t>45</w:t>
            </w:r>
            <w:r w:rsidR="001C0262" w:rsidRPr="00D23661">
              <w:rPr>
                <w:b w:val="0"/>
                <w:bCs w:val="0"/>
                <w:webHidden/>
              </w:rPr>
              <w:fldChar w:fldCharType="end"/>
            </w:r>
          </w:hyperlink>
        </w:p>
        <w:p w14:paraId="4726E1EE" w14:textId="0185F0AA" w:rsidR="001C0262" w:rsidRPr="00D23661" w:rsidRDefault="001F03B6">
          <w:pPr>
            <w:pStyle w:val="Turinys2"/>
            <w:rPr>
              <w:rFonts w:asciiTheme="minorHAnsi" w:hAnsiTheme="minorHAnsi"/>
              <w:noProof/>
              <w:kern w:val="2"/>
              <w:sz w:val="22"/>
              <w:szCs w:val="22"/>
              <w:lang w:eastAsia="lt-LT"/>
              <w14:ligatures w14:val="standardContextual"/>
            </w:rPr>
          </w:pPr>
          <w:hyperlink w:anchor="_Toc170804608" w:history="1">
            <w:r w:rsidR="001C0262" w:rsidRPr="00D23661">
              <w:rPr>
                <w:rStyle w:val="Hipersaitas"/>
                <w:noProof/>
              </w:rPr>
              <w:t>VJA ir AIEB, PEB investavimo strategijos derinimas su dotacijomis</w:t>
            </w:r>
            <w:r w:rsidR="001C0262" w:rsidRPr="00D23661">
              <w:rPr>
                <w:noProof/>
                <w:webHidden/>
              </w:rPr>
              <w:tab/>
            </w:r>
            <w:r w:rsidR="001C0262" w:rsidRPr="00D23661">
              <w:rPr>
                <w:noProof/>
                <w:webHidden/>
              </w:rPr>
              <w:fldChar w:fldCharType="begin"/>
            </w:r>
            <w:r w:rsidR="001C0262" w:rsidRPr="00D23661">
              <w:rPr>
                <w:noProof/>
                <w:webHidden/>
              </w:rPr>
              <w:instrText xml:space="preserve"> PAGEREF _Toc170804608 \h </w:instrText>
            </w:r>
            <w:r w:rsidR="001C0262" w:rsidRPr="00D23661">
              <w:rPr>
                <w:noProof/>
                <w:webHidden/>
              </w:rPr>
            </w:r>
            <w:r w:rsidR="001C0262" w:rsidRPr="00D23661">
              <w:rPr>
                <w:noProof/>
                <w:webHidden/>
              </w:rPr>
              <w:fldChar w:fldCharType="separate"/>
            </w:r>
            <w:r w:rsidR="00347605">
              <w:rPr>
                <w:noProof/>
                <w:webHidden/>
              </w:rPr>
              <w:t>47</w:t>
            </w:r>
            <w:r w:rsidR="001C0262" w:rsidRPr="00D23661">
              <w:rPr>
                <w:noProof/>
                <w:webHidden/>
              </w:rPr>
              <w:fldChar w:fldCharType="end"/>
            </w:r>
          </w:hyperlink>
        </w:p>
        <w:p w14:paraId="39B63949" w14:textId="46BC5B51"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09" w:history="1">
            <w:r w:rsidR="001C0262" w:rsidRPr="00D23661">
              <w:rPr>
                <w:rStyle w:val="Hipersaitas"/>
                <w:b w:val="0"/>
                <w:bCs w:val="0"/>
              </w:rPr>
              <w:t>5</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Sverto efekto skaičiavimas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_Toc170804609 \h </w:instrText>
            </w:r>
            <w:r w:rsidR="001C0262" w:rsidRPr="00D23661">
              <w:rPr>
                <w:b w:val="0"/>
                <w:bCs w:val="0"/>
                <w:webHidden/>
              </w:rPr>
            </w:r>
            <w:r w:rsidR="001C0262" w:rsidRPr="00D23661">
              <w:rPr>
                <w:b w:val="0"/>
                <w:bCs w:val="0"/>
                <w:webHidden/>
              </w:rPr>
              <w:fldChar w:fldCharType="separate"/>
            </w:r>
            <w:r w:rsidR="00347605">
              <w:rPr>
                <w:b w:val="0"/>
                <w:bCs w:val="0"/>
                <w:webHidden/>
              </w:rPr>
              <w:t>50</w:t>
            </w:r>
            <w:r w:rsidR="001C0262" w:rsidRPr="00D23661">
              <w:rPr>
                <w:b w:val="0"/>
                <w:bCs w:val="0"/>
                <w:webHidden/>
              </w:rPr>
              <w:fldChar w:fldCharType="end"/>
            </w:r>
          </w:hyperlink>
        </w:p>
        <w:p w14:paraId="1EC0667C" w14:textId="24CA4580"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10" w:history="1">
            <w:r w:rsidR="001C0262" w:rsidRPr="00D23661">
              <w:rPr>
                <w:rStyle w:val="Hipersaitas"/>
                <w:b w:val="0"/>
                <w:bCs w:val="0"/>
              </w:rPr>
              <w:t>6</w:t>
            </w:r>
            <w:r w:rsidR="001C0262" w:rsidRPr="00D23661">
              <w:rPr>
                <w:rFonts w:asciiTheme="minorHAnsi" w:hAnsiTheme="minorHAnsi" w:cstheme="minorBidi"/>
                <w:b w:val="0"/>
                <w:bCs w:val="0"/>
                <w:kern w:val="2"/>
                <w:sz w:val="22"/>
                <w:szCs w:val="22"/>
                <w14:ligatures w14:val="standardContextual"/>
              </w:rPr>
              <w:tab/>
            </w:r>
            <w:r w:rsidR="001C0262" w:rsidRPr="00D23661">
              <w:rPr>
                <w:rStyle w:val="Hipersaitas"/>
                <w:b w:val="0"/>
                <w:bCs w:val="0"/>
              </w:rPr>
              <w:t>Siūlymai dėl finansinių priemonių stebėsenos rodiklių</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_Toc170804610 \h </w:instrText>
            </w:r>
            <w:r w:rsidR="001C0262" w:rsidRPr="00D23661">
              <w:rPr>
                <w:b w:val="0"/>
                <w:bCs w:val="0"/>
                <w:webHidden/>
              </w:rPr>
            </w:r>
            <w:r w:rsidR="001C0262" w:rsidRPr="00D23661">
              <w:rPr>
                <w:b w:val="0"/>
                <w:bCs w:val="0"/>
                <w:webHidden/>
              </w:rPr>
              <w:fldChar w:fldCharType="separate"/>
            </w:r>
            <w:r w:rsidR="00347605">
              <w:rPr>
                <w:b w:val="0"/>
                <w:bCs w:val="0"/>
                <w:webHidden/>
              </w:rPr>
              <w:t>51</w:t>
            </w:r>
            <w:r w:rsidR="001C0262" w:rsidRPr="00D23661">
              <w:rPr>
                <w:b w:val="0"/>
                <w:bCs w:val="0"/>
                <w:webHidden/>
              </w:rPr>
              <w:fldChar w:fldCharType="end"/>
            </w:r>
          </w:hyperlink>
        </w:p>
        <w:p w14:paraId="56286907" w14:textId="6563E1AE"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11" w:history="1">
            <w:r w:rsidR="001C0262" w:rsidRPr="00D23661">
              <w:rPr>
                <w:rStyle w:val="Hipersaitas"/>
                <w:b w:val="0"/>
                <w:bCs w:val="0"/>
              </w:rPr>
              <w:t>Priedas 1. Pusiau struktūruotų ir nestruktūruotų interviu respondentų sąrašas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_Toc170804611 \h </w:instrText>
            </w:r>
            <w:r w:rsidR="001C0262" w:rsidRPr="00D23661">
              <w:rPr>
                <w:b w:val="0"/>
                <w:bCs w:val="0"/>
                <w:webHidden/>
              </w:rPr>
            </w:r>
            <w:r w:rsidR="001C0262" w:rsidRPr="00D23661">
              <w:rPr>
                <w:b w:val="0"/>
                <w:bCs w:val="0"/>
                <w:webHidden/>
              </w:rPr>
              <w:fldChar w:fldCharType="separate"/>
            </w:r>
            <w:r w:rsidR="00347605">
              <w:rPr>
                <w:b w:val="0"/>
                <w:bCs w:val="0"/>
                <w:webHidden/>
              </w:rPr>
              <w:t>53</w:t>
            </w:r>
            <w:r w:rsidR="001C0262" w:rsidRPr="00D23661">
              <w:rPr>
                <w:b w:val="0"/>
                <w:bCs w:val="0"/>
                <w:webHidden/>
              </w:rPr>
              <w:fldChar w:fldCharType="end"/>
            </w:r>
          </w:hyperlink>
        </w:p>
        <w:p w14:paraId="67522468" w14:textId="770C04D7" w:rsidR="001C0262" w:rsidRPr="00D23661" w:rsidRDefault="001F03B6">
          <w:pPr>
            <w:pStyle w:val="Turinys1"/>
            <w:rPr>
              <w:rFonts w:asciiTheme="minorHAnsi" w:hAnsiTheme="minorHAnsi" w:cstheme="minorBidi"/>
              <w:b w:val="0"/>
              <w:bCs w:val="0"/>
              <w:kern w:val="2"/>
              <w:sz w:val="22"/>
              <w:szCs w:val="22"/>
              <w14:ligatures w14:val="standardContextual"/>
            </w:rPr>
          </w:pPr>
          <w:hyperlink w:anchor="_Toc170804612" w:history="1">
            <w:r w:rsidR="001C0262" w:rsidRPr="00D23661">
              <w:rPr>
                <w:rStyle w:val="Hipersaitas"/>
                <w:b w:val="0"/>
                <w:bCs w:val="0"/>
              </w:rPr>
              <w:t>Priedas 2. Reprezentatyvios anketinės apklausos sudarymo metodologija ir aprašas</w:t>
            </w:r>
            <w:r w:rsidR="001C0262" w:rsidRPr="00D23661">
              <w:rPr>
                <w:b w:val="0"/>
                <w:bCs w:val="0"/>
                <w:webHidden/>
              </w:rPr>
              <w:tab/>
            </w:r>
            <w:r w:rsidR="001C0262" w:rsidRPr="00D23661">
              <w:rPr>
                <w:b w:val="0"/>
                <w:bCs w:val="0"/>
                <w:webHidden/>
              </w:rPr>
              <w:fldChar w:fldCharType="begin"/>
            </w:r>
            <w:r w:rsidR="001C0262" w:rsidRPr="00D23661">
              <w:rPr>
                <w:b w:val="0"/>
                <w:bCs w:val="0"/>
                <w:webHidden/>
              </w:rPr>
              <w:instrText xml:space="preserve"> PAGEREF _Toc170804612 \h </w:instrText>
            </w:r>
            <w:r w:rsidR="001C0262" w:rsidRPr="00D23661">
              <w:rPr>
                <w:b w:val="0"/>
                <w:bCs w:val="0"/>
                <w:webHidden/>
              </w:rPr>
            </w:r>
            <w:r w:rsidR="001C0262" w:rsidRPr="00D23661">
              <w:rPr>
                <w:b w:val="0"/>
                <w:bCs w:val="0"/>
                <w:webHidden/>
              </w:rPr>
              <w:fldChar w:fldCharType="separate"/>
            </w:r>
            <w:r w:rsidR="00347605">
              <w:rPr>
                <w:b w:val="0"/>
                <w:bCs w:val="0"/>
                <w:webHidden/>
              </w:rPr>
              <w:t>54</w:t>
            </w:r>
            <w:r w:rsidR="001C0262" w:rsidRPr="00D23661">
              <w:rPr>
                <w:b w:val="0"/>
                <w:bCs w:val="0"/>
                <w:webHidden/>
              </w:rPr>
              <w:fldChar w:fldCharType="end"/>
            </w:r>
          </w:hyperlink>
        </w:p>
        <w:p w14:paraId="663AE296" w14:textId="4EA6460A" w:rsidR="00EF26D3" w:rsidRPr="003C0378" w:rsidRDefault="00A66C35" w:rsidP="0025664D">
          <w:pPr>
            <w:spacing w:after="60"/>
            <w:ind w:firstLine="0"/>
            <w:rPr>
              <w:rFonts w:cs="Times New Roman"/>
            </w:rPr>
          </w:pPr>
          <w:r w:rsidRPr="00D23661">
            <w:fldChar w:fldCharType="end"/>
          </w:r>
        </w:p>
      </w:sdtContent>
    </w:sdt>
    <w:p w14:paraId="7B68BB26" w14:textId="77777777" w:rsidR="00F67EFF" w:rsidRPr="003C0378" w:rsidRDefault="00F67EFF" w:rsidP="009B2AF3">
      <w:pPr>
        <w:pStyle w:val="Antrat1"/>
        <w:numPr>
          <w:ilvl w:val="0"/>
          <w:numId w:val="0"/>
        </w:numPr>
        <w:rPr>
          <w:rStyle w:val="Antrat2Diagrama"/>
          <w:rFonts w:cs="Times New Roman"/>
          <w:b/>
          <w:bCs/>
          <w:szCs w:val="24"/>
        </w:rPr>
        <w:sectPr w:rsidR="00F67EFF" w:rsidRPr="003C0378" w:rsidSect="00C234E6">
          <w:headerReference w:type="default" r:id="rId11"/>
          <w:footerReference w:type="first" r:id="rId12"/>
          <w:pgSz w:w="11906" w:h="16838" w:code="9"/>
          <w:pgMar w:top="1701" w:right="567" w:bottom="1134" w:left="1701" w:header="567" w:footer="567" w:gutter="0"/>
          <w:cols w:space="1296"/>
          <w:docGrid w:linePitch="360"/>
        </w:sectPr>
      </w:pPr>
      <w:bookmarkStart w:id="0" w:name="_Toc62131196"/>
    </w:p>
    <w:p w14:paraId="54F15F23" w14:textId="6C08B3D1" w:rsidR="00074F66" w:rsidRPr="003C0378" w:rsidRDefault="00074F66" w:rsidP="00074F66">
      <w:pPr>
        <w:pStyle w:val="Turinioantrat"/>
        <w:spacing w:before="60" w:after="60" w:line="240" w:lineRule="auto"/>
        <w:rPr>
          <w:rFonts w:ascii="Times New Roman" w:hAnsi="Times New Roman" w:cs="Times New Roman"/>
          <w:b/>
          <w:bCs/>
          <w:color w:val="auto"/>
          <w:sz w:val="28"/>
          <w:szCs w:val="28"/>
          <w:lang w:val="lt-LT"/>
        </w:rPr>
      </w:pPr>
      <w:r w:rsidRPr="003C0378">
        <w:rPr>
          <w:rFonts w:ascii="Times New Roman" w:hAnsi="Times New Roman" w:cs="Times New Roman"/>
          <w:b/>
          <w:bCs/>
          <w:color w:val="auto"/>
          <w:sz w:val="28"/>
          <w:szCs w:val="28"/>
          <w:lang w:val="lt-LT"/>
        </w:rPr>
        <w:lastRenderedPageBreak/>
        <w:t>Lentelių sąrašas</w:t>
      </w:r>
    </w:p>
    <w:p w14:paraId="1976B855" w14:textId="77777777" w:rsidR="00074F66" w:rsidRPr="003C0378" w:rsidRDefault="00074F66" w:rsidP="00074F66">
      <w:pPr>
        <w:rPr>
          <w:rFonts w:cs="Times New Roman"/>
        </w:rPr>
      </w:pPr>
    </w:p>
    <w:p w14:paraId="67AD762C" w14:textId="059F9923" w:rsidR="00CD48A7" w:rsidRPr="00CD48A7" w:rsidRDefault="00F67EFF">
      <w:pPr>
        <w:pStyle w:val="Iliustracijsraas"/>
        <w:tabs>
          <w:tab w:val="right" w:leader="dot" w:pos="9628"/>
        </w:tabs>
        <w:rPr>
          <w:rFonts w:asciiTheme="minorHAnsi" w:hAnsiTheme="minorHAnsi"/>
          <w:noProof/>
          <w:kern w:val="2"/>
          <w:sz w:val="22"/>
          <w:szCs w:val="22"/>
          <w:lang w:eastAsia="lt-LT"/>
          <w14:ligatures w14:val="standardContextual"/>
        </w:rPr>
      </w:pPr>
      <w:r w:rsidRPr="002128E0">
        <w:rPr>
          <w:rStyle w:val="Antrat2Diagrama"/>
          <w:rFonts w:cs="Times New Roman"/>
          <w:bCs/>
          <w:sz w:val="22"/>
          <w:szCs w:val="22"/>
        </w:rPr>
        <w:fldChar w:fldCharType="begin"/>
      </w:r>
      <w:r w:rsidRPr="00B63595">
        <w:rPr>
          <w:rStyle w:val="Antrat2Diagrama"/>
          <w:rFonts w:cs="Times New Roman"/>
          <w:bCs/>
          <w:sz w:val="22"/>
          <w:szCs w:val="22"/>
        </w:rPr>
        <w:instrText xml:space="preserve"> TOC \h \z \c "LENTELĖ" </w:instrText>
      </w:r>
      <w:r w:rsidRPr="002128E0">
        <w:rPr>
          <w:rStyle w:val="Antrat2Diagrama"/>
          <w:rFonts w:cs="Times New Roman"/>
          <w:bCs/>
          <w:sz w:val="22"/>
          <w:szCs w:val="22"/>
        </w:rPr>
        <w:fldChar w:fldCharType="separate"/>
      </w:r>
      <w:hyperlink w:anchor="_Toc170804617" w:history="1">
        <w:r w:rsidR="00CD48A7" w:rsidRPr="00E24002">
          <w:rPr>
            <w:rStyle w:val="Hipersaitas"/>
            <w:rFonts w:cs="Times New Roman"/>
            <w:noProof/>
          </w:rPr>
          <w:t>Lentelė 1. Vertinime taikyti metodai</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_Toc170804617 \h </w:instrText>
        </w:r>
        <w:r w:rsidR="00CD48A7" w:rsidRPr="00CD48A7">
          <w:rPr>
            <w:noProof/>
            <w:webHidden/>
          </w:rPr>
        </w:r>
        <w:r w:rsidR="00CD48A7" w:rsidRPr="00CD48A7">
          <w:rPr>
            <w:noProof/>
            <w:webHidden/>
          </w:rPr>
          <w:fldChar w:fldCharType="separate"/>
        </w:r>
        <w:r w:rsidR="00347605">
          <w:rPr>
            <w:noProof/>
            <w:webHidden/>
          </w:rPr>
          <w:t>10</w:t>
        </w:r>
        <w:r w:rsidR="00CD48A7" w:rsidRPr="00CD48A7">
          <w:rPr>
            <w:noProof/>
            <w:webHidden/>
          </w:rPr>
          <w:fldChar w:fldCharType="end"/>
        </w:r>
      </w:hyperlink>
    </w:p>
    <w:p w14:paraId="049B60D6" w14:textId="7EC6801C"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18" w:history="1">
        <w:r w:rsidR="00CD48A7" w:rsidRPr="00E24002">
          <w:rPr>
            <w:rStyle w:val="Hipersaitas"/>
            <w:rFonts w:cs="Times New Roman"/>
            <w:noProof/>
          </w:rPr>
          <w:t>Lentelė 2. AEI investicijų paklausos vertinimai, remiantis LR Atsinaujinančių išteklių energetikos įstatyme numatytų tikslų analize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_Toc170804618 \h </w:instrText>
        </w:r>
        <w:r w:rsidR="00CD48A7" w:rsidRPr="00CD48A7">
          <w:rPr>
            <w:noProof/>
            <w:webHidden/>
          </w:rPr>
        </w:r>
        <w:r w:rsidR="00CD48A7" w:rsidRPr="00CD48A7">
          <w:rPr>
            <w:noProof/>
            <w:webHidden/>
          </w:rPr>
          <w:fldChar w:fldCharType="separate"/>
        </w:r>
        <w:r w:rsidR="00347605">
          <w:rPr>
            <w:noProof/>
            <w:webHidden/>
          </w:rPr>
          <w:t>13</w:t>
        </w:r>
        <w:r w:rsidR="00CD48A7" w:rsidRPr="00CD48A7">
          <w:rPr>
            <w:noProof/>
            <w:webHidden/>
          </w:rPr>
          <w:fldChar w:fldCharType="end"/>
        </w:r>
      </w:hyperlink>
    </w:p>
    <w:p w14:paraId="57DEA5F7" w14:textId="1226F563"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19" w:history="1">
        <w:r w:rsidR="00CD48A7" w:rsidRPr="00E24002">
          <w:rPr>
            <w:rStyle w:val="Hipersaitas"/>
            <w:rFonts w:cs="Times New Roman"/>
            <w:noProof/>
          </w:rPr>
          <w:t>Lentelė 3. AEI pajėgumų paklausa per ateinančius 5 metus verslo tikslinėje grupėje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_Toc170804619 \h </w:instrText>
        </w:r>
        <w:r w:rsidR="00CD48A7" w:rsidRPr="00CD48A7">
          <w:rPr>
            <w:noProof/>
            <w:webHidden/>
          </w:rPr>
        </w:r>
        <w:r w:rsidR="00CD48A7" w:rsidRPr="00CD48A7">
          <w:rPr>
            <w:noProof/>
            <w:webHidden/>
          </w:rPr>
          <w:fldChar w:fldCharType="separate"/>
        </w:r>
        <w:r w:rsidR="00347605">
          <w:rPr>
            <w:noProof/>
            <w:webHidden/>
          </w:rPr>
          <w:t>18</w:t>
        </w:r>
        <w:r w:rsidR="00CD48A7" w:rsidRPr="00CD48A7">
          <w:rPr>
            <w:noProof/>
            <w:webHidden/>
          </w:rPr>
          <w:fldChar w:fldCharType="end"/>
        </w:r>
      </w:hyperlink>
    </w:p>
    <w:p w14:paraId="1391E5BA" w14:textId="595BFDAD"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0" w:history="1">
        <w:r w:rsidR="00CD48A7" w:rsidRPr="00E24002">
          <w:rPr>
            <w:rStyle w:val="Hipersaitas"/>
            <w:rFonts w:cs="Times New Roman"/>
            <w:noProof/>
          </w:rPr>
          <w:t>Lentelė 4. AEI investicijų paklausa per ateinančius 5 metus verslo tikslinėje grupėje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_Toc170804620 \h </w:instrText>
        </w:r>
        <w:r w:rsidR="00CD48A7" w:rsidRPr="00CD48A7">
          <w:rPr>
            <w:noProof/>
            <w:webHidden/>
          </w:rPr>
        </w:r>
        <w:r w:rsidR="00CD48A7" w:rsidRPr="00CD48A7">
          <w:rPr>
            <w:noProof/>
            <w:webHidden/>
          </w:rPr>
          <w:fldChar w:fldCharType="separate"/>
        </w:r>
        <w:r w:rsidR="00347605">
          <w:rPr>
            <w:noProof/>
            <w:webHidden/>
          </w:rPr>
          <w:t>19</w:t>
        </w:r>
        <w:r w:rsidR="00CD48A7" w:rsidRPr="00CD48A7">
          <w:rPr>
            <w:noProof/>
            <w:webHidden/>
          </w:rPr>
          <w:fldChar w:fldCharType="end"/>
        </w:r>
      </w:hyperlink>
    </w:p>
    <w:p w14:paraId="5F26C0BF" w14:textId="143E4F97"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1" w:history="1">
        <w:r w:rsidR="00CD48A7" w:rsidRPr="00E24002">
          <w:rPr>
            <w:rStyle w:val="Hipersaitas"/>
            <w:rFonts w:cs="Times New Roman"/>
            <w:noProof/>
          </w:rPr>
          <w:t>Lentelė 5. VNT plotas ir elektros suvartojimas administracinės paskirties NT</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_Toc170804621 \h </w:instrText>
        </w:r>
        <w:r w:rsidR="00CD48A7" w:rsidRPr="00CD48A7">
          <w:rPr>
            <w:noProof/>
            <w:webHidden/>
          </w:rPr>
        </w:r>
        <w:r w:rsidR="00CD48A7" w:rsidRPr="00CD48A7">
          <w:rPr>
            <w:noProof/>
            <w:webHidden/>
          </w:rPr>
          <w:fldChar w:fldCharType="separate"/>
        </w:r>
        <w:r w:rsidR="00347605">
          <w:rPr>
            <w:noProof/>
            <w:webHidden/>
          </w:rPr>
          <w:t>20</w:t>
        </w:r>
        <w:r w:rsidR="00CD48A7" w:rsidRPr="00CD48A7">
          <w:rPr>
            <w:noProof/>
            <w:webHidden/>
          </w:rPr>
          <w:fldChar w:fldCharType="end"/>
        </w:r>
      </w:hyperlink>
    </w:p>
    <w:p w14:paraId="6CBD57B8" w14:textId="0B559D2D"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2" w:history="1">
        <w:r w:rsidR="00CD48A7" w:rsidRPr="00E24002">
          <w:rPr>
            <w:rStyle w:val="Hipersaitas"/>
            <w:rFonts w:cs="Times New Roman"/>
            <w:noProof/>
          </w:rPr>
          <w:t>Lentelė 6. SNT plotas 2020 m.</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_Toc170804622 \h </w:instrText>
        </w:r>
        <w:r w:rsidR="00CD48A7" w:rsidRPr="00CD48A7">
          <w:rPr>
            <w:noProof/>
            <w:webHidden/>
          </w:rPr>
        </w:r>
        <w:r w:rsidR="00CD48A7" w:rsidRPr="00CD48A7">
          <w:rPr>
            <w:noProof/>
            <w:webHidden/>
          </w:rPr>
          <w:fldChar w:fldCharType="separate"/>
        </w:r>
        <w:r w:rsidR="00347605">
          <w:rPr>
            <w:noProof/>
            <w:webHidden/>
          </w:rPr>
          <w:t>20</w:t>
        </w:r>
        <w:r w:rsidR="00CD48A7" w:rsidRPr="00CD48A7">
          <w:rPr>
            <w:noProof/>
            <w:webHidden/>
          </w:rPr>
          <w:fldChar w:fldCharType="end"/>
        </w:r>
      </w:hyperlink>
    </w:p>
    <w:p w14:paraId="36DB231B" w14:textId="121E0296"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3" w:history="1">
        <w:r w:rsidR="00CD48A7" w:rsidRPr="00E24002">
          <w:rPr>
            <w:rStyle w:val="Hipersaitas"/>
            <w:rFonts w:cs="Times New Roman"/>
            <w:noProof/>
          </w:rPr>
          <w:t>Lentelė 7. Elektros suvartojimo vienam kv. m. (kWh/kv. m) įverčiai</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_Toc170804623 \h </w:instrText>
        </w:r>
        <w:r w:rsidR="00CD48A7" w:rsidRPr="00CD48A7">
          <w:rPr>
            <w:noProof/>
            <w:webHidden/>
          </w:rPr>
        </w:r>
        <w:r w:rsidR="00CD48A7" w:rsidRPr="00CD48A7">
          <w:rPr>
            <w:noProof/>
            <w:webHidden/>
          </w:rPr>
          <w:fldChar w:fldCharType="separate"/>
        </w:r>
        <w:r w:rsidR="00347605">
          <w:rPr>
            <w:noProof/>
            <w:webHidden/>
          </w:rPr>
          <w:t>21</w:t>
        </w:r>
        <w:r w:rsidR="00CD48A7" w:rsidRPr="00CD48A7">
          <w:rPr>
            <w:noProof/>
            <w:webHidden/>
          </w:rPr>
          <w:fldChar w:fldCharType="end"/>
        </w:r>
      </w:hyperlink>
    </w:p>
    <w:p w14:paraId="0FDEA6FE" w14:textId="0FDBD952"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4" w:history="1">
        <w:r w:rsidR="00CD48A7" w:rsidRPr="00E24002">
          <w:rPr>
            <w:rStyle w:val="Hipersaitas"/>
            <w:rFonts w:cs="Times New Roman"/>
            <w:noProof/>
          </w:rPr>
          <w:t>Lentelė 8. Elektros suvartojimas VNT ir SNT</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_Toc170804624 \h </w:instrText>
        </w:r>
        <w:r w:rsidR="00CD48A7" w:rsidRPr="00CD48A7">
          <w:rPr>
            <w:noProof/>
            <w:webHidden/>
          </w:rPr>
        </w:r>
        <w:r w:rsidR="00CD48A7" w:rsidRPr="00CD48A7">
          <w:rPr>
            <w:noProof/>
            <w:webHidden/>
          </w:rPr>
          <w:fldChar w:fldCharType="separate"/>
        </w:r>
        <w:r w:rsidR="00347605">
          <w:rPr>
            <w:noProof/>
            <w:webHidden/>
          </w:rPr>
          <w:t>21</w:t>
        </w:r>
        <w:r w:rsidR="00CD48A7" w:rsidRPr="00CD48A7">
          <w:rPr>
            <w:noProof/>
            <w:webHidden/>
          </w:rPr>
          <w:fldChar w:fldCharType="end"/>
        </w:r>
      </w:hyperlink>
    </w:p>
    <w:p w14:paraId="6BB90C21" w14:textId="517D1888"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5" w:history="1">
        <w:r w:rsidR="00CD48A7" w:rsidRPr="00E24002">
          <w:rPr>
            <w:rStyle w:val="Hipersaitas"/>
            <w:rFonts w:cs="Times New Roman"/>
            <w:noProof/>
          </w:rPr>
          <w:t>Lentelė 9. AEI investicijų paklausos skaičiavimai, remiantis elektros energijos suvartojimu VNT ir SNT</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_Toc170804625 \h </w:instrText>
        </w:r>
        <w:r w:rsidR="00CD48A7" w:rsidRPr="00CD48A7">
          <w:rPr>
            <w:noProof/>
            <w:webHidden/>
          </w:rPr>
        </w:r>
        <w:r w:rsidR="00CD48A7" w:rsidRPr="00CD48A7">
          <w:rPr>
            <w:noProof/>
            <w:webHidden/>
          </w:rPr>
          <w:fldChar w:fldCharType="separate"/>
        </w:r>
        <w:r w:rsidR="00347605">
          <w:rPr>
            <w:noProof/>
            <w:webHidden/>
          </w:rPr>
          <w:t>22</w:t>
        </w:r>
        <w:r w:rsidR="00CD48A7" w:rsidRPr="00CD48A7">
          <w:rPr>
            <w:noProof/>
            <w:webHidden/>
          </w:rPr>
          <w:fldChar w:fldCharType="end"/>
        </w:r>
      </w:hyperlink>
    </w:p>
    <w:p w14:paraId="35132E1F" w14:textId="23591242"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6" w:history="1">
        <w:r w:rsidR="00CD48A7" w:rsidRPr="00E24002">
          <w:rPr>
            <w:rStyle w:val="Hipersaitas"/>
            <w:rFonts w:cs="Times New Roman"/>
            <w:noProof/>
          </w:rPr>
          <w:t>Lentelė 10. Namų ūkių, kuriuos galima įtraukti į AIEB</w:t>
        </w:r>
        <w:r w:rsidR="00CD48A7" w:rsidRPr="00CD48A7">
          <w:rPr>
            <w:rStyle w:val="Hipersaitas"/>
            <w:noProof/>
          </w:rPr>
          <w:t xml:space="preserve"> </w:t>
        </w:r>
        <w:r w:rsidR="00CD48A7" w:rsidRPr="00E24002">
          <w:rPr>
            <w:rStyle w:val="Hipersaitas"/>
            <w:rFonts w:cs="Times New Roman"/>
            <w:noProof/>
          </w:rPr>
          <w:t>bei PEB, elektros suvartojimas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_Toc170804626 \h </w:instrText>
        </w:r>
        <w:r w:rsidR="00CD48A7" w:rsidRPr="00CD48A7">
          <w:rPr>
            <w:noProof/>
            <w:webHidden/>
          </w:rPr>
        </w:r>
        <w:r w:rsidR="00CD48A7" w:rsidRPr="00CD48A7">
          <w:rPr>
            <w:noProof/>
            <w:webHidden/>
          </w:rPr>
          <w:fldChar w:fldCharType="separate"/>
        </w:r>
        <w:r w:rsidR="00347605">
          <w:rPr>
            <w:noProof/>
            <w:webHidden/>
          </w:rPr>
          <w:t>23</w:t>
        </w:r>
        <w:r w:rsidR="00CD48A7" w:rsidRPr="00CD48A7">
          <w:rPr>
            <w:noProof/>
            <w:webHidden/>
          </w:rPr>
          <w:fldChar w:fldCharType="end"/>
        </w:r>
      </w:hyperlink>
    </w:p>
    <w:p w14:paraId="3BDD36E6" w14:textId="3EBF67C3"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7" w:history="1">
        <w:r w:rsidR="00CD48A7" w:rsidRPr="00E24002">
          <w:rPr>
            <w:rStyle w:val="Hipersaitas"/>
            <w:rFonts w:cs="Times New Roman"/>
            <w:noProof/>
          </w:rPr>
          <w:t>Lentelė 11. AEI investicijų paklausos skaičiavimai AIEB</w:t>
        </w:r>
        <w:r w:rsidR="00CD48A7" w:rsidRPr="00CD48A7">
          <w:rPr>
            <w:rStyle w:val="Hipersaitas"/>
            <w:noProof/>
          </w:rPr>
          <w:t xml:space="preserve"> </w:t>
        </w:r>
        <w:r w:rsidR="00CD48A7" w:rsidRPr="00E24002">
          <w:rPr>
            <w:rStyle w:val="Hipersaitas"/>
            <w:rFonts w:cs="Times New Roman"/>
            <w:noProof/>
          </w:rPr>
          <w:t>bei PEB tikslinėje grupėje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_Toc170804627 \h </w:instrText>
        </w:r>
        <w:r w:rsidR="00CD48A7" w:rsidRPr="00CD48A7">
          <w:rPr>
            <w:noProof/>
            <w:webHidden/>
          </w:rPr>
        </w:r>
        <w:r w:rsidR="00CD48A7" w:rsidRPr="00CD48A7">
          <w:rPr>
            <w:noProof/>
            <w:webHidden/>
          </w:rPr>
          <w:fldChar w:fldCharType="separate"/>
        </w:r>
        <w:r w:rsidR="00347605">
          <w:rPr>
            <w:noProof/>
            <w:webHidden/>
          </w:rPr>
          <w:t>24</w:t>
        </w:r>
        <w:r w:rsidR="00CD48A7" w:rsidRPr="00CD48A7">
          <w:rPr>
            <w:noProof/>
            <w:webHidden/>
          </w:rPr>
          <w:fldChar w:fldCharType="end"/>
        </w:r>
      </w:hyperlink>
    </w:p>
    <w:p w14:paraId="308FF504" w14:textId="21607110"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8" w:history="1">
        <w:r w:rsidR="00CD48A7" w:rsidRPr="00E24002">
          <w:rPr>
            <w:rStyle w:val="Hipersaitas"/>
            <w:rFonts w:cs="Times New Roman"/>
            <w:noProof/>
          </w:rPr>
          <w:t>Lentelė 12. AEI investicijų paklausos skaičiavimų apibendrinimas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_Toc170804628 \h </w:instrText>
        </w:r>
        <w:r w:rsidR="00CD48A7" w:rsidRPr="00CD48A7">
          <w:rPr>
            <w:noProof/>
            <w:webHidden/>
          </w:rPr>
        </w:r>
        <w:r w:rsidR="00CD48A7" w:rsidRPr="00CD48A7">
          <w:rPr>
            <w:noProof/>
            <w:webHidden/>
          </w:rPr>
          <w:fldChar w:fldCharType="separate"/>
        </w:r>
        <w:r w:rsidR="00347605">
          <w:rPr>
            <w:noProof/>
            <w:webHidden/>
          </w:rPr>
          <w:t>25</w:t>
        </w:r>
        <w:r w:rsidR="00CD48A7" w:rsidRPr="00CD48A7">
          <w:rPr>
            <w:noProof/>
            <w:webHidden/>
          </w:rPr>
          <w:fldChar w:fldCharType="end"/>
        </w:r>
      </w:hyperlink>
    </w:p>
    <w:p w14:paraId="1DB75DAB" w14:textId="65A068D8"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29" w:history="1">
        <w:r w:rsidR="00CD48A7" w:rsidRPr="00E24002">
          <w:rPr>
            <w:rStyle w:val="Hipersaitas"/>
            <w:rFonts w:cs="Times New Roman"/>
            <w:noProof/>
          </w:rPr>
          <w:t>Lentelė 13. Prieinamų investicijų į AEI (saulės ir vėjo) gamybos pajėgumus kiekis (Eur) ir šaltiniai</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_Toc170804629 \h </w:instrText>
        </w:r>
        <w:r w:rsidR="00CD48A7" w:rsidRPr="00CD48A7">
          <w:rPr>
            <w:noProof/>
            <w:webHidden/>
          </w:rPr>
        </w:r>
        <w:r w:rsidR="00CD48A7" w:rsidRPr="00CD48A7">
          <w:rPr>
            <w:noProof/>
            <w:webHidden/>
          </w:rPr>
          <w:fldChar w:fldCharType="separate"/>
        </w:r>
        <w:r w:rsidR="00347605">
          <w:rPr>
            <w:noProof/>
            <w:webHidden/>
          </w:rPr>
          <w:t>25</w:t>
        </w:r>
        <w:r w:rsidR="00CD48A7" w:rsidRPr="00CD48A7">
          <w:rPr>
            <w:noProof/>
            <w:webHidden/>
          </w:rPr>
          <w:fldChar w:fldCharType="end"/>
        </w:r>
      </w:hyperlink>
    </w:p>
    <w:p w14:paraId="1E9119FA" w14:textId="0405008B"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0" w:history="1">
        <w:r w:rsidR="00CD48A7" w:rsidRPr="00E24002">
          <w:rPr>
            <w:rStyle w:val="Hipersaitas"/>
            <w:rFonts w:cs="Times New Roman"/>
            <w:noProof/>
          </w:rPr>
          <w:t>Lentelė 14. Finansų įstaigų paskolų portfelio esama situacija ir prognozė</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_Toc170804630 \h </w:instrText>
        </w:r>
        <w:r w:rsidR="00CD48A7" w:rsidRPr="00CD48A7">
          <w:rPr>
            <w:noProof/>
            <w:webHidden/>
          </w:rPr>
        </w:r>
        <w:r w:rsidR="00CD48A7" w:rsidRPr="00CD48A7">
          <w:rPr>
            <w:noProof/>
            <w:webHidden/>
          </w:rPr>
          <w:fldChar w:fldCharType="separate"/>
        </w:r>
        <w:r w:rsidR="00347605">
          <w:rPr>
            <w:noProof/>
            <w:webHidden/>
          </w:rPr>
          <w:t>27</w:t>
        </w:r>
        <w:r w:rsidR="00CD48A7" w:rsidRPr="00CD48A7">
          <w:rPr>
            <w:noProof/>
            <w:webHidden/>
          </w:rPr>
          <w:fldChar w:fldCharType="end"/>
        </w:r>
      </w:hyperlink>
    </w:p>
    <w:p w14:paraId="3F9E4FC8" w14:textId="48C77398"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1" w:history="1">
        <w:r w:rsidR="00CD48A7" w:rsidRPr="00E24002">
          <w:rPr>
            <w:rStyle w:val="Hipersaitas"/>
            <w:rFonts w:cs="Times New Roman"/>
            <w:noProof/>
          </w:rPr>
          <w:t>Lentelė 15. AEI investicijų pasiūlos apibendrinimas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_Toc170804631 \h </w:instrText>
        </w:r>
        <w:r w:rsidR="00CD48A7" w:rsidRPr="00CD48A7">
          <w:rPr>
            <w:noProof/>
            <w:webHidden/>
          </w:rPr>
        </w:r>
        <w:r w:rsidR="00CD48A7" w:rsidRPr="00CD48A7">
          <w:rPr>
            <w:noProof/>
            <w:webHidden/>
          </w:rPr>
          <w:fldChar w:fldCharType="separate"/>
        </w:r>
        <w:r w:rsidR="00347605">
          <w:rPr>
            <w:noProof/>
            <w:webHidden/>
          </w:rPr>
          <w:t>28</w:t>
        </w:r>
        <w:r w:rsidR="00CD48A7" w:rsidRPr="00CD48A7">
          <w:rPr>
            <w:noProof/>
            <w:webHidden/>
          </w:rPr>
          <w:fldChar w:fldCharType="end"/>
        </w:r>
      </w:hyperlink>
    </w:p>
    <w:p w14:paraId="37677BD5" w14:textId="7477C152"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2" w:history="1">
        <w:r w:rsidR="00CD48A7" w:rsidRPr="00E24002">
          <w:rPr>
            <w:rStyle w:val="Hipersaitas"/>
            <w:rFonts w:cs="Times New Roman"/>
            <w:noProof/>
          </w:rPr>
          <w:t>Lentelė 16. AEI investicijų paklausos–pasiūlos palyginimas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_Toc170804632 \h </w:instrText>
        </w:r>
        <w:r w:rsidR="00CD48A7" w:rsidRPr="00CD48A7">
          <w:rPr>
            <w:noProof/>
            <w:webHidden/>
          </w:rPr>
        </w:r>
        <w:r w:rsidR="00CD48A7" w:rsidRPr="00CD48A7">
          <w:rPr>
            <w:noProof/>
            <w:webHidden/>
          </w:rPr>
          <w:fldChar w:fldCharType="separate"/>
        </w:r>
        <w:r w:rsidR="00347605">
          <w:rPr>
            <w:noProof/>
            <w:webHidden/>
          </w:rPr>
          <w:t>29</w:t>
        </w:r>
        <w:r w:rsidR="00CD48A7" w:rsidRPr="00CD48A7">
          <w:rPr>
            <w:noProof/>
            <w:webHidden/>
          </w:rPr>
          <w:fldChar w:fldCharType="end"/>
        </w:r>
      </w:hyperlink>
    </w:p>
    <w:p w14:paraId="18065B7F" w14:textId="1003A148"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3" w:history="1">
        <w:r w:rsidR="00CD48A7" w:rsidRPr="00E24002">
          <w:rPr>
            <w:rStyle w:val="Hipersaitas"/>
            <w:rFonts w:cs="Times New Roman"/>
            <w:noProof/>
          </w:rPr>
          <w:t>Lentelė 17. Jautrumo analizės prielaidos – VJA tikslinė grupė</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_Toc170804633 \h </w:instrText>
        </w:r>
        <w:r w:rsidR="00CD48A7" w:rsidRPr="00CD48A7">
          <w:rPr>
            <w:noProof/>
            <w:webHidden/>
          </w:rPr>
        </w:r>
        <w:r w:rsidR="00CD48A7" w:rsidRPr="00CD48A7">
          <w:rPr>
            <w:noProof/>
            <w:webHidden/>
          </w:rPr>
          <w:fldChar w:fldCharType="separate"/>
        </w:r>
        <w:r w:rsidR="00347605">
          <w:rPr>
            <w:noProof/>
            <w:webHidden/>
          </w:rPr>
          <w:t>32</w:t>
        </w:r>
        <w:r w:rsidR="00CD48A7" w:rsidRPr="00CD48A7">
          <w:rPr>
            <w:noProof/>
            <w:webHidden/>
          </w:rPr>
          <w:fldChar w:fldCharType="end"/>
        </w:r>
      </w:hyperlink>
    </w:p>
    <w:p w14:paraId="46F0C4B1" w14:textId="4E81CF91"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4" w:history="1">
        <w:r w:rsidR="00CD48A7" w:rsidRPr="00E24002">
          <w:rPr>
            <w:rStyle w:val="Hipersaitas"/>
            <w:rFonts w:cs="Times New Roman"/>
            <w:noProof/>
          </w:rPr>
          <w:t>Lentelė 18. Jautrumo analizės VJA tikslinėje grupėje – paskolos palūkanų normos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_Toc170804634 \h </w:instrText>
        </w:r>
        <w:r w:rsidR="00CD48A7" w:rsidRPr="00CD48A7">
          <w:rPr>
            <w:noProof/>
            <w:webHidden/>
          </w:rPr>
        </w:r>
        <w:r w:rsidR="00CD48A7" w:rsidRPr="00CD48A7">
          <w:rPr>
            <w:noProof/>
            <w:webHidden/>
          </w:rPr>
          <w:fldChar w:fldCharType="separate"/>
        </w:r>
        <w:r w:rsidR="00347605">
          <w:rPr>
            <w:noProof/>
            <w:webHidden/>
          </w:rPr>
          <w:t>34</w:t>
        </w:r>
        <w:r w:rsidR="00CD48A7" w:rsidRPr="00CD48A7">
          <w:rPr>
            <w:noProof/>
            <w:webHidden/>
          </w:rPr>
          <w:fldChar w:fldCharType="end"/>
        </w:r>
      </w:hyperlink>
    </w:p>
    <w:p w14:paraId="1DB6A4ED" w14:textId="046F58BB"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5" w:history="1">
        <w:r w:rsidR="00CD48A7" w:rsidRPr="00E24002">
          <w:rPr>
            <w:rStyle w:val="Hipersaitas"/>
            <w:rFonts w:cs="Times New Roman"/>
            <w:noProof/>
          </w:rPr>
          <w:t>Lentelė 19. Jautrumo analizės VJA tikslinėje grupėje – elektros kaina</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_Toc170804635 \h </w:instrText>
        </w:r>
        <w:r w:rsidR="00CD48A7" w:rsidRPr="00CD48A7">
          <w:rPr>
            <w:noProof/>
            <w:webHidden/>
          </w:rPr>
        </w:r>
        <w:r w:rsidR="00CD48A7" w:rsidRPr="00CD48A7">
          <w:rPr>
            <w:noProof/>
            <w:webHidden/>
          </w:rPr>
          <w:fldChar w:fldCharType="separate"/>
        </w:r>
        <w:r w:rsidR="00347605">
          <w:rPr>
            <w:noProof/>
            <w:webHidden/>
          </w:rPr>
          <w:t>34</w:t>
        </w:r>
        <w:r w:rsidR="00CD48A7" w:rsidRPr="00CD48A7">
          <w:rPr>
            <w:noProof/>
            <w:webHidden/>
          </w:rPr>
          <w:fldChar w:fldCharType="end"/>
        </w:r>
      </w:hyperlink>
    </w:p>
    <w:p w14:paraId="02E1DDC9" w14:textId="5C5D13D5"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6" w:history="1">
        <w:r w:rsidR="00CD48A7" w:rsidRPr="00E24002">
          <w:rPr>
            <w:rStyle w:val="Hipersaitas"/>
            <w:rFonts w:cs="Times New Roman"/>
            <w:noProof/>
          </w:rPr>
          <w:t>Lentelė 20. Jautrumo analizės prielaidos – verslo tikslinė grupė</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_Toc170804636 \h </w:instrText>
        </w:r>
        <w:r w:rsidR="00CD48A7" w:rsidRPr="00CD48A7">
          <w:rPr>
            <w:noProof/>
            <w:webHidden/>
          </w:rPr>
        </w:r>
        <w:r w:rsidR="00CD48A7" w:rsidRPr="00CD48A7">
          <w:rPr>
            <w:noProof/>
            <w:webHidden/>
          </w:rPr>
          <w:fldChar w:fldCharType="separate"/>
        </w:r>
        <w:r w:rsidR="00347605">
          <w:rPr>
            <w:noProof/>
            <w:webHidden/>
          </w:rPr>
          <w:t>35</w:t>
        </w:r>
        <w:r w:rsidR="00CD48A7" w:rsidRPr="00CD48A7">
          <w:rPr>
            <w:noProof/>
            <w:webHidden/>
          </w:rPr>
          <w:fldChar w:fldCharType="end"/>
        </w:r>
      </w:hyperlink>
    </w:p>
    <w:p w14:paraId="2E0618A6" w14:textId="09C5A59B"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7" w:history="1">
        <w:r w:rsidR="00CD48A7" w:rsidRPr="00E24002">
          <w:rPr>
            <w:rStyle w:val="Hipersaitas"/>
            <w:rFonts w:cs="Times New Roman"/>
            <w:noProof/>
          </w:rPr>
          <w:t>Lentelė 21. Jautrumo analizės verslo tikslinėje grupėje – paskolos palūkanų normos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_Toc170804637 \h </w:instrText>
        </w:r>
        <w:r w:rsidR="00CD48A7" w:rsidRPr="00CD48A7">
          <w:rPr>
            <w:noProof/>
            <w:webHidden/>
          </w:rPr>
        </w:r>
        <w:r w:rsidR="00CD48A7" w:rsidRPr="00CD48A7">
          <w:rPr>
            <w:noProof/>
            <w:webHidden/>
          </w:rPr>
          <w:fldChar w:fldCharType="separate"/>
        </w:r>
        <w:r w:rsidR="00347605">
          <w:rPr>
            <w:noProof/>
            <w:webHidden/>
          </w:rPr>
          <w:t>36</w:t>
        </w:r>
        <w:r w:rsidR="00CD48A7" w:rsidRPr="00CD48A7">
          <w:rPr>
            <w:noProof/>
            <w:webHidden/>
          </w:rPr>
          <w:fldChar w:fldCharType="end"/>
        </w:r>
      </w:hyperlink>
    </w:p>
    <w:p w14:paraId="3AEC6DBA" w14:textId="7C8E2BE6"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8" w:history="1">
        <w:r w:rsidR="00CD48A7" w:rsidRPr="00E24002">
          <w:rPr>
            <w:rStyle w:val="Hipersaitas"/>
            <w:rFonts w:cs="Times New Roman"/>
            <w:noProof/>
          </w:rPr>
          <w:t>Lentelė 22. Jautrumo analizės verslo tikslinėje grupėje – nuosavo kapitalo palūkanų normos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_Toc170804638 \h </w:instrText>
        </w:r>
        <w:r w:rsidR="00CD48A7" w:rsidRPr="00CD48A7">
          <w:rPr>
            <w:noProof/>
            <w:webHidden/>
          </w:rPr>
        </w:r>
        <w:r w:rsidR="00CD48A7" w:rsidRPr="00CD48A7">
          <w:rPr>
            <w:noProof/>
            <w:webHidden/>
          </w:rPr>
          <w:fldChar w:fldCharType="separate"/>
        </w:r>
        <w:r w:rsidR="00347605">
          <w:rPr>
            <w:noProof/>
            <w:webHidden/>
          </w:rPr>
          <w:t>37</w:t>
        </w:r>
        <w:r w:rsidR="00CD48A7" w:rsidRPr="00CD48A7">
          <w:rPr>
            <w:noProof/>
            <w:webHidden/>
          </w:rPr>
          <w:fldChar w:fldCharType="end"/>
        </w:r>
      </w:hyperlink>
    </w:p>
    <w:p w14:paraId="1B3A45C0" w14:textId="5B31FC16"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39" w:history="1">
        <w:r w:rsidR="00CD48A7" w:rsidRPr="00E24002">
          <w:rPr>
            <w:rStyle w:val="Hipersaitas"/>
            <w:rFonts w:cs="Times New Roman"/>
            <w:noProof/>
          </w:rPr>
          <w:t>Lentelė 23. Jautrumo analizės verslo tikslinėje grupėje – elektros kaina</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_Toc170804639 \h </w:instrText>
        </w:r>
        <w:r w:rsidR="00CD48A7" w:rsidRPr="00CD48A7">
          <w:rPr>
            <w:noProof/>
            <w:webHidden/>
          </w:rPr>
        </w:r>
        <w:r w:rsidR="00CD48A7" w:rsidRPr="00CD48A7">
          <w:rPr>
            <w:noProof/>
            <w:webHidden/>
          </w:rPr>
          <w:fldChar w:fldCharType="separate"/>
        </w:r>
        <w:r w:rsidR="00347605">
          <w:rPr>
            <w:noProof/>
            <w:webHidden/>
          </w:rPr>
          <w:t>37</w:t>
        </w:r>
        <w:r w:rsidR="00CD48A7" w:rsidRPr="00CD48A7">
          <w:rPr>
            <w:noProof/>
            <w:webHidden/>
          </w:rPr>
          <w:fldChar w:fldCharType="end"/>
        </w:r>
      </w:hyperlink>
    </w:p>
    <w:p w14:paraId="25928DAD" w14:textId="5E98DE99"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0" w:history="1">
        <w:r w:rsidR="00CD48A7" w:rsidRPr="00E24002">
          <w:rPr>
            <w:rStyle w:val="Hipersaitas"/>
            <w:rFonts w:cs="Times New Roman"/>
            <w:noProof/>
          </w:rPr>
          <w:t>Lentelė 24. Jautrumo analizės prielaidos – AIEB</w:t>
        </w:r>
        <w:r w:rsidR="00CD48A7" w:rsidRPr="00CD48A7">
          <w:rPr>
            <w:rStyle w:val="Hipersaitas"/>
            <w:noProof/>
          </w:rPr>
          <w:t xml:space="preserve"> </w:t>
        </w:r>
        <w:r w:rsidR="00CD48A7" w:rsidRPr="00E24002">
          <w:rPr>
            <w:rStyle w:val="Hipersaitas"/>
            <w:rFonts w:cs="Times New Roman"/>
            <w:noProof/>
          </w:rPr>
          <w:t>bei PEB</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_Toc170804640 \h </w:instrText>
        </w:r>
        <w:r w:rsidR="00CD48A7" w:rsidRPr="00CD48A7">
          <w:rPr>
            <w:noProof/>
            <w:webHidden/>
          </w:rPr>
        </w:r>
        <w:r w:rsidR="00CD48A7" w:rsidRPr="00CD48A7">
          <w:rPr>
            <w:noProof/>
            <w:webHidden/>
          </w:rPr>
          <w:fldChar w:fldCharType="separate"/>
        </w:r>
        <w:r w:rsidR="00347605">
          <w:rPr>
            <w:noProof/>
            <w:webHidden/>
          </w:rPr>
          <w:t>38</w:t>
        </w:r>
        <w:r w:rsidR="00CD48A7" w:rsidRPr="00CD48A7">
          <w:rPr>
            <w:noProof/>
            <w:webHidden/>
          </w:rPr>
          <w:fldChar w:fldCharType="end"/>
        </w:r>
      </w:hyperlink>
    </w:p>
    <w:p w14:paraId="0251DECC" w14:textId="09F760E5"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1" w:history="1">
        <w:r w:rsidR="00CD48A7" w:rsidRPr="00E24002">
          <w:rPr>
            <w:rStyle w:val="Hipersaitas"/>
            <w:rFonts w:cs="Times New Roman"/>
            <w:noProof/>
          </w:rPr>
          <w:t>Lentelė 25. Jautrumo analizė AIEB</w:t>
        </w:r>
        <w:r w:rsidR="00CD48A7" w:rsidRPr="00CD48A7">
          <w:rPr>
            <w:rStyle w:val="Hipersaitas"/>
            <w:noProof/>
          </w:rPr>
          <w:t xml:space="preserve"> </w:t>
        </w:r>
        <w:r w:rsidR="00CD48A7" w:rsidRPr="00E24002">
          <w:rPr>
            <w:rStyle w:val="Hipersaitas"/>
            <w:rFonts w:cs="Times New Roman"/>
            <w:noProof/>
          </w:rPr>
          <w:t>bei PEB grupėje – dotacijos intensyvumas, atiduodamų AEI pajėgumų dalis ir nuomos / elektros kaina</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_Toc170804641 \h </w:instrText>
        </w:r>
        <w:r w:rsidR="00CD48A7" w:rsidRPr="00CD48A7">
          <w:rPr>
            <w:noProof/>
            <w:webHidden/>
          </w:rPr>
        </w:r>
        <w:r w:rsidR="00CD48A7" w:rsidRPr="00CD48A7">
          <w:rPr>
            <w:noProof/>
            <w:webHidden/>
          </w:rPr>
          <w:fldChar w:fldCharType="separate"/>
        </w:r>
        <w:r w:rsidR="00347605">
          <w:rPr>
            <w:noProof/>
            <w:webHidden/>
          </w:rPr>
          <w:t>39</w:t>
        </w:r>
        <w:r w:rsidR="00CD48A7" w:rsidRPr="00CD48A7">
          <w:rPr>
            <w:noProof/>
            <w:webHidden/>
          </w:rPr>
          <w:fldChar w:fldCharType="end"/>
        </w:r>
      </w:hyperlink>
    </w:p>
    <w:p w14:paraId="19DCED63" w14:textId="09B6D3C4"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2" w:history="1">
        <w:r w:rsidR="00CD48A7" w:rsidRPr="00E24002">
          <w:rPr>
            <w:rStyle w:val="Hipersaitas"/>
            <w:rFonts w:cs="Times New Roman"/>
            <w:noProof/>
          </w:rPr>
          <w:t>Lentelė 26. Jautrumo analizė AIEB</w:t>
        </w:r>
        <w:r w:rsidR="00CD48A7" w:rsidRPr="00CD48A7">
          <w:rPr>
            <w:rStyle w:val="Hipersaitas"/>
            <w:noProof/>
          </w:rPr>
          <w:t xml:space="preserve"> </w:t>
        </w:r>
        <w:r w:rsidR="00CD48A7" w:rsidRPr="00E24002">
          <w:rPr>
            <w:rStyle w:val="Hipersaitas"/>
            <w:rFonts w:cs="Times New Roman"/>
            <w:noProof/>
          </w:rPr>
          <w:t>bei PEB grupėje – dotacijos intensyvumas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_Toc170804642 \h </w:instrText>
        </w:r>
        <w:r w:rsidR="00CD48A7" w:rsidRPr="00CD48A7">
          <w:rPr>
            <w:noProof/>
            <w:webHidden/>
          </w:rPr>
        </w:r>
        <w:r w:rsidR="00CD48A7" w:rsidRPr="00CD48A7">
          <w:rPr>
            <w:noProof/>
            <w:webHidden/>
          </w:rPr>
          <w:fldChar w:fldCharType="separate"/>
        </w:r>
        <w:r w:rsidR="00347605">
          <w:rPr>
            <w:noProof/>
            <w:webHidden/>
          </w:rPr>
          <w:t>39</w:t>
        </w:r>
        <w:r w:rsidR="00CD48A7" w:rsidRPr="00CD48A7">
          <w:rPr>
            <w:noProof/>
            <w:webHidden/>
          </w:rPr>
          <w:fldChar w:fldCharType="end"/>
        </w:r>
      </w:hyperlink>
    </w:p>
    <w:p w14:paraId="4B8BA810" w14:textId="3D1834C8"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3" w:history="1">
        <w:r w:rsidR="00CD48A7" w:rsidRPr="00E24002">
          <w:rPr>
            <w:rStyle w:val="Hipersaitas"/>
            <w:rFonts w:cs="Times New Roman"/>
            <w:noProof/>
          </w:rPr>
          <w:t>Lentelė 27. Egzistuojančių standartizuotų produktų pasiūla verslo subjektams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_Toc170804643 \h </w:instrText>
        </w:r>
        <w:r w:rsidR="00CD48A7" w:rsidRPr="00CD48A7">
          <w:rPr>
            <w:noProof/>
            <w:webHidden/>
          </w:rPr>
        </w:r>
        <w:r w:rsidR="00CD48A7" w:rsidRPr="00CD48A7">
          <w:rPr>
            <w:noProof/>
            <w:webHidden/>
          </w:rPr>
          <w:fldChar w:fldCharType="separate"/>
        </w:r>
        <w:r w:rsidR="00347605">
          <w:rPr>
            <w:noProof/>
            <w:webHidden/>
          </w:rPr>
          <w:t>41</w:t>
        </w:r>
        <w:r w:rsidR="00CD48A7" w:rsidRPr="00CD48A7">
          <w:rPr>
            <w:noProof/>
            <w:webHidden/>
          </w:rPr>
          <w:fldChar w:fldCharType="end"/>
        </w:r>
      </w:hyperlink>
    </w:p>
    <w:p w14:paraId="47BB4807" w14:textId="7927A1D2"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4" w:history="1">
        <w:r w:rsidR="00CD48A7" w:rsidRPr="00E24002">
          <w:rPr>
            <w:rStyle w:val="Hipersaitas"/>
            <w:rFonts w:cs="Times New Roman"/>
            <w:noProof/>
          </w:rPr>
          <w:t>Lentelė 28. Paskolų FP vertinimas.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_Toc170804644 \h </w:instrText>
        </w:r>
        <w:r w:rsidR="00CD48A7" w:rsidRPr="00CD48A7">
          <w:rPr>
            <w:noProof/>
            <w:webHidden/>
          </w:rPr>
        </w:r>
        <w:r w:rsidR="00CD48A7" w:rsidRPr="00CD48A7">
          <w:rPr>
            <w:noProof/>
            <w:webHidden/>
          </w:rPr>
          <w:fldChar w:fldCharType="separate"/>
        </w:r>
        <w:r w:rsidR="00347605">
          <w:rPr>
            <w:noProof/>
            <w:webHidden/>
          </w:rPr>
          <w:t>45</w:t>
        </w:r>
        <w:r w:rsidR="00CD48A7" w:rsidRPr="00CD48A7">
          <w:rPr>
            <w:noProof/>
            <w:webHidden/>
          </w:rPr>
          <w:fldChar w:fldCharType="end"/>
        </w:r>
      </w:hyperlink>
    </w:p>
    <w:p w14:paraId="76C702B1" w14:textId="137F46A1"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5" w:history="1">
        <w:r w:rsidR="00CD48A7" w:rsidRPr="00E24002">
          <w:rPr>
            <w:rStyle w:val="Hipersaitas"/>
            <w:rFonts w:cs="Times New Roman"/>
            <w:noProof/>
          </w:rPr>
          <w:t>Lentelė 29. Anksčiau įgyvendintos paramos priemonės VJA tikslinėje grupėje, jų finansavimo šaltinis, tikslinės grupės ir priemonių intensyvumas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_Toc170804645 \h </w:instrText>
        </w:r>
        <w:r w:rsidR="00CD48A7" w:rsidRPr="00CD48A7">
          <w:rPr>
            <w:noProof/>
            <w:webHidden/>
          </w:rPr>
        </w:r>
        <w:r w:rsidR="00CD48A7" w:rsidRPr="00CD48A7">
          <w:rPr>
            <w:noProof/>
            <w:webHidden/>
          </w:rPr>
          <w:fldChar w:fldCharType="separate"/>
        </w:r>
        <w:r w:rsidR="00347605">
          <w:rPr>
            <w:noProof/>
            <w:webHidden/>
          </w:rPr>
          <w:t>47</w:t>
        </w:r>
        <w:r w:rsidR="00CD48A7" w:rsidRPr="00CD48A7">
          <w:rPr>
            <w:noProof/>
            <w:webHidden/>
          </w:rPr>
          <w:fldChar w:fldCharType="end"/>
        </w:r>
      </w:hyperlink>
    </w:p>
    <w:p w14:paraId="4BBF2B73" w14:textId="6FB41010"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6" w:history="1">
        <w:r w:rsidR="00CD48A7" w:rsidRPr="00E24002">
          <w:rPr>
            <w:rStyle w:val="Hipersaitas"/>
            <w:rFonts w:cs="Times New Roman"/>
            <w:noProof/>
          </w:rPr>
          <w:t>Lentelė 30. Rekomenduojama investavimo strategija AEI projektams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_Toc170804646 \h </w:instrText>
        </w:r>
        <w:r w:rsidR="00CD48A7" w:rsidRPr="00CD48A7">
          <w:rPr>
            <w:noProof/>
            <w:webHidden/>
          </w:rPr>
        </w:r>
        <w:r w:rsidR="00CD48A7" w:rsidRPr="00CD48A7">
          <w:rPr>
            <w:noProof/>
            <w:webHidden/>
          </w:rPr>
          <w:fldChar w:fldCharType="separate"/>
        </w:r>
        <w:r w:rsidR="00347605">
          <w:rPr>
            <w:noProof/>
            <w:webHidden/>
          </w:rPr>
          <w:t>49</w:t>
        </w:r>
        <w:r w:rsidR="00CD48A7" w:rsidRPr="00CD48A7">
          <w:rPr>
            <w:noProof/>
            <w:webHidden/>
          </w:rPr>
          <w:fldChar w:fldCharType="end"/>
        </w:r>
      </w:hyperlink>
    </w:p>
    <w:p w14:paraId="7FF2AB06" w14:textId="4C438160"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7" w:history="1">
        <w:r w:rsidR="00CD48A7" w:rsidRPr="00E24002">
          <w:rPr>
            <w:rStyle w:val="Hipersaitas"/>
            <w:rFonts w:cs="Times New Roman"/>
            <w:noProof/>
          </w:rPr>
          <w:t>Lentelė 31. Sverto efekto rodiklis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_Toc170804647 \h </w:instrText>
        </w:r>
        <w:r w:rsidR="00CD48A7" w:rsidRPr="00CD48A7">
          <w:rPr>
            <w:noProof/>
            <w:webHidden/>
          </w:rPr>
        </w:r>
        <w:r w:rsidR="00CD48A7" w:rsidRPr="00CD48A7">
          <w:rPr>
            <w:noProof/>
            <w:webHidden/>
          </w:rPr>
          <w:fldChar w:fldCharType="separate"/>
        </w:r>
        <w:r w:rsidR="00347605">
          <w:rPr>
            <w:noProof/>
            <w:webHidden/>
          </w:rPr>
          <w:t>50</w:t>
        </w:r>
        <w:r w:rsidR="00CD48A7" w:rsidRPr="00CD48A7">
          <w:rPr>
            <w:noProof/>
            <w:webHidden/>
          </w:rPr>
          <w:fldChar w:fldCharType="end"/>
        </w:r>
      </w:hyperlink>
    </w:p>
    <w:p w14:paraId="1B97F3A0" w14:textId="749FB9BF"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8" w:history="1">
        <w:r w:rsidR="00CD48A7" w:rsidRPr="00E24002">
          <w:rPr>
            <w:rStyle w:val="Hipersaitas"/>
            <w:rFonts w:cs="Times New Roman"/>
            <w:noProof/>
          </w:rPr>
          <w:t>Lentelė 32. Siūlomi investavimo strategijų stebėsenos rodikliai</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_Toc170804648 \h </w:instrText>
        </w:r>
        <w:r w:rsidR="00CD48A7" w:rsidRPr="00CD48A7">
          <w:rPr>
            <w:noProof/>
            <w:webHidden/>
          </w:rPr>
        </w:r>
        <w:r w:rsidR="00CD48A7" w:rsidRPr="00CD48A7">
          <w:rPr>
            <w:noProof/>
            <w:webHidden/>
          </w:rPr>
          <w:fldChar w:fldCharType="separate"/>
        </w:r>
        <w:r w:rsidR="00347605">
          <w:rPr>
            <w:noProof/>
            <w:webHidden/>
          </w:rPr>
          <w:t>51</w:t>
        </w:r>
        <w:r w:rsidR="00CD48A7" w:rsidRPr="00CD48A7">
          <w:rPr>
            <w:noProof/>
            <w:webHidden/>
          </w:rPr>
          <w:fldChar w:fldCharType="end"/>
        </w:r>
      </w:hyperlink>
    </w:p>
    <w:p w14:paraId="2F6A1113" w14:textId="27C8B9FC"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49" w:history="1">
        <w:r w:rsidR="00CD48A7" w:rsidRPr="00E24002">
          <w:rPr>
            <w:rStyle w:val="Hipersaitas"/>
            <w:rFonts w:cs="Times New Roman"/>
            <w:noProof/>
          </w:rPr>
          <w:t>Lentelė 33. Apklausos respondentų pasiskirstymas pagal įmonių dydį ir reikalaujamas kvotas reprezentatyvumui užtikrinti.</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_Toc170804649 \h </w:instrText>
        </w:r>
        <w:r w:rsidR="00CD48A7" w:rsidRPr="00CD48A7">
          <w:rPr>
            <w:noProof/>
            <w:webHidden/>
          </w:rPr>
        </w:r>
        <w:r w:rsidR="00CD48A7" w:rsidRPr="00CD48A7">
          <w:rPr>
            <w:noProof/>
            <w:webHidden/>
          </w:rPr>
          <w:fldChar w:fldCharType="separate"/>
        </w:r>
        <w:r w:rsidR="00347605">
          <w:rPr>
            <w:noProof/>
            <w:webHidden/>
          </w:rPr>
          <w:t>54</w:t>
        </w:r>
        <w:r w:rsidR="00CD48A7" w:rsidRPr="00CD48A7">
          <w:rPr>
            <w:noProof/>
            <w:webHidden/>
          </w:rPr>
          <w:fldChar w:fldCharType="end"/>
        </w:r>
      </w:hyperlink>
    </w:p>
    <w:p w14:paraId="131DD87A" w14:textId="7220A6F9"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50" w:history="1">
        <w:r w:rsidR="00CD48A7" w:rsidRPr="00E24002">
          <w:rPr>
            <w:rStyle w:val="Hipersaitas"/>
            <w:rFonts w:cs="Times New Roman"/>
            <w:noProof/>
          </w:rPr>
          <w:t>Lentelė 34. Apklausos respondentų pasiskirstymas pagal ekonominės veiklos sektorius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_Toc170804650 \h </w:instrText>
        </w:r>
        <w:r w:rsidR="00CD48A7" w:rsidRPr="00CD48A7">
          <w:rPr>
            <w:noProof/>
            <w:webHidden/>
          </w:rPr>
        </w:r>
        <w:r w:rsidR="00CD48A7" w:rsidRPr="00CD48A7">
          <w:rPr>
            <w:noProof/>
            <w:webHidden/>
          </w:rPr>
          <w:fldChar w:fldCharType="separate"/>
        </w:r>
        <w:r w:rsidR="00347605">
          <w:rPr>
            <w:noProof/>
            <w:webHidden/>
          </w:rPr>
          <w:t>55</w:t>
        </w:r>
        <w:r w:rsidR="00CD48A7" w:rsidRPr="00CD48A7">
          <w:rPr>
            <w:noProof/>
            <w:webHidden/>
          </w:rPr>
          <w:fldChar w:fldCharType="end"/>
        </w:r>
      </w:hyperlink>
    </w:p>
    <w:p w14:paraId="7B067A3D" w14:textId="02D6FE15"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51" w:history="1">
        <w:r w:rsidR="00CD48A7" w:rsidRPr="00E24002">
          <w:rPr>
            <w:rStyle w:val="Hipersaitas"/>
            <w:rFonts w:cs="Times New Roman"/>
            <w:noProof/>
          </w:rPr>
          <w:t>Lentelė 35. Apklausos respondentų pasiskirstymas pagal apskritis</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_Toc170804651 \h </w:instrText>
        </w:r>
        <w:r w:rsidR="00CD48A7" w:rsidRPr="00CD48A7">
          <w:rPr>
            <w:noProof/>
            <w:webHidden/>
          </w:rPr>
        </w:r>
        <w:r w:rsidR="00CD48A7" w:rsidRPr="00CD48A7">
          <w:rPr>
            <w:noProof/>
            <w:webHidden/>
          </w:rPr>
          <w:fldChar w:fldCharType="separate"/>
        </w:r>
        <w:r w:rsidR="00347605">
          <w:rPr>
            <w:noProof/>
            <w:webHidden/>
          </w:rPr>
          <w:t>55</w:t>
        </w:r>
        <w:r w:rsidR="00CD48A7" w:rsidRPr="00CD48A7">
          <w:rPr>
            <w:noProof/>
            <w:webHidden/>
          </w:rPr>
          <w:fldChar w:fldCharType="end"/>
        </w:r>
      </w:hyperlink>
    </w:p>
    <w:p w14:paraId="40893EFB" w14:textId="17860A06" w:rsidR="00F67EFF" w:rsidRPr="002128E0" w:rsidRDefault="00F67EFF" w:rsidP="004A4C17">
      <w:pPr>
        <w:pStyle w:val="Antrat1"/>
        <w:numPr>
          <w:ilvl w:val="0"/>
          <w:numId w:val="0"/>
        </w:numPr>
        <w:rPr>
          <w:rStyle w:val="Antrat2Diagrama"/>
          <w:rFonts w:cs="Times New Roman"/>
          <w:bCs/>
          <w:sz w:val="22"/>
          <w:szCs w:val="22"/>
        </w:rPr>
        <w:sectPr w:rsidR="00F67EFF" w:rsidRPr="002128E0" w:rsidSect="00C234E6">
          <w:pgSz w:w="11906" w:h="16838"/>
          <w:pgMar w:top="1701" w:right="567" w:bottom="1134" w:left="1701" w:header="567" w:footer="567" w:gutter="0"/>
          <w:cols w:space="1296"/>
          <w:docGrid w:linePitch="360"/>
        </w:sectPr>
      </w:pPr>
      <w:r w:rsidRPr="002128E0">
        <w:rPr>
          <w:rStyle w:val="Antrat2Diagrama"/>
          <w:rFonts w:cs="Times New Roman"/>
          <w:bCs/>
          <w:sz w:val="22"/>
          <w:szCs w:val="22"/>
        </w:rPr>
        <w:fldChar w:fldCharType="end"/>
      </w:r>
    </w:p>
    <w:p w14:paraId="2A4DF5F1" w14:textId="54409E2F" w:rsidR="004A4C17" w:rsidRPr="003C0378" w:rsidRDefault="004A4C17" w:rsidP="004A4C17">
      <w:pPr>
        <w:pStyle w:val="Turinioantrat"/>
        <w:spacing w:before="60" w:after="60" w:line="240" w:lineRule="auto"/>
        <w:rPr>
          <w:rFonts w:ascii="Times New Roman" w:hAnsi="Times New Roman" w:cs="Times New Roman"/>
          <w:b/>
          <w:bCs/>
          <w:color w:val="auto"/>
          <w:sz w:val="28"/>
          <w:szCs w:val="28"/>
          <w:lang w:val="lt-LT"/>
        </w:rPr>
      </w:pPr>
      <w:r w:rsidRPr="003C0378">
        <w:rPr>
          <w:rFonts w:ascii="Times New Roman" w:hAnsi="Times New Roman" w:cs="Times New Roman"/>
          <w:b/>
          <w:bCs/>
          <w:color w:val="auto"/>
          <w:sz w:val="28"/>
          <w:szCs w:val="28"/>
          <w:lang w:val="lt-LT"/>
        </w:rPr>
        <w:lastRenderedPageBreak/>
        <w:t>Paveikslų sąrašas</w:t>
      </w:r>
    </w:p>
    <w:p w14:paraId="54D92ADB" w14:textId="77777777" w:rsidR="004A4C17" w:rsidRPr="003C0378" w:rsidRDefault="004A4C17" w:rsidP="004A4C17">
      <w:pPr>
        <w:pStyle w:val="Iliustracijsraas"/>
        <w:tabs>
          <w:tab w:val="right" w:leader="dot" w:pos="9628"/>
        </w:tabs>
        <w:ind w:left="0" w:firstLine="0"/>
        <w:rPr>
          <w:rFonts w:cs="Times New Roman"/>
          <w:b/>
          <w:bCs/>
        </w:rPr>
      </w:pPr>
    </w:p>
    <w:p w14:paraId="09D7F428" w14:textId="3F174F19" w:rsidR="00CD48A7" w:rsidRPr="00CD48A7" w:rsidRDefault="004A4C17">
      <w:pPr>
        <w:pStyle w:val="Iliustracijsraas"/>
        <w:tabs>
          <w:tab w:val="right" w:leader="dot" w:pos="9628"/>
        </w:tabs>
        <w:rPr>
          <w:rFonts w:asciiTheme="minorHAnsi" w:hAnsiTheme="minorHAnsi"/>
          <w:noProof/>
          <w:kern w:val="2"/>
          <w:sz w:val="22"/>
          <w:szCs w:val="22"/>
          <w:lang w:eastAsia="lt-LT"/>
          <w14:ligatures w14:val="standardContextual"/>
        </w:rPr>
      </w:pPr>
      <w:r w:rsidRPr="00C9652A">
        <w:rPr>
          <w:rFonts w:cs="Times New Roman"/>
          <w:b/>
          <w:bCs/>
          <w:sz w:val="28"/>
          <w:szCs w:val="28"/>
        </w:rPr>
        <w:fldChar w:fldCharType="begin"/>
      </w:r>
      <w:r w:rsidRPr="00F6739B">
        <w:rPr>
          <w:rFonts w:cs="Times New Roman"/>
          <w:b/>
          <w:bCs/>
          <w:sz w:val="28"/>
          <w:szCs w:val="28"/>
        </w:rPr>
        <w:instrText xml:space="preserve"> TOC \h \z \c "pav." </w:instrText>
      </w:r>
      <w:r w:rsidRPr="00C9652A">
        <w:rPr>
          <w:rFonts w:cs="Times New Roman"/>
          <w:b/>
          <w:bCs/>
          <w:sz w:val="28"/>
          <w:szCs w:val="28"/>
        </w:rPr>
        <w:fldChar w:fldCharType="separate"/>
      </w:r>
      <w:hyperlink w:anchor="_Toc170804652" w:history="1">
        <w:r w:rsidR="00CD48A7" w:rsidRPr="00E24002">
          <w:rPr>
            <w:rStyle w:val="Hipersaitas"/>
            <w:noProof/>
          </w:rPr>
          <w:t>1 paveikslas. Lietuvos įmonių dalis, pasiryžusių per ateinančius 5 metus statytis elektrinę. N = 423.</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_Toc170804652 \h </w:instrText>
        </w:r>
        <w:r w:rsidR="00CD48A7" w:rsidRPr="00CD48A7">
          <w:rPr>
            <w:noProof/>
            <w:webHidden/>
          </w:rPr>
        </w:r>
        <w:r w:rsidR="00CD48A7" w:rsidRPr="00CD48A7">
          <w:rPr>
            <w:noProof/>
            <w:webHidden/>
          </w:rPr>
          <w:fldChar w:fldCharType="separate"/>
        </w:r>
        <w:r w:rsidR="00347605">
          <w:rPr>
            <w:noProof/>
            <w:webHidden/>
          </w:rPr>
          <w:t>17</w:t>
        </w:r>
        <w:r w:rsidR="00CD48A7" w:rsidRPr="00CD48A7">
          <w:rPr>
            <w:noProof/>
            <w:webHidden/>
          </w:rPr>
          <w:fldChar w:fldCharType="end"/>
        </w:r>
      </w:hyperlink>
    </w:p>
    <w:p w14:paraId="3CBE551C" w14:textId="14D4A481"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53" w:history="1">
        <w:r w:rsidR="00CD48A7" w:rsidRPr="00E24002">
          <w:rPr>
            <w:rStyle w:val="Hipersaitas"/>
            <w:noProof/>
          </w:rPr>
          <w:t>2 paveikslas.</w:t>
        </w:r>
        <w:r w:rsidR="00CD48A7" w:rsidRPr="00CD48A7">
          <w:rPr>
            <w:rStyle w:val="Hipersaitas"/>
            <w:rFonts w:ascii="Cambria" w:hAnsi="Cambria"/>
            <w:caps/>
            <w:noProof/>
          </w:rPr>
          <w:t xml:space="preserve"> </w:t>
        </w:r>
        <w:r w:rsidR="00CD48A7" w:rsidRPr="00E24002">
          <w:rPr>
            <w:rStyle w:val="Hipersaitas"/>
            <w:noProof/>
          </w:rPr>
          <w:t>Respondentų pasirinkimo nestatyti elektrinių arba jas statyti nenuosavomis lėšomis priežastys. N = 290.</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_Toc170804653 \h </w:instrText>
        </w:r>
        <w:r w:rsidR="00CD48A7" w:rsidRPr="00CD48A7">
          <w:rPr>
            <w:noProof/>
            <w:webHidden/>
          </w:rPr>
        </w:r>
        <w:r w:rsidR="00CD48A7" w:rsidRPr="00CD48A7">
          <w:rPr>
            <w:noProof/>
            <w:webHidden/>
          </w:rPr>
          <w:fldChar w:fldCharType="separate"/>
        </w:r>
        <w:r w:rsidR="00347605">
          <w:rPr>
            <w:noProof/>
            <w:webHidden/>
          </w:rPr>
          <w:t>18</w:t>
        </w:r>
        <w:r w:rsidR="00CD48A7" w:rsidRPr="00CD48A7">
          <w:rPr>
            <w:noProof/>
            <w:webHidden/>
          </w:rPr>
          <w:fldChar w:fldCharType="end"/>
        </w:r>
      </w:hyperlink>
    </w:p>
    <w:p w14:paraId="6CD3DDF3" w14:textId="6AD308D4"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54" w:history="1">
        <w:r w:rsidR="00CD48A7" w:rsidRPr="00E24002">
          <w:rPr>
            <w:rStyle w:val="Hipersaitas"/>
            <w:noProof/>
          </w:rPr>
          <w:t>3 paveikslas. Kumuliatyvinių kaštų–naudų grafikas VJA tikslinėje grupėje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_Toc170804654 \h </w:instrText>
        </w:r>
        <w:r w:rsidR="00CD48A7" w:rsidRPr="00CD48A7">
          <w:rPr>
            <w:noProof/>
            <w:webHidden/>
          </w:rPr>
        </w:r>
        <w:r w:rsidR="00CD48A7" w:rsidRPr="00CD48A7">
          <w:rPr>
            <w:noProof/>
            <w:webHidden/>
          </w:rPr>
          <w:fldChar w:fldCharType="separate"/>
        </w:r>
        <w:r w:rsidR="00347605">
          <w:rPr>
            <w:noProof/>
            <w:webHidden/>
          </w:rPr>
          <w:t>33</w:t>
        </w:r>
        <w:r w:rsidR="00CD48A7" w:rsidRPr="00CD48A7">
          <w:rPr>
            <w:noProof/>
            <w:webHidden/>
          </w:rPr>
          <w:fldChar w:fldCharType="end"/>
        </w:r>
      </w:hyperlink>
    </w:p>
    <w:p w14:paraId="16F697C2" w14:textId="40087EF1" w:rsidR="00CD48A7" w:rsidRPr="00CD48A7" w:rsidRDefault="001F03B6">
      <w:pPr>
        <w:pStyle w:val="Iliustracijsraas"/>
        <w:tabs>
          <w:tab w:val="right" w:leader="dot" w:pos="9628"/>
        </w:tabs>
        <w:rPr>
          <w:rFonts w:asciiTheme="minorHAnsi" w:hAnsiTheme="minorHAnsi"/>
          <w:noProof/>
          <w:kern w:val="2"/>
          <w:sz w:val="22"/>
          <w:szCs w:val="22"/>
          <w:lang w:eastAsia="lt-LT"/>
          <w14:ligatures w14:val="standardContextual"/>
        </w:rPr>
      </w:pPr>
      <w:hyperlink w:anchor="_Toc170804655" w:history="1">
        <w:r w:rsidR="00CD48A7" w:rsidRPr="00E24002">
          <w:rPr>
            <w:rStyle w:val="Hipersaitas"/>
            <w:noProof/>
          </w:rPr>
          <w:t>4 paveikslas. Kumuliatyvinių kaštų–naudų grafikas verslo tikslinėje grupėje</w:t>
        </w:r>
        <w:r w:rsidR="00CD48A7" w:rsidRPr="00CD48A7">
          <w:rPr>
            <w:noProof/>
            <w:webHidden/>
          </w:rPr>
          <w:tab/>
        </w:r>
        <w:r w:rsidR="00CD48A7" w:rsidRPr="00CD48A7">
          <w:rPr>
            <w:noProof/>
            <w:webHidden/>
          </w:rPr>
          <w:fldChar w:fldCharType="begin"/>
        </w:r>
        <w:r w:rsidR="00CD48A7" w:rsidRPr="00CD48A7">
          <w:rPr>
            <w:noProof/>
            <w:webHidden/>
          </w:rPr>
          <w:instrText xml:space="preserve"> PAGEREF _Toc170804655 \h </w:instrText>
        </w:r>
        <w:r w:rsidR="00CD48A7" w:rsidRPr="00CD48A7">
          <w:rPr>
            <w:noProof/>
            <w:webHidden/>
          </w:rPr>
        </w:r>
        <w:r w:rsidR="00CD48A7" w:rsidRPr="00CD48A7">
          <w:rPr>
            <w:noProof/>
            <w:webHidden/>
          </w:rPr>
          <w:fldChar w:fldCharType="separate"/>
        </w:r>
        <w:r w:rsidR="00347605">
          <w:rPr>
            <w:noProof/>
            <w:webHidden/>
          </w:rPr>
          <w:t>36</w:t>
        </w:r>
        <w:r w:rsidR="00CD48A7" w:rsidRPr="00CD48A7">
          <w:rPr>
            <w:noProof/>
            <w:webHidden/>
          </w:rPr>
          <w:fldChar w:fldCharType="end"/>
        </w:r>
      </w:hyperlink>
    </w:p>
    <w:p w14:paraId="4349745B" w14:textId="330D421C" w:rsidR="00EF26D3" w:rsidRPr="00C65A7C" w:rsidRDefault="004A4C17" w:rsidP="000323C5">
      <w:pPr>
        <w:pStyle w:val="Turinioantrat"/>
        <w:spacing w:before="60" w:after="60" w:line="240" w:lineRule="auto"/>
        <w:rPr>
          <w:rStyle w:val="Antrat2Diagrama"/>
          <w:rFonts w:cs="Times New Roman"/>
          <w:b w:val="0"/>
          <w:bCs/>
          <w:sz w:val="36"/>
          <w:szCs w:val="28"/>
          <w:lang w:val="lt-LT"/>
        </w:rPr>
      </w:pPr>
      <w:r w:rsidRPr="00C9652A">
        <w:rPr>
          <w:rFonts w:cs="Times New Roman"/>
          <w:b/>
          <w:bCs/>
          <w:sz w:val="28"/>
          <w:szCs w:val="28"/>
        </w:rPr>
        <w:lastRenderedPageBreak/>
        <w:fldChar w:fldCharType="end"/>
      </w:r>
      <w:r w:rsidR="00EF26D3" w:rsidRPr="00C65A7C">
        <w:rPr>
          <w:rFonts w:ascii="Times New Roman" w:hAnsi="Times New Roman" w:cs="Times New Roman"/>
          <w:b/>
          <w:bCs/>
          <w:color w:val="auto"/>
          <w:sz w:val="28"/>
          <w:szCs w:val="28"/>
          <w:lang w:val="lt-LT"/>
        </w:rPr>
        <w:t>Santrumpų sąrašas</w:t>
      </w:r>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E45A0" w:rsidRPr="003C0378" w14:paraId="7297D161" w14:textId="77777777" w:rsidTr="00E24002">
        <w:tc>
          <w:tcPr>
            <w:tcW w:w="4814" w:type="dxa"/>
          </w:tcPr>
          <w:p w14:paraId="7BD27DE8" w14:textId="77777777" w:rsidR="001E45A0" w:rsidRPr="00C65A7C" w:rsidRDefault="001E45A0" w:rsidP="00867DF8">
            <w:pPr>
              <w:pStyle w:val="Pagrindinispaprastastekstas"/>
              <w:spacing w:before="120" w:after="0"/>
              <w:rPr>
                <w:rStyle w:val="Antrat2Diagrama"/>
                <w:rFonts w:cs="Times New Roman"/>
                <w:sz w:val="22"/>
                <w:szCs w:val="22"/>
                <w:lang w:val="lt-LT"/>
              </w:rPr>
            </w:pPr>
          </w:p>
        </w:tc>
        <w:tc>
          <w:tcPr>
            <w:tcW w:w="4814" w:type="dxa"/>
          </w:tcPr>
          <w:p w14:paraId="5535234B" w14:textId="77777777" w:rsidR="001E45A0" w:rsidRPr="00C65A7C" w:rsidRDefault="001E45A0" w:rsidP="00867DF8">
            <w:pPr>
              <w:pStyle w:val="Pagrindinispaprastastekstas"/>
              <w:spacing w:before="120" w:after="0"/>
              <w:rPr>
                <w:rStyle w:val="Antrat2Diagrama"/>
                <w:rFonts w:cs="Times New Roman"/>
                <w:sz w:val="22"/>
                <w:szCs w:val="22"/>
                <w:lang w:val="lt-LT"/>
              </w:rPr>
            </w:pPr>
          </w:p>
        </w:tc>
      </w:tr>
      <w:tr w:rsidR="000323C5" w:rsidRPr="003C0378" w14:paraId="73C4F956" w14:textId="77777777" w:rsidTr="00E24002">
        <w:tc>
          <w:tcPr>
            <w:tcW w:w="4814" w:type="dxa"/>
          </w:tcPr>
          <w:p w14:paraId="2099E851" w14:textId="775E177D" w:rsidR="000323C5" w:rsidRPr="00C65A7C" w:rsidRDefault="000323C5"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2014</w:t>
            </w:r>
            <w:r w:rsidR="00103D8D" w:rsidRPr="00C65A7C">
              <w:rPr>
                <w:rFonts w:ascii="Times New Roman" w:hAnsi="Times New Roman"/>
                <w:sz w:val="22"/>
                <w:szCs w:val="22"/>
                <w:lang w:val="lt-LT"/>
              </w:rPr>
              <w:t>–</w:t>
            </w:r>
            <w:r w:rsidRPr="00C65A7C">
              <w:rPr>
                <w:rFonts w:ascii="Times New Roman" w:hAnsi="Times New Roman"/>
                <w:sz w:val="22"/>
                <w:szCs w:val="22"/>
                <w:lang w:val="lt-LT"/>
              </w:rPr>
              <w:t>2020 VP</w:t>
            </w:r>
          </w:p>
        </w:tc>
        <w:tc>
          <w:tcPr>
            <w:tcW w:w="4814" w:type="dxa"/>
          </w:tcPr>
          <w:p w14:paraId="4B721CBA" w14:textId="042303EE" w:rsidR="000323C5" w:rsidRPr="00C65A7C" w:rsidRDefault="000323C5"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eastAsia="AngsanaUPC" w:hAnsi="Times New Roman"/>
                <w:bCs/>
                <w:iCs/>
                <w:sz w:val="22"/>
                <w:szCs w:val="22"/>
                <w:lang w:val="lt-LT" w:eastAsia="lt-LT"/>
              </w:rPr>
              <w:t>2014</w:t>
            </w:r>
            <w:r w:rsidR="00103D8D" w:rsidRPr="00C65A7C">
              <w:rPr>
                <w:rFonts w:ascii="Times New Roman" w:eastAsia="AngsanaUPC" w:hAnsi="Times New Roman"/>
                <w:bCs/>
                <w:iCs/>
                <w:sz w:val="22"/>
                <w:szCs w:val="22"/>
                <w:lang w:val="lt-LT" w:eastAsia="lt-LT"/>
              </w:rPr>
              <w:t>–</w:t>
            </w:r>
            <w:r w:rsidRPr="00C65A7C">
              <w:rPr>
                <w:rFonts w:ascii="Times New Roman" w:eastAsia="AngsanaUPC" w:hAnsi="Times New Roman"/>
                <w:bCs/>
                <w:iCs/>
                <w:sz w:val="22"/>
                <w:szCs w:val="22"/>
                <w:lang w:val="lt-LT" w:eastAsia="lt-LT"/>
              </w:rPr>
              <w:t>2020 m. Europos Sąjungos fondų investicijų veiksmų programa</w:t>
            </w:r>
          </w:p>
        </w:tc>
      </w:tr>
      <w:tr w:rsidR="000323C5" w:rsidRPr="003C0378" w14:paraId="465E125B" w14:textId="77777777" w:rsidTr="00E24002">
        <w:tc>
          <w:tcPr>
            <w:tcW w:w="4814" w:type="dxa"/>
          </w:tcPr>
          <w:p w14:paraId="514339F4" w14:textId="1068966B" w:rsidR="000323C5" w:rsidRPr="00C65A7C" w:rsidRDefault="000323C5"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2021</w:t>
            </w:r>
            <w:r w:rsidR="00103D8D" w:rsidRPr="00C65A7C">
              <w:rPr>
                <w:rFonts w:ascii="Times New Roman" w:hAnsi="Times New Roman"/>
                <w:sz w:val="22"/>
                <w:szCs w:val="22"/>
                <w:lang w:val="lt-LT"/>
              </w:rPr>
              <w:t>–</w:t>
            </w:r>
            <w:r w:rsidR="00805A2F" w:rsidRPr="00C65A7C">
              <w:rPr>
                <w:rFonts w:ascii="Times New Roman" w:hAnsi="Times New Roman"/>
                <w:sz w:val="22"/>
                <w:szCs w:val="22"/>
                <w:lang w:val="lt-LT"/>
              </w:rPr>
              <w:t>2027 IP</w:t>
            </w:r>
          </w:p>
        </w:tc>
        <w:tc>
          <w:tcPr>
            <w:tcW w:w="4814" w:type="dxa"/>
          </w:tcPr>
          <w:p w14:paraId="1B1316CA" w14:textId="09F6A99A" w:rsidR="000323C5" w:rsidRPr="00C65A7C" w:rsidRDefault="000323C5"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eastAsia="AngsanaUPC" w:hAnsi="Times New Roman"/>
                <w:bCs/>
                <w:iCs/>
                <w:sz w:val="22"/>
                <w:szCs w:val="22"/>
                <w:lang w:val="lt-LT" w:eastAsia="lt-LT"/>
              </w:rPr>
              <w:t>2021</w:t>
            </w:r>
            <w:r w:rsidR="00103D8D" w:rsidRPr="00C65A7C">
              <w:rPr>
                <w:rFonts w:ascii="Times New Roman" w:eastAsia="AngsanaUPC" w:hAnsi="Times New Roman"/>
                <w:bCs/>
                <w:iCs/>
                <w:sz w:val="22"/>
                <w:szCs w:val="22"/>
                <w:lang w:val="lt-LT" w:eastAsia="lt-LT"/>
              </w:rPr>
              <w:t>–</w:t>
            </w:r>
            <w:r w:rsidRPr="00C65A7C">
              <w:rPr>
                <w:rFonts w:ascii="Times New Roman" w:eastAsia="AngsanaUPC" w:hAnsi="Times New Roman"/>
                <w:bCs/>
                <w:iCs/>
                <w:sz w:val="22"/>
                <w:szCs w:val="22"/>
                <w:lang w:val="lt-LT" w:eastAsia="lt-LT"/>
              </w:rPr>
              <w:t>2027 m. Europos Sąjungos fondų investicijų programa</w:t>
            </w:r>
          </w:p>
        </w:tc>
      </w:tr>
      <w:tr w:rsidR="00FF0033" w:rsidRPr="003C0378" w14:paraId="01CFCACD" w14:textId="77777777" w:rsidTr="00E24002">
        <w:tc>
          <w:tcPr>
            <w:tcW w:w="4814" w:type="dxa"/>
          </w:tcPr>
          <w:p w14:paraId="0DBF1CAE" w14:textId="76433366" w:rsidR="00FF0033" w:rsidRPr="00C65A7C" w:rsidRDefault="00FF0033" w:rsidP="00867DF8">
            <w:pPr>
              <w:pStyle w:val="Pagrindinispaprastastekstas"/>
              <w:tabs>
                <w:tab w:val="left" w:pos="1646"/>
              </w:tabs>
              <w:spacing w:before="120" w:after="0"/>
              <w:rPr>
                <w:rFonts w:ascii="Times New Roman" w:hAnsi="Times New Roman"/>
                <w:sz w:val="22"/>
                <w:szCs w:val="22"/>
                <w:lang w:val="lt-LT"/>
              </w:rPr>
            </w:pPr>
            <w:r w:rsidRPr="00C65A7C">
              <w:rPr>
                <w:rFonts w:ascii="Times New Roman" w:hAnsi="Times New Roman"/>
                <w:sz w:val="22"/>
                <w:szCs w:val="22"/>
                <w:lang w:val="lt-LT"/>
              </w:rPr>
              <w:t>AEI</w:t>
            </w:r>
          </w:p>
        </w:tc>
        <w:tc>
          <w:tcPr>
            <w:tcW w:w="4814" w:type="dxa"/>
          </w:tcPr>
          <w:p w14:paraId="77BBFC6D" w14:textId="66CC66B1" w:rsidR="00FF0033" w:rsidRPr="00C65A7C" w:rsidRDefault="00FF0033"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eastAsia="AngsanaUPC" w:hAnsi="Times New Roman"/>
                <w:bCs/>
                <w:iCs/>
                <w:sz w:val="22"/>
                <w:szCs w:val="22"/>
                <w:lang w:val="lt-LT" w:eastAsia="lt-LT"/>
              </w:rPr>
              <w:t>Atsinaujinantys energijos ištekliai</w:t>
            </w:r>
          </w:p>
        </w:tc>
      </w:tr>
      <w:tr w:rsidR="00ED34C4" w:rsidRPr="003C0378" w14:paraId="61443014" w14:textId="77777777" w:rsidTr="00E24002">
        <w:tc>
          <w:tcPr>
            <w:tcW w:w="4814" w:type="dxa"/>
          </w:tcPr>
          <w:p w14:paraId="621ADDD5" w14:textId="5570E4FD" w:rsidR="00ED34C4" w:rsidRPr="00C65A7C" w:rsidRDefault="00ED34C4" w:rsidP="00D5694B">
            <w:pPr>
              <w:pStyle w:val="Pagrindinispaprastastekstas"/>
              <w:tabs>
                <w:tab w:val="left" w:pos="1646"/>
              </w:tabs>
              <w:spacing w:before="120" w:after="0"/>
              <w:rPr>
                <w:rFonts w:ascii="Times New Roman" w:hAnsi="Times New Roman"/>
                <w:sz w:val="22"/>
                <w:szCs w:val="22"/>
                <w:lang w:val="lt-LT"/>
              </w:rPr>
            </w:pPr>
            <w:r w:rsidRPr="00C65A7C">
              <w:rPr>
                <w:rFonts w:ascii="Times New Roman" w:hAnsi="Times New Roman"/>
                <w:sz w:val="22"/>
                <w:szCs w:val="22"/>
                <w:lang w:val="lt-LT"/>
              </w:rPr>
              <w:t>A</w:t>
            </w:r>
            <w:r w:rsidR="00D5694B" w:rsidRPr="00C65A7C">
              <w:rPr>
                <w:rFonts w:ascii="Times New Roman" w:hAnsi="Times New Roman"/>
                <w:sz w:val="22"/>
                <w:szCs w:val="22"/>
                <w:lang w:val="lt-LT"/>
              </w:rPr>
              <w:t>IE</w:t>
            </w:r>
            <w:r w:rsidRPr="00C65A7C">
              <w:rPr>
                <w:rFonts w:ascii="Times New Roman" w:hAnsi="Times New Roman"/>
                <w:sz w:val="22"/>
                <w:szCs w:val="22"/>
                <w:lang w:val="lt-LT"/>
              </w:rPr>
              <w:t>B</w:t>
            </w:r>
          </w:p>
        </w:tc>
        <w:tc>
          <w:tcPr>
            <w:tcW w:w="4814" w:type="dxa"/>
          </w:tcPr>
          <w:p w14:paraId="3BBD1E67" w14:textId="670DAB61" w:rsidR="00ED34C4" w:rsidRPr="00C65A7C" w:rsidRDefault="00ED34C4" w:rsidP="00D5694B">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eastAsia="AngsanaUPC" w:hAnsi="Times New Roman"/>
                <w:bCs/>
                <w:iCs/>
                <w:sz w:val="22"/>
                <w:szCs w:val="22"/>
                <w:lang w:val="lt-LT" w:eastAsia="lt-LT"/>
              </w:rPr>
              <w:t>Atsinaujinančių</w:t>
            </w:r>
            <w:r w:rsidR="003C0378" w:rsidRPr="00C65A7C">
              <w:rPr>
                <w:rFonts w:ascii="Times New Roman" w:eastAsia="AngsanaUPC" w:hAnsi="Times New Roman"/>
                <w:bCs/>
                <w:iCs/>
                <w:sz w:val="22"/>
                <w:szCs w:val="22"/>
                <w:lang w:val="lt-LT" w:eastAsia="lt-LT"/>
              </w:rPr>
              <w:t xml:space="preserve"> </w:t>
            </w:r>
            <w:r w:rsidRPr="00C65A7C">
              <w:rPr>
                <w:rFonts w:ascii="Times New Roman" w:eastAsia="AngsanaUPC" w:hAnsi="Times New Roman"/>
                <w:bCs/>
                <w:iCs/>
                <w:sz w:val="22"/>
                <w:szCs w:val="22"/>
                <w:lang w:val="lt-LT" w:eastAsia="lt-LT"/>
              </w:rPr>
              <w:t>išteklių</w:t>
            </w:r>
            <w:r w:rsidR="00D5694B" w:rsidRPr="00C65A7C">
              <w:rPr>
                <w:rFonts w:ascii="Times New Roman" w:eastAsia="AngsanaUPC" w:hAnsi="Times New Roman"/>
                <w:bCs/>
                <w:iCs/>
                <w:sz w:val="22"/>
                <w:szCs w:val="22"/>
                <w:lang w:val="lt-LT" w:eastAsia="lt-LT"/>
              </w:rPr>
              <w:t xml:space="preserve"> energijos</w:t>
            </w:r>
            <w:r w:rsidRPr="00C65A7C">
              <w:rPr>
                <w:rFonts w:ascii="Times New Roman" w:eastAsia="AngsanaUPC" w:hAnsi="Times New Roman"/>
                <w:bCs/>
                <w:iCs/>
                <w:sz w:val="22"/>
                <w:szCs w:val="22"/>
                <w:lang w:val="lt-LT" w:eastAsia="lt-LT"/>
              </w:rPr>
              <w:t xml:space="preserve"> bendrijos</w:t>
            </w:r>
            <w:r w:rsidR="00D5694B" w:rsidRPr="00C65A7C">
              <w:rPr>
                <w:rFonts w:ascii="Times New Roman" w:eastAsia="AngsanaUPC" w:hAnsi="Times New Roman"/>
                <w:bCs/>
                <w:iCs/>
                <w:sz w:val="22"/>
                <w:szCs w:val="22"/>
                <w:lang w:val="lt-LT" w:eastAsia="lt-LT"/>
              </w:rPr>
              <w:t>, kaip jos apibrėžtos LR atsinaujinančių išteklių energetikos įstatyme</w:t>
            </w:r>
          </w:p>
        </w:tc>
      </w:tr>
      <w:tr w:rsidR="00805A2F" w:rsidRPr="003C0378" w14:paraId="26E912A7" w14:textId="77777777" w:rsidTr="00E24002">
        <w:tc>
          <w:tcPr>
            <w:tcW w:w="4814" w:type="dxa"/>
          </w:tcPr>
          <w:p w14:paraId="22AED905" w14:textId="28A484FD" w:rsidR="00805A2F" w:rsidRPr="00C65A7C" w:rsidRDefault="00805A2F" w:rsidP="00867DF8">
            <w:pPr>
              <w:pStyle w:val="Pagrindinispaprastastekstas"/>
              <w:tabs>
                <w:tab w:val="left" w:pos="1646"/>
              </w:tabs>
              <w:spacing w:before="120" w:after="0"/>
              <w:rPr>
                <w:rFonts w:ascii="Times New Roman" w:hAnsi="Times New Roman"/>
                <w:sz w:val="22"/>
                <w:szCs w:val="22"/>
                <w:lang w:val="lt-LT"/>
              </w:rPr>
            </w:pPr>
            <w:r w:rsidRPr="00C65A7C">
              <w:rPr>
                <w:rFonts w:ascii="Times New Roman" w:hAnsi="Times New Roman"/>
                <w:sz w:val="22"/>
                <w:szCs w:val="22"/>
                <w:lang w:val="lt-LT"/>
              </w:rPr>
              <w:t>AEI direktyva</w:t>
            </w:r>
          </w:p>
        </w:tc>
        <w:tc>
          <w:tcPr>
            <w:tcW w:w="4814" w:type="dxa"/>
          </w:tcPr>
          <w:p w14:paraId="28C84AC4" w14:textId="1CD9D1FB" w:rsidR="00805A2F" w:rsidRPr="00C65A7C" w:rsidRDefault="00805A2F"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eastAsia="AngsanaUPC" w:hAnsi="Times New Roman"/>
                <w:bCs/>
                <w:iCs/>
                <w:sz w:val="22"/>
                <w:szCs w:val="22"/>
                <w:lang w:val="lt-LT" w:eastAsia="lt-LT"/>
              </w:rPr>
              <w:t xml:space="preserve">Europos </w:t>
            </w:r>
            <w:r w:rsidR="00D5694B" w:rsidRPr="00C65A7C">
              <w:rPr>
                <w:rFonts w:ascii="Times New Roman" w:eastAsia="AngsanaUPC" w:hAnsi="Times New Roman"/>
                <w:bCs/>
                <w:iCs/>
                <w:sz w:val="22"/>
                <w:szCs w:val="22"/>
                <w:lang w:val="lt-LT" w:eastAsia="lt-LT"/>
              </w:rPr>
              <w:t>P</w:t>
            </w:r>
            <w:r w:rsidRPr="00C65A7C">
              <w:rPr>
                <w:rFonts w:ascii="Times New Roman" w:eastAsia="AngsanaUPC" w:hAnsi="Times New Roman"/>
                <w:bCs/>
                <w:iCs/>
                <w:sz w:val="22"/>
                <w:szCs w:val="22"/>
                <w:lang w:val="lt-LT" w:eastAsia="lt-LT"/>
              </w:rPr>
              <w:t xml:space="preserve">arlamento ir Tarybos 2018/2001 direktyva arba Europos </w:t>
            </w:r>
            <w:r w:rsidR="00D5694B" w:rsidRPr="00C65A7C">
              <w:rPr>
                <w:rFonts w:ascii="Times New Roman" w:eastAsia="AngsanaUPC" w:hAnsi="Times New Roman"/>
                <w:bCs/>
                <w:iCs/>
                <w:sz w:val="22"/>
                <w:szCs w:val="22"/>
                <w:lang w:val="lt-LT" w:eastAsia="lt-LT"/>
              </w:rPr>
              <w:t>P</w:t>
            </w:r>
            <w:r w:rsidRPr="00C65A7C">
              <w:rPr>
                <w:rFonts w:ascii="Times New Roman" w:eastAsia="AngsanaUPC" w:hAnsi="Times New Roman"/>
                <w:bCs/>
                <w:iCs/>
                <w:sz w:val="22"/>
                <w:szCs w:val="22"/>
                <w:lang w:val="lt-LT" w:eastAsia="lt-LT"/>
              </w:rPr>
              <w:t>arlamento ir Tarybos 2018/2001 direktyva 2009/28/EB</w:t>
            </w:r>
          </w:p>
        </w:tc>
      </w:tr>
      <w:tr w:rsidR="001E45A0" w:rsidRPr="003C0378" w14:paraId="5952CCE7" w14:textId="77777777" w:rsidTr="00E24002">
        <w:tc>
          <w:tcPr>
            <w:tcW w:w="4814" w:type="dxa"/>
          </w:tcPr>
          <w:p w14:paraId="2EAEE2B8" w14:textId="588B9FE5"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BNR</w:t>
            </w:r>
          </w:p>
        </w:tc>
        <w:tc>
          <w:tcPr>
            <w:tcW w:w="4814" w:type="dxa"/>
          </w:tcPr>
          <w:p w14:paraId="063C7B4C" w14:textId="188DB22D"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bCs/>
                <w:sz w:val="22"/>
                <w:szCs w:val="22"/>
                <w:lang w:val="lt-LT"/>
              </w:rPr>
              <w:t>Europos Parlamento ir Tarybos reglamentas (ES) 2021/1060 2021 m. birželio 24 d.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tc>
      </w:tr>
      <w:tr w:rsidR="001E45A0" w:rsidRPr="003C0378" w14:paraId="1B032537" w14:textId="77777777" w:rsidTr="00E24002">
        <w:tc>
          <w:tcPr>
            <w:tcW w:w="4814" w:type="dxa"/>
          </w:tcPr>
          <w:p w14:paraId="5A2F92AE"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EK</w:t>
            </w:r>
          </w:p>
        </w:tc>
        <w:tc>
          <w:tcPr>
            <w:tcW w:w="4814" w:type="dxa"/>
          </w:tcPr>
          <w:p w14:paraId="6E1AF3AD"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Europos Komisija</w:t>
            </w:r>
          </w:p>
        </w:tc>
      </w:tr>
      <w:tr w:rsidR="00E25024" w:rsidRPr="003C0378" w14:paraId="0CD00EF6" w14:textId="77777777" w:rsidTr="00E24002">
        <w:tc>
          <w:tcPr>
            <w:tcW w:w="4814" w:type="dxa"/>
          </w:tcPr>
          <w:p w14:paraId="3A890FAD" w14:textId="76251CC6" w:rsidR="00E25024" w:rsidRPr="00C65A7C" w:rsidRDefault="00E25024"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EGADP</w:t>
            </w:r>
          </w:p>
        </w:tc>
        <w:tc>
          <w:tcPr>
            <w:tcW w:w="4814" w:type="dxa"/>
          </w:tcPr>
          <w:p w14:paraId="372B224F" w14:textId="1C074518" w:rsidR="00E25024" w:rsidRPr="00C65A7C" w:rsidRDefault="00E25024"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Ekonomikos gaivinimo ir atsparumo didinimo planas</w:t>
            </w:r>
            <w:r w:rsidR="00232F3C" w:rsidRPr="00C65A7C">
              <w:rPr>
                <w:rFonts w:ascii="Times New Roman" w:hAnsi="Times New Roman"/>
                <w:sz w:val="22"/>
                <w:szCs w:val="22"/>
                <w:lang w:val="lt-LT"/>
              </w:rPr>
              <w:t xml:space="preserve"> (angl.: </w:t>
            </w:r>
            <w:proofErr w:type="spellStart"/>
            <w:r w:rsidR="00232F3C" w:rsidRPr="00C65A7C">
              <w:rPr>
                <w:rFonts w:ascii="Times New Roman" w:hAnsi="Times New Roman"/>
                <w:i/>
                <w:iCs/>
                <w:sz w:val="22"/>
                <w:szCs w:val="22"/>
                <w:lang w:val="lt-LT"/>
              </w:rPr>
              <w:t>Recovery</w:t>
            </w:r>
            <w:proofErr w:type="spellEnd"/>
            <w:r w:rsidR="00232F3C" w:rsidRPr="00C65A7C">
              <w:rPr>
                <w:rFonts w:ascii="Times New Roman" w:hAnsi="Times New Roman"/>
                <w:i/>
                <w:iCs/>
                <w:sz w:val="22"/>
                <w:szCs w:val="22"/>
                <w:lang w:val="lt-LT"/>
              </w:rPr>
              <w:t xml:space="preserve"> </w:t>
            </w:r>
            <w:proofErr w:type="spellStart"/>
            <w:r w:rsidR="00232F3C" w:rsidRPr="00C65A7C">
              <w:rPr>
                <w:rFonts w:ascii="Times New Roman" w:hAnsi="Times New Roman"/>
                <w:i/>
                <w:iCs/>
                <w:sz w:val="22"/>
                <w:szCs w:val="22"/>
                <w:lang w:val="lt-LT"/>
              </w:rPr>
              <w:t>and</w:t>
            </w:r>
            <w:proofErr w:type="spellEnd"/>
            <w:r w:rsidR="00232F3C" w:rsidRPr="00C65A7C">
              <w:rPr>
                <w:rFonts w:ascii="Times New Roman" w:hAnsi="Times New Roman"/>
                <w:i/>
                <w:iCs/>
                <w:sz w:val="22"/>
                <w:szCs w:val="22"/>
                <w:lang w:val="lt-LT"/>
              </w:rPr>
              <w:t xml:space="preserve"> </w:t>
            </w:r>
            <w:proofErr w:type="spellStart"/>
            <w:r w:rsidR="00232F3C" w:rsidRPr="00C65A7C">
              <w:rPr>
                <w:rFonts w:ascii="Times New Roman" w:hAnsi="Times New Roman"/>
                <w:i/>
                <w:iCs/>
                <w:sz w:val="22"/>
                <w:szCs w:val="22"/>
                <w:lang w:val="lt-LT"/>
              </w:rPr>
              <w:t>Resilience</w:t>
            </w:r>
            <w:proofErr w:type="spellEnd"/>
            <w:r w:rsidR="00232F3C" w:rsidRPr="00C65A7C">
              <w:rPr>
                <w:rFonts w:ascii="Times New Roman" w:hAnsi="Times New Roman"/>
                <w:i/>
                <w:iCs/>
                <w:sz w:val="22"/>
                <w:szCs w:val="22"/>
                <w:lang w:val="lt-LT"/>
              </w:rPr>
              <w:t xml:space="preserve"> </w:t>
            </w:r>
            <w:proofErr w:type="spellStart"/>
            <w:r w:rsidR="00232F3C" w:rsidRPr="00C65A7C">
              <w:rPr>
                <w:rFonts w:ascii="Times New Roman" w:hAnsi="Times New Roman"/>
                <w:i/>
                <w:iCs/>
                <w:sz w:val="22"/>
                <w:szCs w:val="22"/>
                <w:lang w:val="lt-LT"/>
              </w:rPr>
              <w:t>Facility</w:t>
            </w:r>
            <w:proofErr w:type="spellEnd"/>
            <w:r w:rsidR="0068319B" w:rsidRPr="00C65A7C">
              <w:rPr>
                <w:rFonts w:ascii="Times New Roman" w:hAnsi="Times New Roman"/>
                <w:i/>
                <w:iCs/>
                <w:sz w:val="22"/>
                <w:szCs w:val="22"/>
                <w:lang w:val="lt-LT"/>
              </w:rPr>
              <w:t xml:space="preserve"> arba RRF</w:t>
            </w:r>
            <w:r w:rsidR="00232F3C" w:rsidRPr="00C65A7C">
              <w:rPr>
                <w:rFonts w:ascii="Times New Roman" w:hAnsi="Times New Roman"/>
                <w:sz w:val="22"/>
                <w:szCs w:val="22"/>
                <w:lang w:val="lt-LT"/>
              </w:rPr>
              <w:t>)</w:t>
            </w:r>
          </w:p>
        </w:tc>
      </w:tr>
      <w:tr w:rsidR="001E45A0" w:rsidRPr="003C0378" w14:paraId="41DEC999" w14:textId="77777777" w:rsidTr="00E24002">
        <w:tc>
          <w:tcPr>
            <w:tcW w:w="4814" w:type="dxa"/>
          </w:tcPr>
          <w:p w14:paraId="62B78213"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EM</w:t>
            </w:r>
          </w:p>
        </w:tc>
        <w:tc>
          <w:tcPr>
            <w:tcW w:w="4814" w:type="dxa"/>
          </w:tcPr>
          <w:p w14:paraId="3505FD9A"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LR energetikos ministerija</w:t>
            </w:r>
          </w:p>
        </w:tc>
      </w:tr>
      <w:tr w:rsidR="001E45A0" w:rsidRPr="003C0378" w14:paraId="668851D6" w14:textId="77777777" w:rsidTr="00E24002">
        <w:tc>
          <w:tcPr>
            <w:tcW w:w="4814" w:type="dxa"/>
          </w:tcPr>
          <w:p w14:paraId="1AE8C575"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ENEF</w:t>
            </w:r>
          </w:p>
        </w:tc>
        <w:tc>
          <w:tcPr>
            <w:tcW w:w="4814" w:type="dxa"/>
          </w:tcPr>
          <w:p w14:paraId="6EEBC8EE"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Energijos efektyvumo fondas</w:t>
            </w:r>
          </w:p>
        </w:tc>
      </w:tr>
      <w:tr w:rsidR="001E45A0" w:rsidRPr="003C0378" w14:paraId="4D4236B1" w14:textId="77777777" w:rsidTr="00E24002">
        <w:tc>
          <w:tcPr>
            <w:tcW w:w="4814" w:type="dxa"/>
          </w:tcPr>
          <w:p w14:paraId="16B876DB"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ES SF</w:t>
            </w:r>
          </w:p>
        </w:tc>
        <w:tc>
          <w:tcPr>
            <w:tcW w:w="4814" w:type="dxa"/>
          </w:tcPr>
          <w:p w14:paraId="3DB4698E" w14:textId="23855D35" w:rsidR="001E45A0" w:rsidRPr="00C65A7C" w:rsidRDefault="001E45A0"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hAnsi="Times New Roman"/>
                <w:sz w:val="22"/>
                <w:szCs w:val="22"/>
                <w:lang w:val="lt-LT"/>
              </w:rPr>
              <w:t>Europos Sąjungos struktūriniai investiciniai fondai (2014–2020 m. programavimo laikotarpio kontekste), arba ES fondų investicijos (2021–2027</w:t>
            </w:r>
            <w:r w:rsidR="003B2BEC" w:rsidRPr="00C65A7C">
              <w:rPr>
                <w:rFonts w:ascii="Times New Roman" w:hAnsi="Times New Roman"/>
                <w:sz w:val="22"/>
                <w:szCs w:val="22"/>
                <w:lang w:val="lt-LT"/>
              </w:rPr>
              <w:t> </w:t>
            </w:r>
            <w:r w:rsidRPr="00C65A7C">
              <w:rPr>
                <w:rFonts w:ascii="Times New Roman" w:hAnsi="Times New Roman"/>
                <w:sz w:val="22"/>
                <w:szCs w:val="22"/>
                <w:lang w:val="lt-LT"/>
              </w:rPr>
              <w:t>m. ES fondų investicijų programos kontekste)</w:t>
            </w:r>
          </w:p>
        </w:tc>
      </w:tr>
      <w:tr w:rsidR="001E45A0" w:rsidRPr="003C0378" w14:paraId="12BAF927" w14:textId="77777777" w:rsidTr="00E24002">
        <w:tc>
          <w:tcPr>
            <w:tcW w:w="4814" w:type="dxa"/>
          </w:tcPr>
          <w:p w14:paraId="0038F06F"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ETPT</w:t>
            </w:r>
          </w:p>
        </w:tc>
        <w:tc>
          <w:tcPr>
            <w:tcW w:w="4814" w:type="dxa"/>
          </w:tcPr>
          <w:p w14:paraId="236C746B"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Energijos taupymo paslaugų teikėjo modelis</w:t>
            </w:r>
          </w:p>
        </w:tc>
      </w:tr>
      <w:tr w:rsidR="001E45A0" w:rsidRPr="003C0378" w14:paraId="40EF4376" w14:textId="77777777" w:rsidTr="00E24002">
        <w:tc>
          <w:tcPr>
            <w:tcW w:w="4814" w:type="dxa"/>
          </w:tcPr>
          <w:p w14:paraId="29F50B96"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FM</w:t>
            </w:r>
          </w:p>
        </w:tc>
        <w:tc>
          <w:tcPr>
            <w:tcW w:w="4814" w:type="dxa"/>
          </w:tcPr>
          <w:p w14:paraId="38CA38BC"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LR finansų ministerija</w:t>
            </w:r>
          </w:p>
        </w:tc>
      </w:tr>
      <w:tr w:rsidR="001E45A0" w:rsidRPr="003C0378" w14:paraId="411EE219" w14:textId="77777777" w:rsidTr="00E24002">
        <w:tc>
          <w:tcPr>
            <w:tcW w:w="4814" w:type="dxa"/>
          </w:tcPr>
          <w:p w14:paraId="35FBE46D"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FP</w:t>
            </w:r>
          </w:p>
        </w:tc>
        <w:tc>
          <w:tcPr>
            <w:tcW w:w="4814" w:type="dxa"/>
          </w:tcPr>
          <w:p w14:paraId="1B770C48" w14:textId="77777777" w:rsidR="001E45A0" w:rsidRPr="00C65A7C" w:rsidRDefault="001E45A0"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hAnsi="Times New Roman"/>
                <w:sz w:val="22"/>
                <w:szCs w:val="22"/>
                <w:lang w:val="lt-LT"/>
              </w:rPr>
              <w:t>Finansinė priemonė</w:t>
            </w:r>
          </w:p>
        </w:tc>
      </w:tr>
      <w:tr w:rsidR="001E45A0" w:rsidRPr="003C0378" w14:paraId="230372AE" w14:textId="77777777" w:rsidTr="00E24002">
        <w:tc>
          <w:tcPr>
            <w:tcW w:w="4814" w:type="dxa"/>
          </w:tcPr>
          <w:p w14:paraId="58D4BEE9"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FT</w:t>
            </w:r>
          </w:p>
        </w:tc>
        <w:tc>
          <w:tcPr>
            <w:tcW w:w="4814" w:type="dxa"/>
          </w:tcPr>
          <w:p w14:paraId="74ACC4B6" w14:textId="77777777" w:rsidR="001E45A0" w:rsidRPr="00C65A7C" w:rsidRDefault="001E45A0"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hAnsi="Times New Roman"/>
                <w:sz w:val="22"/>
                <w:szCs w:val="22"/>
                <w:lang w:val="lt-LT"/>
              </w:rPr>
              <w:t>Finansų tarpininkai</w:t>
            </w:r>
          </w:p>
        </w:tc>
      </w:tr>
      <w:tr w:rsidR="001E45A0" w:rsidRPr="003C0378" w14:paraId="0443246A" w14:textId="77777777" w:rsidTr="00E24002">
        <w:tc>
          <w:tcPr>
            <w:tcW w:w="4814" w:type="dxa"/>
          </w:tcPr>
          <w:p w14:paraId="56533ABA"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GNG</w:t>
            </w:r>
          </w:p>
        </w:tc>
        <w:tc>
          <w:tcPr>
            <w:tcW w:w="4814" w:type="dxa"/>
          </w:tcPr>
          <w:p w14:paraId="5200D047" w14:textId="77777777" w:rsidR="001E45A0" w:rsidRPr="00C65A7C" w:rsidRDefault="001E45A0" w:rsidP="000C6260">
            <w:pPr>
              <w:pStyle w:val="Pagrindinispaprastastekstas"/>
              <w:spacing w:before="120" w:after="0"/>
              <w:jc w:val="both"/>
              <w:rPr>
                <w:rFonts w:ascii="Times New Roman" w:eastAsia="AngsanaUPC" w:hAnsi="Times New Roman"/>
                <w:bCs/>
                <w:iCs/>
                <w:sz w:val="22"/>
                <w:szCs w:val="22"/>
                <w:lang w:val="lt-LT" w:eastAsia="lt-LT"/>
              </w:rPr>
            </w:pPr>
            <w:r w:rsidRPr="00C65A7C">
              <w:rPr>
                <w:rFonts w:ascii="Times New Roman" w:hAnsi="Times New Roman"/>
                <w:sz w:val="22"/>
                <w:szCs w:val="22"/>
                <w:lang w:val="lt-LT"/>
              </w:rPr>
              <w:t>Galutiniai naudos gavėjai</w:t>
            </w:r>
          </w:p>
        </w:tc>
      </w:tr>
      <w:tr w:rsidR="001E45A0" w:rsidRPr="003C0378" w14:paraId="0D484D69" w14:textId="77777777" w:rsidTr="00E24002">
        <w:tc>
          <w:tcPr>
            <w:tcW w:w="4814" w:type="dxa"/>
          </w:tcPr>
          <w:p w14:paraId="1ED8AA36"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IRS</w:t>
            </w:r>
          </w:p>
        </w:tc>
        <w:tc>
          <w:tcPr>
            <w:tcW w:w="4814" w:type="dxa"/>
          </w:tcPr>
          <w:p w14:paraId="790699D4"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Lietuvos ilgalaikė renovacijos strategija</w:t>
            </w:r>
          </w:p>
        </w:tc>
      </w:tr>
      <w:tr w:rsidR="002E379B" w:rsidRPr="003C0378" w14:paraId="417614B7" w14:textId="77777777" w:rsidTr="00E24002">
        <w:tc>
          <w:tcPr>
            <w:tcW w:w="4814" w:type="dxa"/>
          </w:tcPr>
          <w:p w14:paraId="425AE77F" w14:textId="70EBC538" w:rsidR="002E379B" w:rsidRPr="00C65A7C" w:rsidRDefault="002E379B" w:rsidP="00867DF8">
            <w:pPr>
              <w:pStyle w:val="Pagrindinispaprastastekstas"/>
              <w:spacing w:before="120" w:after="0"/>
              <w:rPr>
                <w:rFonts w:ascii="Times New Roman" w:hAnsi="Times New Roman"/>
                <w:sz w:val="22"/>
                <w:szCs w:val="22"/>
              </w:rPr>
            </w:pPr>
            <w:r w:rsidRPr="00C65A7C">
              <w:rPr>
                <w:rFonts w:ascii="Times New Roman" w:hAnsi="Times New Roman"/>
                <w:sz w:val="22"/>
                <w:szCs w:val="22"/>
              </w:rPr>
              <w:t>KĮ</w:t>
            </w:r>
          </w:p>
        </w:tc>
        <w:tc>
          <w:tcPr>
            <w:tcW w:w="4814" w:type="dxa"/>
          </w:tcPr>
          <w:p w14:paraId="346FD61E" w14:textId="057A4E07" w:rsidR="002E379B" w:rsidRPr="00C65A7C" w:rsidRDefault="002E379B" w:rsidP="000C6260">
            <w:pPr>
              <w:pStyle w:val="Pagrindinispaprastastekstas"/>
              <w:spacing w:before="120" w:after="0"/>
              <w:jc w:val="both"/>
              <w:rPr>
                <w:rFonts w:ascii="Times New Roman" w:hAnsi="Times New Roman"/>
                <w:sz w:val="22"/>
                <w:szCs w:val="22"/>
              </w:rPr>
            </w:pPr>
            <w:proofErr w:type="spellStart"/>
            <w:r w:rsidRPr="00C65A7C">
              <w:rPr>
                <w:rFonts w:ascii="Times New Roman" w:hAnsi="Times New Roman"/>
                <w:sz w:val="22"/>
                <w:szCs w:val="22"/>
              </w:rPr>
              <w:t>Kredito</w:t>
            </w:r>
            <w:proofErr w:type="spellEnd"/>
            <w:r w:rsidRPr="00C65A7C">
              <w:rPr>
                <w:rFonts w:ascii="Times New Roman" w:hAnsi="Times New Roman"/>
                <w:sz w:val="22"/>
                <w:szCs w:val="22"/>
              </w:rPr>
              <w:t xml:space="preserve"> </w:t>
            </w:r>
            <w:proofErr w:type="spellStart"/>
            <w:r w:rsidRPr="00C65A7C">
              <w:rPr>
                <w:rFonts w:ascii="Times New Roman" w:hAnsi="Times New Roman"/>
                <w:sz w:val="22"/>
                <w:szCs w:val="22"/>
              </w:rPr>
              <w:t>įstaigos</w:t>
            </w:r>
            <w:proofErr w:type="spellEnd"/>
          </w:p>
        </w:tc>
      </w:tr>
      <w:tr w:rsidR="001E45A0" w:rsidRPr="003C0378" w14:paraId="77B36731" w14:textId="77777777" w:rsidTr="00E24002">
        <w:tc>
          <w:tcPr>
            <w:tcW w:w="4814" w:type="dxa"/>
          </w:tcPr>
          <w:p w14:paraId="4A42A265"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LR</w:t>
            </w:r>
          </w:p>
        </w:tc>
        <w:tc>
          <w:tcPr>
            <w:tcW w:w="4814" w:type="dxa"/>
          </w:tcPr>
          <w:p w14:paraId="795CC9B7"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Lietuvos Respublika</w:t>
            </w:r>
          </w:p>
        </w:tc>
      </w:tr>
      <w:tr w:rsidR="001E45A0" w:rsidRPr="003C0378" w14:paraId="65499964" w14:textId="77777777" w:rsidTr="00E24002">
        <w:tc>
          <w:tcPr>
            <w:tcW w:w="4814" w:type="dxa"/>
          </w:tcPr>
          <w:p w14:paraId="388AAA6D" w14:textId="577E6122" w:rsidR="001E45A0" w:rsidRPr="00C65A7C" w:rsidRDefault="00805A2F"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NEKSVP</w:t>
            </w:r>
          </w:p>
        </w:tc>
        <w:tc>
          <w:tcPr>
            <w:tcW w:w="4814" w:type="dxa"/>
          </w:tcPr>
          <w:p w14:paraId="3AB8F988" w14:textId="51ABE608" w:rsidR="001E45A0" w:rsidRPr="00C65A7C" w:rsidRDefault="00805A2F"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Nacionalinis energetikos ir klimato srities veiksmų planas</w:t>
            </w:r>
          </w:p>
        </w:tc>
      </w:tr>
      <w:tr w:rsidR="001E45A0" w:rsidRPr="003C0378" w14:paraId="2C5056FD" w14:textId="77777777" w:rsidTr="00E24002">
        <w:tc>
          <w:tcPr>
            <w:tcW w:w="4814" w:type="dxa"/>
          </w:tcPr>
          <w:p w14:paraId="538E7A01"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NPĮ</w:t>
            </w:r>
          </w:p>
        </w:tc>
        <w:tc>
          <w:tcPr>
            <w:tcW w:w="4814" w:type="dxa"/>
          </w:tcPr>
          <w:p w14:paraId="1BEB48B0"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Nacionalinė plėtros įstaiga</w:t>
            </w:r>
          </w:p>
        </w:tc>
      </w:tr>
      <w:tr w:rsidR="00605308" w:rsidRPr="00C65A7C" w14:paraId="6F2C98CD" w14:textId="77777777" w:rsidTr="00E24002">
        <w:tc>
          <w:tcPr>
            <w:tcW w:w="4814" w:type="dxa"/>
          </w:tcPr>
          <w:p w14:paraId="3F574157" w14:textId="1CEEE55D" w:rsidR="00605308" w:rsidRPr="00C65A7C" w:rsidRDefault="00605308"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lastRenderedPageBreak/>
              <w:t>NPP</w:t>
            </w:r>
          </w:p>
        </w:tc>
        <w:tc>
          <w:tcPr>
            <w:tcW w:w="4814" w:type="dxa"/>
          </w:tcPr>
          <w:p w14:paraId="1172762F" w14:textId="7065C34F" w:rsidR="00605308" w:rsidRPr="00C65A7C" w:rsidRDefault="00605308"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Nacionalinė pažangos programa 2021–2030</w:t>
            </w:r>
          </w:p>
        </w:tc>
      </w:tr>
      <w:tr w:rsidR="00CF0ED8" w:rsidRPr="00C65A7C" w14:paraId="4FE561DA" w14:textId="77777777" w:rsidTr="007863F6">
        <w:tc>
          <w:tcPr>
            <w:tcW w:w="4814" w:type="dxa"/>
          </w:tcPr>
          <w:p w14:paraId="68585FDB" w14:textId="0E42B7AF" w:rsidR="00CF0ED8" w:rsidRPr="00C65A7C" w:rsidRDefault="00CF0ED8" w:rsidP="00867DF8">
            <w:pPr>
              <w:pStyle w:val="Pagrindinispaprastastekstas"/>
              <w:spacing w:before="120" w:after="0"/>
              <w:rPr>
                <w:rFonts w:ascii="Times New Roman" w:hAnsi="Times New Roman"/>
                <w:sz w:val="22"/>
                <w:szCs w:val="22"/>
              </w:rPr>
            </w:pPr>
            <w:r w:rsidRPr="00C65A7C">
              <w:rPr>
                <w:rFonts w:ascii="Times New Roman" w:hAnsi="Times New Roman"/>
                <w:sz w:val="22"/>
                <w:szCs w:val="22"/>
              </w:rPr>
              <w:t>PE</w:t>
            </w:r>
            <w:r w:rsidR="00AB339B" w:rsidRPr="00C65A7C">
              <w:rPr>
                <w:rFonts w:ascii="Times New Roman" w:hAnsi="Times New Roman"/>
                <w:sz w:val="22"/>
                <w:szCs w:val="22"/>
              </w:rPr>
              <w:t>B</w:t>
            </w:r>
          </w:p>
        </w:tc>
        <w:tc>
          <w:tcPr>
            <w:tcW w:w="4814" w:type="dxa"/>
          </w:tcPr>
          <w:p w14:paraId="21623704" w14:textId="3FB574D5" w:rsidR="00CF0ED8" w:rsidRPr="00C65A7C" w:rsidRDefault="00CF0ED8" w:rsidP="000C6260">
            <w:pPr>
              <w:pStyle w:val="Pagrindinispaprastastekstas"/>
              <w:spacing w:before="120" w:after="0"/>
              <w:jc w:val="both"/>
              <w:rPr>
                <w:rFonts w:ascii="Times New Roman" w:hAnsi="Times New Roman"/>
                <w:sz w:val="22"/>
                <w:szCs w:val="22"/>
              </w:rPr>
            </w:pPr>
            <w:proofErr w:type="spellStart"/>
            <w:r w:rsidRPr="00C65A7C">
              <w:rPr>
                <w:rFonts w:ascii="Times New Roman" w:hAnsi="Times New Roman"/>
                <w:sz w:val="22"/>
                <w:szCs w:val="22"/>
              </w:rPr>
              <w:t>Piliečių</w:t>
            </w:r>
            <w:proofErr w:type="spellEnd"/>
            <w:r w:rsidRPr="00C65A7C">
              <w:rPr>
                <w:rFonts w:ascii="Times New Roman" w:hAnsi="Times New Roman"/>
                <w:sz w:val="22"/>
                <w:szCs w:val="22"/>
              </w:rPr>
              <w:t xml:space="preserve"> </w:t>
            </w:r>
            <w:proofErr w:type="spellStart"/>
            <w:r w:rsidR="00AB78B9" w:rsidRPr="00C65A7C">
              <w:rPr>
                <w:rFonts w:ascii="Times New Roman" w:hAnsi="Times New Roman"/>
                <w:sz w:val="22"/>
                <w:szCs w:val="22"/>
              </w:rPr>
              <w:t>energetikos</w:t>
            </w:r>
            <w:proofErr w:type="spellEnd"/>
            <w:r w:rsidRPr="00C65A7C">
              <w:rPr>
                <w:rFonts w:ascii="Times New Roman" w:hAnsi="Times New Roman"/>
                <w:sz w:val="22"/>
                <w:szCs w:val="22"/>
              </w:rPr>
              <w:t xml:space="preserve"> </w:t>
            </w:r>
            <w:proofErr w:type="spellStart"/>
            <w:r w:rsidRPr="00C65A7C">
              <w:rPr>
                <w:rFonts w:ascii="Times New Roman" w:hAnsi="Times New Roman"/>
                <w:sz w:val="22"/>
                <w:szCs w:val="22"/>
              </w:rPr>
              <w:t>bendrijos</w:t>
            </w:r>
            <w:proofErr w:type="spellEnd"/>
            <w:r w:rsidRPr="00C65A7C">
              <w:rPr>
                <w:rFonts w:ascii="Times New Roman" w:hAnsi="Times New Roman"/>
                <w:sz w:val="22"/>
                <w:szCs w:val="22"/>
              </w:rPr>
              <w:t>, k</w:t>
            </w:r>
            <w:proofErr w:type="spellStart"/>
            <w:r w:rsidRPr="00C65A7C">
              <w:rPr>
                <w:rFonts w:ascii="Times New Roman" w:eastAsia="AngsanaUPC" w:hAnsi="Times New Roman"/>
                <w:bCs/>
                <w:iCs/>
                <w:sz w:val="22"/>
                <w:szCs w:val="22"/>
                <w:lang w:val="lt-LT" w:eastAsia="lt-LT"/>
              </w:rPr>
              <w:t>aip</w:t>
            </w:r>
            <w:proofErr w:type="spellEnd"/>
            <w:r w:rsidRPr="00C65A7C">
              <w:rPr>
                <w:rFonts w:ascii="Times New Roman" w:eastAsia="AngsanaUPC" w:hAnsi="Times New Roman"/>
                <w:bCs/>
                <w:iCs/>
                <w:sz w:val="22"/>
                <w:szCs w:val="22"/>
                <w:lang w:val="lt-LT" w:eastAsia="lt-LT"/>
              </w:rPr>
              <w:t xml:space="preserve"> jos apibrėžtos </w:t>
            </w:r>
            <w:r w:rsidR="00C53A6B" w:rsidRPr="00C65A7C">
              <w:rPr>
                <w:rFonts w:ascii="Times New Roman" w:eastAsia="AngsanaUPC" w:hAnsi="Times New Roman"/>
                <w:bCs/>
                <w:iCs/>
                <w:sz w:val="22"/>
                <w:szCs w:val="22"/>
                <w:lang w:val="lt-LT" w:eastAsia="lt-LT"/>
              </w:rPr>
              <w:t xml:space="preserve">LR elektros energetikos </w:t>
            </w:r>
            <w:r w:rsidRPr="00C65A7C">
              <w:rPr>
                <w:rFonts w:ascii="Times New Roman" w:eastAsia="AngsanaUPC" w:hAnsi="Times New Roman"/>
                <w:bCs/>
                <w:iCs/>
                <w:sz w:val="22"/>
                <w:szCs w:val="22"/>
                <w:lang w:val="lt-LT" w:eastAsia="lt-LT"/>
              </w:rPr>
              <w:t>įstatyme</w:t>
            </w:r>
          </w:p>
        </w:tc>
      </w:tr>
      <w:tr w:rsidR="001E45A0" w:rsidRPr="00C65A7C" w14:paraId="103A7F4B" w14:textId="77777777" w:rsidTr="00E24002">
        <w:trPr>
          <w:trHeight w:val="2765"/>
        </w:trPr>
        <w:tc>
          <w:tcPr>
            <w:tcW w:w="4814" w:type="dxa"/>
          </w:tcPr>
          <w:p w14:paraId="2125F397" w14:textId="77777777" w:rsidR="001E45A0" w:rsidRPr="00C65A7C" w:rsidRDefault="001E45A0" w:rsidP="00867DF8">
            <w:pPr>
              <w:pStyle w:val="Pagrindinispaprastastekstas"/>
              <w:spacing w:before="120" w:after="0"/>
              <w:rPr>
                <w:rStyle w:val="Antrat2Diagrama"/>
                <w:rFonts w:cs="Times New Roman"/>
                <w:sz w:val="22"/>
                <w:szCs w:val="22"/>
                <w:lang w:val="lt-LT"/>
              </w:rPr>
            </w:pPr>
            <w:r w:rsidRPr="00C65A7C">
              <w:rPr>
                <w:rFonts w:ascii="Times New Roman" w:hAnsi="Times New Roman"/>
                <w:sz w:val="22"/>
                <w:szCs w:val="22"/>
                <w:lang w:val="lt-LT"/>
              </w:rPr>
              <w:t>Reglamentas Nr. 1303/2013 (Bendrųjų nuostatų reglamentas)</w:t>
            </w:r>
          </w:p>
        </w:tc>
        <w:tc>
          <w:tcPr>
            <w:tcW w:w="4814" w:type="dxa"/>
          </w:tcPr>
          <w:p w14:paraId="47FEACDD" w14:textId="77777777" w:rsidR="001E45A0" w:rsidRPr="00C65A7C" w:rsidRDefault="001E45A0" w:rsidP="000C6260">
            <w:pPr>
              <w:pStyle w:val="Pagrindinispaprastastekstas"/>
              <w:spacing w:before="120" w:after="0"/>
              <w:jc w:val="both"/>
              <w:rPr>
                <w:rStyle w:val="Antrat2Diagrama"/>
                <w:rFonts w:cs="Times New Roman"/>
                <w:sz w:val="22"/>
                <w:szCs w:val="22"/>
                <w:lang w:val="lt-LT"/>
              </w:rPr>
            </w:pPr>
            <w:r w:rsidRPr="00C65A7C">
              <w:rPr>
                <w:rFonts w:ascii="Times New Roman" w:hAnsi="Times New Roman"/>
                <w:sz w:val="22"/>
                <w:szCs w:val="22"/>
                <w:lang w:val="lt-LT"/>
              </w:rPr>
              <w:t>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w:t>
            </w:r>
          </w:p>
        </w:tc>
      </w:tr>
      <w:tr w:rsidR="001E45A0" w:rsidRPr="00C65A7C" w14:paraId="675C836F" w14:textId="77777777" w:rsidTr="00E24002">
        <w:tc>
          <w:tcPr>
            <w:tcW w:w="4814" w:type="dxa"/>
          </w:tcPr>
          <w:p w14:paraId="18B13994" w14:textId="77777777" w:rsidR="001E45A0" w:rsidRPr="00C65A7C" w:rsidRDefault="001E45A0" w:rsidP="00867DF8">
            <w:pPr>
              <w:pStyle w:val="Pagrindinispaprastastekstas"/>
              <w:spacing w:before="120" w:after="0"/>
              <w:rPr>
                <w:rStyle w:val="Antrat2Diagrama"/>
                <w:rFonts w:cs="Times New Roman"/>
                <w:sz w:val="22"/>
                <w:szCs w:val="22"/>
                <w:lang w:val="lt-LT"/>
              </w:rPr>
            </w:pPr>
            <w:r w:rsidRPr="00C65A7C">
              <w:rPr>
                <w:rFonts w:ascii="Times New Roman" w:hAnsi="Times New Roman"/>
                <w:sz w:val="22"/>
                <w:szCs w:val="22"/>
                <w:lang w:val="lt-LT"/>
              </w:rPr>
              <w:t>Vertinimas</w:t>
            </w:r>
          </w:p>
        </w:tc>
        <w:tc>
          <w:tcPr>
            <w:tcW w:w="4814" w:type="dxa"/>
          </w:tcPr>
          <w:p w14:paraId="61FAA36D" w14:textId="2358AAE6" w:rsidR="001E45A0" w:rsidRPr="00C65A7C" w:rsidRDefault="00805A2F" w:rsidP="000C6260">
            <w:pPr>
              <w:pStyle w:val="Pagrindinispaprastastekstas"/>
              <w:spacing w:before="120" w:after="0"/>
              <w:jc w:val="both"/>
              <w:rPr>
                <w:rStyle w:val="Antrat2Diagrama"/>
                <w:rFonts w:cs="Times New Roman"/>
                <w:sz w:val="22"/>
                <w:szCs w:val="22"/>
                <w:lang w:val="lt-LT"/>
              </w:rPr>
            </w:pPr>
            <w:r w:rsidRPr="00C65A7C">
              <w:rPr>
                <w:rFonts w:ascii="Times New Roman" w:hAnsi="Times New Roman"/>
                <w:sz w:val="22"/>
                <w:szCs w:val="22"/>
                <w:lang w:val="lt-LT"/>
              </w:rPr>
              <w:t>Energijos efektyvumo didinimo ūkio subjektams ir atsinaujinančių energijos išteklių plėtros</w:t>
            </w:r>
            <w:r w:rsidR="001E45A0" w:rsidRPr="00C65A7C">
              <w:rPr>
                <w:rFonts w:ascii="Times New Roman" w:hAnsi="Times New Roman"/>
                <w:sz w:val="22"/>
                <w:szCs w:val="22"/>
                <w:lang w:val="lt-LT"/>
              </w:rPr>
              <w:t xml:space="preserve"> </w:t>
            </w:r>
            <w:proofErr w:type="spellStart"/>
            <w:r w:rsidR="001E45A0" w:rsidRPr="00C65A7C">
              <w:rPr>
                <w:rFonts w:ascii="Times New Roman" w:hAnsi="Times New Roman"/>
                <w:sz w:val="22"/>
                <w:szCs w:val="22"/>
                <w:lang w:val="lt-LT"/>
              </w:rPr>
              <w:t>ex</w:t>
            </w:r>
            <w:proofErr w:type="spellEnd"/>
            <w:r w:rsidR="00103D8D" w:rsidRPr="00C65A7C">
              <w:rPr>
                <w:rFonts w:ascii="Times New Roman" w:hAnsi="Times New Roman"/>
                <w:sz w:val="22"/>
                <w:szCs w:val="22"/>
                <w:lang w:val="lt-LT"/>
              </w:rPr>
              <w:t>–</w:t>
            </w:r>
            <w:proofErr w:type="spellStart"/>
            <w:r w:rsidR="001E45A0" w:rsidRPr="00C65A7C">
              <w:rPr>
                <w:rFonts w:ascii="Times New Roman" w:hAnsi="Times New Roman"/>
                <w:sz w:val="22"/>
                <w:szCs w:val="22"/>
                <w:lang w:val="lt-LT"/>
              </w:rPr>
              <w:t>ante</w:t>
            </w:r>
            <w:proofErr w:type="spellEnd"/>
            <w:r w:rsidR="001E45A0" w:rsidRPr="00C65A7C">
              <w:rPr>
                <w:rFonts w:ascii="Times New Roman" w:hAnsi="Times New Roman"/>
                <w:sz w:val="22"/>
                <w:szCs w:val="22"/>
                <w:lang w:val="lt-LT"/>
              </w:rPr>
              <w:t xml:space="preserve"> vertinimas</w:t>
            </w:r>
          </w:p>
        </w:tc>
      </w:tr>
      <w:tr w:rsidR="001E45A0" w:rsidRPr="00C65A7C" w14:paraId="35AFFA42" w14:textId="77777777" w:rsidTr="000C6260">
        <w:trPr>
          <w:trHeight w:val="68"/>
        </w:trPr>
        <w:tc>
          <w:tcPr>
            <w:tcW w:w="4814" w:type="dxa"/>
          </w:tcPr>
          <w:p w14:paraId="2BA93DCA" w14:textId="77777777" w:rsidR="001E45A0" w:rsidRPr="00C65A7C" w:rsidRDefault="001E45A0"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VIPA</w:t>
            </w:r>
          </w:p>
          <w:p w14:paraId="632B164F" w14:textId="1F9004FA" w:rsidR="00CB35A8" w:rsidRPr="00C65A7C" w:rsidRDefault="00CB35A8" w:rsidP="00867DF8">
            <w:pPr>
              <w:pStyle w:val="Pagrindinispaprastastekstas"/>
              <w:spacing w:before="120" w:after="0"/>
              <w:rPr>
                <w:rFonts w:ascii="Times New Roman" w:hAnsi="Times New Roman"/>
                <w:sz w:val="22"/>
                <w:szCs w:val="22"/>
                <w:lang w:val="lt-LT"/>
              </w:rPr>
            </w:pPr>
            <w:r w:rsidRPr="00C65A7C">
              <w:rPr>
                <w:rFonts w:ascii="Times New Roman" w:hAnsi="Times New Roman"/>
                <w:sz w:val="22"/>
                <w:szCs w:val="22"/>
                <w:lang w:val="lt-LT"/>
              </w:rPr>
              <w:t>VJA</w:t>
            </w:r>
          </w:p>
        </w:tc>
        <w:tc>
          <w:tcPr>
            <w:tcW w:w="4814" w:type="dxa"/>
          </w:tcPr>
          <w:p w14:paraId="3DFF6EF1" w14:textId="77777777" w:rsidR="001E45A0" w:rsidRPr="00C65A7C" w:rsidRDefault="001E45A0"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UAB „Viešųjų investicijų plėtros agentūra“</w:t>
            </w:r>
          </w:p>
          <w:p w14:paraId="0703BE80" w14:textId="322ECFCC" w:rsidR="00CB35A8" w:rsidRPr="00C65A7C" w:rsidRDefault="00CB35A8" w:rsidP="000C6260">
            <w:pPr>
              <w:pStyle w:val="Pagrindinispaprastastekstas"/>
              <w:spacing w:before="120" w:after="0"/>
              <w:jc w:val="both"/>
              <w:rPr>
                <w:rFonts w:ascii="Times New Roman" w:hAnsi="Times New Roman"/>
                <w:sz w:val="22"/>
                <w:szCs w:val="22"/>
                <w:lang w:val="lt-LT"/>
              </w:rPr>
            </w:pPr>
            <w:r w:rsidRPr="00C65A7C">
              <w:rPr>
                <w:rFonts w:ascii="Times New Roman" w:hAnsi="Times New Roman"/>
                <w:sz w:val="22"/>
                <w:szCs w:val="22"/>
                <w:lang w:val="lt-LT"/>
              </w:rPr>
              <w:t>Viešieji juridiniai asmenys</w:t>
            </w:r>
          </w:p>
        </w:tc>
      </w:tr>
    </w:tbl>
    <w:p w14:paraId="04CC3AF4" w14:textId="1189C5E1" w:rsidR="00ED6195" w:rsidRPr="003C0378" w:rsidRDefault="00ED6195" w:rsidP="007F5023">
      <w:pPr>
        <w:pStyle w:val="Pagrindinispaprastastekstas"/>
        <w:rPr>
          <w:rStyle w:val="Antrat2Diagrama"/>
          <w:rFonts w:cs="Times New Roman"/>
          <w:szCs w:val="22"/>
        </w:rPr>
      </w:pPr>
    </w:p>
    <w:p w14:paraId="48DAD1FD" w14:textId="77777777" w:rsidR="007F5023" w:rsidRPr="003C0378" w:rsidRDefault="007F5023">
      <w:pPr>
        <w:spacing w:before="0" w:after="160" w:line="259" w:lineRule="auto"/>
        <w:ind w:firstLine="0"/>
        <w:jc w:val="left"/>
        <w:rPr>
          <w:rFonts w:cs="Times New Roman"/>
        </w:rPr>
      </w:pPr>
      <w:r w:rsidRPr="003C0378">
        <w:rPr>
          <w:rFonts w:cs="Times New Roman"/>
        </w:rPr>
        <w:br w:type="page"/>
      </w:r>
    </w:p>
    <w:p w14:paraId="4E31CEDD" w14:textId="1EF1B343" w:rsidR="00272B4E" w:rsidRPr="003C0378" w:rsidRDefault="00272B4E" w:rsidP="00CB66B8">
      <w:pPr>
        <w:pStyle w:val="Antrat1"/>
        <w:numPr>
          <w:ilvl w:val="0"/>
          <w:numId w:val="3"/>
        </w:numPr>
        <w:rPr>
          <w:rFonts w:cs="Times New Roman"/>
          <w:sz w:val="28"/>
          <w:szCs w:val="36"/>
        </w:rPr>
      </w:pPr>
      <w:bookmarkStart w:id="1" w:name="_Ref117769183"/>
      <w:bookmarkStart w:id="2" w:name="_Toc126051344"/>
      <w:bookmarkStart w:id="3" w:name="_Toc166139817"/>
      <w:bookmarkStart w:id="4" w:name="_Toc170804579"/>
      <w:r w:rsidRPr="003C0378">
        <w:rPr>
          <w:rFonts w:cs="Times New Roman"/>
          <w:sz w:val="28"/>
          <w:szCs w:val="36"/>
        </w:rPr>
        <w:lastRenderedPageBreak/>
        <w:t>Įvadas</w:t>
      </w:r>
      <w:bookmarkEnd w:id="1"/>
      <w:bookmarkEnd w:id="2"/>
      <w:bookmarkEnd w:id="3"/>
      <w:bookmarkEnd w:id="4"/>
    </w:p>
    <w:p w14:paraId="3E501D33" w14:textId="7D366F1B" w:rsidR="005D063A" w:rsidRPr="003C0378" w:rsidRDefault="005D063A" w:rsidP="00873BA4">
      <w:pPr>
        <w:spacing w:line="276" w:lineRule="auto"/>
        <w:ind w:firstLine="562"/>
      </w:pPr>
      <w:r w:rsidRPr="003C0378">
        <w:t xml:space="preserve">Atsižvelgiant į 2021–2027 m. Europos Sąjungos (toliau – ES) sanglaudos politikos </w:t>
      </w:r>
      <w:r w:rsidR="00080DC9" w:rsidRPr="003C0378">
        <w:t xml:space="preserve">reglamentuose </w:t>
      </w:r>
      <w:r w:rsidRPr="003C0378">
        <w:t>(toliau – Reglamentas(</w:t>
      </w:r>
      <w:r w:rsidR="00103D8D" w:rsidRPr="003C0378">
        <w:t>–</w:t>
      </w:r>
      <w:r w:rsidRPr="003C0378">
        <w:t>ai)</w:t>
      </w:r>
      <w:r w:rsidR="00511E2B" w:rsidRPr="003C0378">
        <w:t>)</w:t>
      </w:r>
      <w:r w:rsidRPr="003C0378">
        <w:t xml:space="preserve"> numatytus reikalavimus ir Strateginio </w:t>
      </w:r>
      <w:r w:rsidR="00FD59C3" w:rsidRPr="003C0378">
        <w:t xml:space="preserve">valdymo </w:t>
      </w:r>
      <w:r w:rsidRPr="003C0378">
        <w:t xml:space="preserve">metodiką, planuojant įgyvendinti finansines priemones (toliau – FP) turi būti </w:t>
      </w:r>
      <w:r w:rsidRPr="00A43B24">
        <w:t xml:space="preserve">parengti planuojamų FP išankstiniai </w:t>
      </w:r>
      <w:r w:rsidR="00511E2B" w:rsidRPr="00A43B24">
        <w:rPr>
          <w:i/>
        </w:rPr>
        <w:t>(</w:t>
      </w:r>
      <w:proofErr w:type="spellStart"/>
      <w:r w:rsidR="00511E2B" w:rsidRPr="00A43B24">
        <w:rPr>
          <w:i/>
        </w:rPr>
        <w:t>ex</w:t>
      </w:r>
      <w:proofErr w:type="spellEnd"/>
      <w:r w:rsidR="00511E2B" w:rsidRPr="00A43B24">
        <w:rPr>
          <w:i/>
        </w:rPr>
        <w:t xml:space="preserve"> </w:t>
      </w:r>
      <w:proofErr w:type="spellStart"/>
      <w:r w:rsidR="00511E2B" w:rsidRPr="00A43B24">
        <w:rPr>
          <w:i/>
        </w:rPr>
        <w:t>ante</w:t>
      </w:r>
      <w:proofErr w:type="spellEnd"/>
      <w:r w:rsidR="00511E2B" w:rsidRPr="00A43B24">
        <w:t xml:space="preserve">) </w:t>
      </w:r>
      <w:r w:rsidRPr="00A43B24">
        <w:t>vertinimai. Vadovaujantis Reglamento Nr. 20</w:t>
      </w:r>
      <w:r w:rsidR="00A9629F" w:rsidRPr="00A43B24">
        <w:t>21</w:t>
      </w:r>
      <w:r w:rsidRPr="00A43B24">
        <w:t>/</w:t>
      </w:r>
      <w:r w:rsidR="00A9629F" w:rsidRPr="00A43B24">
        <w:t>1060</w:t>
      </w:r>
      <w:r w:rsidRPr="00A43B24">
        <w:t xml:space="preserve"> 5</w:t>
      </w:r>
      <w:r w:rsidR="00A9629F" w:rsidRPr="00C9652A">
        <w:t>8</w:t>
      </w:r>
      <w:r w:rsidRPr="00A43B24">
        <w:t xml:space="preserve"> straipsniu, </w:t>
      </w:r>
      <w:proofErr w:type="spellStart"/>
      <w:r w:rsidRPr="00A43B24">
        <w:rPr>
          <w:i/>
          <w:iCs/>
        </w:rPr>
        <w:t>ex</w:t>
      </w:r>
      <w:proofErr w:type="spellEnd"/>
      <w:r w:rsidRPr="00A43B24">
        <w:rPr>
          <w:i/>
          <w:iCs/>
        </w:rPr>
        <w:t xml:space="preserve"> </w:t>
      </w:r>
      <w:proofErr w:type="spellStart"/>
      <w:r w:rsidRPr="00A43B24">
        <w:rPr>
          <w:i/>
          <w:iCs/>
        </w:rPr>
        <w:t>ante</w:t>
      </w:r>
      <w:proofErr w:type="spellEnd"/>
      <w:r w:rsidRPr="00A43B24">
        <w:t xml:space="preserve"> vertinimas turi apimti šiuos elementus: (a) siūlomą finansinei priemonei skiriamo</w:t>
      </w:r>
      <w:r w:rsidRPr="003C0378">
        <w:t xml:space="preserve"> įnašo sumą ir numatomą sverto poveikį; (b) finansinius produktus, kuriuos numatoma siūlyti, įskaitant galimą poreikį investuotojams taikyti skirtingas sąlygas; (c) siūlomą tikslinę galutinių gavėjų grupę; (d) numatomą finansinės priemonės indėlį, siekiant konkrečių tikslų. Šio</w:t>
      </w:r>
      <w:r w:rsidRPr="003C0378">
        <w:rPr>
          <w:i/>
          <w:iCs/>
        </w:rPr>
        <w:t xml:space="preserve"> </w:t>
      </w:r>
      <w:proofErr w:type="spellStart"/>
      <w:r w:rsidRPr="003C0378">
        <w:rPr>
          <w:i/>
          <w:iCs/>
        </w:rPr>
        <w:t>ex</w:t>
      </w:r>
      <w:proofErr w:type="spellEnd"/>
      <w:r w:rsidRPr="003C0378">
        <w:rPr>
          <w:i/>
          <w:iCs/>
        </w:rPr>
        <w:t xml:space="preserve"> </w:t>
      </w:r>
      <w:proofErr w:type="spellStart"/>
      <w:r w:rsidRPr="003C0378">
        <w:rPr>
          <w:i/>
          <w:iCs/>
        </w:rPr>
        <w:t>ante</w:t>
      </w:r>
      <w:proofErr w:type="spellEnd"/>
      <w:r w:rsidRPr="003C0378">
        <w:t xml:space="preserve"> vertinimo ataskaita yra struktūruojama remiantis Reglamento reikalavimuose numatytais elementais</w:t>
      </w:r>
      <w:r w:rsidR="00FE31E9" w:rsidRPr="003C0378">
        <w:t>.</w:t>
      </w:r>
    </w:p>
    <w:p w14:paraId="5C423C6C" w14:textId="77777777" w:rsidR="00FE31E9" w:rsidRPr="003C0378" w:rsidRDefault="00FE31E9" w:rsidP="00FE31E9">
      <w:r w:rsidRPr="003C0378">
        <w:rPr>
          <w:rFonts w:cs="Times New Roman"/>
          <w:noProof/>
          <w:color w:val="000000"/>
          <w:lang w:eastAsia="lt-LT"/>
        </w:rPr>
        <mc:AlternateContent>
          <mc:Choice Requires="wps">
            <w:drawing>
              <wp:inline distT="0" distB="0" distL="0" distR="0" wp14:anchorId="7414F55D" wp14:editId="6315F3D5">
                <wp:extent cx="5677786" cy="914400"/>
                <wp:effectExtent l="0" t="0" r="18415" b="19050"/>
                <wp:docPr id="14502375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914400"/>
                        </a:xfrm>
                        <a:prstGeom prst="rect">
                          <a:avLst/>
                        </a:prstGeom>
                        <a:solidFill>
                          <a:srgbClr val="FFFFFF"/>
                        </a:solidFill>
                        <a:ln w="9525">
                          <a:solidFill>
                            <a:srgbClr val="000000"/>
                          </a:solidFill>
                          <a:miter lim="800000"/>
                          <a:headEnd/>
                          <a:tailEnd/>
                        </a:ln>
                      </wps:spPr>
                      <wps:txbx>
                        <w:txbxContent>
                          <w:p w14:paraId="23C6D9D3" w14:textId="77777777" w:rsidR="00B135A3" w:rsidRPr="00FE31E9" w:rsidRDefault="00B135A3" w:rsidP="00FE31E9">
                            <w:pPr>
                              <w:autoSpaceDE w:val="0"/>
                              <w:autoSpaceDN w:val="0"/>
                              <w:adjustRightInd w:val="0"/>
                              <w:spacing w:before="0" w:after="0"/>
                              <w:ind w:firstLine="0"/>
                              <w:rPr>
                                <w:rFonts w:cs="Times New Roman"/>
                                <w:color w:val="000000"/>
                              </w:rPr>
                            </w:pPr>
                            <w:r w:rsidRPr="00FE31E9">
                              <w:rPr>
                                <w:rFonts w:cs="Times New Roman"/>
                                <w:color w:val="000000"/>
                              </w:rPr>
                              <w:t xml:space="preserve">Finansinės priemonės – tai </w:t>
                            </w:r>
                            <w:r w:rsidRPr="00A43B24">
                              <w:rPr>
                                <w:rFonts w:cs="Times New Roman"/>
                                <w:color w:val="000000"/>
                              </w:rPr>
                              <w:t xml:space="preserve">būdas panaudoti ribotus valstybės biudžeto išteklius, teikiant ne vienkartines negrąžinamas subsidijas </w:t>
                            </w:r>
                            <w:r w:rsidRPr="00C9652A">
                              <w:rPr>
                                <w:color w:val="000000"/>
                              </w:rPr>
                              <w:t>naudos gavėjams</w:t>
                            </w:r>
                            <w:r w:rsidRPr="00A43B24">
                              <w:rPr>
                                <w:rFonts w:cs="Times New Roman"/>
                                <w:color w:val="000000"/>
                              </w:rPr>
                              <w:t xml:space="preserve">, o skolinant lėšas, investuojant į </w:t>
                            </w:r>
                            <w:r w:rsidRPr="00A43B24">
                              <w:rPr>
                                <w:color w:val="000000"/>
                              </w:rPr>
                              <w:t>naudos gavėjų</w:t>
                            </w:r>
                            <w:r w:rsidRPr="00A43B24">
                              <w:rPr>
                                <w:rFonts w:cs="Times New Roman"/>
                                <w:color w:val="000000"/>
                              </w:rPr>
                              <w:t xml:space="preserve"> kapitalą, teikiant garantijas ar finansavimą. FP privalumas</w:t>
                            </w:r>
                            <w:r w:rsidRPr="00FE31E9">
                              <w:rPr>
                                <w:rFonts w:cs="Times New Roman"/>
                                <w:color w:val="000000"/>
                              </w:rPr>
                              <w:t xml:space="preserve"> – „atsinaujinančios“ lėšos, t. y. paskolinus ar investavus FP skirtas lėšas, jos sugrįžta ir gali būti dar kartą panaudojamos tiems patiems tikslams, tokiu būdu naudojant tas pačias lėšas didesniam subjektų skaičiui suteikti finansavimą. </w:t>
                            </w:r>
                          </w:p>
                        </w:txbxContent>
                      </wps:txbx>
                      <wps:bodyPr rot="0" vert="horz" wrap="square" lIns="91440" tIns="45720" rIns="91440" bIns="45720" anchor="t" anchorCtr="0">
                        <a:noAutofit/>
                      </wps:bodyPr>
                    </wps:wsp>
                  </a:graphicData>
                </a:graphic>
              </wp:inline>
            </w:drawing>
          </mc:Choice>
          <mc:Fallback>
            <w:pict>
              <v:shapetype w14:anchorId="7414F55D" id="_x0000_t202" coordsize="21600,21600" o:spt="202" path="m,l,21600r21600,l21600,xe">
                <v:stroke joinstyle="miter"/>
                <v:path gradientshapeok="t" o:connecttype="rect"/>
              </v:shapetype>
              <v:shape id="Text Box 217" o:spid="_x0000_s1026" type="#_x0000_t202" style="width:447.0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">
                <v:textbox>
                  <w:txbxContent>
                    <w:p w14:paraId="23C6D9D3" w14:textId="77777777" w:rsidR="00B135A3" w:rsidRPr="00FE31E9" w:rsidRDefault="00B135A3" w:rsidP="00FE31E9">
                      <w:pPr>
                        <w:autoSpaceDE w:val="0"/>
                        <w:autoSpaceDN w:val="0"/>
                        <w:adjustRightInd w:val="0"/>
                        <w:spacing w:before="0" w:after="0"/>
                        <w:ind w:firstLine="0"/>
                        <w:rPr>
                          <w:rFonts w:cs="Times New Roman"/>
                          <w:color w:val="000000"/>
                        </w:rPr>
                      </w:pPr>
                      <w:r w:rsidRPr="00FE31E9">
                        <w:rPr>
                          <w:rFonts w:cs="Times New Roman"/>
                          <w:color w:val="000000"/>
                        </w:rPr>
                        <w:t xml:space="preserve">Finansinės priemonės – tai </w:t>
                      </w:r>
                      <w:r w:rsidRPr="00A43B24">
                        <w:rPr>
                          <w:rFonts w:cs="Times New Roman"/>
                          <w:color w:val="000000"/>
                        </w:rPr>
                        <w:t xml:space="preserve">būdas panaudoti ribotus valstybės biudžeto išteklius, teikiant ne vienkartines negrąžinamas subsidijas </w:t>
                      </w:r>
                      <w:r w:rsidRPr="00C9652A">
                        <w:rPr>
                          <w:color w:val="000000"/>
                        </w:rPr>
                        <w:t>naudos gavėjams</w:t>
                      </w:r>
                      <w:r w:rsidRPr="00A43B24">
                        <w:rPr>
                          <w:rFonts w:cs="Times New Roman"/>
                          <w:color w:val="000000"/>
                        </w:rPr>
                        <w:t xml:space="preserve">, o skolinant lėšas, investuojant į </w:t>
                      </w:r>
                      <w:r w:rsidRPr="00A43B24">
                        <w:rPr>
                          <w:color w:val="000000"/>
                        </w:rPr>
                        <w:t>naudos gavėjų</w:t>
                      </w:r>
                      <w:r w:rsidRPr="00A43B24">
                        <w:rPr>
                          <w:rFonts w:cs="Times New Roman"/>
                          <w:color w:val="000000"/>
                        </w:rPr>
                        <w:t xml:space="preserve"> kapitalą, teikiant garantijas ar finansavimą. FP privalumas</w:t>
                      </w:r>
                      <w:r w:rsidRPr="00FE31E9">
                        <w:rPr>
                          <w:rFonts w:cs="Times New Roman"/>
                          <w:color w:val="000000"/>
                        </w:rPr>
                        <w:t xml:space="preserve"> – „atsinaujinančios“ lėšos, t. y. paskolinus ar investavus FP skirtas lėšas, jos sugrįžta ir gali būti dar kartą panaudojamos tiems patiems tikslams, tokiu būdu naudojant tas pačias lėšas didesniam subjektų skaičiui suteikti finansavimą. </w:t>
                      </w:r>
                    </w:p>
                  </w:txbxContent>
                </v:textbox>
                <w10:anchorlock/>
              </v:shape>
            </w:pict>
          </mc:Fallback>
        </mc:AlternateContent>
      </w:r>
    </w:p>
    <w:p w14:paraId="553854B8" w14:textId="37FDC303" w:rsidR="005D063A" w:rsidRPr="003C0378" w:rsidRDefault="005D063A" w:rsidP="005D063A">
      <w:pPr>
        <w:pStyle w:val="Antrat1"/>
        <w:numPr>
          <w:ilvl w:val="1"/>
          <w:numId w:val="3"/>
        </w:numPr>
        <w:rPr>
          <w:rFonts w:cs="Times New Roman"/>
        </w:rPr>
      </w:pPr>
      <w:bookmarkStart w:id="5" w:name="_Toc126051345"/>
      <w:bookmarkStart w:id="6" w:name="_Toc166139818"/>
      <w:bookmarkStart w:id="7" w:name="_Toc170804580"/>
      <w:r w:rsidRPr="003C0378">
        <w:rPr>
          <w:rFonts w:cs="Times New Roman"/>
        </w:rPr>
        <w:t>Vertinimo tikslas ir apimtis</w:t>
      </w:r>
      <w:bookmarkEnd w:id="5"/>
      <w:bookmarkEnd w:id="6"/>
      <w:bookmarkEnd w:id="7"/>
    </w:p>
    <w:p w14:paraId="6588540A" w14:textId="2BF6A119" w:rsidR="00487AC7" w:rsidRDefault="00DD3936">
      <w:pPr>
        <w:spacing w:line="276" w:lineRule="auto"/>
        <w:ind w:firstLine="562"/>
        <w:rPr>
          <w:rFonts w:cs="Times New Roman"/>
          <w:bCs/>
        </w:rPr>
      </w:pPr>
      <w:r w:rsidRPr="009F3BEF">
        <w:t xml:space="preserve">Šio </w:t>
      </w:r>
      <w:r w:rsidR="00487AC7" w:rsidRPr="009F3BEF">
        <w:t xml:space="preserve">Energijos efektyvumo didinimo ūkio subjektams ir atsinaujinančių energijos išteklių (toliau – AEI) plėtros </w:t>
      </w:r>
      <w:r w:rsidRPr="009F3BEF">
        <w:t>sektoriaus išankstinio (</w:t>
      </w:r>
      <w:proofErr w:type="spellStart"/>
      <w:r w:rsidRPr="009F3BEF">
        <w:rPr>
          <w:i/>
          <w:iCs/>
        </w:rPr>
        <w:t>ex</w:t>
      </w:r>
      <w:proofErr w:type="spellEnd"/>
      <w:r w:rsidR="00103D8D" w:rsidRPr="009F3BEF">
        <w:rPr>
          <w:i/>
          <w:iCs/>
        </w:rPr>
        <w:t>–</w:t>
      </w:r>
      <w:proofErr w:type="spellStart"/>
      <w:r w:rsidRPr="009F3BEF">
        <w:rPr>
          <w:i/>
          <w:iCs/>
        </w:rPr>
        <w:t>ante</w:t>
      </w:r>
      <w:proofErr w:type="spellEnd"/>
      <w:r w:rsidRPr="009F3BEF">
        <w:t>) vertinimo</w:t>
      </w:r>
      <w:r w:rsidR="006836FC" w:rsidRPr="009F3BEF">
        <w:t xml:space="preserve"> atnaujinim</w:t>
      </w:r>
      <w:r w:rsidR="00AA2E1D" w:rsidRPr="009F3BEF">
        <w:t>o</w:t>
      </w:r>
      <w:r w:rsidR="00AE6647" w:rsidRPr="009F3BEF">
        <w:t xml:space="preserve"> (toliau – Vertinimas)</w:t>
      </w:r>
      <w:r w:rsidR="00CF2722" w:rsidRPr="009F3BEF">
        <w:t xml:space="preserve"> </w:t>
      </w:r>
      <w:r w:rsidRPr="009F3BEF">
        <w:t>pagrindinis tikslas –</w:t>
      </w:r>
      <w:r w:rsidR="003C0378" w:rsidRPr="009F3BEF">
        <w:t xml:space="preserve"> </w:t>
      </w:r>
      <w:r w:rsidR="00487AC7" w:rsidRPr="009F3BEF">
        <w:t>atnaujinti</w:t>
      </w:r>
      <w:r w:rsidR="006836FC" w:rsidRPr="009F3BEF">
        <w:t xml:space="preserve"> nacionalinių plėtros įstaigų skatinamojo finansavimo poreikio vertinimo atlikimo ir peržiūros darbo grupės 2020 m. vasario 24 d. posėdžio protokolu Nr. 3 patvirtintą Energijos efektyvumo didinimo ūkio subjektams ir atsinaujinančių energijos išteklių plėtra skatinamojo finansavimo poreikio vertinimą</w:t>
      </w:r>
      <w:r w:rsidR="00487AC7" w:rsidRPr="009F3BEF">
        <w:t>, išanalizuojant, peržiūrint ir įvertinant</w:t>
      </w:r>
      <w:r w:rsidR="006836FC" w:rsidRPr="009F3BEF">
        <w:t xml:space="preserve"> AEI</w:t>
      </w:r>
      <w:r w:rsidR="00487AC7" w:rsidRPr="009F3BEF">
        <w:t xml:space="preserve"> investicijų rezultatus, poreikį ir paklausą iki 2030 metų, jų finansavimo galimybes, formas, energetikos kainos pokyčius, rinkos padengimo trūkumą </w:t>
      </w:r>
      <w:r w:rsidR="006836FC" w:rsidRPr="009F3BEF">
        <w:t>AEI</w:t>
      </w:r>
      <w:r w:rsidR="00487AC7" w:rsidRPr="009F3BEF">
        <w:t xml:space="preserve"> plėtros srityje</w:t>
      </w:r>
      <w:r w:rsidR="001F7EF1" w:rsidRPr="009F3BEF">
        <w:t>.</w:t>
      </w:r>
      <w:r w:rsidR="00FF01EB" w:rsidRPr="009F3BEF">
        <w:t xml:space="preserve"> Atsižvelgiant į tai, kad</w:t>
      </w:r>
      <w:r w:rsidR="006836FC" w:rsidRPr="009F3BEF">
        <w:t xml:space="preserve"> šis Vertinimas</w:t>
      </w:r>
      <w:r w:rsidR="00AA2E1D" w:rsidRPr="009F3BEF">
        <w:t xml:space="preserve"> papildo dabartinio </w:t>
      </w:r>
      <w:proofErr w:type="spellStart"/>
      <w:r w:rsidR="00AA2E1D" w:rsidRPr="009F3BEF">
        <w:t>ex</w:t>
      </w:r>
      <w:proofErr w:type="spellEnd"/>
      <w:r w:rsidR="00AA2E1D" w:rsidRPr="009F3BEF">
        <w:t xml:space="preserve"> </w:t>
      </w:r>
      <w:proofErr w:type="spellStart"/>
      <w:r w:rsidR="00AA2E1D" w:rsidRPr="009F3BEF">
        <w:t>ante</w:t>
      </w:r>
      <w:proofErr w:type="spellEnd"/>
      <w:r w:rsidR="00AA2E1D" w:rsidRPr="009F3BEF">
        <w:t xml:space="preserve"> vertinimo AEI dalį, tai dabartinio </w:t>
      </w:r>
      <w:proofErr w:type="spellStart"/>
      <w:r w:rsidR="00AA2E1D" w:rsidRPr="009F3BEF">
        <w:t>ex</w:t>
      </w:r>
      <w:proofErr w:type="spellEnd"/>
      <w:r w:rsidR="00AA2E1D" w:rsidRPr="009F3BEF">
        <w:t xml:space="preserve"> </w:t>
      </w:r>
      <w:proofErr w:type="spellStart"/>
      <w:r w:rsidR="00AA2E1D" w:rsidRPr="009F3BEF">
        <w:t>ante</w:t>
      </w:r>
      <w:proofErr w:type="spellEnd"/>
      <w:r w:rsidR="00AA2E1D" w:rsidRPr="009F3BEF">
        <w:t xml:space="preserve"> vertinimo išvados ir rekomendacijos, tame tarpe ir išvados dėl investavimo strategijos energijos efektyvumo didinimui ūkio subjektams, toliau galioja. </w:t>
      </w:r>
      <w:r w:rsidR="00C76CEC" w:rsidRPr="009F3BEF">
        <w:t xml:space="preserve">Šis </w:t>
      </w:r>
      <w:proofErr w:type="spellStart"/>
      <w:r w:rsidR="00C76CEC" w:rsidRPr="009F3BEF">
        <w:t>ex</w:t>
      </w:r>
      <w:proofErr w:type="spellEnd"/>
      <w:r w:rsidR="00C76CEC" w:rsidRPr="009F3BEF">
        <w:t xml:space="preserve"> </w:t>
      </w:r>
      <w:proofErr w:type="spellStart"/>
      <w:r w:rsidR="00C76CEC" w:rsidRPr="009F3BEF">
        <w:t>ante</w:t>
      </w:r>
      <w:proofErr w:type="spellEnd"/>
      <w:r w:rsidR="00C76CEC" w:rsidRPr="009F3BEF">
        <w:t xml:space="preserve"> vertinimo atnaujinimas atliktas AEI dalies </w:t>
      </w:r>
      <w:bookmarkStart w:id="8" w:name="_Hlk135986219"/>
      <w:r w:rsidR="00C76CEC" w:rsidRPr="009F3BEF">
        <w:t>v</w:t>
      </w:r>
      <w:r w:rsidR="000D3CEE" w:rsidRPr="009F3BEF">
        <w:t>iešųjų</w:t>
      </w:r>
      <w:r w:rsidR="00C76CEC" w:rsidRPr="009F3BEF">
        <w:t xml:space="preserve"> juridini</w:t>
      </w:r>
      <w:r w:rsidR="000D3CEE" w:rsidRPr="009F3BEF">
        <w:t>ų</w:t>
      </w:r>
      <w:r w:rsidR="00C76CEC" w:rsidRPr="009F3BEF">
        <w:t xml:space="preserve"> asmen</w:t>
      </w:r>
      <w:r w:rsidR="000D3CEE" w:rsidRPr="009F3BEF">
        <w:t>ų,</w:t>
      </w:r>
      <w:r w:rsidR="00C76CEC" w:rsidRPr="009F3BEF">
        <w:t xml:space="preserve"> </w:t>
      </w:r>
      <w:r w:rsidR="000D3CEE" w:rsidRPr="009F3BEF">
        <w:t>p</w:t>
      </w:r>
      <w:r w:rsidR="00C76CEC" w:rsidRPr="009F3BEF">
        <w:t>riva</w:t>
      </w:r>
      <w:r w:rsidR="000D3CEE" w:rsidRPr="009F3BEF">
        <w:t>čių</w:t>
      </w:r>
      <w:r w:rsidR="00C76CEC" w:rsidRPr="009F3BEF">
        <w:t xml:space="preserve"> juridini</w:t>
      </w:r>
      <w:r w:rsidR="000D3CEE" w:rsidRPr="009F3BEF">
        <w:t>ų</w:t>
      </w:r>
      <w:r w:rsidR="00C76CEC" w:rsidRPr="009F3BEF">
        <w:t xml:space="preserve"> asmen</w:t>
      </w:r>
      <w:r w:rsidR="000D3CEE" w:rsidRPr="009F3BEF">
        <w:t>ų</w:t>
      </w:r>
      <w:r w:rsidR="00C76CEC" w:rsidRPr="009F3BEF">
        <w:t xml:space="preserve"> </w:t>
      </w:r>
      <w:r w:rsidR="00E80653" w:rsidRPr="009F3BEF">
        <w:t xml:space="preserve">(gaminančių vartotojų) </w:t>
      </w:r>
      <w:r w:rsidR="00C76CEC" w:rsidRPr="009F3BEF">
        <w:t>ir AIEB</w:t>
      </w:r>
      <w:bookmarkEnd w:id="8"/>
      <w:r w:rsidR="00C76CEC" w:rsidRPr="009F3BEF">
        <w:t xml:space="preserve"> </w:t>
      </w:r>
      <w:r w:rsidR="005E66CD">
        <w:t xml:space="preserve">bei PEB </w:t>
      </w:r>
      <w:r w:rsidR="000D3CEE" w:rsidRPr="009F3BEF">
        <w:t>pareiškėjų grupėms.</w:t>
      </w:r>
      <w:r w:rsidR="00E80653" w:rsidRPr="009F3BEF">
        <w:t xml:space="preserve"> </w:t>
      </w:r>
      <w:r w:rsidR="00E80653" w:rsidRPr="00E24002">
        <w:t>Numatytos sąlygos pradiniame Vertinime ETPT įmonėms, kurios montuoja AEI jėgaines, arba didelių AEI jėgainių vystytojai, kurie prie nutolusių jėgainių virtualiai prijungia gaminančius vartotojus, toliau lieka galioti.</w:t>
      </w:r>
    </w:p>
    <w:p w14:paraId="64DB0638" w14:textId="7385C93D" w:rsidR="00836793" w:rsidRPr="009F3BEF" w:rsidRDefault="00407BEB">
      <w:pPr>
        <w:spacing w:line="276" w:lineRule="auto"/>
        <w:ind w:firstLine="562"/>
      </w:pPr>
      <w:r>
        <w:rPr>
          <w:rFonts w:cs="Times New Roman"/>
          <w:bCs/>
        </w:rPr>
        <w:t xml:space="preserve">Atliktas </w:t>
      </w:r>
      <w:proofErr w:type="spellStart"/>
      <w:r>
        <w:rPr>
          <w:rFonts w:cs="Times New Roman"/>
          <w:bCs/>
        </w:rPr>
        <w:t>ex</w:t>
      </w:r>
      <w:proofErr w:type="spellEnd"/>
      <w:r>
        <w:rPr>
          <w:rFonts w:cs="Times New Roman"/>
          <w:bCs/>
        </w:rPr>
        <w:t xml:space="preserve"> </w:t>
      </w:r>
      <w:proofErr w:type="spellStart"/>
      <w:r>
        <w:rPr>
          <w:rFonts w:cs="Times New Roman"/>
          <w:bCs/>
        </w:rPr>
        <w:t>ante</w:t>
      </w:r>
      <w:proofErr w:type="spellEnd"/>
      <w:r>
        <w:rPr>
          <w:rFonts w:cs="Times New Roman"/>
          <w:bCs/>
        </w:rPr>
        <w:t xml:space="preserve"> vertinimo atnaujinimas</w:t>
      </w:r>
      <w:r w:rsidR="00305B8C">
        <w:rPr>
          <w:rFonts w:cs="Times New Roman"/>
          <w:bCs/>
        </w:rPr>
        <w:t xml:space="preserve"> </w:t>
      </w:r>
      <w:r w:rsidR="00836793">
        <w:rPr>
          <w:rFonts w:cs="Times New Roman"/>
          <w:bCs/>
        </w:rPr>
        <w:t>2024 m. II ketvirtį buvo papildomai patikslinta</w:t>
      </w:r>
      <w:r w:rsidR="001473FC">
        <w:rPr>
          <w:rFonts w:cs="Times New Roman"/>
          <w:bCs/>
        </w:rPr>
        <w:t>s</w:t>
      </w:r>
      <w:r w:rsidR="00836793">
        <w:rPr>
          <w:rFonts w:cs="Times New Roman"/>
          <w:bCs/>
        </w:rPr>
        <w:t>, tyrimo objektą (konkrečiai</w:t>
      </w:r>
      <w:r w:rsidR="00836793">
        <w:t xml:space="preserve"> – viešųjų pastatų valdytojų </w:t>
      </w:r>
      <w:r w:rsidR="00273F2E">
        <w:t xml:space="preserve">tikslinę </w:t>
      </w:r>
      <w:r w:rsidR="00836793">
        <w:t>grupę</w:t>
      </w:r>
      <w:r w:rsidR="00836793">
        <w:rPr>
          <w:rFonts w:cs="Times New Roman"/>
          <w:bCs/>
        </w:rPr>
        <w:t xml:space="preserve">) išplečiant į viešuosius juridinius asmenis bei </w:t>
      </w:r>
      <w:r w:rsidR="003D3F7C">
        <w:rPr>
          <w:rFonts w:cs="Times New Roman"/>
          <w:bCs/>
        </w:rPr>
        <w:t>atvejus, kai viešieji juridiniai asmenys savo funkcijoms vykdyti nek</w:t>
      </w:r>
      <w:r w:rsidR="00D9603D">
        <w:rPr>
          <w:rFonts w:cs="Times New Roman"/>
          <w:bCs/>
        </w:rPr>
        <w:t>ilnojamojo turto objektus nuomojasi rinkoje</w:t>
      </w:r>
      <w:r w:rsidR="00D36CC0">
        <w:rPr>
          <w:rFonts w:cs="Times New Roman"/>
          <w:bCs/>
        </w:rPr>
        <w:t xml:space="preserve">. Šis vienos pagrindinių </w:t>
      </w:r>
      <w:r w:rsidR="007A790A">
        <w:rPr>
          <w:rFonts w:cs="Times New Roman"/>
          <w:bCs/>
        </w:rPr>
        <w:t xml:space="preserve">vertinimo </w:t>
      </w:r>
      <w:r w:rsidR="00D36CC0">
        <w:rPr>
          <w:rFonts w:cs="Times New Roman"/>
          <w:bCs/>
        </w:rPr>
        <w:t>tikslinių grupių atnaujinimas yra aktualus, kadangi</w:t>
      </w:r>
      <w:r w:rsidR="00D9603D">
        <w:rPr>
          <w:rFonts w:cs="Times New Roman"/>
          <w:bCs/>
        </w:rPr>
        <w:t xml:space="preserve"> tai išplečia </w:t>
      </w:r>
      <w:r w:rsidR="00D52C51">
        <w:rPr>
          <w:rFonts w:cs="Times New Roman"/>
          <w:bCs/>
        </w:rPr>
        <w:t xml:space="preserve">bei </w:t>
      </w:r>
      <w:r w:rsidR="0068608A">
        <w:rPr>
          <w:rFonts w:cs="Times New Roman"/>
          <w:bCs/>
        </w:rPr>
        <w:t xml:space="preserve">leidžia </w:t>
      </w:r>
      <w:r w:rsidR="00D52C51">
        <w:rPr>
          <w:rFonts w:cs="Times New Roman"/>
          <w:bCs/>
        </w:rPr>
        <w:t>tiksliau įvertin</w:t>
      </w:r>
      <w:r w:rsidR="0068608A">
        <w:rPr>
          <w:rFonts w:cs="Times New Roman"/>
          <w:bCs/>
        </w:rPr>
        <w:t>ti</w:t>
      </w:r>
      <w:r w:rsidR="00D9603D">
        <w:rPr>
          <w:rFonts w:cs="Times New Roman"/>
          <w:bCs/>
        </w:rPr>
        <w:t xml:space="preserve"> AEI investicijų paklausos pusės potencialą.</w:t>
      </w:r>
    </w:p>
    <w:p w14:paraId="128E88C3" w14:textId="79727927" w:rsidR="001F7EF1" w:rsidRPr="003C0378" w:rsidRDefault="001F7EF1" w:rsidP="00877C8A">
      <w:pPr>
        <w:spacing w:line="276" w:lineRule="auto"/>
        <w:ind w:firstLine="562"/>
        <w:rPr>
          <w:rFonts w:cs="Times New Roman"/>
        </w:rPr>
      </w:pPr>
      <w:r w:rsidRPr="00A43B24">
        <w:rPr>
          <w:rFonts w:cs="Times New Roman"/>
        </w:rPr>
        <w:t xml:space="preserve">Į Vertinimą yra įtraukti visi Reglamento Nr. 2021/1060 </w:t>
      </w:r>
      <w:r w:rsidRPr="00A43B24">
        <w:t>58 straipsnio 3 dalyje</w:t>
      </w:r>
      <w:r w:rsidRPr="00A43B24">
        <w:rPr>
          <w:rFonts w:cs="Times New Roman"/>
        </w:rPr>
        <w:t xml:space="preserve"> nurodyti ir jau anksčiau nurodyti elementai. Papildomai yra analizuojami Techninėje specifikacijoje nurodyti specifiniai</w:t>
      </w:r>
      <w:r w:rsidRPr="003C0378">
        <w:rPr>
          <w:rFonts w:cs="Times New Roman"/>
        </w:rPr>
        <w:t xml:space="preserve"> klausimai:</w:t>
      </w:r>
    </w:p>
    <w:p w14:paraId="1EBD9806" w14:textId="77777777" w:rsidR="001F7EF1" w:rsidRPr="003C0378" w:rsidRDefault="001F7EF1" w:rsidP="00877C8A">
      <w:pPr>
        <w:pStyle w:val="Sraopastraipa"/>
        <w:numPr>
          <w:ilvl w:val="0"/>
          <w:numId w:val="20"/>
        </w:numPr>
        <w:spacing w:before="0" w:after="0" w:line="276" w:lineRule="auto"/>
        <w:contextualSpacing w:val="0"/>
      </w:pPr>
      <w:r w:rsidRPr="003C0378">
        <w:t>Įvertinti investicijų AEI plėtros srityje pasiūlą ir paklausą iki 2030 metų, atsižvelgiant į strateginiuose dokumentuose ir teisės aktuose suformuluotus tikslus AEI plėtros srityje bei rodiklius, priemones, investicijų poreikį jiems pasiekti, apskaičiuoti rinkos finansavimo trūkumą.</w:t>
      </w:r>
    </w:p>
    <w:p w14:paraId="6A7DDC85" w14:textId="39116206" w:rsidR="001F7EF1" w:rsidRPr="003C0378" w:rsidRDefault="001F7EF1" w:rsidP="00877C8A">
      <w:pPr>
        <w:pStyle w:val="Sraopastraipa"/>
        <w:numPr>
          <w:ilvl w:val="0"/>
          <w:numId w:val="20"/>
        </w:numPr>
        <w:spacing w:before="0" w:after="0" w:line="276" w:lineRule="auto"/>
        <w:contextualSpacing w:val="0"/>
      </w:pPr>
      <w:r w:rsidRPr="003C0378">
        <w:t>Pasiūlyti galimas finansines priemones AEI plėtros srityje, pirmiausia orientuojantis į tokias tikslines grupes, kaip verslo subjektai</w:t>
      </w:r>
      <w:r w:rsidR="00A9629F">
        <w:t xml:space="preserve"> (įskaitant vystytojus)</w:t>
      </w:r>
      <w:r w:rsidRPr="003C0378">
        <w:t xml:space="preserve">, </w:t>
      </w:r>
      <w:r w:rsidR="009541F8">
        <w:t>nepriteklių</w:t>
      </w:r>
      <w:r w:rsidRPr="003C0378">
        <w:t xml:space="preserve"> patiriantys asmenys (atsinaujinančių išteklių bendrijos), piliečių energetinė</w:t>
      </w:r>
      <w:r w:rsidR="00940AF9" w:rsidRPr="003C0378">
        <w:t>s</w:t>
      </w:r>
      <w:r w:rsidRPr="003C0378">
        <w:t xml:space="preserve"> bendrij</w:t>
      </w:r>
      <w:r w:rsidR="00940AF9" w:rsidRPr="003C0378">
        <w:t>os</w:t>
      </w:r>
      <w:r w:rsidRPr="003C0378">
        <w:t>, valdžios sektoriaus ir savivaldybių institucijos. Taip pat, pasiūlyti galimas finansines priemones AEI plėtros srityje, skirtas kitoms tikslinėms grupėms.</w:t>
      </w:r>
    </w:p>
    <w:p w14:paraId="7981B8F3" w14:textId="77777777" w:rsidR="001F7EF1" w:rsidRPr="003C0378" w:rsidRDefault="001F7EF1" w:rsidP="00877C8A">
      <w:pPr>
        <w:pStyle w:val="Sraopastraipa"/>
        <w:numPr>
          <w:ilvl w:val="0"/>
          <w:numId w:val="20"/>
        </w:numPr>
        <w:spacing w:before="0" w:after="0" w:line="276" w:lineRule="auto"/>
        <w:contextualSpacing w:val="0"/>
      </w:pPr>
      <w:r w:rsidRPr="003C0378">
        <w:t>Nurodyti galimoms finansinėms priemonėms skiriamas sumas ir numatomą sverto efektą bei finansinius produktus, kuriuos siūloma teikti.</w:t>
      </w:r>
    </w:p>
    <w:p w14:paraId="00A12BEE" w14:textId="77777777" w:rsidR="001F7EF1" w:rsidRPr="003C0378" w:rsidRDefault="001F7EF1" w:rsidP="00877C8A">
      <w:pPr>
        <w:pStyle w:val="Sraopastraipa"/>
        <w:numPr>
          <w:ilvl w:val="0"/>
          <w:numId w:val="20"/>
        </w:numPr>
        <w:spacing w:before="0" w:after="0" w:line="276" w:lineRule="auto"/>
        <w:contextualSpacing w:val="0"/>
      </w:pPr>
      <w:r w:rsidRPr="003C0378">
        <w:lastRenderedPageBreak/>
        <w:t>Įvertinti galimo finansinių priemonių derinimo su dotacijomis poreikį.</w:t>
      </w:r>
    </w:p>
    <w:p w14:paraId="755305F8" w14:textId="5CA756BF" w:rsidR="00873BA4" w:rsidRPr="003C0378" w:rsidRDefault="001F7EF1" w:rsidP="00877C8A">
      <w:pPr>
        <w:pStyle w:val="Sraopastraipa"/>
        <w:numPr>
          <w:ilvl w:val="0"/>
          <w:numId w:val="20"/>
        </w:numPr>
        <w:spacing w:before="0" w:after="0" w:line="276" w:lineRule="auto"/>
        <w:contextualSpacing w:val="0"/>
      </w:pPr>
      <w:r w:rsidRPr="003C0378">
        <w:t>Išnagrinėti valstybės pagalbos taikymą ir ribojimus pagal tikslines grupes.</w:t>
      </w:r>
      <w:r w:rsidR="00213A18" w:rsidRPr="003C0378">
        <w:t xml:space="preserve"> Atsižvelgiant į tai, kad</w:t>
      </w:r>
      <w:r w:rsidR="007D75C9">
        <w:t xml:space="preserve"> nauji reglamentai</w:t>
      </w:r>
      <w:r w:rsidR="00213A18" w:rsidRPr="003C0378">
        <w:t>, apibrėžiantys va</w:t>
      </w:r>
      <w:r w:rsidR="00AC0C41" w:rsidRPr="003C0378">
        <w:t>lstybės pagalbos taisyklių pakeitimus</w:t>
      </w:r>
      <w:r w:rsidR="00213A18" w:rsidRPr="003C0378">
        <w:t xml:space="preserve"> naujosios finansinės perspektyvos lėšoms,</w:t>
      </w:r>
      <w:r w:rsidR="007D75C9">
        <w:t xml:space="preserve"> buvo patvirtinti </w:t>
      </w:r>
      <w:r w:rsidR="007D75C9" w:rsidRPr="00B135A3">
        <w:t xml:space="preserve">2023 m. kovo 9 d. jau daugiau nei </w:t>
      </w:r>
      <w:r w:rsidR="007D75C9">
        <w:t xml:space="preserve">įpusėjus </w:t>
      </w:r>
      <w:proofErr w:type="spellStart"/>
      <w:r w:rsidR="007D75C9">
        <w:t>ex</w:t>
      </w:r>
      <w:proofErr w:type="spellEnd"/>
      <w:r w:rsidR="007D75C9">
        <w:t xml:space="preserve"> </w:t>
      </w:r>
      <w:proofErr w:type="spellStart"/>
      <w:r w:rsidR="007D75C9">
        <w:t>ante</w:t>
      </w:r>
      <w:proofErr w:type="spellEnd"/>
      <w:r w:rsidR="007D75C9">
        <w:t xml:space="preserve"> vertinimą,</w:t>
      </w:r>
      <w:r w:rsidR="00213A18" w:rsidRPr="003C0378">
        <w:t xml:space="preserve"> 202</w:t>
      </w:r>
      <w:r w:rsidR="00FF01EB" w:rsidRPr="003C0378">
        <w:t>3</w:t>
      </w:r>
      <w:r w:rsidR="00213A18" w:rsidRPr="003C0378">
        <w:t xml:space="preserve"> m. vasario 20 d. susitikime tarp LR finansų ministerijos, energetikos ministerijos, NPĮ ir Vertintojų atstovų buvo </w:t>
      </w:r>
      <w:r w:rsidR="00AC0C41" w:rsidRPr="003C0378">
        <w:t>sutarta išnagrinėti valstybės pagalbos problematiką ateityje, papildant dabartinį V</w:t>
      </w:r>
      <w:r w:rsidR="00FF01EB" w:rsidRPr="003C0378">
        <w:t xml:space="preserve">ertinimą valstybės </w:t>
      </w:r>
      <w:r w:rsidR="00D26543">
        <w:t>pagalbos</w:t>
      </w:r>
      <w:r w:rsidR="00FF01EB" w:rsidRPr="003C0378">
        <w:t xml:space="preserve"> analizės vertinimu.</w:t>
      </w:r>
    </w:p>
    <w:p w14:paraId="213CC472" w14:textId="0BF1802C" w:rsidR="00AE6647" w:rsidRPr="003C0378" w:rsidRDefault="00FE31E9" w:rsidP="00AE6647">
      <w:pPr>
        <w:pStyle w:val="Antrat1"/>
        <w:numPr>
          <w:ilvl w:val="1"/>
          <w:numId w:val="3"/>
        </w:numPr>
        <w:rPr>
          <w:rFonts w:cs="Times New Roman"/>
        </w:rPr>
      </w:pPr>
      <w:bookmarkStart w:id="9" w:name="_Ref125922089"/>
      <w:bookmarkStart w:id="10" w:name="_Toc126051346"/>
      <w:bookmarkStart w:id="11" w:name="_Toc166139819"/>
      <w:bookmarkStart w:id="12" w:name="_Toc170804581"/>
      <w:r w:rsidRPr="003C0378">
        <w:rPr>
          <w:rFonts w:cs="Times New Roman"/>
        </w:rPr>
        <w:t>Vertinimo metodika</w:t>
      </w:r>
      <w:bookmarkEnd w:id="9"/>
      <w:bookmarkEnd w:id="10"/>
      <w:bookmarkEnd w:id="11"/>
      <w:bookmarkEnd w:id="12"/>
    </w:p>
    <w:p w14:paraId="0DD6D02B" w14:textId="71EDA9D7" w:rsidR="00AE6647" w:rsidRPr="003C0378" w:rsidRDefault="00AE6647" w:rsidP="00873BA4">
      <w:pPr>
        <w:spacing w:line="276" w:lineRule="auto"/>
        <w:ind w:firstLine="562"/>
      </w:pPr>
      <w:r w:rsidRPr="003C0378">
        <w:t>Atliekant Vertinimą, buvo taikoma 20</w:t>
      </w:r>
      <w:r w:rsidR="007D75C9">
        <w:t>21</w:t>
      </w:r>
      <w:r w:rsidRPr="003C0378">
        <w:t>–202</w:t>
      </w:r>
      <w:r w:rsidR="007D75C9">
        <w:t>7</w:t>
      </w:r>
      <w:r w:rsidRPr="003C0378">
        <w:t xml:space="preserve"> m. ES investicijų programavimo laikotarpio finansinių priemonių išankstinio vertinimo metodika, kuri, atsižvelgiant į 2021–2027 m. ES investicijų programavimo laikotarpio reglamentų projektų nuostatas, apima 4 pagrindinius elementus (žr. skyriaus „</w:t>
      </w:r>
      <w:r w:rsidRPr="003C0378">
        <w:fldChar w:fldCharType="begin"/>
      </w:r>
      <w:r w:rsidRPr="003C0378">
        <w:instrText xml:space="preserve"> REF _Ref117769183 \h </w:instrText>
      </w:r>
      <w:r w:rsidR="002F5246">
        <w:instrText xml:space="preserve"> \* MERGEFORMAT </w:instrText>
      </w:r>
      <w:r w:rsidRPr="003C0378">
        <w:fldChar w:fldCharType="separate"/>
      </w:r>
      <w:r w:rsidR="00347605" w:rsidRPr="00347605">
        <w:t>Įvadas</w:t>
      </w:r>
      <w:r w:rsidRPr="003C0378">
        <w:fldChar w:fldCharType="end"/>
      </w:r>
      <w:r w:rsidRPr="003C0378">
        <w:t xml:space="preserve">“ pirmąją pastraipą). </w:t>
      </w:r>
    </w:p>
    <w:p w14:paraId="04FCC3F0" w14:textId="2AC816F1" w:rsidR="00AE6647" w:rsidRPr="003C0378" w:rsidRDefault="00AE6647" w:rsidP="00873BA4">
      <w:pPr>
        <w:spacing w:line="276" w:lineRule="auto"/>
        <w:ind w:firstLine="562"/>
      </w:pPr>
      <w:r w:rsidRPr="003C0378">
        <w:t>Taikomi vertinimo metodai daugiausiai apėmė strateginių dokumentų anali</w:t>
      </w:r>
      <w:r w:rsidR="00E25024" w:rsidRPr="003C0378">
        <w:t>zę, antrinių šaltinių analizę,</w:t>
      </w:r>
      <w:r w:rsidRPr="003C0378">
        <w:t xml:space="preserve"> interviu medžiagos analizę</w:t>
      </w:r>
      <w:r w:rsidRPr="003C0378">
        <w:rPr>
          <w:rStyle w:val="Puslapioinaosnuoroda"/>
        </w:rPr>
        <w:footnoteReference w:id="2"/>
      </w:r>
      <w:r w:rsidR="00E25024" w:rsidRPr="003C0378">
        <w:t xml:space="preserve"> bei reprezentatyvios anketinės apklausos rezultatų analizę</w:t>
      </w:r>
      <w:r w:rsidRPr="003C0378">
        <w:t xml:space="preserve">. Atliekant strateginių dokumentų ir antrinių šaltinių analizę buvo nagrinėjami anksčiau atlikti 2014–2020 m. ES investicijų programavimo laikotarpio vertinimai, anksčiau atlikti finansinių priemonių </w:t>
      </w:r>
      <w:proofErr w:type="spellStart"/>
      <w:r w:rsidRPr="003C0378">
        <w:rPr>
          <w:i/>
        </w:rPr>
        <w:t>ex</w:t>
      </w:r>
      <w:proofErr w:type="spellEnd"/>
      <w:r w:rsidRPr="003C0378">
        <w:rPr>
          <w:i/>
        </w:rPr>
        <w:t xml:space="preserve"> </w:t>
      </w:r>
      <w:proofErr w:type="spellStart"/>
      <w:r w:rsidRPr="003C0378">
        <w:rPr>
          <w:i/>
        </w:rPr>
        <w:t>ante</w:t>
      </w:r>
      <w:proofErr w:type="spellEnd"/>
      <w:r w:rsidRPr="003C0378">
        <w:rPr>
          <w:i/>
          <w:iCs/>
        </w:rPr>
        <w:t xml:space="preserve"> </w:t>
      </w:r>
      <w:r w:rsidRPr="003C0378">
        <w:t xml:space="preserve">vertinimai, teisinis reglamentavimas ir kiti viešai prieinami informacijos šaltiniai. </w:t>
      </w:r>
      <w:r w:rsidR="00873BA4" w:rsidRPr="003C0378">
        <w:t xml:space="preserve">Vertinimo metu taip pat buvo atlikta </w:t>
      </w:r>
      <w:r w:rsidR="007D75C9">
        <w:t xml:space="preserve">finansų įstaigų ir </w:t>
      </w:r>
      <w:r w:rsidR="00873BA4" w:rsidRPr="003C0378">
        <w:t xml:space="preserve">reprezentatyvi Lietuvos verslo subjektų apklausa. Detali informacija apie </w:t>
      </w:r>
      <w:r w:rsidR="00366716" w:rsidRPr="003C0378">
        <w:t xml:space="preserve">atliktą </w:t>
      </w:r>
      <w:r w:rsidR="00873BA4" w:rsidRPr="003C0378">
        <w:t>apklausą yra pateikiama priede 2. T</w:t>
      </w:r>
      <w:r w:rsidRPr="003C0378">
        <w:t>aikyt</w:t>
      </w:r>
      <w:r w:rsidR="00873BA4" w:rsidRPr="003C0378">
        <w:t>ų</w:t>
      </w:r>
      <w:r w:rsidRPr="003C0378">
        <w:t xml:space="preserve"> metod</w:t>
      </w:r>
      <w:r w:rsidR="00873BA4" w:rsidRPr="003C0378">
        <w:t>ų</w:t>
      </w:r>
      <w:r w:rsidRPr="003C0378">
        <w:t xml:space="preserve"> ir pasiekt</w:t>
      </w:r>
      <w:r w:rsidR="00873BA4" w:rsidRPr="003C0378">
        <w:t>ų</w:t>
      </w:r>
      <w:r w:rsidRPr="003C0378">
        <w:t xml:space="preserve"> rezultat</w:t>
      </w:r>
      <w:r w:rsidR="00873BA4" w:rsidRPr="003C0378">
        <w:t>ų apibendrinimas</w:t>
      </w:r>
      <w:r w:rsidRPr="003C0378">
        <w:t xml:space="preserve"> yra pristatoma</w:t>
      </w:r>
      <w:r w:rsidR="00CA1C79" w:rsidRPr="003C0378">
        <w:t>s</w:t>
      </w:r>
      <w:r w:rsidRPr="003C0378">
        <w:t xml:space="preserve"> žemiau esančioje lentelėje.</w:t>
      </w:r>
    </w:p>
    <w:p w14:paraId="4FDA7011" w14:textId="1F2CB787" w:rsidR="00AE6647" w:rsidRPr="003C0378" w:rsidRDefault="00AE6647" w:rsidP="00AE6647">
      <w:pPr>
        <w:keepNext/>
        <w:ind w:firstLine="0"/>
        <w:rPr>
          <w:rFonts w:cs="Times New Roman"/>
          <w:i/>
          <w:iCs/>
        </w:rPr>
      </w:pPr>
      <w:bookmarkStart w:id="13" w:name="_Toc121738140"/>
      <w:bookmarkStart w:id="14" w:name="_Toc126051376"/>
      <w:bookmarkStart w:id="15" w:name="_Toc166139851"/>
      <w:bookmarkStart w:id="16" w:name="_Toc170804617"/>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w:t>
      </w:r>
      <w:r w:rsidRPr="003C0378">
        <w:rPr>
          <w:rFonts w:cs="Times New Roman"/>
          <w:i/>
          <w:iCs/>
        </w:rPr>
        <w:fldChar w:fldCharType="end"/>
      </w:r>
      <w:r w:rsidRPr="003C0378">
        <w:rPr>
          <w:rFonts w:cs="Times New Roman"/>
          <w:i/>
          <w:iCs/>
        </w:rPr>
        <w:t>. Vertinime taikyti metodai</w:t>
      </w:r>
      <w:bookmarkEnd w:id="13"/>
      <w:bookmarkEnd w:id="14"/>
      <w:bookmarkEnd w:id="15"/>
      <w:bookmarkEnd w:id="16"/>
    </w:p>
    <w:tbl>
      <w:tblPr>
        <w:tblStyle w:val="Lentelstinklelis"/>
        <w:tblW w:w="0" w:type="auto"/>
        <w:tblLook w:val="04A0" w:firstRow="1" w:lastRow="0" w:firstColumn="1" w:lastColumn="0" w:noHBand="0" w:noVBand="1"/>
      </w:tblPr>
      <w:tblGrid>
        <w:gridCol w:w="2330"/>
        <w:gridCol w:w="3188"/>
        <w:gridCol w:w="4110"/>
      </w:tblGrid>
      <w:tr w:rsidR="00AE6647" w:rsidRPr="003C0378" w14:paraId="2E360001" w14:textId="77777777" w:rsidTr="00E24002">
        <w:trPr>
          <w:trHeight w:val="57"/>
          <w:tblHeader/>
        </w:trPr>
        <w:tc>
          <w:tcPr>
            <w:tcW w:w="2330" w:type="dxa"/>
            <w:vAlign w:val="center"/>
          </w:tcPr>
          <w:p w14:paraId="0A0A242E" w14:textId="77777777" w:rsidR="00AE6647" w:rsidRPr="003C0378" w:rsidRDefault="00AE6647" w:rsidP="006C0B37">
            <w:pPr>
              <w:spacing w:after="0"/>
              <w:ind w:firstLine="0"/>
              <w:jc w:val="center"/>
              <w:rPr>
                <w:b/>
                <w:sz w:val="20"/>
                <w:szCs w:val="20"/>
                <w:lang w:val="lt-LT"/>
              </w:rPr>
            </w:pPr>
            <w:r w:rsidRPr="003C0378">
              <w:rPr>
                <w:b/>
                <w:sz w:val="20"/>
                <w:lang w:val="lt-LT"/>
              </w:rPr>
              <w:t>Tema / skyrius</w:t>
            </w:r>
          </w:p>
        </w:tc>
        <w:tc>
          <w:tcPr>
            <w:tcW w:w="3188" w:type="dxa"/>
            <w:vAlign w:val="center"/>
          </w:tcPr>
          <w:p w14:paraId="421AB0AF" w14:textId="77777777" w:rsidR="00AE6647" w:rsidRPr="003C0378" w:rsidRDefault="00AE6647" w:rsidP="006C0B37">
            <w:pPr>
              <w:spacing w:after="0"/>
              <w:ind w:firstLine="0"/>
              <w:jc w:val="center"/>
              <w:rPr>
                <w:b/>
                <w:sz w:val="20"/>
                <w:szCs w:val="20"/>
                <w:lang w:val="lt-LT"/>
              </w:rPr>
            </w:pPr>
            <w:r w:rsidRPr="003C0378">
              <w:rPr>
                <w:b/>
                <w:sz w:val="20"/>
                <w:lang w:val="lt-LT"/>
              </w:rPr>
              <w:t>Taikyti metodai</w:t>
            </w:r>
          </w:p>
        </w:tc>
        <w:tc>
          <w:tcPr>
            <w:tcW w:w="4110" w:type="dxa"/>
            <w:vAlign w:val="center"/>
          </w:tcPr>
          <w:p w14:paraId="14F8F75A" w14:textId="77777777" w:rsidR="00AE6647" w:rsidRPr="003C0378" w:rsidRDefault="00AE6647" w:rsidP="006C0B37">
            <w:pPr>
              <w:spacing w:after="0"/>
              <w:ind w:firstLine="0"/>
              <w:jc w:val="center"/>
              <w:rPr>
                <w:b/>
                <w:sz w:val="20"/>
                <w:szCs w:val="20"/>
                <w:lang w:val="lt-LT"/>
              </w:rPr>
            </w:pPr>
            <w:r w:rsidRPr="003C0378">
              <w:rPr>
                <w:b/>
                <w:sz w:val="20"/>
                <w:lang w:val="lt-LT"/>
              </w:rPr>
              <w:t>Komentaras</w:t>
            </w:r>
          </w:p>
        </w:tc>
      </w:tr>
      <w:tr w:rsidR="00873BA4" w:rsidRPr="003C0378" w14:paraId="738D750A" w14:textId="77777777" w:rsidTr="00E24002">
        <w:trPr>
          <w:trHeight w:val="57"/>
        </w:trPr>
        <w:tc>
          <w:tcPr>
            <w:tcW w:w="2330" w:type="dxa"/>
          </w:tcPr>
          <w:p w14:paraId="68AAE4B4" w14:textId="7EB736EE" w:rsidR="00873BA4" w:rsidRPr="003C0378" w:rsidRDefault="00873BA4" w:rsidP="006C0B37">
            <w:pPr>
              <w:spacing w:after="0"/>
              <w:ind w:firstLine="0"/>
              <w:rPr>
                <w:sz w:val="20"/>
                <w:szCs w:val="20"/>
                <w:lang w:val="lt-LT"/>
              </w:rPr>
            </w:pPr>
            <w:r w:rsidRPr="003C0378">
              <w:rPr>
                <w:sz w:val="20"/>
                <w:lang w:val="lt-LT"/>
              </w:rPr>
              <w:t>Investicijų poreikio analizė</w:t>
            </w:r>
          </w:p>
        </w:tc>
        <w:tc>
          <w:tcPr>
            <w:tcW w:w="3188" w:type="dxa"/>
          </w:tcPr>
          <w:p w14:paraId="73C23997" w14:textId="77777777" w:rsidR="00873BA4" w:rsidRPr="003C0378" w:rsidRDefault="00873BA4" w:rsidP="006C0B37">
            <w:pPr>
              <w:pStyle w:val="Sraopastraipa"/>
              <w:numPr>
                <w:ilvl w:val="0"/>
                <w:numId w:val="15"/>
              </w:numPr>
              <w:spacing w:after="0"/>
              <w:rPr>
                <w:sz w:val="20"/>
                <w:szCs w:val="20"/>
                <w:lang w:val="lt-LT"/>
              </w:rPr>
            </w:pPr>
            <w:r w:rsidRPr="003C0378">
              <w:rPr>
                <w:sz w:val="20"/>
                <w:lang w:val="lt-LT"/>
              </w:rPr>
              <w:t>Strateginių dokumentų analizė</w:t>
            </w:r>
          </w:p>
          <w:p w14:paraId="7D283935" w14:textId="77777777" w:rsidR="00873BA4" w:rsidRPr="003C0378" w:rsidRDefault="00873BA4" w:rsidP="006C0B37">
            <w:pPr>
              <w:pStyle w:val="Sraopastraipa"/>
              <w:numPr>
                <w:ilvl w:val="0"/>
                <w:numId w:val="15"/>
              </w:numPr>
              <w:spacing w:after="0"/>
              <w:rPr>
                <w:sz w:val="20"/>
                <w:szCs w:val="20"/>
                <w:lang w:val="lt-LT"/>
              </w:rPr>
            </w:pPr>
            <w:r w:rsidRPr="003C0378">
              <w:rPr>
                <w:sz w:val="20"/>
                <w:lang w:val="lt-LT"/>
              </w:rPr>
              <w:t>Antrinių šaltinių analizė</w:t>
            </w:r>
          </w:p>
          <w:p w14:paraId="5A21E259" w14:textId="0B27A111" w:rsidR="00873BA4" w:rsidRPr="003C0378" w:rsidRDefault="00873BA4" w:rsidP="006C0B37">
            <w:pPr>
              <w:pStyle w:val="Sraopastraipa"/>
              <w:numPr>
                <w:ilvl w:val="0"/>
                <w:numId w:val="15"/>
              </w:numPr>
              <w:spacing w:after="0"/>
              <w:rPr>
                <w:sz w:val="20"/>
                <w:szCs w:val="20"/>
                <w:lang w:val="lt-LT"/>
              </w:rPr>
            </w:pPr>
            <w:r w:rsidRPr="003C0378">
              <w:rPr>
                <w:sz w:val="20"/>
                <w:lang w:val="lt-LT"/>
              </w:rPr>
              <w:t>Atliktų interviu medžiagos analizė</w:t>
            </w:r>
          </w:p>
        </w:tc>
        <w:tc>
          <w:tcPr>
            <w:tcW w:w="4110" w:type="dxa"/>
          </w:tcPr>
          <w:p w14:paraId="05181A58" w14:textId="757B1A54" w:rsidR="00E25024" w:rsidRPr="003C0378" w:rsidRDefault="00873BA4" w:rsidP="006C0B37">
            <w:pPr>
              <w:spacing w:after="0"/>
              <w:ind w:firstLine="0"/>
              <w:rPr>
                <w:sz w:val="20"/>
                <w:szCs w:val="20"/>
                <w:lang w:val="lt-LT"/>
              </w:rPr>
            </w:pPr>
            <w:r w:rsidRPr="003C0378">
              <w:rPr>
                <w:sz w:val="20"/>
                <w:szCs w:val="20"/>
                <w:lang w:val="lt-LT"/>
              </w:rPr>
              <w:t>Strateginių dokumentų (</w:t>
            </w:r>
            <w:r w:rsidR="00E25024" w:rsidRPr="003C0378">
              <w:rPr>
                <w:sz w:val="20"/>
                <w:szCs w:val="20"/>
                <w:lang w:val="lt-LT"/>
              </w:rPr>
              <w:t>AEI direktyvos, NEKSVP, LR atsinaujinančių išteklių energetikos įstatymas</w:t>
            </w:r>
            <w:r w:rsidR="008B7BFF" w:rsidRPr="003C0378">
              <w:rPr>
                <w:sz w:val="20"/>
                <w:szCs w:val="20"/>
                <w:lang w:val="lt-LT"/>
              </w:rPr>
              <w:t xml:space="preserve"> ir kt.</w:t>
            </w:r>
            <w:r w:rsidRPr="003C0378">
              <w:rPr>
                <w:sz w:val="20"/>
                <w:szCs w:val="20"/>
                <w:lang w:val="lt-LT"/>
              </w:rPr>
              <w:t xml:space="preserve">) analizė leido identifikuoti </w:t>
            </w:r>
            <w:r w:rsidR="00E25024" w:rsidRPr="003C0378">
              <w:rPr>
                <w:sz w:val="20"/>
                <w:szCs w:val="20"/>
                <w:lang w:val="lt-LT"/>
              </w:rPr>
              <w:t>AEI</w:t>
            </w:r>
            <w:r w:rsidRPr="003C0378">
              <w:rPr>
                <w:sz w:val="20"/>
                <w:szCs w:val="20"/>
                <w:lang w:val="lt-LT"/>
              </w:rPr>
              <w:t xml:space="preserve"> investicijų paklausą, kuri </w:t>
            </w:r>
            <w:r w:rsidR="00B00962">
              <w:rPr>
                <w:sz w:val="20"/>
                <w:szCs w:val="20"/>
                <w:lang w:val="lt-LT"/>
              </w:rPr>
              <w:t xml:space="preserve">kyla </w:t>
            </w:r>
            <w:r w:rsidRPr="003C0378">
              <w:rPr>
                <w:sz w:val="20"/>
                <w:szCs w:val="20"/>
                <w:lang w:val="lt-LT"/>
              </w:rPr>
              <w:t>iš Lietuv</w:t>
            </w:r>
            <w:r w:rsidR="00E25024" w:rsidRPr="003C0378">
              <w:rPr>
                <w:sz w:val="20"/>
                <w:szCs w:val="20"/>
                <w:lang w:val="lt-LT"/>
              </w:rPr>
              <w:t>os strateginių įsipareigojimų ir nacionalinių tikslų AEI srityje</w:t>
            </w:r>
            <w:r w:rsidRPr="003C0378">
              <w:rPr>
                <w:sz w:val="20"/>
                <w:szCs w:val="20"/>
                <w:lang w:val="lt-LT"/>
              </w:rPr>
              <w:t xml:space="preserve"> 202</w:t>
            </w:r>
            <w:r w:rsidR="00940AF9" w:rsidRPr="003C0378">
              <w:rPr>
                <w:sz w:val="20"/>
                <w:szCs w:val="20"/>
                <w:lang w:val="lt-LT"/>
              </w:rPr>
              <w:t>1</w:t>
            </w:r>
            <w:r w:rsidRPr="003C0378">
              <w:rPr>
                <w:bCs/>
                <w:sz w:val="20"/>
                <w:szCs w:val="20"/>
                <w:lang w:val="lt-LT"/>
              </w:rPr>
              <w:t>–</w:t>
            </w:r>
            <w:r w:rsidRPr="003C0378">
              <w:rPr>
                <w:sz w:val="20"/>
                <w:szCs w:val="20"/>
                <w:lang w:val="lt-LT"/>
              </w:rPr>
              <w:t>2030 m. laikotarpiu.</w:t>
            </w:r>
            <w:r w:rsidR="00E25024" w:rsidRPr="003C0378">
              <w:rPr>
                <w:sz w:val="20"/>
                <w:szCs w:val="20"/>
                <w:lang w:val="lt-LT"/>
              </w:rPr>
              <w:t xml:space="preserve"> AEI investicijų paklausa taip pat buvo </w:t>
            </w:r>
            <w:r w:rsidR="00EF4C63">
              <w:rPr>
                <w:sz w:val="20"/>
                <w:szCs w:val="20"/>
                <w:lang w:val="lt-LT"/>
              </w:rPr>
              <w:t>ap</w:t>
            </w:r>
            <w:r w:rsidR="00E25024" w:rsidRPr="003C0378">
              <w:rPr>
                <w:sz w:val="20"/>
                <w:szCs w:val="20"/>
                <w:lang w:val="lt-LT"/>
              </w:rPr>
              <w:t xml:space="preserve">skaičiuota alternatyviu būdu – identifikuojant </w:t>
            </w:r>
            <w:r w:rsidR="00CA1C79" w:rsidRPr="003C0378">
              <w:rPr>
                <w:sz w:val="20"/>
                <w:szCs w:val="20"/>
                <w:lang w:val="lt-LT"/>
              </w:rPr>
              <w:t>paklausą</w:t>
            </w:r>
            <w:r w:rsidR="00E25024" w:rsidRPr="003C0378">
              <w:rPr>
                <w:sz w:val="20"/>
                <w:szCs w:val="20"/>
                <w:lang w:val="lt-LT"/>
              </w:rPr>
              <w:t xml:space="preserve"> atskirose tikslinėse grupėse ir remiantis anketinių apklausų metu surinkta informacija ir antrinių šaltinių analize.</w:t>
            </w:r>
          </w:p>
          <w:p w14:paraId="0A5AB191" w14:textId="050A36AE" w:rsidR="00873BA4" w:rsidRPr="003C0378" w:rsidRDefault="00E25024" w:rsidP="006C0B37">
            <w:pPr>
              <w:spacing w:after="0"/>
              <w:ind w:firstLine="0"/>
              <w:rPr>
                <w:sz w:val="20"/>
                <w:szCs w:val="20"/>
                <w:lang w:val="lt-LT"/>
              </w:rPr>
            </w:pPr>
            <w:r w:rsidRPr="003C0378">
              <w:rPr>
                <w:sz w:val="20"/>
                <w:szCs w:val="20"/>
                <w:lang w:val="lt-LT"/>
              </w:rPr>
              <w:t>S</w:t>
            </w:r>
            <w:r w:rsidR="00873BA4" w:rsidRPr="003C0378">
              <w:rPr>
                <w:sz w:val="20"/>
                <w:szCs w:val="20"/>
                <w:lang w:val="lt-LT"/>
              </w:rPr>
              <w:t>trateginių dokumentų (2014–2020 m. Europos Sąjungos fondų investicijų veiksmų programa (toliau – 2014</w:t>
            </w:r>
            <w:r w:rsidR="00873BA4" w:rsidRPr="003C0378">
              <w:rPr>
                <w:bCs/>
                <w:sz w:val="20"/>
                <w:szCs w:val="20"/>
                <w:lang w:val="lt-LT"/>
              </w:rPr>
              <w:t>–</w:t>
            </w:r>
            <w:r w:rsidR="00873BA4" w:rsidRPr="003C0378">
              <w:rPr>
                <w:sz w:val="20"/>
                <w:szCs w:val="20"/>
                <w:lang w:val="lt-LT"/>
              </w:rPr>
              <w:t>2020 VP), 2021–2027 m. Europos Sąjungos fondų investicijų programa (toliau – 2021</w:t>
            </w:r>
            <w:r w:rsidR="00873BA4" w:rsidRPr="003C0378">
              <w:rPr>
                <w:bCs/>
                <w:sz w:val="20"/>
                <w:szCs w:val="20"/>
                <w:lang w:val="lt-LT"/>
              </w:rPr>
              <w:t>–</w:t>
            </w:r>
            <w:r w:rsidR="00873BA4" w:rsidRPr="003C0378">
              <w:rPr>
                <w:sz w:val="20"/>
                <w:szCs w:val="20"/>
                <w:lang w:val="lt-LT"/>
              </w:rPr>
              <w:t>2027 IP), Ekonomikos gaivinimo ir atsparumo didinimo planas (toliau – EGADP)) analizė leido identifikuoti</w:t>
            </w:r>
            <w:r w:rsidR="00CA1C79" w:rsidRPr="003C0378">
              <w:rPr>
                <w:sz w:val="20"/>
                <w:szCs w:val="20"/>
                <w:lang w:val="lt-LT"/>
              </w:rPr>
              <w:t>,</w:t>
            </w:r>
            <w:r w:rsidR="00873BA4" w:rsidRPr="003C0378">
              <w:rPr>
                <w:sz w:val="20"/>
                <w:szCs w:val="20"/>
                <w:lang w:val="lt-LT"/>
              </w:rPr>
              <w:t xml:space="preserve"> kokia yra tikėtina ES SF finansavimo pasiūla 202</w:t>
            </w:r>
            <w:r w:rsidR="00940AF9" w:rsidRPr="003C0378">
              <w:rPr>
                <w:sz w:val="20"/>
                <w:szCs w:val="20"/>
                <w:lang w:val="lt-LT"/>
              </w:rPr>
              <w:t>1</w:t>
            </w:r>
            <w:r w:rsidR="00873BA4" w:rsidRPr="003C0378">
              <w:rPr>
                <w:bCs/>
                <w:sz w:val="20"/>
                <w:szCs w:val="20"/>
                <w:lang w:val="lt-LT"/>
              </w:rPr>
              <w:t>–</w:t>
            </w:r>
            <w:r w:rsidR="00873BA4" w:rsidRPr="003C0378">
              <w:rPr>
                <w:sz w:val="20"/>
                <w:szCs w:val="20"/>
                <w:lang w:val="lt-LT"/>
              </w:rPr>
              <w:t xml:space="preserve">2030 m. </w:t>
            </w:r>
            <w:r w:rsidR="00CA1C79" w:rsidRPr="003C0378">
              <w:rPr>
                <w:sz w:val="20"/>
                <w:szCs w:val="20"/>
                <w:lang w:val="lt-LT"/>
              </w:rPr>
              <w:t>AEI</w:t>
            </w:r>
            <w:r w:rsidR="00873BA4" w:rsidRPr="003C0378">
              <w:rPr>
                <w:sz w:val="20"/>
                <w:szCs w:val="20"/>
                <w:lang w:val="lt-LT"/>
              </w:rPr>
              <w:t xml:space="preserve"> tikslų įgyvendinimui</w:t>
            </w:r>
            <w:r w:rsidR="00940AF9" w:rsidRPr="003C0378">
              <w:rPr>
                <w:sz w:val="20"/>
                <w:szCs w:val="20"/>
                <w:lang w:val="lt-LT"/>
              </w:rPr>
              <w:t>. I</w:t>
            </w:r>
            <w:r w:rsidR="00873BA4" w:rsidRPr="003C0378">
              <w:rPr>
                <w:sz w:val="20"/>
                <w:szCs w:val="20"/>
                <w:lang w:val="lt-LT"/>
              </w:rPr>
              <w:t>nterviu medžiagos analizė</w:t>
            </w:r>
            <w:r w:rsidR="00940AF9" w:rsidRPr="003C0378">
              <w:rPr>
                <w:sz w:val="20"/>
                <w:szCs w:val="20"/>
                <w:lang w:val="lt-LT"/>
              </w:rPr>
              <w:t xml:space="preserve">, LR </w:t>
            </w:r>
            <w:r w:rsidR="00017E4B">
              <w:rPr>
                <w:sz w:val="20"/>
                <w:szCs w:val="20"/>
                <w:lang w:val="lt-LT"/>
              </w:rPr>
              <w:t>E</w:t>
            </w:r>
            <w:r w:rsidR="00940AF9" w:rsidRPr="003C0378">
              <w:rPr>
                <w:sz w:val="20"/>
                <w:szCs w:val="20"/>
                <w:lang w:val="lt-LT"/>
              </w:rPr>
              <w:t xml:space="preserve">nergetikos, </w:t>
            </w:r>
            <w:r w:rsidR="00017E4B">
              <w:rPr>
                <w:sz w:val="20"/>
                <w:szCs w:val="20"/>
                <w:lang w:val="lt-LT"/>
              </w:rPr>
              <w:t>A</w:t>
            </w:r>
            <w:r w:rsidR="00940AF9" w:rsidRPr="003C0378">
              <w:rPr>
                <w:sz w:val="20"/>
                <w:szCs w:val="20"/>
                <w:lang w:val="lt-LT"/>
              </w:rPr>
              <w:t xml:space="preserve">plinkos, </w:t>
            </w:r>
            <w:r w:rsidR="00017E4B">
              <w:rPr>
                <w:sz w:val="20"/>
                <w:szCs w:val="20"/>
                <w:lang w:val="lt-LT"/>
              </w:rPr>
              <w:t>E</w:t>
            </w:r>
            <w:r w:rsidR="00940AF9" w:rsidRPr="003C0378">
              <w:rPr>
                <w:sz w:val="20"/>
                <w:szCs w:val="20"/>
                <w:lang w:val="lt-LT"/>
              </w:rPr>
              <w:t>konomikos ir inovacijos ministerijų pažangos priemonių</w:t>
            </w:r>
            <w:r w:rsidR="00873BA4" w:rsidRPr="003C0378">
              <w:rPr>
                <w:sz w:val="20"/>
                <w:szCs w:val="20"/>
                <w:lang w:val="lt-LT"/>
              </w:rPr>
              <w:t xml:space="preserve"> ir antrinių šaltinių analizė leido</w:t>
            </w:r>
            <w:r w:rsidR="00940AF9" w:rsidRPr="003C0378">
              <w:rPr>
                <w:sz w:val="20"/>
                <w:szCs w:val="20"/>
                <w:lang w:val="lt-LT"/>
              </w:rPr>
              <w:t xml:space="preserve"> papildomai identifikuoti </w:t>
            </w:r>
            <w:r w:rsidR="007D75C9">
              <w:rPr>
                <w:sz w:val="20"/>
                <w:szCs w:val="20"/>
                <w:lang w:val="lt-LT"/>
              </w:rPr>
              <w:t>kitų nei</w:t>
            </w:r>
            <w:r w:rsidR="00940AF9" w:rsidRPr="003C0378">
              <w:rPr>
                <w:sz w:val="20"/>
                <w:szCs w:val="20"/>
                <w:lang w:val="lt-LT"/>
              </w:rPr>
              <w:t xml:space="preserve"> ES SF lėšų prieinamumą</w:t>
            </w:r>
            <w:r w:rsidR="00873BA4" w:rsidRPr="003C0378">
              <w:rPr>
                <w:sz w:val="20"/>
                <w:szCs w:val="20"/>
                <w:lang w:val="lt-LT"/>
              </w:rPr>
              <w:t xml:space="preserve"> </w:t>
            </w:r>
            <w:r w:rsidR="00940AF9" w:rsidRPr="003C0378">
              <w:rPr>
                <w:sz w:val="20"/>
                <w:szCs w:val="20"/>
                <w:lang w:val="lt-LT"/>
              </w:rPr>
              <w:t xml:space="preserve">/ </w:t>
            </w:r>
            <w:r w:rsidR="00873BA4" w:rsidRPr="003C0378">
              <w:rPr>
                <w:sz w:val="20"/>
                <w:szCs w:val="20"/>
                <w:lang w:val="lt-LT"/>
              </w:rPr>
              <w:t>finansavimo pasiūlą 202</w:t>
            </w:r>
            <w:r w:rsidR="00940AF9" w:rsidRPr="003C0378">
              <w:rPr>
                <w:sz w:val="20"/>
                <w:szCs w:val="20"/>
                <w:lang w:val="lt-LT"/>
              </w:rPr>
              <w:t>1</w:t>
            </w:r>
            <w:r w:rsidR="00873BA4" w:rsidRPr="003C0378">
              <w:rPr>
                <w:bCs/>
                <w:sz w:val="20"/>
                <w:szCs w:val="20"/>
                <w:lang w:val="lt-LT"/>
              </w:rPr>
              <w:t>–</w:t>
            </w:r>
            <w:r w:rsidRPr="003C0378">
              <w:rPr>
                <w:sz w:val="20"/>
                <w:szCs w:val="20"/>
                <w:lang w:val="lt-LT"/>
              </w:rPr>
              <w:t xml:space="preserve">2030 m. AEI </w:t>
            </w:r>
            <w:r w:rsidR="00873BA4" w:rsidRPr="003C0378">
              <w:rPr>
                <w:sz w:val="20"/>
                <w:szCs w:val="20"/>
                <w:lang w:val="lt-LT"/>
              </w:rPr>
              <w:t>tikslų įgyvendinimui.</w:t>
            </w:r>
            <w:r w:rsidR="00053D65" w:rsidRPr="003C0378">
              <w:rPr>
                <w:sz w:val="20"/>
                <w:szCs w:val="20"/>
                <w:lang w:val="lt-LT"/>
              </w:rPr>
              <w:t xml:space="preserve"> </w:t>
            </w:r>
            <w:r w:rsidR="00940AF9" w:rsidRPr="003C0378">
              <w:rPr>
                <w:sz w:val="20"/>
                <w:szCs w:val="20"/>
                <w:lang w:val="lt-LT"/>
              </w:rPr>
              <w:t>Taigi, v</w:t>
            </w:r>
            <w:r w:rsidR="00053D65" w:rsidRPr="003C0378">
              <w:rPr>
                <w:sz w:val="20"/>
                <w:szCs w:val="20"/>
                <w:lang w:val="lt-LT"/>
              </w:rPr>
              <w:t xml:space="preserve">ertintojai taip pat išanalizavo ir įvertino kitų lėšų šaltinių (kaip </w:t>
            </w:r>
            <w:r w:rsidR="00053D65" w:rsidRPr="003C0378">
              <w:rPr>
                <w:sz w:val="20"/>
                <w:szCs w:val="20"/>
                <w:lang w:val="lt-LT"/>
              </w:rPr>
              <w:lastRenderedPageBreak/>
              <w:t>antai, Klimato kaitos programa, Modernizavimo fondas, valstybės biudžeto lėšos, lėšos gautos už parduotus statistinius rodiklius ir pan.)</w:t>
            </w:r>
            <w:r w:rsidR="00940AF9" w:rsidRPr="003C0378">
              <w:rPr>
                <w:sz w:val="20"/>
                <w:szCs w:val="20"/>
                <w:lang w:val="lt-LT"/>
              </w:rPr>
              <w:t xml:space="preserve"> prieinamumą AEI tikslų pasiekimui.</w:t>
            </w:r>
          </w:p>
          <w:p w14:paraId="411C3E43" w14:textId="2AFE24E9" w:rsidR="00E25024" w:rsidRPr="003C0378" w:rsidRDefault="00873BA4" w:rsidP="006C0B37">
            <w:pPr>
              <w:spacing w:after="0"/>
              <w:ind w:firstLine="0"/>
              <w:rPr>
                <w:sz w:val="20"/>
                <w:szCs w:val="20"/>
                <w:lang w:val="lt-LT"/>
              </w:rPr>
            </w:pPr>
            <w:r w:rsidRPr="003C0378">
              <w:rPr>
                <w:sz w:val="20"/>
                <w:szCs w:val="20"/>
                <w:lang w:val="lt-LT"/>
              </w:rPr>
              <w:t>Identifikavus investicijų paklausą ir pasiūlą 2021</w:t>
            </w:r>
            <w:r w:rsidRPr="003C0378">
              <w:rPr>
                <w:bCs/>
                <w:sz w:val="20"/>
                <w:szCs w:val="20"/>
                <w:lang w:val="lt-LT"/>
              </w:rPr>
              <w:t>–</w:t>
            </w:r>
            <w:r w:rsidRPr="003C0378">
              <w:rPr>
                <w:sz w:val="20"/>
                <w:szCs w:val="20"/>
                <w:lang w:val="lt-LT"/>
              </w:rPr>
              <w:t>2030 m. laikotarpiu, buvo apskaičiuotas finansavimo trūkumas.</w:t>
            </w:r>
          </w:p>
        </w:tc>
      </w:tr>
      <w:tr w:rsidR="00873BA4" w:rsidRPr="003C0378" w14:paraId="399549F0" w14:textId="77777777" w:rsidTr="00E24002">
        <w:trPr>
          <w:trHeight w:val="57"/>
        </w:trPr>
        <w:tc>
          <w:tcPr>
            <w:tcW w:w="2330" w:type="dxa"/>
          </w:tcPr>
          <w:p w14:paraId="14D005A2" w14:textId="08FF91A2" w:rsidR="00873BA4" w:rsidRPr="003C0378" w:rsidRDefault="00873BA4" w:rsidP="006C0B37">
            <w:pPr>
              <w:spacing w:after="0"/>
              <w:ind w:firstLine="0"/>
              <w:rPr>
                <w:sz w:val="20"/>
                <w:szCs w:val="20"/>
                <w:lang w:val="lt-LT"/>
              </w:rPr>
            </w:pPr>
            <w:r w:rsidRPr="003C0378">
              <w:rPr>
                <w:sz w:val="20"/>
                <w:lang w:val="lt-LT"/>
              </w:rPr>
              <w:lastRenderedPageBreak/>
              <w:t>Jautrumo analizė</w:t>
            </w:r>
          </w:p>
        </w:tc>
        <w:tc>
          <w:tcPr>
            <w:tcW w:w="3188" w:type="dxa"/>
          </w:tcPr>
          <w:p w14:paraId="56DC04DA" w14:textId="77777777" w:rsidR="00873BA4" w:rsidRPr="003C0378" w:rsidRDefault="00873BA4" w:rsidP="006C0B37">
            <w:pPr>
              <w:pStyle w:val="Sraopastraipa"/>
              <w:numPr>
                <w:ilvl w:val="0"/>
                <w:numId w:val="16"/>
              </w:numPr>
              <w:spacing w:after="0"/>
              <w:rPr>
                <w:sz w:val="20"/>
                <w:szCs w:val="20"/>
                <w:lang w:val="lt-LT"/>
              </w:rPr>
            </w:pPr>
            <w:r w:rsidRPr="003C0378">
              <w:rPr>
                <w:sz w:val="20"/>
                <w:lang w:val="lt-LT"/>
              </w:rPr>
              <w:t>Antrinių šaltinių analizė</w:t>
            </w:r>
          </w:p>
          <w:p w14:paraId="51B3016D" w14:textId="77777777" w:rsidR="00873BA4" w:rsidRPr="003C0378" w:rsidRDefault="00873BA4" w:rsidP="006C0B37">
            <w:pPr>
              <w:pStyle w:val="Sraopastraipa"/>
              <w:numPr>
                <w:ilvl w:val="0"/>
                <w:numId w:val="16"/>
              </w:numPr>
              <w:spacing w:after="0"/>
              <w:rPr>
                <w:sz w:val="20"/>
                <w:szCs w:val="20"/>
                <w:lang w:val="lt-LT"/>
              </w:rPr>
            </w:pPr>
            <w:r w:rsidRPr="003C0378">
              <w:rPr>
                <w:sz w:val="20"/>
                <w:lang w:val="lt-LT"/>
              </w:rPr>
              <w:t>Statistinių duomenų analizė</w:t>
            </w:r>
          </w:p>
          <w:p w14:paraId="5B4A9175" w14:textId="77777777" w:rsidR="00873BA4" w:rsidRPr="003C0378" w:rsidRDefault="00873BA4" w:rsidP="006C0B37">
            <w:pPr>
              <w:pStyle w:val="Sraopastraipa"/>
              <w:numPr>
                <w:ilvl w:val="0"/>
                <w:numId w:val="16"/>
              </w:numPr>
              <w:spacing w:after="0"/>
              <w:rPr>
                <w:sz w:val="20"/>
                <w:szCs w:val="20"/>
                <w:lang w:val="lt-LT"/>
              </w:rPr>
            </w:pPr>
            <w:r w:rsidRPr="003C0378">
              <w:rPr>
                <w:sz w:val="20"/>
                <w:lang w:val="lt-LT"/>
              </w:rPr>
              <w:t>Ekspertinis vertinimas</w:t>
            </w:r>
          </w:p>
          <w:p w14:paraId="0FBD3F3B" w14:textId="56BB0DB2" w:rsidR="00873BA4" w:rsidRPr="003C0378" w:rsidRDefault="00873BA4" w:rsidP="006C0B37">
            <w:pPr>
              <w:pStyle w:val="Sraopastraipa"/>
              <w:numPr>
                <w:ilvl w:val="0"/>
                <w:numId w:val="16"/>
              </w:numPr>
              <w:spacing w:after="0"/>
              <w:rPr>
                <w:sz w:val="20"/>
                <w:szCs w:val="20"/>
                <w:lang w:val="lt-LT"/>
              </w:rPr>
            </w:pPr>
            <w:r w:rsidRPr="003C0378">
              <w:rPr>
                <w:sz w:val="20"/>
                <w:lang w:val="lt-LT"/>
              </w:rPr>
              <w:t>Atliktų interviu medžiagos analizė</w:t>
            </w:r>
          </w:p>
        </w:tc>
        <w:tc>
          <w:tcPr>
            <w:tcW w:w="4110" w:type="dxa"/>
          </w:tcPr>
          <w:p w14:paraId="1AC78774" w14:textId="18F8DA0B" w:rsidR="00E25024" w:rsidRPr="003C0378" w:rsidRDefault="00873BA4" w:rsidP="006C0B37">
            <w:pPr>
              <w:spacing w:after="0"/>
              <w:ind w:firstLine="0"/>
              <w:rPr>
                <w:sz w:val="20"/>
                <w:szCs w:val="20"/>
                <w:lang w:val="lt-LT"/>
              </w:rPr>
            </w:pPr>
            <w:r w:rsidRPr="003C0378">
              <w:rPr>
                <w:sz w:val="20"/>
                <w:szCs w:val="20"/>
                <w:lang w:val="lt-LT"/>
              </w:rPr>
              <w:t>Antrinių šaltinių analizė ir atliktų interviu medžiagos</w:t>
            </w:r>
            <w:r w:rsidR="00CA1C79" w:rsidRPr="003C0378">
              <w:rPr>
                <w:sz w:val="20"/>
                <w:szCs w:val="20"/>
                <w:lang w:val="lt-LT"/>
              </w:rPr>
              <w:t xml:space="preserve"> analizė</w:t>
            </w:r>
            <w:r w:rsidRPr="003C0378">
              <w:rPr>
                <w:sz w:val="20"/>
                <w:szCs w:val="20"/>
                <w:lang w:val="lt-LT"/>
              </w:rPr>
              <w:t xml:space="preserve"> leido identifikuoti</w:t>
            </w:r>
            <w:r w:rsidR="00E25024" w:rsidRPr="003C0378">
              <w:rPr>
                <w:sz w:val="20"/>
                <w:szCs w:val="20"/>
                <w:lang w:val="lt-LT"/>
              </w:rPr>
              <w:t xml:space="preserve"> svarius veiksnius / parametrus ir jų įverčius, turinčius įtaką AEI projektų atsiperkamumui.</w:t>
            </w:r>
          </w:p>
          <w:p w14:paraId="6A2F7480" w14:textId="50ED5890" w:rsidR="00E25024" w:rsidRPr="003C0378" w:rsidRDefault="00E25024" w:rsidP="006C0B37">
            <w:pPr>
              <w:spacing w:after="0"/>
              <w:ind w:firstLine="0"/>
              <w:rPr>
                <w:sz w:val="20"/>
                <w:szCs w:val="20"/>
                <w:lang w:val="lt-LT"/>
              </w:rPr>
            </w:pPr>
            <w:r w:rsidRPr="003C0378">
              <w:rPr>
                <w:sz w:val="20"/>
                <w:szCs w:val="20"/>
                <w:lang w:val="lt-LT"/>
              </w:rPr>
              <w:t xml:space="preserve">Identifikavus visus jautrumo analizės parametrus, </w:t>
            </w:r>
            <w:r w:rsidR="00ED19D5" w:rsidRPr="003C0378">
              <w:rPr>
                <w:sz w:val="20"/>
                <w:szCs w:val="20"/>
                <w:lang w:val="lt-LT"/>
              </w:rPr>
              <w:t>Vertintojai</w:t>
            </w:r>
            <w:r w:rsidRPr="003C0378">
              <w:rPr>
                <w:sz w:val="20"/>
                <w:szCs w:val="20"/>
                <w:lang w:val="lt-LT"/>
              </w:rPr>
              <w:t xml:space="preserve"> atliko jautrumo analizę ir apskaičiavo </w:t>
            </w:r>
            <w:r w:rsidR="00940AF9" w:rsidRPr="003C0378">
              <w:rPr>
                <w:sz w:val="20"/>
                <w:szCs w:val="20"/>
                <w:lang w:val="lt-LT"/>
              </w:rPr>
              <w:t>AEI projektų atsiperkamumą ir skirtingų veiksnių įtaką AEI projektų atsiperkamumui skirtingose tikslinėse grupėse.</w:t>
            </w:r>
          </w:p>
        </w:tc>
      </w:tr>
      <w:tr w:rsidR="00873BA4" w:rsidRPr="003C0378" w14:paraId="0CDAA149" w14:textId="77777777" w:rsidTr="00E24002">
        <w:trPr>
          <w:trHeight w:val="57"/>
        </w:trPr>
        <w:tc>
          <w:tcPr>
            <w:tcW w:w="2330" w:type="dxa"/>
          </w:tcPr>
          <w:p w14:paraId="2F424432" w14:textId="73A425DC" w:rsidR="00873BA4" w:rsidRPr="003C0378" w:rsidRDefault="00873BA4" w:rsidP="006C0B37">
            <w:pPr>
              <w:spacing w:after="0"/>
              <w:ind w:firstLine="0"/>
              <w:rPr>
                <w:sz w:val="20"/>
                <w:szCs w:val="20"/>
                <w:lang w:val="lt-LT"/>
              </w:rPr>
            </w:pPr>
            <w:r w:rsidRPr="003C0378">
              <w:rPr>
                <w:sz w:val="20"/>
                <w:lang w:val="lt-LT"/>
              </w:rPr>
              <w:t>Siūlomi finansiniai produktai ir investavimo strategija</w:t>
            </w:r>
          </w:p>
        </w:tc>
        <w:tc>
          <w:tcPr>
            <w:tcW w:w="3188" w:type="dxa"/>
          </w:tcPr>
          <w:p w14:paraId="7765BB6C" w14:textId="77777777" w:rsidR="00873BA4" w:rsidRPr="003C0378" w:rsidRDefault="00873BA4" w:rsidP="006C0B37">
            <w:pPr>
              <w:pStyle w:val="Sraopastraipa"/>
              <w:numPr>
                <w:ilvl w:val="0"/>
                <w:numId w:val="17"/>
              </w:numPr>
              <w:spacing w:after="0"/>
              <w:rPr>
                <w:sz w:val="20"/>
                <w:szCs w:val="20"/>
                <w:lang w:val="lt-LT"/>
              </w:rPr>
            </w:pPr>
            <w:r w:rsidRPr="003C0378">
              <w:rPr>
                <w:sz w:val="20"/>
                <w:lang w:val="lt-LT"/>
              </w:rPr>
              <w:t>Strateginių dokumentų analizė</w:t>
            </w:r>
          </w:p>
          <w:p w14:paraId="14D40989" w14:textId="77777777" w:rsidR="00873BA4" w:rsidRPr="003C0378" w:rsidRDefault="00873BA4" w:rsidP="006C0B37">
            <w:pPr>
              <w:pStyle w:val="Sraopastraipa"/>
              <w:numPr>
                <w:ilvl w:val="0"/>
                <w:numId w:val="17"/>
              </w:numPr>
              <w:spacing w:after="0"/>
              <w:rPr>
                <w:sz w:val="20"/>
                <w:szCs w:val="20"/>
                <w:lang w:val="lt-LT"/>
              </w:rPr>
            </w:pPr>
            <w:r w:rsidRPr="003C0378">
              <w:rPr>
                <w:sz w:val="20"/>
                <w:lang w:val="lt-LT"/>
              </w:rPr>
              <w:t>Antrinių šaltinių analizė</w:t>
            </w:r>
          </w:p>
          <w:p w14:paraId="257E8471" w14:textId="77777777" w:rsidR="00873BA4" w:rsidRPr="003C0378" w:rsidRDefault="00873BA4" w:rsidP="006C0B37">
            <w:pPr>
              <w:pStyle w:val="Sraopastraipa"/>
              <w:numPr>
                <w:ilvl w:val="0"/>
                <w:numId w:val="17"/>
              </w:numPr>
              <w:spacing w:after="0"/>
              <w:rPr>
                <w:sz w:val="20"/>
                <w:szCs w:val="20"/>
                <w:lang w:val="lt-LT"/>
              </w:rPr>
            </w:pPr>
            <w:r w:rsidRPr="003C0378">
              <w:rPr>
                <w:sz w:val="20"/>
                <w:lang w:val="lt-LT"/>
              </w:rPr>
              <w:t>Atliktų interviu medžiagos analizė</w:t>
            </w:r>
          </w:p>
          <w:p w14:paraId="28F12198" w14:textId="01ABBB52" w:rsidR="00873BA4" w:rsidRPr="003C0378" w:rsidRDefault="00873BA4" w:rsidP="006C0B37">
            <w:pPr>
              <w:pStyle w:val="Sraopastraipa"/>
              <w:numPr>
                <w:ilvl w:val="0"/>
                <w:numId w:val="17"/>
              </w:numPr>
              <w:spacing w:after="0"/>
              <w:rPr>
                <w:sz w:val="20"/>
                <w:szCs w:val="20"/>
                <w:lang w:val="lt-LT"/>
              </w:rPr>
            </w:pPr>
            <w:r w:rsidRPr="003C0378">
              <w:rPr>
                <w:sz w:val="20"/>
                <w:lang w:val="lt-LT"/>
              </w:rPr>
              <w:t>Ekspertinis vertinimas</w:t>
            </w:r>
          </w:p>
        </w:tc>
        <w:tc>
          <w:tcPr>
            <w:tcW w:w="4110" w:type="dxa"/>
          </w:tcPr>
          <w:p w14:paraId="46758030" w14:textId="59297B09" w:rsidR="00873BA4" w:rsidRPr="003C0378" w:rsidRDefault="00873BA4" w:rsidP="006C0B37">
            <w:pPr>
              <w:spacing w:after="0"/>
              <w:ind w:firstLine="0"/>
              <w:rPr>
                <w:sz w:val="20"/>
                <w:szCs w:val="20"/>
                <w:lang w:val="lt-LT"/>
              </w:rPr>
            </w:pPr>
            <w:r w:rsidRPr="003C0378">
              <w:rPr>
                <w:sz w:val="20"/>
                <w:szCs w:val="20"/>
                <w:lang w:val="lt-LT"/>
              </w:rPr>
              <w:t>Atliktų interviu medžiagos analizė, antrinių šaltinių analizė ir strateginių dokumentų analizė leido apžvelgti Lietuvos patirtį taikant FP</w:t>
            </w:r>
            <w:r w:rsidR="005C005C" w:rsidRPr="003C0378">
              <w:rPr>
                <w:sz w:val="20"/>
                <w:szCs w:val="20"/>
                <w:lang w:val="lt-LT"/>
              </w:rPr>
              <w:t xml:space="preserve"> ir įgyvendinant įvairias </w:t>
            </w:r>
            <w:r w:rsidR="00ED1180">
              <w:rPr>
                <w:sz w:val="20"/>
                <w:szCs w:val="20"/>
                <w:lang w:val="lt-LT"/>
              </w:rPr>
              <w:t xml:space="preserve">kitas </w:t>
            </w:r>
            <w:r w:rsidR="005C005C" w:rsidRPr="003C0378">
              <w:rPr>
                <w:sz w:val="20"/>
                <w:szCs w:val="20"/>
                <w:lang w:val="lt-LT"/>
              </w:rPr>
              <w:t>paramos priemones</w:t>
            </w:r>
            <w:r w:rsidRPr="003C0378">
              <w:rPr>
                <w:sz w:val="20"/>
                <w:szCs w:val="20"/>
                <w:lang w:val="lt-LT"/>
              </w:rPr>
              <w:t xml:space="preserve"> </w:t>
            </w:r>
            <w:r w:rsidR="004E7225" w:rsidRPr="003C0378">
              <w:rPr>
                <w:sz w:val="20"/>
                <w:szCs w:val="20"/>
                <w:lang w:val="lt-LT"/>
              </w:rPr>
              <w:t>AEI</w:t>
            </w:r>
            <w:r w:rsidRPr="003C0378">
              <w:rPr>
                <w:sz w:val="20"/>
                <w:szCs w:val="20"/>
                <w:lang w:val="lt-LT"/>
              </w:rPr>
              <w:t xml:space="preserve"> srityje. Svarbu pasteb</w:t>
            </w:r>
            <w:r w:rsidR="004E7225" w:rsidRPr="003C0378">
              <w:rPr>
                <w:sz w:val="20"/>
                <w:szCs w:val="20"/>
                <w:lang w:val="lt-LT"/>
              </w:rPr>
              <w:t xml:space="preserve">ėti, kad atlikti interviu su AEI </w:t>
            </w:r>
            <w:r w:rsidR="00500663">
              <w:rPr>
                <w:sz w:val="20"/>
                <w:szCs w:val="20"/>
                <w:lang w:val="lt-LT"/>
              </w:rPr>
              <w:t>plėtrą skatinančiomis</w:t>
            </w:r>
            <w:r w:rsidR="004E7225" w:rsidRPr="003C0378">
              <w:rPr>
                <w:sz w:val="20"/>
                <w:szCs w:val="20"/>
                <w:lang w:val="lt-LT"/>
              </w:rPr>
              <w:t xml:space="preserve"> </w:t>
            </w:r>
            <w:r w:rsidR="00A43B24">
              <w:rPr>
                <w:sz w:val="20"/>
                <w:szCs w:val="20"/>
                <w:lang w:val="lt-LT"/>
              </w:rPr>
              <w:t>institucijomis</w:t>
            </w:r>
            <w:r w:rsidR="00500663">
              <w:rPr>
                <w:sz w:val="20"/>
                <w:szCs w:val="20"/>
                <w:lang w:val="lt-LT"/>
              </w:rPr>
              <w:t xml:space="preserve"> ir</w:t>
            </w:r>
            <w:r w:rsidR="007D75C9">
              <w:rPr>
                <w:sz w:val="20"/>
                <w:szCs w:val="20"/>
                <w:lang w:val="lt-LT"/>
              </w:rPr>
              <w:t xml:space="preserve"> </w:t>
            </w:r>
            <w:r w:rsidRPr="003C0378">
              <w:rPr>
                <w:sz w:val="20"/>
                <w:szCs w:val="20"/>
                <w:lang w:val="lt-LT"/>
              </w:rPr>
              <w:t xml:space="preserve"> NPĮ</w:t>
            </w:r>
            <w:r w:rsidR="007D75C9">
              <w:rPr>
                <w:sz w:val="20"/>
                <w:szCs w:val="20"/>
                <w:lang w:val="lt-LT"/>
              </w:rPr>
              <w:t xml:space="preserve"> </w:t>
            </w:r>
            <w:r w:rsidR="004E7225" w:rsidRPr="003C0378">
              <w:rPr>
                <w:sz w:val="20"/>
                <w:szCs w:val="20"/>
                <w:lang w:val="lt-LT"/>
              </w:rPr>
              <w:t>leido geriau suprasti AEI plėtros</w:t>
            </w:r>
            <w:r w:rsidRPr="003C0378">
              <w:rPr>
                <w:sz w:val="20"/>
                <w:szCs w:val="20"/>
                <w:lang w:val="lt-LT"/>
              </w:rPr>
              <w:t xml:space="preserve"> tikslus įgyvendinančių atstovų viziją, lūkesčius ir galimybes dėl optimalaus lėšų panaudojimo būdo </w:t>
            </w:r>
            <w:r w:rsidR="004E7225" w:rsidRPr="003C0378">
              <w:rPr>
                <w:sz w:val="20"/>
                <w:szCs w:val="20"/>
                <w:lang w:val="lt-LT"/>
              </w:rPr>
              <w:t>ateityje.</w:t>
            </w:r>
            <w:r w:rsidR="00500663">
              <w:rPr>
                <w:sz w:val="20"/>
                <w:szCs w:val="20"/>
                <w:lang w:val="lt-LT"/>
              </w:rPr>
              <w:t xml:space="preserve"> Finansų įstaigų apklausa ir interviu su atrinktomis kredito įstaigomis leido geriau suprasti privataus finansavimo prieinamumą AEI srityje.</w:t>
            </w:r>
          </w:p>
          <w:p w14:paraId="078B7A2C" w14:textId="05D3B028" w:rsidR="00873BA4" w:rsidRPr="003C0378" w:rsidRDefault="00873BA4" w:rsidP="006C0B37">
            <w:pPr>
              <w:spacing w:after="0"/>
              <w:ind w:firstLine="0"/>
              <w:rPr>
                <w:sz w:val="20"/>
                <w:szCs w:val="20"/>
                <w:lang w:val="lt-LT"/>
              </w:rPr>
            </w:pPr>
            <w:r w:rsidRPr="003C0378">
              <w:rPr>
                <w:sz w:val="20"/>
                <w:szCs w:val="20"/>
                <w:lang w:val="lt-LT"/>
              </w:rPr>
              <w:t xml:space="preserve">Surinkus ir susintezavus visą aukščiau aprašytą informaciją, </w:t>
            </w:r>
            <w:r w:rsidR="00ED19D5" w:rsidRPr="003C0378">
              <w:rPr>
                <w:sz w:val="20"/>
                <w:szCs w:val="20"/>
                <w:lang w:val="lt-LT"/>
              </w:rPr>
              <w:t>Vertintojai</w:t>
            </w:r>
            <w:r w:rsidRPr="003C0378">
              <w:rPr>
                <w:sz w:val="20"/>
                <w:szCs w:val="20"/>
                <w:lang w:val="lt-LT"/>
              </w:rPr>
              <w:t xml:space="preserve"> ekspertinio vertinimo būdu </w:t>
            </w:r>
            <w:r w:rsidR="00D83432">
              <w:rPr>
                <w:sz w:val="20"/>
                <w:szCs w:val="20"/>
                <w:lang w:val="lt-LT"/>
              </w:rPr>
              <w:t>pasiūlė</w:t>
            </w:r>
            <w:r w:rsidRPr="003C0378">
              <w:rPr>
                <w:sz w:val="20"/>
                <w:szCs w:val="20"/>
                <w:lang w:val="lt-LT"/>
              </w:rPr>
              <w:t xml:space="preserve"> optimalią investavimo strategiją </w:t>
            </w:r>
            <w:r w:rsidR="004E7225" w:rsidRPr="003C0378">
              <w:rPr>
                <w:sz w:val="20"/>
                <w:szCs w:val="20"/>
                <w:lang w:val="lt-LT"/>
              </w:rPr>
              <w:t>kiekvienai tikslinei grupei.</w:t>
            </w:r>
          </w:p>
        </w:tc>
      </w:tr>
      <w:tr w:rsidR="00873BA4" w:rsidRPr="003C0378" w14:paraId="37F5B77A" w14:textId="77777777" w:rsidTr="00E24002">
        <w:trPr>
          <w:trHeight w:val="57"/>
        </w:trPr>
        <w:tc>
          <w:tcPr>
            <w:tcW w:w="2330" w:type="dxa"/>
          </w:tcPr>
          <w:p w14:paraId="3A6A22F2" w14:textId="31D35A4D" w:rsidR="00873BA4" w:rsidRPr="003C0378" w:rsidRDefault="00873BA4" w:rsidP="006C0B37">
            <w:pPr>
              <w:spacing w:after="0"/>
              <w:ind w:firstLine="0"/>
              <w:rPr>
                <w:sz w:val="20"/>
                <w:szCs w:val="20"/>
                <w:lang w:val="lt-LT"/>
              </w:rPr>
            </w:pPr>
            <w:r w:rsidRPr="003C0378">
              <w:rPr>
                <w:sz w:val="20"/>
                <w:lang w:val="lt-LT"/>
              </w:rPr>
              <w:t>Sverto efekto skaičiavimas</w:t>
            </w:r>
          </w:p>
        </w:tc>
        <w:tc>
          <w:tcPr>
            <w:tcW w:w="3188" w:type="dxa"/>
          </w:tcPr>
          <w:p w14:paraId="1D16C37C" w14:textId="77777777" w:rsidR="00873BA4" w:rsidRPr="003C0378" w:rsidRDefault="00873BA4" w:rsidP="006C0B37">
            <w:pPr>
              <w:pStyle w:val="Sraopastraipa"/>
              <w:numPr>
                <w:ilvl w:val="0"/>
                <w:numId w:val="17"/>
              </w:numPr>
              <w:spacing w:after="0"/>
              <w:rPr>
                <w:sz w:val="20"/>
                <w:szCs w:val="20"/>
                <w:lang w:val="lt-LT"/>
              </w:rPr>
            </w:pPr>
            <w:r w:rsidRPr="003C0378">
              <w:rPr>
                <w:sz w:val="20"/>
                <w:lang w:val="lt-LT"/>
              </w:rPr>
              <w:t>Statistinių duomenų analizė</w:t>
            </w:r>
          </w:p>
          <w:p w14:paraId="59EC793F" w14:textId="0D562585" w:rsidR="00873BA4" w:rsidRPr="003C0378" w:rsidRDefault="00873BA4" w:rsidP="006C0B37">
            <w:pPr>
              <w:pStyle w:val="Sraopastraipa"/>
              <w:numPr>
                <w:ilvl w:val="0"/>
                <w:numId w:val="17"/>
              </w:numPr>
              <w:spacing w:after="0"/>
              <w:rPr>
                <w:sz w:val="20"/>
                <w:szCs w:val="20"/>
                <w:lang w:val="lt-LT"/>
              </w:rPr>
            </w:pPr>
            <w:r w:rsidRPr="003C0378">
              <w:rPr>
                <w:sz w:val="20"/>
                <w:lang w:val="lt-LT"/>
              </w:rPr>
              <w:t>Ekspertinis vertinimas</w:t>
            </w:r>
          </w:p>
        </w:tc>
        <w:tc>
          <w:tcPr>
            <w:tcW w:w="4110" w:type="dxa"/>
          </w:tcPr>
          <w:p w14:paraId="5FF43DDA" w14:textId="5237BF54" w:rsidR="00873BA4" w:rsidRPr="003C0378" w:rsidRDefault="00873BA4" w:rsidP="006C0B37">
            <w:pPr>
              <w:spacing w:after="0"/>
              <w:ind w:firstLine="0"/>
              <w:rPr>
                <w:sz w:val="20"/>
                <w:szCs w:val="20"/>
                <w:lang w:val="lt-LT"/>
              </w:rPr>
            </w:pPr>
            <w:r w:rsidRPr="003C0378">
              <w:rPr>
                <w:sz w:val="20"/>
                <w:szCs w:val="20"/>
                <w:lang w:val="lt-LT"/>
              </w:rPr>
              <w:t xml:space="preserve">Taikant ekspertinį vertinimą ir naudojant anksčiau surinktus duomenis, </w:t>
            </w:r>
            <w:r w:rsidR="00ED19D5" w:rsidRPr="003C0378">
              <w:rPr>
                <w:sz w:val="20"/>
                <w:szCs w:val="20"/>
                <w:lang w:val="lt-LT"/>
              </w:rPr>
              <w:t>Vertintojai</w:t>
            </w:r>
            <w:r w:rsidRPr="003C0378">
              <w:rPr>
                <w:sz w:val="20"/>
                <w:szCs w:val="20"/>
                <w:lang w:val="lt-LT"/>
              </w:rPr>
              <w:t xml:space="preserve"> paskaičiavo kiekvienos pasiūlytos investavimo strategijos sverto efektą.</w:t>
            </w:r>
          </w:p>
        </w:tc>
      </w:tr>
    </w:tbl>
    <w:p w14:paraId="688C90A5" w14:textId="77777777" w:rsidR="00AE6647" w:rsidRPr="003C0378" w:rsidRDefault="00AE6647" w:rsidP="00AE6647">
      <w:pPr>
        <w:keepNext/>
        <w:spacing w:after="0"/>
        <w:jc w:val="left"/>
        <w:rPr>
          <w:rFonts w:cs="Times New Roman"/>
          <w:sz w:val="20"/>
          <w:szCs w:val="20"/>
        </w:rPr>
      </w:pPr>
      <w:r w:rsidRPr="003C0378">
        <w:rPr>
          <w:rFonts w:cs="Times New Roman"/>
          <w:sz w:val="20"/>
          <w:szCs w:val="20"/>
        </w:rPr>
        <w:t>Šaltinis: sudaryta Vertintojų</w:t>
      </w:r>
    </w:p>
    <w:p w14:paraId="340594E6" w14:textId="77777777" w:rsidR="00DD7F6C" w:rsidRPr="003C0378" w:rsidRDefault="00DD7F6C" w:rsidP="00AE6647">
      <w:pPr>
        <w:sectPr w:rsidR="00DD7F6C" w:rsidRPr="003C0378" w:rsidSect="00C234E6">
          <w:headerReference w:type="default" r:id="rId13"/>
          <w:footerReference w:type="default" r:id="rId14"/>
          <w:pgSz w:w="11906" w:h="16838"/>
          <w:pgMar w:top="1701" w:right="567" w:bottom="1134" w:left="1701" w:header="567" w:footer="567" w:gutter="0"/>
          <w:cols w:space="1296"/>
          <w:docGrid w:linePitch="360"/>
        </w:sectPr>
      </w:pPr>
    </w:p>
    <w:p w14:paraId="18447975" w14:textId="41185332" w:rsidR="00426643" w:rsidRPr="003C0378" w:rsidRDefault="0096062D" w:rsidP="00426643">
      <w:pPr>
        <w:pStyle w:val="Antrat1"/>
        <w:numPr>
          <w:ilvl w:val="0"/>
          <w:numId w:val="3"/>
        </w:numPr>
        <w:rPr>
          <w:rFonts w:cs="Times New Roman"/>
        </w:rPr>
      </w:pPr>
      <w:bookmarkStart w:id="17" w:name="_Toc62131222"/>
      <w:bookmarkStart w:id="18" w:name="_Toc126051347"/>
      <w:bookmarkStart w:id="19" w:name="_Toc166139820"/>
      <w:bookmarkStart w:id="20" w:name="_Toc170804582"/>
      <w:r w:rsidRPr="003C0378">
        <w:rPr>
          <w:rFonts w:cs="Times New Roman"/>
        </w:rPr>
        <w:lastRenderedPageBreak/>
        <w:t>Investicijų poreik</w:t>
      </w:r>
      <w:r w:rsidR="00444022" w:rsidRPr="003C0378">
        <w:rPr>
          <w:rFonts w:cs="Times New Roman"/>
        </w:rPr>
        <w:t>io</w:t>
      </w:r>
      <w:r w:rsidR="0047484A" w:rsidRPr="003C0378">
        <w:rPr>
          <w:rFonts w:cs="Times New Roman"/>
        </w:rPr>
        <w:t xml:space="preserve"> analizė</w:t>
      </w:r>
      <w:bookmarkEnd w:id="17"/>
      <w:bookmarkEnd w:id="18"/>
      <w:bookmarkEnd w:id="19"/>
      <w:bookmarkEnd w:id="20"/>
    </w:p>
    <w:p w14:paraId="78973FBB" w14:textId="3CF8BCBC" w:rsidR="00EF3907" w:rsidRPr="003C0378" w:rsidRDefault="00EF3907" w:rsidP="002677B4">
      <w:pPr>
        <w:spacing w:line="276" w:lineRule="auto"/>
      </w:pPr>
      <w:r w:rsidRPr="003C0378">
        <w:t>2 skyriuje „Investicijų pore</w:t>
      </w:r>
      <w:r w:rsidR="001F7EF1" w:rsidRPr="003C0378">
        <w:t>ikio analizė“ yra pristatoma AEI situacijos</w:t>
      </w:r>
      <w:r w:rsidRPr="003C0378">
        <w:t xml:space="preserve"> apžvalga</w:t>
      </w:r>
      <w:r w:rsidR="00462DDE" w:rsidRPr="003C0378">
        <w:t xml:space="preserve"> Lietuvoje</w:t>
      </w:r>
      <w:r w:rsidRPr="003C0378">
        <w:t>.</w:t>
      </w:r>
      <w:r w:rsidR="00462DDE" w:rsidRPr="003C0378">
        <w:t xml:space="preserve"> 2.1 skyrelyje yra įvertinama AEI investicijų paklausa, 2.2 skyrelyje – AEI investicijų pasiūla, o 2.3 skyrelyje AEI investicijų pasiūlos–paklausos balansas.</w:t>
      </w:r>
      <w:r w:rsidRPr="003C0378">
        <w:t xml:space="preserve"> </w:t>
      </w:r>
    </w:p>
    <w:p w14:paraId="76FF47EE" w14:textId="6C6B55A6" w:rsidR="00C866FA" w:rsidRPr="003C0378" w:rsidRDefault="00C866FA" w:rsidP="00C866FA">
      <w:pPr>
        <w:pStyle w:val="Antrat2"/>
        <w:numPr>
          <w:ilvl w:val="1"/>
          <w:numId w:val="3"/>
        </w:numPr>
        <w:ind w:left="709" w:hanging="425"/>
        <w:rPr>
          <w:rFonts w:cs="Times New Roman"/>
        </w:rPr>
      </w:pPr>
      <w:bookmarkStart w:id="21" w:name="_Toc126051348"/>
      <w:bookmarkStart w:id="22" w:name="_Toc166139821"/>
      <w:bookmarkStart w:id="23" w:name="_Toc170804583"/>
      <w:r w:rsidRPr="003C0378">
        <w:rPr>
          <w:rFonts w:cs="Times New Roman"/>
        </w:rPr>
        <w:t>Investicijų paklausos vertinimas 2021</w:t>
      </w:r>
      <w:r w:rsidR="00103D8D" w:rsidRPr="003C0378">
        <w:rPr>
          <w:rFonts w:cs="Times New Roman"/>
        </w:rPr>
        <w:t>–</w:t>
      </w:r>
      <w:r w:rsidRPr="003C0378">
        <w:rPr>
          <w:rFonts w:cs="Times New Roman"/>
        </w:rPr>
        <w:t>2030 m. laikotarpiu</w:t>
      </w:r>
      <w:bookmarkEnd w:id="21"/>
      <w:bookmarkEnd w:id="22"/>
      <w:bookmarkEnd w:id="23"/>
    </w:p>
    <w:p w14:paraId="56963AAA" w14:textId="19FEE7D2" w:rsidR="00266F76" w:rsidRPr="003C0378" w:rsidRDefault="00266F76" w:rsidP="00462DDE">
      <w:pPr>
        <w:spacing w:line="276" w:lineRule="auto"/>
        <w:ind w:firstLine="562"/>
      </w:pPr>
      <w:r w:rsidRPr="003C0378">
        <w:t xml:space="preserve">AEI investicijų paklausą galima skaičiuoti dvejopai. </w:t>
      </w:r>
      <w:r w:rsidR="00682A11">
        <w:t>Pirmasis</w:t>
      </w:r>
      <w:r w:rsidRPr="003C0378">
        <w:t xml:space="preserve"> yra apžvelgti nacionalinę strateginę darbotvarkę ir identifikavus AEI plėtros tikslus apskaičiuoti investicijų poreikį reikalingą nacionalinių AEI plėtros tikslų pasiekimui. </w:t>
      </w:r>
      <w:r w:rsidR="00682A11">
        <w:t>Antrasis</w:t>
      </w:r>
      <w:r w:rsidRPr="003C0378">
        <w:t xml:space="preserve"> būdas yra individualiai apžvelgti ir apskaičiuoti atskirų tikslinių grupių, kurios</w:t>
      </w:r>
      <w:r w:rsidR="008017D1" w:rsidRPr="003C0378">
        <w:t>e</w:t>
      </w:r>
      <w:r w:rsidRPr="003C0378">
        <w:t xml:space="preserve"> yra</w:t>
      </w:r>
      <w:r w:rsidR="008017D1" w:rsidRPr="003C0378">
        <w:t xml:space="preserve"> didelis</w:t>
      </w:r>
      <w:r w:rsidRPr="003C0378">
        <w:t xml:space="preserve"> AEI plėtros potencialas, paklaus</w:t>
      </w:r>
      <w:r w:rsidR="004A2B2F" w:rsidRPr="003C0378">
        <w:t>ą</w:t>
      </w:r>
      <w:r w:rsidRPr="003C0378">
        <w:t xml:space="preserve"> AEI pajėgumams</w:t>
      </w:r>
      <w:r w:rsidR="00A027EC" w:rsidRPr="003C0378">
        <w:t xml:space="preserve"> taikant anketinių apklausų</w:t>
      </w:r>
      <w:r w:rsidR="00CA1C79" w:rsidRPr="003C0378">
        <w:t>, antrinių šaltinių</w:t>
      </w:r>
      <w:r w:rsidR="00A027EC" w:rsidRPr="003C0378">
        <w:t xml:space="preserve"> ir statistinių duomenų analizę</w:t>
      </w:r>
      <w:r w:rsidRPr="003C0378">
        <w:t>. Skyrelyje</w:t>
      </w:r>
      <w:r w:rsidR="00010899" w:rsidRPr="003C0378">
        <w:t xml:space="preserve"> 2.1.1 yra pateikiama AEI investicijų paklausa, analizuojant nacionalinę strateginę darbotvarke, </w:t>
      </w:r>
      <w:r w:rsidR="00A13474">
        <w:t>o</w:t>
      </w:r>
      <w:r w:rsidR="00010899" w:rsidRPr="003C0378">
        <w:t xml:space="preserve"> 2.</w:t>
      </w:r>
      <w:r w:rsidR="008017D1" w:rsidRPr="003C0378">
        <w:t>1.2</w:t>
      </w:r>
      <w:r w:rsidR="003C0378">
        <w:t xml:space="preserve"> </w:t>
      </w:r>
      <w:r w:rsidR="00010899" w:rsidRPr="003C0378">
        <w:t>skyrel</w:t>
      </w:r>
      <w:r w:rsidR="008017D1" w:rsidRPr="003C0378">
        <w:t xml:space="preserve">yje yra pateikiama AEI investicijų paklausa, analizuojant AEI investicijų paklausą </w:t>
      </w:r>
      <w:r w:rsidR="00A027EC" w:rsidRPr="003C0378">
        <w:t>atskirose</w:t>
      </w:r>
      <w:r w:rsidR="008017D1" w:rsidRPr="003C0378">
        <w:t xml:space="preserve"> tikslinėse grupėse.</w:t>
      </w:r>
    </w:p>
    <w:p w14:paraId="1329BBB2" w14:textId="5D40EB64" w:rsidR="00E7707D" w:rsidRPr="003C0378" w:rsidRDefault="001F7EF1" w:rsidP="00C866FA">
      <w:pPr>
        <w:pStyle w:val="Antrat2"/>
        <w:numPr>
          <w:ilvl w:val="2"/>
          <w:numId w:val="3"/>
        </w:numPr>
        <w:rPr>
          <w:rFonts w:cs="Times New Roman"/>
        </w:rPr>
      </w:pPr>
      <w:bookmarkStart w:id="24" w:name="_Ref129003257"/>
      <w:bookmarkStart w:id="25" w:name="_Toc126051349"/>
      <w:bookmarkStart w:id="26" w:name="_Toc166139822"/>
      <w:bookmarkStart w:id="27" w:name="_Toc170804584"/>
      <w:r w:rsidRPr="003C0378">
        <w:rPr>
          <w:rFonts w:cs="Times New Roman"/>
        </w:rPr>
        <w:t>AEI plėtros strateginė darbotvarkė</w:t>
      </w:r>
      <w:r w:rsidR="00C866FA" w:rsidRPr="003C0378">
        <w:rPr>
          <w:rFonts w:cs="Times New Roman"/>
        </w:rPr>
        <w:t xml:space="preserve"> 2021</w:t>
      </w:r>
      <w:r w:rsidR="00103D8D" w:rsidRPr="003C0378">
        <w:rPr>
          <w:rFonts w:cs="Times New Roman"/>
        </w:rPr>
        <w:t>–</w:t>
      </w:r>
      <w:r w:rsidR="00C866FA" w:rsidRPr="003C0378">
        <w:rPr>
          <w:rFonts w:cs="Times New Roman"/>
        </w:rPr>
        <w:t>2030 m.</w:t>
      </w:r>
      <w:bookmarkEnd w:id="24"/>
      <w:bookmarkEnd w:id="25"/>
      <w:bookmarkEnd w:id="26"/>
      <w:bookmarkEnd w:id="27"/>
    </w:p>
    <w:p w14:paraId="34986615" w14:textId="77777777" w:rsidR="00CA1C79" w:rsidRPr="003C0378" w:rsidRDefault="00491D53" w:rsidP="00CA1C79">
      <w:pPr>
        <w:spacing w:line="276" w:lineRule="auto"/>
        <w:rPr>
          <w:bCs/>
        </w:rPr>
      </w:pPr>
      <w:r w:rsidRPr="003C0378">
        <w:t>ES lygiu AEI plėtros strateginės darbotvarkės tikslai yra</w:t>
      </w:r>
      <w:r w:rsidR="00BC11E2" w:rsidRPr="003C0378">
        <w:t xml:space="preserve"> apibrėžti </w:t>
      </w:r>
      <w:r w:rsidRPr="003C0378">
        <w:rPr>
          <w:b/>
        </w:rPr>
        <w:t>Atsinaujinančių energijos išteklių direktyvoje</w:t>
      </w:r>
      <w:r w:rsidRPr="003C0378">
        <w:t>. 2009 m. balandžio 23 d. Europos Parlamento ir Tarybos direktyvoje Nr. 2009/28/EB nustatyta, kad</w:t>
      </w:r>
      <w:r w:rsidR="00BC11E2" w:rsidRPr="003C0378">
        <w:t xml:space="preserve"> siekiant sumažinti šiltnamio efektą sukeliančių dujų emisijas</w:t>
      </w:r>
      <w:r w:rsidRPr="003C0378">
        <w:t xml:space="preserve"> iki 2020 m. atsinaujinančių išt</w:t>
      </w:r>
      <w:r w:rsidR="00BC11E2" w:rsidRPr="003C0378">
        <w:t>eklių energija turi sudaryti 20 proc.</w:t>
      </w:r>
      <w:r w:rsidR="00540009" w:rsidRPr="003C0378">
        <w:t xml:space="preserve"> ES energijos </w:t>
      </w:r>
      <w:r w:rsidR="00BC11E2" w:rsidRPr="003C0378">
        <w:t xml:space="preserve">ir 10 proc. </w:t>
      </w:r>
      <w:r w:rsidRPr="003C0378">
        <w:t xml:space="preserve">transporto sektoriuje sunaudojamos energijos kiekio. </w:t>
      </w:r>
      <w:r w:rsidR="00CA1C79" w:rsidRPr="003C0378">
        <w:rPr>
          <w:bCs/>
        </w:rPr>
        <w:t>Ankstesnės redakcijos AEI direktyvą pakeitė 2018 m. gruodžio 11 d. Europos Parlamento ir Tarybos direktyva Nr. 2018/2001 (toliau – AEI direktyva), kuri numatė</w:t>
      </w:r>
      <w:r w:rsidR="00BC11E2" w:rsidRPr="003C0378">
        <w:rPr>
          <w:bCs/>
        </w:rPr>
        <w:t>, kad iki 2030 m. bent 32 proc. ES energijos turi būti pagaminti iš AEI.</w:t>
      </w:r>
      <w:r w:rsidR="00540009" w:rsidRPr="003C0378">
        <w:rPr>
          <w:bCs/>
        </w:rPr>
        <w:t xml:space="preserve"> </w:t>
      </w:r>
    </w:p>
    <w:p w14:paraId="3EB0CFDE" w14:textId="1740EA53" w:rsidR="001F728A" w:rsidRPr="003C0378" w:rsidRDefault="00A17287">
      <w:pPr>
        <w:spacing w:line="276" w:lineRule="auto"/>
      </w:pPr>
      <w:r w:rsidRPr="003C0378">
        <w:rPr>
          <w:b/>
        </w:rPr>
        <w:t>2019 m. pristačius Europos žaliąjį kursą</w:t>
      </w:r>
      <w:r w:rsidRPr="003C0378">
        <w:t xml:space="preserve"> EK numatė, kad siekiant įgyvendinti </w:t>
      </w:r>
      <w:r w:rsidR="00540009" w:rsidRPr="003C0378">
        <w:t>ambicingesnius</w:t>
      </w:r>
      <w:r w:rsidRPr="003C0378">
        <w:t xml:space="preserve"> klimato kaitos užmojus ateityje atsiranda poreikis keisti ir kelti ambicingesnius</w:t>
      </w:r>
      <w:r w:rsidR="00540009" w:rsidRPr="003C0378">
        <w:t xml:space="preserve"> AEI</w:t>
      </w:r>
      <w:r w:rsidRPr="003C0378">
        <w:t xml:space="preserve"> direktyvos</w:t>
      </w:r>
      <w:r w:rsidR="00540009" w:rsidRPr="003C0378">
        <w:t xml:space="preserve"> ir AEI plėtros</w:t>
      </w:r>
      <w:r w:rsidRPr="003C0378">
        <w:t xml:space="preserve"> tikslus.</w:t>
      </w:r>
      <w:r w:rsidR="00540009" w:rsidRPr="003C0378">
        <w:t xml:space="preserve"> 2021 m. EK pristatė pasiūlymą keisti AEI direktyvos tikslus</w:t>
      </w:r>
      <w:r w:rsidR="00540009" w:rsidRPr="003C0378">
        <w:rPr>
          <w:b/>
          <w:bCs/>
        </w:rPr>
        <w:t xml:space="preserve"> numatant</w:t>
      </w:r>
      <w:r w:rsidR="00AB322A" w:rsidRPr="003C0378">
        <w:rPr>
          <w:b/>
          <w:bCs/>
        </w:rPr>
        <w:t xml:space="preserve"> kad</w:t>
      </w:r>
      <w:r w:rsidR="00540009" w:rsidRPr="003C0378">
        <w:t xml:space="preserve"> </w:t>
      </w:r>
      <w:r w:rsidR="00540009" w:rsidRPr="003C0378">
        <w:rPr>
          <w:b/>
        </w:rPr>
        <w:t>iki 2030 m. AEI energija tur</w:t>
      </w:r>
      <w:r w:rsidR="00AB322A" w:rsidRPr="003C0378">
        <w:rPr>
          <w:b/>
        </w:rPr>
        <w:t>i</w:t>
      </w:r>
      <w:r w:rsidR="00540009" w:rsidRPr="003C0378">
        <w:rPr>
          <w:b/>
        </w:rPr>
        <w:t xml:space="preserve"> sudaryti 40 proc.</w:t>
      </w:r>
      <w:r w:rsidR="00AB322A" w:rsidRPr="003C0378">
        <w:rPr>
          <w:b/>
        </w:rPr>
        <w:t xml:space="preserve"> visos</w:t>
      </w:r>
      <w:r w:rsidR="00540009" w:rsidRPr="003C0378">
        <w:rPr>
          <w:b/>
        </w:rPr>
        <w:t xml:space="preserve"> sunaudojamos energijos kiekio visoje ES</w:t>
      </w:r>
      <w:r w:rsidR="00540009" w:rsidRPr="003C0378">
        <w:t>.</w:t>
      </w:r>
      <w:r w:rsidR="001A4FD1" w:rsidRPr="003C0378">
        <w:t xml:space="preserve"> Vis dėlto</w:t>
      </w:r>
      <w:r w:rsidR="00CA1C79" w:rsidRPr="003C0378">
        <w:t>,</w:t>
      </w:r>
      <w:r w:rsidR="003C0378">
        <w:t xml:space="preserve"> </w:t>
      </w:r>
      <w:r w:rsidR="00540009" w:rsidRPr="003C0378">
        <w:t>2022 m. vasario mėnesį prasidėjusi Rusijos agresija prie</w:t>
      </w:r>
      <w:r w:rsidR="00CA1C79" w:rsidRPr="003C0378">
        <w:t>š</w:t>
      </w:r>
      <w:r w:rsidR="00540009" w:rsidRPr="003C0378">
        <w:t xml:space="preserve"> Ukrainą </w:t>
      </w:r>
      <w:r w:rsidR="001A4FD1" w:rsidRPr="003C0378">
        <w:t>paskatino ženkliai sparčiau mažinti ES priklausomybę nuo rusiško iškastinio kuro</w:t>
      </w:r>
      <w:r w:rsidR="002B2A80" w:rsidRPr="003C0378">
        <w:t xml:space="preserve"> ir ieškoti priemonių siekiant spręsti energetinę krizę ES lygių</w:t>
      </w:r>
      <w:r w:rsidR="002B2A80" w:rsidRPr="003C0378">
        <w:rPr>
          <w:rStyle w:val="Puslapioinaosnuoroda"/>
        </w:rPr>
        <w:footnoteReference w:id="3"/>
      </w:r>
      <w:r w:rsidR="001A4FD1" w:rsidRPr="003C0378">
        <w:t>. Atsižvelgiant į tai,</w:t>
      </w:r>
      <w:r w:rsidR="001A4FD1" w:rsidRPr="003C0378">
        <w:rPr>
          <w:b/>
        </w:rPr>
        <w:t xml:space="preserve"> 2022 m. gegužės 18 d. EK pristatė „</w:t>
      </w:r>
      <w:proofErr w:type="spellStart"/>
      <w:r w:rsidR="001A4FD1" w:rsidRPr="003C0378">
        <w:rPr>
          <w:b/>
        </w:rPr>
        <w:t>REPowerEU</w:t>
      </w:r>
      <w:proofErr w:type="spellEnd"/>
      <w:r w:rsidR="001A4FD1" w:rsidRPr="003C0378">
        <w:rPr>
          <w:b/>
        </w:rPr>
        <w:t>“ planą</w:t>
      </w:r>
      <w:r w:rsidR="001F728A" w:rsidRPr="003C0378">
        <w:rPr>
          <w:rStyle w:val="Puslapioinaosnuoroda"/>
        </w:rPr>
        <w:footnoteReference w:id="4"/>
      </w:r>
      <w:r w:rsidR="001A4FD1" w:rsidRPr="003C0378">
        <w:t xml:space="preserve">. Planas grindžiamas trimis ramsčiais: energijos taupymu, švarios energijos gamyba ir ES energijos tiekimo įvairinimu. Didindama atsinaujinančiosios energijos naudojimą elektros energijos gamybos, pramonės, pastatų ir transporto sektoriuose, EK siūlo keisti AEI direktyvos tikslus, numatant, </w:t>
      </w:r>
      <w:r w:rsidR="001A4FD1" w:rsidRPr="003C0378">
        <w:rPr>
          <w:b/>
        </w:rPr>
        <w:t>kad</w:t>
      </w:r>
      <w:r w:rsidR="001A4FD1" w:rsidRPr="003C0378">
        <w:t xml:space="preserve"> </w:t>
      </w:r>
      <w:r w:rsidR="001A4FD1" w:rsidRPr="003C0378">
        <w:rPr>
          <w:b/>
        </w:rPr>
        <w:t>iki 2030 m. AEI energija turi sudaryti 45 proc. sunaudojamos energijos kiekio visoje ES</w:t>
      </w:r>
      <w:r w:rsidR="001A4FD1" w:rsidRPr="003C0378">
        <w:t>. Įgyvendinus</w:t>
      </w:r>
      <w:r w:rsidR="00AB322A" w:rsidRPr="003C0378">
        <w:t xml:space="preserve"> pastaruosius</w:t>
      </w:r>
      <w:r w:rsidR="001A4FD1" w:rsidRPr="003C0378">
        <w:t xml:space="preserve"> EK pasiūlymus,</w:t>
      </w:r>
      <w:r w:rsidR="00AB322A" w:rsidRPr="003C0378">
        <w:t xml:space="preserve"> </w:t>
      </w:r>
      <w:r w:rsidR="001A4FD1" w:rsidRPr="003C0378">
        <w:t>bendr</w:t>
      </w:r>
      <w:r w:rsidR="00AB322A" w:rsidRPr="003C0378">
        <w:t>i</w:t>
      </w:r>
      <w:r w:rsidR="001A4FD1" w:rsidRPr="003C0378">
        <w:t xml:space="preserve"> </w:t>
      </w:r>
      <w:r w:rsidR="00AB322A" w:rsidRPr="003C0378">
        <w:t xml:space="preserve">AEI gamybos pajėgumai padidėtų iki </w:t>
      </w:r>
      <w:r w:rsidR="001A4FD1" w:rsidRPr="003C0378">
        <w:t>1236 GW</w:t>
      </w:r>
      <w:r w:rsidR="00AB322A" w:rsidRPr="003C0378">
        <w:t xml:space="preserve"> iki 2030 m. visoje ES.</w:t>
      </w:r>
      <w:r w:rsidR="001A4FD1" w:rsidRPr="003C0378">
        <w:t xml:space="preserve"> </w:t>
      </w:r>
    </w:p>
    <w:p w14:paraId="6E0E77A7" w14:textId="2171EC16" w:rsidR="00AB322A" w:rsidRPr="003C0378" w:rsidRDefault="00C62CB0" w:rsidP="00C62CB0">
      <w:pPr>
        <w:spacing w:line="276" w:lineRule="auto"/>
        <w:rPr>
          <w:b/>
        </w:rPr>
      </w:pPr>
      <w:r w:rsidRPr="003C0378">
        <w:t>AEI direktyvos</w:t>
      </w:r>
      <w:r w:rsidR="00B17DCA" w:rsidRPr="003C0378">
        <w:t xml:space="preserve"> tikslai ir</w:t>
      </w:r>
      <w:r w:rsidRPr="003C0378">
        <w:t xml:space="preserve"> pokyčiai yra tiesiogiai perkeliami į</w:t>
      </w:r>
      <w:r w:rsidR="00B17DCA" w:rsidRPr="003C0378">
        <w:t xml:space="preserve"> nacionalinius teisės dokumentus</w:t>
      </w:r>
      <w:r w:rsidRPr="003C0378">
        <w:t xml:space="preserve"> ir atitinkamai formuoja</w:t>
      </w:r>
      <w:r w:rsidR="00B17DCA" w:rsidRPr="003C0378">
        <w:t xml:space="preserve"> nacionalin</w:t>
      </w:r>
      <w:r w:rsidR="0011160F" w:rsidRPr="003C0378">
        <w:t>ę</w:t>
      </w:r>
      <w:r w:rsidRPr="003C0378">
        <w:t xml:space="preserve"> </w:t>
      </w:r>
      <w:r w:rsidR="00B17DCA" w:rsidRPr="003C0378">
        <w:t>strateginę darbotvarkę. Šiuo metu 2018 m. AEI direktyvos tikslai yra perkelti ir įgyvendinami NEKSVP. Atsižvelgiant į aukščiau pristatytus AEI direktyvos pakeitimus</w:t>
      </w:r>
      <w:r w:rsidR="00927702" w:rsidRPr="003C0378">
        <w:t xml:space="preserve"> ir pakeitimų pasiūlymus</w:t>
      </w:r>
      <w:r w:rsidR="00B17DCA" w:rsidRPr="003C0378">
        <w:t xml:space="preserve">, šiuo metu NEKSVP yra atnaujinamas, o </w:t>
      </w:r>
      <w:r w:rsidR="0011160F" w:rsidRPr="003C0378">
        <w:t xml:space="preserve">naujausi </w:t>
      </w:r>
      <w:r w:rsidR="00B17DCA" w:rsidRPr="003C0378">
        <w:t>AEI direktyvos</w:t>
      </w:r>
      <w:r w:rsidR="0011160F" w:rsidRPr="003C0378">
        <w:t xml:space="preserve"> pokyčių pasiūlymai ir</w:t>
      </w:r>
      <w:r w:rsidR="00B17DCA" w:rsidRPr="003C0378">
        <w:t xml:space="preserve"> tikslai</w:t>
      </w:r>
      <w:r w:rsidR="00927702" w:rsidRPr="003C0378">
        <w:t xml:space="preserve"> šiuo metu</w:t>
      </w:r>
      <w:r w:rsidR="00B17DCA" w:rsidRPr="003C0378">
        <w:t xml:space="preserve"> yra perkelti į </w:t>
      </w:r>
      <w:r w:rsidR="0011160F" w:rsidRPr="003C0378">
        <w:t>LR</w:t>
      </w:r>
      <w:r w:rsidR="00B17DCA" w:rsidRPr="003C0378">
        <w:t xml:space="preserve"> atsinaujinančių išteklių energetikos įstatymą. </w:t>
      </w:r>
      <w:r w:rsidR="0011160F" w:rsidRPr="003C0378">
        <w:t>Taigi,</w:t>
      </w:r>
      <w:r w:rsidR="00B17DCA" w:rsidRPr="003C0378">
        <w:t xml:space="preserve"> iki kol NEKSVP bus atnaujintas, pagrindinis strateginis dokumentas apibrėžiantis ir formuojantis AEI plėtr</w:t>
      </w:r>
      <w:r w:rsidR="00846E40">
        <w:t>ą</w:t>
      </w:r>
      <w:r w:rsidR="00B17DCA" w:rsidRPr="003C0378">
        <w:t xml:space="preserve"> Lietuvoje yra </w:t>
      </w:r>
      <w:r w:rsidR="0011160F" w:rsidRPr="003C0378">
        <w:t xml:space="preserve">LR atsinaujinančių išteklių energetikos įstatymas. </w:t>
      </w:r>
      <w:r w:rsidR="00927702" w:rsidRPr="003C0378">
        <w:rPr>
          <w:b/>
          <w:bCs/>
        </w:rPr>
        <w:t>Atsižvelgiant į tai</w:t>
      </w:r>
      <w:r w:rsidR="00927702" w:rsidRPr="003C0378">
        <w:t xml:space="preserve">, </w:t>
      </w:r>
      <w:r w:rsidR="00927702" w:rsidRPr="003C0378">
        <w:rPr>
          <w:b/>
          <w:bCs/>
        </w:rPr>
        <w:t xml:space="preserve">toliau </w:t>
      </w:r>
      <w:r w:rsidR="00927702" w:rsidRPr="003C0378">
        <w:rPr>
          <w:b/>
        </w:rPr>
        <w:t>pristatomas finansavimo paklausos poreikis AEI plėtrai yra daugiausiai grįstas LR atsinaujinančių išteklių energetikos įstatyme numatytų tikslų analize iki 2030 m.</w:t>
      </w:r>
    </w:p>
    <w:p w14:paraId="780765A4" w14:textId="193EC7DD" w:rsidR="00514EC5" w:rsidRPr="003C0378" w:rsidRDefault="00927702" w:rsidP="00514EC5">
      <w:pPr>
        <w:spacing w:line="276" w:lineRule="auto"/>
        <w:rPr>
          <w:b/>
          <w:bCs/>
        </w:rPr>
      </w:pPr>
      <w:r w:rsidRPr="003C0378">
        <w:lastRenderedPageBreak/>
        <w:t xml:space="preserve">LR </w:t>
      </w:r>
      <w:r w:rsidR="00781704">
        <w:t>A</w:t>
      </w:r>
      <w:r w:rsidRPr="003C0378">
        <w:t>tsinaujinančių išteklių energetikos įstatymo 1 straipsnio</w:t>
      </w:r>
      <w:r w:rsidR="000B2604" w:rsidRPr="003C0378">
        <w:t xml:space="preserve"> 4 dalyje yra nurodoma, kad pagrindinis </w:t>
      </w:r>
      <w:r w:rsidR="000B2604" w:rsidRPr="003C0378">
        <w:rPr>
          <w:color w:val="000000"/>
        </w:rPr>
        <w:t xml:space="preserve">įstatymo uždavinys – </w:t>
      </w:r>
      <w:r w:rsidR="000B2604" w:rsidRPr="003C0378">
        <w:rPr>
          <w:b/>
          <w:color w:val="000000"/>
        </w:rPr>
        <w:t>siekti, kad 2030 metais energijos gamybos iš atsinaujinančių išteklių energijos dalis, palyginti su šalies bendruoju galutiniu energijos suvartojimu, sudarytų ne mažiau kaip 50 procentų.</w:t>
      </w:r>
      <w:r w:rsidR="000B2604" w:rsidRPr="003C0378">
        <w:rPr>
          <w:color w:val="000000"/>
        </w:rPr>
        <w:t xml:space="preserve"> </w:t>
      </w:r>
      <w:r w:rsidR="00C55BE5" w:rsidRPr="003C0378">
        <w:rPr>
          <w:color w:val="000000"/>
        </w:rPr>
        <w:t>Šį uždavinį padeda įgyvendinti AEI ambicijos elektros generavimo srityje, kurių tiksl</w:t>
      </w:r>
      <w:r w:rsidR="00CA1C79" w:rsidRPr="003C0378">
        <w:rPr>
          <w:color w:val="000000"/>
        </w:rPr>
        <w:t>us</w:t>
      </w:r>
      <w:r w:rsidR="00C55BE5" w:rsidRPr="003C0378">
        <w:rPr>
          <w:color w:val="000000"/>
        </w:rPr>
        <w:t xml:space="preserve"> numat</w:t>
      </w:r>
      <w:r w:rsidR="00CA1C79" w:rsidRPr="003C0378">
        <w:rPr>
          <w:color w:val="000000"/>
        </w:rPr>
        <w:t>o</w:t>
      </w:r>
      <w:r w:rsidR="00C55BE5" w:rsidRPr="003C0378">
        <w:rPr>
          <w:color w:val="000000"/>
        </w:rPr>
        <w:t xml:space="preserve"> to paties įstatymo 5 dalies 2 punkt</w:t>
      </w:r>
      <w:r w:rsidR="00CA1C79" w:rsidRPr="003C0378">
        <w:rPr>
          <w:color w:val="000000"/>
        </w:rPr>
        <w:t>as</w:t>
      </w:r>
      <w:r w:rsidR="00C55BE5" w:rsidRPr="003C0378">
        <w:rPr>
          <w:color w:val="000000"/>
        </w:rPr>
        <w:t>, kuriame yra numatyta</w:t>
      </w:r>
      <w:r w:rsidRPr="003C0378">
        <w:t xml:space="preserve">, </w:t>
      </w:r>
      <w:r w:rsidRPr="003C0378">
        <w:rPr>
          <w:b/>
        </w:rPr>
        <w:t>kad</w:t>
      </w:r>
      <w:r w:rsidR="000B2604" w:rsidRPr="003C0378">
        <w:t xml:space="preserve"> </w:t>
      </w:r>
      <w:r w:rsidRPr="003C0378">
        <w:rPr>
          <w:b/>
          <w:bCs/>
        </w:rPr>
        <w:t xml:space="preserve">2030 m. </w:t>
      </w:r>
      <w:r w:rsidR="007322C2" w:rsidRPr="003C0378">
        <w:rPr>
          <w:b/>
          <w:bCs/>
        </w:rPr>
        <w:t>elektros energijos, pagamintos iš AEI, dalis, palyginti su šalies bendruoju galutiniu elektros energijos suvartojimu, turės siekti ne mažiau kaip 70 proc</w:t>
      </w:r>
      <w:r w:rsidR="007322C2" w:rsidRPr="003C0378">
        <w:t>. Šio tikslo iškėlimas atitinkamai indikuoja, kad iki 2030 m. elektros energijos, pagamintos iš AEI, kiekis turės</w:t>
      </w:r>
      <w:r w:rsidR="003C0378">
        <w:t xml:space="preserve"> </w:t>
      </w:r>
      <w:r w:rsidR="007322C2" w:rsidRPr="003C0378">
        <w:t xml:space="preserve">būti ne mažesnis nei 7 </w:t>
      </w:r>
      <w:proofErr w:type="spellStart"/>
      <w:r w:rsidR="007322C2" w:rsidRPr="003C0378">
        <w:t>TWh</w:t>
      </w:r>
      <w:proofErr w:type="spellEnd"/>
      <w:r w:rsidR="007322C2" w:rsidRPr="003C0378">
        <w:t>, kaip tai yra nurodyta minėto įstatymo 13 straipsnio 2</w:t>
      </w:r>
      <w:r w:rsidR="00103D8D" w:rsidRPr="003C0378">
        <w:t>–</w:t>
      </w:r>
      <w:r w:rsidR="007322C2" w:rsidRPr="003C0378">
        <w:t xml:space="preserve">oje dalyje. Kadangi įstatyme yra suplanuota, kad bent 2 </w:t>
      </w:r>
      <w:proofErr w:type="spellStart"/>
      <w:r w:rsidR="007322C2" w:rsidRPr="003C0378">
        <w:t>TWh</w:t>
      </w:r>
      <w:proofErr w:type="spellEnd"/>
      <w:r w:rsidR="007322C2" w:rsidRPr="003C0378">
        <w:t xml:space="preserve"> bus pagaminamos iš jūrinėje teritorijoje įrengtinų vėjo jėgainių pajėgumų, </w:t>
      </w:r>
      <w:r w:rsidR="003B6637" w:rsidRPr="003C0378">
        <w:t>o remiantis LITGRID duomenimis</w:t>
      </w:r>
      <w:r w:rsidR="00514EC5" w:rsidRPr="003C0378">
        <w:t xml:space="preserve"> </w:t>
      </w:r>
      <w:r w:rsidR="003B6637" w:rsidRPr="003C0378">
        <w:t>2018–2021 m.</w:t>
      </w:r>
      <w:r w:rsidR="003B6637" w:rsidRPr="003C0378">
        <w:rPr>
          <w:rStyle w:val="Puslapioinaosnuoroda"/>
        </w:rPr>
        <w:footnoteReference w:id="5"/>
      </w:r>
      <w:r w:rsidR="00514EC5" w:rsidRPr="003C0378">
        <w:t xml:space="preserve"> laikotarpiu</w:t>
      </w:r>
      <w:r w:rsidR="003B6637" w:rsidRPr="003C0378">
        <w:t xml:space="preserve"> elektros energijos, pag</w:t>
      </w:r>
      <w:r w:rsidR="00861547" w:rsidRPr="003C0378">
        <w:t>a</w:t>
      </w:r>
      <w:r w:rsidR="003B6637" w:rsidRPr="003C0378">
        <w:t>m</w:t>
      </w:r>
      <w:r w:rsidR="00861547" w:rsidRPr="003C0378">
        <w:t>in</w:t>
      </w:r>
      <w:r w:rsidR="003B6637" w:rsidRPr="003C0378">
        <w:t xml:space="preserve">tos iš AEI, kiekis siekė 2–2,4 </w:t>
      </w:r>
      <w:proofErr w:type="spellStart"/>
      <w:r w:rsidR="003B6637" w:rsidRPr="003C0378">
        <w:t>TWh</w:t>
      </w:r>
      <w:proofErr w:type="spellEnd"/>
      <w:r w:rsidR="003B6637" w:rsidRPr="003C0378">
        <w:t xml:space="preserve">, </w:t>
      </w:r>
      <w:r w:rsidR="003B6637" w:rsidRPr="003C0378">
        <w:rPr>
          <w:b/>
          <w:bCs/>
        </w:rPr>
        <w:t>tai</w:t>
      </w:r>
      <w:r w:rsidR="00861547" w:rsidRPr="003C0378">
        <w:rPr>
          <w:b/>
          <w:bCs/>
        </w:rPr>
        <w:t xml:space="preserve"> siekiant įgyvendinti įstatyme išsikeltus tikslus</w:t>
      </w:r>
      <w:r w:rsidR="003976FD">
        <w:rPr>
          <w:b/>
          <w:bCs/>
        </w:rPr>
        <w:t>,</w:t>
      </w:r>
      <w:r w:rsidR="003B6637" w:rsidRPr="003C0378">
        <w:rPr>
          <w:b/>
          <w:bCs/>
        </w:rPr>
        <w:t xml:space="preserve"> </w:t>
      </w:r>
      <w:r w:rsidR="003976FD">
        <w:rPr>
          <w:b/>
          <w:bCs/>
        </w:rPr>
        <w:t>esant dabartiniam elektros energijos vartojimo lygiui,</w:t>
      </w:r>
      <w:r w:rsidR="003B6637" w:rsidRPr="003C0378">
        <w:rPr>
          <w:b/>
          <w:bCs/>
        </w:rPr>
        <w:t xml:space="preserve"> </w:t>
      </w:r>
      <w:r w:rsidR="00861547" w:rsidRPr="003C0378">
        <w:rPr>
          <w:b/>
          <w:bCs/>
        </w:rPr>
        <w:t>šiuo metu esamą elektros gamybos iš AEI pajėgumų lygį reikia padidinti</w:t>
      </w:r>
      <w:r w:rsidR="00514EC5" w:rsidRPr="003C0378">
        <w:rPr>
          <w:b/>
          <w:bCs/>
        </w:rPr>
        <w:t xml:space="preserve"> bent</w:t>
      </w:r>
      <w:r w:rsidR="00861547" w:rsidRPr="003C0378">
        <w:rPr>
          <w:b/>
          <w:bCs/>
        </w:rPr>
        <w:t xml:space="preserve"> 2,6–3 </w:t>
      </w:r>
      <w:proofErr w:type="spellStart"/>
      <w:r w:rsidR="00861547" w:rsidRPr="003C0378">
        <w:rPr>
          <w:b/>
          <w:bCs/>
        </w:rPr>
        <w:t>TWh</w:t>
      </w:r>
      <w:proofErr w:type="spellEnd"/>
      <w:r w:rsidR="00861547" w:rsidRPr="003C0378">
        <w:rPr>
          <w:b/>
          <w:bCs/>
        </w:rPr>
        <w:t xml:space="preserve"> iki 2030 m.</w:t>
      </w:r>
      <w:r w:rsidR="00A43B24">
        <w:rPr>
          <w:b/>
          <w:bCs/>
        </w:rPr>
        <w:t xml:space="preserve"> </w:t>
      </w:r>
      <w:r w:rsidR="00500663" w:rsidRPr="00C9652A">
        <w:rPr>
          <w:b/>
          <w:bCs/>
        </w:rPr>
        <w:t>Šie skaičiavimai remiasi prielaida, kad 2030 m. galutinis energijos suvartojimo lygis Lietuvoje išliks panašus į 2018–2021 m. laikotarpio lygį. Atsižvelgiant į tai, kad ateityje didės elektros energijos poreikis dėl augančio elektromobilių kiekio, žaliosios transformacijos pramonėje, transporto ir kitose srityje, elektros gamybos iš AEI pajėgumų taip pat reikės daugiau nei šiame vertinime apskaičiuota. Atitinkamai didės ir finansavimo poreikis.</w:t>
      </w:r>
    </w:p>
    <w:p w14:paraId="3C47DFE8" w14:textId="0911C48E" w:rsidR="00462DDE" w:rsidRPr="003C0378" w:rsidRDefault="00A44B27" w:rsidP="005B6A76">
      <w:pPr>
        <w:spacing w:line="276" w:lineRule="auto"/>
        <w:rPr>
          <w:b/>
          <w:bCs/>
        </w:rPr>
      </w:pPr>
      <w:r w:rsidRPr="003C0378">
        <w:t>D</w:t>
      </w:r>
      <w:r w:rsidR="00514EC5" w:rsidRPr="003C0378">
        <w:t>idžiausią potencialą</w:t>
      </w:r>
      <w:r w:rsidRPr="003C0378">
        <w:t xml:space="preserve"> aukščiau įvardintus energijos kiekius pagaminti</w:t>
      </w:r>
      <w:r w:rsidR="00514EC5" w:rsidRPr="003C0378">
        <w:t xml:space="preserve"> turi saulės bei vėjo elektrinių plėtra. </w:t>
      </w:r>
      <w:r w:rsidRPr="003C0378">
        <w:t>Remiantis viešai prieinamais šaltiniais</w:t>
      </w:r>
      <w:r w:rsidRPr="003C0378">
        <w:rPr>
          <w:rStyle w:val="Puslapioinaosnuoroda"/>
        </w:rPr>
        <w:footnoteReference w:id="6"/>
      </w:r>
      <w:r w:rsidRPr="003C0378">
        <w:t xml:space="preserve">, 1 </w:t>
      </w:r>
      <w:r w:rsidR="00502886">
        <w:t>k</w:t>
      </w:r>
      <w:r w:rsidR="00843EAE" w:rsidRPr="003C0378">
        <w:t>W</w:t>
      </w:r>
      <w:r w:rsidRPr="003C0378">
        <w:t xml:space="preserve"> galingumo saulės ir vėjo elektrinės, atitinkamai, pagamina apytiksliai 1050 </w:t>
      </w:r>
      <w:r w:rsidR="00502886">
        <w:t>k</w:t>
      </w:r>
      <w:r w:rsidR="00843EAE" w:rsidRPr="003C0378">
        <w:t>W</w:t>
      </w:r>
      <w:r w:rsidRPr="003C0378">
        <w:t xml:space="preserve">h ir 2500 </w:t>
      </w:r>
      <w:r w:rsidR="00502886">
        <w:t>k</w:t>
      </w:r>
      <w:r w:rsidR="00843EAE" w:rsidRPr="003C0378">
        <w:t>W</w:t>
      </w:r>
      <w:r w:rsidRPr="003C0378">
        <w:t>h elektros energijos</w:t>
      </w:r>
      <w:r w:rsidR="00824EC4" w:rsidRPr="003C0378">
        <w:t xml:space="preserve"> per metus</w:t>
      </w:r>
      <w:r w:rsidRPr="003C0378">
        <w:t>. Darant</w:t>
      </w:r>
      <w:r w:rsidR="00824EC4" w:rsidRPr="003C0378">
        <w:t xml:space="preserve"> antrinių šaltinių apžvalg</w:t>
      </w:r>
      <w:r w:rsidR="0081447E">
        <w:t>ą</w:t>
      </w:r>
      <w:r w:rsidR="00824EC4" w:rsidRPr="003C0378">
        <w:t xml:space="preserve"> ir interviu metu surinkta medžiaga grįstą</w:t>
      </w:r>
      <w:r w:rsidRPr="003C0378">
        <w:t xml:space="preserve"> prielaidą, kad </w:t>
      </w:r>
      <w:r w:rsidR="00EA3A41" w:rsidRPr="003C0378">
        <w:t xml:space="preserve">1 </w:t>
      </w:r>
      <w:r w:rsidR="00502886">
        <w:t>k</w:t>
      </w:r>
      <w:r w:rsidR="00843EAE" w:rsidRPr="003C0378">
        <w:t>W</w:t>
      </w:r>
      <w:r w:rsidR="00EA3A41" w:rsidRPr="003C0378">
        <w:t xml:space="preserve"> saulės ir vėjo elektrinės pajė</w:t>
      </w:r>
      <w:r w:rsidR="00CA0A51" w:rsidRPr="003C0378">
        <w:t>gumų, atitinkamai, kainuoja</w:t>
      </w:r>
      <w:r w:rsidR="00CA1C79" w:rsidRPr="003C0378">
        <w:t xml:space="preserve"> (ir ateinančiais </w:t>
      </w:r>
      <w:r w:rsidR="00CA1C79" w:rsidRPr="006C0B37">
        <w:t xml:space="preserve">5 </w:t>
      </w:r>
      <w:r w:rsidR="007065F4">
        <w:t>m.</w:t>
      </w:r>
      <w:r w:rsidR="00CA1C79" w:rsidRPr="006C0B37">
        <w:t xml:space="preserve"> kainuos)</w:t>
      </w:r>
      <w:r w:rsidR="00CA0A51" w:rsidRPr="003C0378">
        <w:t xml:space="preserve"> 1552</w:t>
      </w:r>
      <w:r w:rsidR="00B87B3A" w:rsidRPr="003C0378">
        <w:t xml:space="preserve"> Eur ir 2218</w:t>
      </w:r>
      <w:r w:rsidR="00EA3A41" w:rsidRPr="003C0378">
        <w:t xml:space="preserve"> Eur (įskaitant PVM)</w:t>
      </w:r>
      <w:r w:rsidR="00EA3A41" w:rsidRPr="003C0378">
        <w:rPr>
          <w:rStyle w:val="Puslapioinaosnuoroda"/>
        </w:rPr>
        <w:footnoteReference w:id="7"/>
      </w:r>
      <w:r w:rsidR="00EA3A41" w:rsidRPr="003C0378">
        <w:t xml:space="preserve">, galima apskaičiuoti, kad </w:t>
      </w:r>
      <w:r w:rsidR="002B6843" w:rsidRPr="003C0378">
        <w:rPr>
          <w:b/>
          <w:bCs/>
        </w:rPr>
        <w:t xml:space="preserve">jeigu visas 2,6–3 </w:t>
      </w:r>
      <w:proofErr w:type="spellStart"/>
      <w:r w:rsidR="002B6843" w:rsidRPr="003C0378">
        <w:rPr>
          <w:b/>
          <w:bCs/>
        </w:rPr>
        <w:t>TWh</w:t>
      </w:r>
      <w:proofErr w:type="spellEnd"/>
      <w:r w:rsidR="002B6843" w:rsidRPr="003C0378">
        <w:rPr>
          <w:b/>
          <w:bCs/>
        </w:rPr>
        <w:t xml:space="preserve"> elektros poreikis būtų patenkintas įrengiant</w:t>
      </w:r>
      <w:r w:rsidR="00B87B3A" w:rsidRPr="003C0378">
        <w:rPr>
          <w:b/>
          <w:bCs/>
        </w:rPr>
        <w:t xml:space="preserve"> saulės elektrines, reikėtų 2,48–2,86</w:t>
      </w:r>
      <w:r w:rsidR="002B6843" w:rsidRPr="003C0378">
        <w:rPr>
          <w:b/>
          <w:bCs/>
        </w:rPr>
        <w:t xml:space="preserve"> GW pajėgumų, kurių</w:t>
      </w:r>
      <w:r w:rsidR="00824EC4" w:rsidRPr="003C0378">
        <w:rPr>
          <w:b/>
          <w:bCs/>
        </w:rPr>
        <w:t xml:space="preserve"> įrengimo</w:t>
      </w:r>
      <w:r w:rsidR="002B6843" w:rsidRPr="003C0378">
        <w:rPr>
          <w:b/>
          <w:bCs/>
        </w:rPr>
        <w:t xml:space="preserve"> kaina siektų </w:t>
      </w:r>
      <w:r w:rsidR="00CA0A51" w:rsidRPr="003C0378">
        <w:rPr>
          <w:b/>
          <w:bCs/>
        </w:rPr>
        <w:t>3,8</w:t>
      </w:r>
      <w:r w:rsidR="00B87B3A" w:rsidRPr="003C0378">
        <w:rPr>
          <w:b/>
          <w:bCs/>
        </w:rPr>
        <w:t>4</w:t>
      </w:r>
      <w:r w:rsidR="00426C55" w:rsidRPr="003C0378">
        <w:rPr>
          <w:b/>
          <w:bCs/>
        </w:rPr>
        <w:t>–</w:t>
      </w:r>
      <w:r w:rsidR="00CA0A51" w:rsidRPr="003C0378">
        <w:rPr>
          <w:b/>
          <w:bCs/>
        </w:rPr>
        <w:t>4,43</w:t>
      </w:r>
      <w:r w:rsidR="00426C55" w:rsidRPr="003C0378">
        <w:rPr>
          <w:b/>
          <w:bCs/>
        </w:rPr>
        <w:t xml:space="preserve"> mlrd. Eur</w:t>
      </w:r>
      <w:r w:rsidR="00426C55" w:rsidRPr="003C0378">
        <w:t xml:space="preserve">. </w:t>
      </w:r>
      <w:r w:rsidR="00426C55" w:rsidRPr="003C0378">
        <w:rPr>
          <w:b/>
          <w:bCs/>
        </w:rPr>
        <w:t>Jeigu visas elektros poreikis būtų patenkintas įrengiant</w:t>
      </w:r>
      <w:r w:rsidR="00CA0A51" w:rsidRPr="003C0378">
        <w:rPr>
          <w:b/>
          <w:bCs/>
        </w:rPr>
        <w:t xml:space="preserve"> tik</w:t>
      </w:r>
      <w:r w:rsidR="00426C55" w:rsidRPr="003C0378">
        <w:rPr>
          <w:b/>
          <w:bCs/>
        </w:rPr>
        <w:t xml:space="preserve"> vėjo elektrines, reikėtų </w:t>
      </w:r>
      <w:r w:rsidR="009D2129" w:rsidRPr="003C0378">
        <w:rPr>
          <w:b/>
          <w:bCs/>
        </w:rPr>
        <w:t>1,04</w:t>
      </w:r>
      <w:r w:rsidR="00426C55" w:rsidRPr="003C0378">
        <w:rPr>
          <w:b/>
          <w:bCs/>
        </w:rPr>
        <w:t>–</w:t>
      </w:r>
      <w:r w:rsidR="009D2129" w:rsidRPr="003C0378">
        <w:rPr>
          <w:b/>
          <w:bCs/>
        </w:rPr>
        <w:t>1,20</w:t>
      </w:r>
      <w:r w:rsidR="00426C55" w:rsidRPr="003C0378">
        <w:rPr>
          <w:b/>
          <w:bCs/>
        </w:rPr>
        <w:t xml:space="preserve"> GW pajėgumų, kurių kaina siektų 2,31–2,66 mlrd. Eur</w:t>
      </w:r>
      <w:r w:rsidR="00426C55" w:rsidRPr="003C0378">
        <w:t xml:space="preserve">. </w:t>
      </w:r>
      <w:r w:rsidR="00426C55" w:rsidRPr="003C0378">
        <w:rPr>
          <w:b/>
          <w:bCs/>
        </w:rPr>
        <w:t xml:space="preserve">Taigi, siekiant įgyvendinti LR </w:t>
      </w:r>
      <w:r w:rsidR="00781704">
        <w:rPr>
          <w:b/>
          <w:bCs/>
        </w:rPr>
        <w:t>A</w:t>
      </w:r>
      <w:r w:rsidR="00426C55" w:rsidRPr="003C0378">
        <w:rPr>
          <w:b/>
          <w:bCs/>
        </w:rPr>
        <w:t>tsinaujinančių išteklių energetikos įstatyme numatytus tikslus investicijų paklausa gali varij</w:t>
      </w:r>
      <w:r w:rsidR="00CA0A51" w:rsidRPr="003C0378">
        <w:rPr>
          <w:b/>
          <w:bCs/>
        </w:rPr>
        <w:t>uoti nuo 2,31 mlrd. Eur iki 4,43</w:t>
      </w:r>
      <w:r w:rsidR="00426C55" w:rsidRPr="003C0378">
        <w:rPr>
          <w:b/>
          <w:bCs/>
        </w:rPr>
        <w:t xml:space="preserve"> mlrd. Eur iki 2030 m.</w:t>
      </w:r>
    </w:p>
    <w:p w14:paraId="612700F0" w14:textId="4FD9084E" w:rsidR="00426C55" w:rsidRPr="003C0378" w:rsidRDefault="00877C8A" w:rsidP="00514EC5">
      <w:pPr>
        <w:spacing w:line="276" w:lineRule="auto"/>
      </w:pPr>
      <w:r w:rsidRPr="003C0378">
        <w:t>Praktiniu požiūriu,</w:t>
      </w:r>
      <w:r w:rsidR="00426C55" w:rsidRPr="003C0378">
        <w:t xml:space="preserve"> </w:t>
      </w:r>
      <w:r w:rsidR="003625B5" w:rsidRPr="003C0378">
        <w:t xml:space="preserve">AEI pajėgumai nebus didinami įrenginėjant </w:t>
      </w:r>
      <w:r w:rsidR="00A13474">
        <w:t>išimtinai</w:t>
      </w:r>
      <w:r w:rsidR="003625B5" w:rsidRPr="003C0378">
        <w:t xml:space="preserve"> vieno tipo elektros </w:t>
      </w:r>
      <w:r w:rsidR="003041D5">
        <w:t>energijos gamybos technologij</w:t>
      </w:r>
      <w:r w:rsidR="000A2D62">
        <w:t>ą</w:t>
      </w:r>
      <w:r w:rsidR="003625B5" w:rsidRPr="003C0378">
        <w:t xml:space="preserve">. </w:t>
      </w:r>
      <w:r w:rsidR="00DC73A5" w:rsidRPr="003C0378">
        <w:t>Atsižvelgiant į tai, ž</w:t>
      </w:r>
      <w:r w:rsidR="003B4A19" w:rsidRPr="003C0378">
        <w:t xml:space="preserve">emiau lentelėje yra pateikiami AEI plėtros paklausos </w:t>
      </w:r>
      <w:r w:rsidR="00A13474">
        <w:t>vertinimas</w:t>
      </w:r>
      <w:r w:rsidR="00285167" w:rsidRPr="003C0378">
        <w:t xml:space="preserve"> </w:t>
      </w:r>
      <w:r w:rsidR="00CA0A51" w:rsidRPr="003C0378">
        <w:t xml:space="preserve">apžvelgiant kokia </w:t>
      </w:r>
      <w:r w:rsidR="003642DB" w:rsidRPr="003C0378">
        <w:t>dalis elektros energijos poreikio</w:t>
      </w:r>
      <w:r w:rsidR="008543DF" w:rsidRPr="003C0378">
        <w:t xml:space="preserve"> (2,6–3 </w:t>
      </w:r>
      <w:proofErr w:type="spellStart"/>
      <w:r w:rsidR="008543DF" w:rsidRPr="003C0378">
        <w:t>TWh</w:t>
      </w:r>
      <w:proofErr w:type="spellEnd"/>
      <w:r w:rsidR="008543DF" w:rsidRPr="003C0378">
        <w:t>)</w:t>
      </w:r>
      <w:r w:rsidR="00CA0A51" w:rsidRPr="003C0378">
        <w:t xml:space="preserve"> b</w:t>
      </w:r>
      <w:r w:rsidR="000A2D62">
        <w:t>ū</w:t>
      </w:r>
      <w:r w:rsidR="00CA0A51" w:rsidRPr="003C0378">
        <w:t>tų</w:t>
      </w:r>
      <w:r w:rsidR="003642DB" w:rsidRPr="003C0378">
        <w:t xml:space="preserve"> </w:t>
      </w:r>
      <w:r w:rsidR="00B87B3A" w:rsidRPr="003C0378">
        <w:t>patenkinama įrenginėjant skirtingų tipų</w:t>
      </w:r>
      <w:r w:rsidR="00CA0A51" w:rsidRPr="003C0378">
        <w:t xml:space="preserve"> </w:t>
      </w:r>
      <w:r w:rsidRPr="003C0378">
        <w:t>ir (ar)</w:t>
      </w:r>
      <w:r w:rsidR="00CA0A51" w:rsidRPr="003C0378">
        <w:t xml:space="preserve"> proporcijų</w:t>
      </w:r>
      <w:r w:rsidR="00B87B3A" w:rsidRPr="003C0378">
        <w:t xml:space="preserve"> AEI </w:t>
      </w:r>
      <w:r w:rsidR="000A2D62">
        <w:t>naudojančias technologijas</w:t>
      </w:r>
      <w:r w:rsidR="00B87B3A" w:rsidRPr="003C0378">
        <w:t>.</w:t>
      </w:r>
    </w:p>
    <w:p w14:paraId="60FAABC8" w14:textId="119C9532" w:rsidR="008543DF" w:rsidRPr="003C0378" w:rsidRDefault="008543DF" w:rsidP="008543DF">
      <w:pPr>
        <w:keepNext/>
        <w:ind w:firstLine="0"/>
        <w:rPr>
          <w:rFonts w:cs="Times New Roman"/>
          <w:i/>
          <w:iCs/>
        </w:rPr>
      </w:pPr>
      <w:bookmarkStart w:id="28" w:name="_Toc117850566"/>
      <w:bookmarkStart w:id="29" w:name="_Toc126051377"/>
      <w:bookmarkStart w:id="30" w:name="_Toc166139852"/>
      <w:bookmarkStart w:id="31" w:name="_Toc170804618"/>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w:t>
      </w:r>
      <w:r w:rsidRPr="003C0378">
        <w:rPr>
          <w:rFonts w:cs="Times New Roman"/>
          <w:i/>
          <w:iCs/>
        </w:rPr>
        <w:fldChar w:fldCharType="end"/>
      </w:r>
      <w:r w:rsidRPr="003C0378">
        <w:rPr>
          <w:rFonts w:cs="Times New Roman"/>
          <w:i/>
          <w:iCs/>
        </w:rPr>
        <w:t xml:space="preserve">. </w:t>
      </w:r>
      <w:bookmarkEnd w:id="28"/>
      <w:r w:rsidRPr="003C0378">
        <w:rPr>
          <w:rFonts w:cs="Times New Roman"/>
          <w:i/>
          <w:iCs/>
        </w:rPr>
        <w:t xml:space="preserve">AEI investicijų paklausos </w:t>
      </w:r>
      <w:r w:rsidR="003976FD">
        <w:rPr>
          <w:rFonts w:cs="Times New Roman"/>
          <w:i/>
          <w:iCs/>
        </w:rPr>
        <w:t>vertinimai</w:t>
      </w:r>
      <w:r w:rsidRPr="003C0378">
        <w:rPr>
          <w:rFonts w:cs="Times New Roman"/>
          <w:i/>
          <w:iCs/>
        </w:rPr>
        <w:t xml:space="preserve">, remiantis LR </w:t>
      </w:r>
      <w:r w:rsidR="00AA66D9">
        <w:rPr>
          <w:rFonts w:cs="Times New Roman"/>
          <w:i/>
          <w:iCs/>
        </w:rPr>
        <w:t>A</w:t>
      </w:r>
      <w:r w:rsidRPr="003C0378">
        <w:rPr>
          <w:rFonts w:cs="Times New Roman"/>
          <w:i/>
          <w:iCs/>
        </w:rPr>
        <w:t>tsinaujinančių išteklių energetikos įstatyme numatytų tikslų analize</w:t>
      </w:r>
      <w:bookmarkEnd w:id="29"/>
      <w:bookmarkEnd w:id="30"/>
      <w:bookmarkEnd w:id="31"/>
    </w:p>
    <w:tbl>
      <w:tblPr>
        <w:tblStyle w:val="Lentelstinklelis"/>
        <w:tblW w:w="9406" w:type="dxa"/>
        <w:tblLook w:val="04A0" w:firstRow="1" w:lastRow="0" w:firstColumn="1" w:lastColumn="0" w:noHBand="0" w:noVBand="1"/>
      </w:tblPr>
      <w:tblGrid>
        <w:gridCol w:w="1700"/>
        <w:gridCol w:w="1732"/>
        <w:gridCol w:w="1666"/>
        <w:gridCol w:w="2127"/>
        <w:gridCol w:w="2181"/>
      </w:tblGrid>
      <w:tr w:rsidR="008543DF" w:rsidRPr="003C0378" w14:paraId="4B9B574A" w14:textId="77777777" w:rsidTr="00E24002">
        <w:trPr>
          <w:trHeight w:val="17"/>
          <w:tblHeader/>
        </w:trPr>
        <w:tc>
          <w:tcPr>
            <w:tcW w:w="1700" w:type="dxa"/>
            <w:noWrap/>
            <w:vAlign w:val="center"/>
            <w:hideMark/>
          </w:tcPr>
          <w:p w14:paraId="4FD57ED1" w14:textId="02865BEE" w:rsidR="00B87B3A" w:rsidRPr="003C0378" w:rsidRDefault="00B87B3A" w:rsidP="006C0B37">
            <w:pPr>
              <w:spacing w:after="0" w:line="276" w:lineRule="auto"/>
              <w:ind w:firstLine="0"/>
              <w:jc w:val="center"/>
              <w:rPr>
                <w:rFonts w:cs="Times New Roman"/>
                <w:b/>
                <w:bCs/>
                <w:sz w:val="20"/>
                <w:szCs w:val="20"/>
                <w:lang w:val="lt-LT"/>
              </w:rPr>
            </w:pPr>
            <w:r w:rsidRPr="003C0378">
              <w:rPr>
                <w:rFonts w:cs="Times New Roman"/>
                <w:b/>
                <w:bCs/>
                <w:sz w:val="20"/>
                <w:szCs w:val="20"/>
                <w:lang w:val="lt-LT"/>
              </w:rPr>
              <w:t>Vėjo energijos dalis (proc.)</w:t>
            </w:r>
          </w:p>
        </w:tc>
        <w:tc>
          <w:tcPr>
            <w:tcW w:w="1732" w:type="dxa"/>
            <w:noWrap/>
            <w:vAlign w:val="center"/>
            <w:hideMark/>
          </w:tcPr>
          <w:p w14:paraId="4C6EE720" w14:textId="0B4EF2B7" w:rsidR="00B87B3A" w:rsidRPr="003C0378" w:rsidRDefault="00B87B3A" w:rsidP="006C0B37">
            <w:pPr>
              <w:spacing w:after="0" w:line="276" w:lineRule="auto"/>
              <w:ind w:firstLine="0"/>
              <w:jc w:val="center"/>
              <w:rPr>
                <w:rFonts w:cs="Times New Roman"/>
                <w:b/>
                <w:bCs/>
                <w:sz w:val="20"/>
                <w:szCs w:val="20"/>
                <w:lang w:val="lt-LT"/>
              </w:rPr>
            </w:pPr>
            <w:r w:rsidRPr="003C0378">
              <w:rPr>
                <w:rFonts w:cs="Times New Roman"/>
                <w:b/>
                <w:bCs/>
                <w:sz w:val="20"/>
                <w:szCs w:val="20"/>
                <w:lang w:val="lt-LT"/>
              </w:rPr>
              <w:t>Saulės energijos dalis (proc.)</w:t>
            </w:r>
          </w:p>
        </w:tc>
        <w:tc>
          <w:tcPr>
            <w:tcW w:w="1666" w:type="dxa"/>
            <w:vAlign w:val="center"/>
          </w:tcPr>
          <w:p w14:paraId="26A36426" w14:textId="1473C355" w:rsidR="008543DF" w:rsidRPr="003C0378" w:rsidRDefault="008543DF" w:rsidP="006C0B37">
            <w:pPr>
              <w:spacing w:after="0" w:line="276" w:lineRule="auto"/>
              <w:ind w:firstLine="0"/>
              <w:jc w:val="center"/>
              <w:rPr>
                <w:rFonts w:cs="Times New Roman"/>
                <w:b/>
                <w:bCs/>
                <w:sz w:val="20"/>
                <w:szCs w:val="20"/>
                <w:lang w:val="lt-LT"/>
              </w:rPr>
            </w:pPr>
            <w:r w:rsidRPr="003C0378">
              <w:rPr>
                <w:rFonts w:cs="Times New Roman"/>
                <w:b/>
                <w:bCs/>
                <w:sz w:val="20"/>
                <w:szCs w:val="20"/>
                <w:lang w:val="lt-LT"/>
              </w:rPr>
              <w:t>Vėjo pajėgumų poreikis (GW)</w:t>
            </w:r>
          </w:p>
        </w:tc>
        <w:tc>
          <w:tcPr>
            <w:tcW w:w="2127" w:type="dxa"/>
            <w:vAlign w:val="center"/>
          </w:tcPr>
          <w:p w14:paraId="613E9834" w14:textId="4BF86CD3" w:rsidR="00B87B3A" w:rsidRPr="003C0378" w:rsidRDefault="008543DF" w:rsidP="006C0B37">
            <w:pPr>
              <w:spacing w:after="0" w:line="276" w:lineRule="auto"/>
              <w:ind w:firstLine="0"/>
              <w:jc w:val="center"/>
              <w:rPr>
                <w:rFonts w:cs="Times New Roman"/>
                <w:b/>
                <w:bCs/>
                <w:sz w:val="20"/>
                <w:szCs w:val="20"/>
                <w:lang w:val="lt-LT"/>
              </w:rPr>
            </w:pPr>
            <w:r w:rsidRPr="003C0378">
              <w:rPr>
                <w:rFonts w:cs="Times New Roman"/>
                <w:b/>
                <w:bCs/>
                <w:sz w:val="20"/>
                <w:szCs w:val="20"/>
                <w:lang w:val="lt-LT"/>
              </w:rPr>
              <w:t>Saulės pajėgumų poreikis (GW)</w:t>
            </w:r>
          </w:p>
        </w:tc>
        <w:tc>
          <w:tcPr>
            <w:tcW w:w="2181" w:type="dxa"/>
            <w:noWrap/>
            <w:vAlign w:val="center"/>
            <w:hideMark/>
          </w:tcPr>
          <w:p w14:paraId="55A5903D" w14:textId="1449DB69" w:rsidR="00B87B3A" w:rsidRPr="003C0378" w:rsidRDefault="008543DF" w:rsidP="006C0B37">
            <w:pPr>
              <w:spacing w:after="0" w:line="276" w:lineRule="auto"/>
              <w:ind w:firstLine="0"/>
              <w:jc w:val="center"/>
              <w:rPr>
                <w:rFonts w:cs="Times New Roman"/>
                <w:b/>
                <w:bCs/>
                <w:sz w:val="20"/>
                <w:szCs w:val="20"/>
                <w:lang w:val="lt-LT"/>
              </w:rPr>
            </w:pPr>
            <w:r w:rsidRPr="003C0378">
              <w:rPr>
                <w:rFonts w:cs="Times New Roman"/>
                <w:b/>
                <w:bCs/>
                <w:sz w:val="20"/>
                <w:szCs w:val="20"/>
                <w:lang w:val="lt-LT"/>
              </w:rPr>
              <w:t>Investicijų poreikis (mlrd</w:t>
            </w:r>
            <w:r w:rsidR="00B87B3A" w:rsidRPr="003C0378">
              <w:rPr>
                <w:rFonts w:cs="Times New Roman"/>
                <w:b/>
                <w:bCs/>
                <w:sz w:val="20"/>
                <w:szCs w:val="20"/>
                <w:lang w:val="lt-LT"/>
              </w:rPr>
              <w:t>. Eur)</w:t>
            </w:r>
          </w:p>
        </w:tc>
      </w:tr>
      <w:tr w:rsidR="00CA0A51" w:rsidRPr="003C0378" w14:paraId="4C694E74" w14:textId="77777777" w:rsidTr="00E24002">
        <w:trPr>
          <w:trHeight w:val="17"/>
        </w:trPr>
        <w:tc>
          <w:tcPr>
            <w:tcW w:w="1700" w:type="dxa"/>
            <w:noWrap/>
            <w:vAlign w:val="center"/>
            <w:hideMark/>
          </w:tcPr>
          <w:p w14:paraId="217097A3" w14:textId="12A939D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100</w:t>
            </w:r>
            <w:r w:rsidR="00B55C94" w:rsidRPr="003C0378">
              <w:rPr>
                <w:rFonts w:cs="Times New Roman"/>
                <w:sz w:val="20"/>
                <w:szCs w:val="20"/>
                <w:lang w:val="lt-LT"/>
              </w:rPr>
              <w:t xml:space="preserve"> proc.</w:t>
            </w:r>
          </w:p>
        </w:tc>
        <w:tc>
          <w:tcPr>
            <w:tcW w:w="1732" w:type="dxa"/>
            <w:noWrap/>
            <w:vAlign w:val="center"/>
            <w:hideMark/>
          </w:tcPr>
          <w:p w14:paraId="77761550" w14:textId="2B0831A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w:t>
            </w:r>
            <w:r w:rsidR="00B55C94" w:rsidRPr="003C0378">
              <w:rPr>
                <w:rFonts w:cs="Times New Roman"/>
                <w:sz w:val="20"/>
                <w:szCs w:val="20"/>
                <w:lang w:val="lt-LT"/>
              </w:rPr>
              <w:t xml:space="preserve"> proc.</w:t>
            </w:r>
          </w:p>
        </w:tc>
        <w:tc>
          <w:tcPr>
            <w:tcW w:w="1666" w:type="dxa"/>
            <w:vAlign w:val="center"/>
          </w:tcPr>
          <w:p w14:paraId="40BC1B7D" w14:textId="67D00EBE"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1,04–1,2</w:t>
            </w:r>
          </w:p>
        </w:tc>
        <w:tc>
          <w:tcPr>
            <w:tcW w:w="2127" w:type="dxa"/>
          </w:tcPr>
          <w:p w14:paraId="7A88E1AA" w14:textId="4702ECC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w:t>
            </w:r>
          </w:p>
        </w:tc>
        <w:tc>
          <w:tcPr>
            <w:tcW w:w="2181" w:type="dxa"/>
            <w:noWrap/>
            <w:hideMark/>
          </w:tcPr>
          <w:p w14:paraId="081C9ABF" w14:textId="79B0F9F8"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2,31</w:t>
            </w:r>
            <w:r w:rsidR="00F36FBF" w:rsidRPr="003C0378">
              <w:rPr>
                <w:rFonts w:cs="Times New Roman"/>
                <w:sz w:val="20"/>
                <w:szCs w:val="20"/>
                <w:lang w:val="lt-LT"/>
              </w:rPr>
              <w:t>–</w:t>
            </w:r>
            <w:r w:rsidRPr="003C0378">
              <w:rPr>
                <w:rFonts w:cs="Times New Roman"/>
                <w:sz w:val="20"/>
                <w:szCs w:val="20"/>
                <w:lang w:val="lt-LT"/>
              </w:rPr>
              <w:t>2,66</w:t>
            </w:r>
          </w:p>
        </w:tc>
      </w:tr>
      <w:tr w:rsidR="00CA0A51" w:rsidRPr="003C0378" w14:paraId="6F890139" w14:textId="77777777" w:rsidTr="00E24002">
        <w:trPr>
          <w:trHeight w:val="17"/>
        </w:trPr>
        <w:tc>
          <w:tcPr>
            <w:tcW w:w="1700" w:type="dxa"/>
            <w:noWrap/>
            <w:vAlign w:val="center"/>
            <w:hideMark/>
          </w:tcPr>
          <w:p w14:paraId="7EF39366" w14:textId="61A2FE15"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90</w:t>
            </w:r>
            <w:r w:rsidR="00B55C94" w:rsidRPr="003C0378">
              <w:rPr>
                <w:rFonts w:cs="Times New Roman"/>
                <w:sz w:val="20"/>
                <w:szCs w:val="20"/>
                <w:lang w:val="lt-LT"/>
              </w:rPr>
              <w:t xml:space="preserve"> proc.</w:t>
            </w:r>
          </w:p>
        </w:tc>
        <w:tc>
          <w:tcPr>
            <w:tcW w:w="1732" w:type="dxa"/>
            <w:noWrap/>
            <w:vAlign w:val="center"/>
            <w:hideMark/>
          </w:tcPr>
          <w:p w14:paraId="616AB966" w14:textId="510595BB"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10</w:t>
            </w:r>
            <w:r w:rsidR="00B55C94" w:rsidRPr="003C0378">
              <w:rPr>
                <w:rFonts w:cs="Times New Roman"/>
                <w:sz w:val="20"/>
                <w:szCs w:val="20"/>
                <w:lang w:val="lt-LT"/>
              </w:rPr>
              <w:t xml:space="preserve"> proc.</w:t>
            </w:r>
          </w:p>
        </w:tc>
        <w:tc>
          <w:tcPr>
            <w:tcW w:w="1666" w:type="dxa"/>
            <w:vAlign w:val="center"/>
          </w:tcPr>
          <w:p w14:paraId="7FD1CB76" w14:textId="622AB4D6"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0,94–1,08</w:t>
            </w:r>
          </w:p>
        </w:tc>
        <w:tc>
          <w:tcPr>
            <w:tcW w:w="2127" w:type="dxa"/>
          </w:tcPr>
          <w:p w14:paraId="4D22564B" w14:textId="0FA18C30"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0,25–0,29</w:t>
            </w:r>
          </w:p>
        </w:tc>
        <w:tc>
          <w:tcPr>
            <w:tcW w:w="2181" w:type="dxa"/>
            <w:noWrap/>
            <w:hideMark/>
          </w:tcPr>
          <w:p w14:paraId="565755F2" w14:textId="66E4C472"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2,46</w:t>
            </w:r>
            <w:r w:rsidR="00F36FBF" w:rsidRPr="003C0378">
              <w:rPr>
                <w:rFonts w:cs="Times New Roman"/>
                <w:sz w:val="20"/>
                <w:szCs w:val="20"/>
                <w:lang w:val="lt-LT"/>
              </w:rPr>
              <w:t>–</w:t>
            </w:r>
            <w:r w:rsidRPr="003C0378">
              <w:rPr>
                <w:rFonts w:cs="Times New Roman"/>
                <w:sz w:val="20"/>
                <w:szCs w:val="20"/>
                <w:lang w:val="lt-LT"/>
              </w:rPr>
              <w:t>2,84</w:t>
            </w:r>
          </w:p>
        </w:tc>
      </w:tr>
      <w:tr w:rsidR="00CA0A51" w:rsidRPr="003C0378" w14:paraId="6750FE33" w14:textId="77777777" w:rsidTr="00E24002">
        <w:trPr>
          <w:trHeight w:val="17"/>
        </w:trPr>
        <w:tc>
          <w:tcPr>
            <w:tcW w:w="1700" w:type="dxa"/>
            <w:noWrap/>
            <w:vAlign w:val="center"/>
            <w:hideMark/>
          </w:tcPr>
          <w:p w14:paraId="7600DF84" w14:textId="70EB045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80</w:t>
            </w:r>
            <w:r w:rsidR="00B55C94" w:rsidRPr="003C0378">
              <w:rPr>
                <w:rFonts w:cs="Times New Roman"/>
                <w:sz w:val="20"/>
                <w:szCs w:val="20"/>
                <w:lang w:val="lt-LT"/>
              </w:rPr>
              <w:t xml:space="preserve"> proc.</w:t>
            </w:r>
          </w:p>
        </w:tc>
        <w:tc>
          <w:tcPr>
            <w:tcW w:w="1732" w:type="dxa"/>
            <w:noWrap/>
            <w:vAlign w:val="center"/>
            <w:hideMark/>
          </w:tcPr>
          <w:p w14:paraId="1A8BB5E1" w14:textId="5DFFA4FF"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20</w:t>
            </w:r>
            <w:r w:rsidR="00B55C94" w:rsidRPr="003C0378">
              <w:rPr>
                <w:rFonts w:cs="Times New Roman"/>
                <w:sz w:val="20"/>
                <w:szCs w:val="20"/>
                <w:lang w:val="lt-LT"/>
              </w:rPr>
              <w:t xml:space="preserve"> proc.</w:t>
            </w:r>
          </w:p>
        </w:tc>
        <w:tc>
          <w:tcPr>
            <w:tcW w:w="1666" w:type="dxa"/>
            <w:vAlign w:val="center"/>
          </w:tcPr>
          <w:p w14:paraId="33D27C3A" w14:textId="557538AB"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0,83–0,96</w:t>
            </w:r>
          </w:p>
        </w:tc>
        <w:tc>
          <w:tcPr>
            <w:tcW w:w="2127" w:type="dxa"/>
          </w:tcPr>
          <w:p w14:paraId="1B296D98" w14:textId="19ADBA1A"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0,5–0,57</w:t>
            </w:r>
          </w:p>
        </w:tc>
        <w:tc>
          <w:tcPr>
            <w:tcW w:w="2181" w:type="dxa"/>
            <w:noWrap/>
            <w:hideMark/>
          </w:tcPr>
          <w:p w14:paraId="7CCD3401" w14:textId="534EC8ED"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2,61</w:t>
            </w:r>
            <w:r w:rsidR="00F36FBF" w:rsidRPr="003C0378">
              <w:rPr>
                <w:rFonts w:cs="Times New Roman"/>
                <w:sz w:val="20"/>
                <w:szCs w:val="20"/>
                <w:lang w:val="lt-LT"/>
              </w:rPr>
              <w:t>–</w:t>
            </w:r>
            <w:r w:rsidRPr="003C0378">
              <w:rPr>
                <w:rFonts w:cs="Times New Roman"/>
                <w:sz w:val="20"/>
                <w:szCs w:val="20"/>
                <w:lang w:val="lt-LT"/>
              </w:rPr>
              <w:t>3,02</w:t>
            </w:r>
          </w:p>
        </w:tc>
      </w:tr>
      <w:tr w:rsidR="00CA0A51" w:rsidRPr="003C0378" w14:paraId="084C16AD" w14:textId="77777777" w:rsidTr="00E24002">
        <w:trPr>
          <w:trHeight w:val="17"/>
        </w:trPr>
        <w:tc>
          <w:tcPr>
            <w:tcW w:w="1700" w:type="dxa"/>
            <w:noWrap/>
            <w:vAlign w:val="center"/>
            <w:hideMark/>
          </w:tcPr>
          <w:p w14:paraId="2934E3D7" w14:textId="7A38FE11"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70</w:t>
            </w:r>
            <w:r w:rsidR="00B55C94" w:rsidRPr="003C0378">
              <w:rPr>
                <w:rFonts w:cs="Times New Roman"/>
                <w:sz w:val="20"/>
                <w:szCs w:val="20"/>
                <w:lang w:val="lt-LT"/>
              </w:rPr>
              <w:t xml:space="preserve"> proc.</w:t>
            </w:r>
          </w:p>
        </w:tc>
        <w:tc>
          <w:tcPr>
            <w:tcW w:w="1732" w:type="dxa"/>
            <w:noWrap/>
            <w:vAlign w:val="center"/>
            <w:hideMark/>
          </w:tcPr>
          <w:p w14:paraId="6D156580" w14:textId="47760B86"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30</w:t>
            </w:r>
            <w:r w:rsidR="00B55C94" w:rsidRPr="003C0378">
              <w:rPr>
                <w:rFonts w:cs="Times New Roman"/>
                <w:sz w:val="20"/>
                <w:szCs w:val="20"/>
                <w:lang w:val="lt-LT"/>
              </w:rPr>
              <w:t xml:space="preserve"> proc.</w:t>
            </w:r>
          </w:p>
        </w:tc>
        <w:tc>
          <w:tcPr>
            <w:tcW w:w="1666" w:type="dxa"/>
            <w:vAlign w:val="center"/>
          </w:tcPr>
          <w:p w14:paraId="39F00CA0" w14:textId="08AFE95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0,73–0,84</w:t>
            </w:r>
          </w:p>
        </w:tc>
        <w:tc>
          <w:tcPr>
            <w:tcW w:w="2127" w:type="dxa"/>
          </w:tcPr>
          <w:p w14:paraId="7BCC6FCB" w14:textId="589E726E"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0,74–0,86</w:t>
            </w:r>
          </w:p>
        </w:tc>
        <w:tc>
          <w:tcPr>
            <w:tcW w:w="2181" w:type="dxa"/>
            <w:noWrap/>
            <w:hideMark/>
          </w:tcPr>
          <w:p w14:paraId="68E3DAC1" w14:textId="778EB1C4"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2,77</w:t>
            </w:r>
            <w:r w:rsidR="00F36FBF" w:rsidRPr="003C0378">
              <w:rPr>
                <w:rFonts w:cs="Times New Roman"/>
                <w:sz w:val="20"/>
                <w:szCs w:val="20"/>
                <w:lang w:val="lt-LT"/>
              </w:rPr>
              <w:t>–</w:t>
            </w:r>
            <w:r w:rsidRPr="003C0378">
              <w:rPr>
                <w:rFonts w:cs="Times New Roman"/>
                <w:sz w:val="20"/>
                <w:szCs w:val="20"/>
                <w:lang w:val="lt-LT"/>
              </w:rPr>
              <w:t>3,19</w:t>
            </w:r>
          </w:p>
        </w:tc>
      </w:tr>
      <w:tr w:rsidR="00CA0A51" w:rsidRPr="003C0378" w14:paraId="6D35D630" w14:textId="77777777" w:rsidTr="00E24002">
        <w:trPr>
          <w:trHeight w:val="17"/>
        </w:trPr>
        <w:tc>
          <w:tcPr>
            <w:tcW w:w="1700" w:type="dxa"/>
            <w:noWrap/>
            <w:vAlign w:val="center"/>
            <w:hideMark/>
          </w:tcPr>
          <w:p w14:paraId="6A0EA849" w14:textId="51470CD5"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lastRenderedPageBreak/>
              <w:t>60</w:t>
            </w:r>
            <w:r w:rsidR="00B55C94" w:rsidRPr="003C0378">
              <w:rPr>
                <w:rFonts w:cs="Times New Roman"/>
                <w:sz w:val="20"/>
                <w:szCs w:val="20"/>
                <w:lang w:val="lt-LT"/>
              </w:rPr>
              <w:t xml:space="preserve"> proc.</w:t>
            </w:r>
          </w:p>
        </w:tc>
        <w:tc>
          <w:tcPr>
            <w:tcW w:w="1732" w:type="dxa"/>
            <w:noWrap/>
            <w:vAlign w:val="center"/>
            <w:hideMark/>
          </w:tcPr>
          <w:p w14:paraId="4F5AF6A0" w14:textId="579A3A42"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40</w:t>
            </w:r>
            <w:r w:rsidR="00B55C94" w:rsidRPr="003C0378">
              <w:rPr>
                <w:rFonts w:cs="Times New Roman"/>
                <w:sz w:val="20"/>
                <w:szCs w:val="20"/>
                <w:lang w:val="lt-LT"/>
              </w:rPr>
              <w:t xml:space="preserve"> proc.</w:t>
            </w:r>
          </w:p>
        </w:tc>
        <w:tc>
          <w:tcPr>
            <w:tcW w:w="1666" w:type="dxa"/>
            <w:vAlign w:val="center"/>
          </w:tcPr>
          <w:p w14:paraId="17EF5747" w14:textId="77AD91A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0,62–0,72</w:t>
            </w:r>
          </w:p>
        </w:tc>
        <w:tc>
          <w:tcPr>
            <w:tcW w:w="2127" w:type="dxa"/>
          </w:tcPr>
          <w:p w14:paraId="5B866218" w14:textId="733159D7"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0,99–1,14</w:t>
            </w:r>
          </w:p>
        </w:tc>
        <w:tc>
          <w:tcPr>
            <w:tcW w:w="2181" w:type="dxa"/>
            <w:noWrap/>
            <w:hideMark/>
          </w:tcPr>
          <w:p w14:paraId="6FB4267F" w14:textId="0884F83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2,92</w:t>
            </w:r>
            <w:r w:rsidR="00F36FBF" w:rsidRPr="003C0378">
              <w:rPr>
                <w:rFonts w:cs="Times New Roman"/>
                <w:sz w:val="20"/>
                <w:szCs w:val="20"/>
                <w:lang w:val="lt-LT"/>
              </w:rPr>
              <w:t>–</w:t>
            </w:r>
            <w:r w:rsidRPr="003C0378">
              <w:rPr>
                <w:rFonts w:cs="Times New Roman"/>
                <w:sz w:val="20"/>
                <w:szCs w:val="20"/>
                <w:lang w:val="lt-LT"/>
              </w:rPr>
              <w:t>3,37</w:t>
            </w:r>
          </w:p>
        </w:tc>
      </w:tr>
      <w:tr w:rsidR="00CA0A51" w:rsidRPr="003C0378" w14:paraId="75365814" w14:textId="77777777" w:rsidTr="00E24002">
        <w:trPr>
          <w:trHeight w:val="17"/>
        </w:trPr>
        <w:tc>
          <w:tcPr>
            <w:tcW w:w="1700" w:type="dxa"/>
            <w:noWrap/>
            <w:vAlign w:val="center"/>
            <w:hideMark/>
          </w:tcPr>
          <w:p w14:paraId="4566D99C" w14:textId="3D6C1657"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50</w:t>
            </w:r>
            <w:r w:rsidR="00B55C94" w:rsidRPr="003C0378">
              <w:rPr>
                <w:rFonts w:cs="Times New Roman"/>
                <w:sz w:val="20"/>
                <w:szCs w:val="20"/>
                <w:lang w:val="lt-LT"/>
              </w:rPr>
              <w:t xml:space="preserve"> proc.</w:t>
            </w:r>
          </w:p>
        </w:tc>
        <w:tc>
          <w:tcPr>
            <w:tcW w:w="1732" w:type="dxa"/>
            <w:noWrap/>
            <w:vAlign w:val="center"/>
            <w:hideMark/>
          </w:tcPr>
          <w:p w14:paraId="15B71E59" w14:textId="3A053317"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50</w:t>
            </w:r>
            <w:r w:rsidR="00B55C94" w:rsidRPr="003C0378">
              <w:rPr>
                <w:rFonts w:cs="Times New Roman"/>
                <w:sz w:val="20"/>
                <w:szCs w:val="20"/>
                <w:lang w:val="lt-LT"/>
              </w:rPr>
              <w:t xml:space="preserve"> proc.</w:t>
            </w:r>
          </w:p>
        </w:tc>
        <w:tc>
          <w:tcPr>
            <w:tcW w:w="1666" w:type="dxa"/>
            <w:vAlign w:val="center"/>
          </w:tcPr>
          <w:p w14:paraId="52991C1B" w14:textId="6DF89E4B"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0,52–0,6</w:t>
            </w:r>
          </w:p>
        </w:tc>
        <w:tc>
          <w:tcPr>
            <w:tcW w:w="2127" w:type="dxa"/>
          </w:tcPr>
          <w:p w14:paraId="169065D3" w14:textId="507B7FA1"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1,24–1,43</w:t>
            </w:r>
          </w:p>
        </w:tc>
        <w:tc>
          <w:tcPr>
            <w:tcW w:w="2181" w:type="dxa"/>
            <w:noWrap/>
            <w:hideMark/>
          </w:tcPr>
          <w:p w14:paraId="2D140CA8" w14:textId="7E8C231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3,07</w:t>
            </w:r>
            <w:r w:rsidR="00F36FBF" w:rsidRPr="003C0378">
              <w:rPr>
                <w:rFonts w:cs="Times New Roman"/>
                <w:sz w:val="20"/>
                <w:szCs w:val="20"/>
                <w:lang w:val="lt-LT"/>
              </w:rPr>
              <w:t>–</w:t>
            </w:r>
            <w:r w:rsidRPr="003C0378">
              <w:rPr>
                <w:rFonts w:cs="Times New Roman"/>
                <w:sz w:val="20"/>
                <w:szCs w:val="20"/>
                <w:lang w:val="lt-LT"/>
              </w:rPr>
              <w:t>3,55</w:t>
            </w:r>
          </w:p>
        </w:tc>
      </w:tr>
      <w:tr w:rsidR="00CA0A51" w:rsidRPr="003C0378" w14:paraId="08F66E68" w14:textId="77777777" w:rsidTr="00E24002">
        <w:trPr>
          <w:trHeight w:val="17"/>
        </w:trPr>
        <w:tc>
          <w:tcPr>
            <w:tcW w:w="1700" w:type="dxa"/>
            <w:noWrap/>
            <w:vAlign w:val="center"/>
            <w:hideMark/>
          </w:tcPr>
          <w:p w14:paraId="40DDE94F" w14:textId="49DF1B0C"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40</w:t>
            </w:r>
            <w:r w:rsidR="00B55C94" w:rsidRPr="003C0378">
              <w:rPr>
                <w:rFonts w:cs="Times New Roman"/>
                <w:sz w:val="20"/>
                <w:szCs w:val="20"/>
                <w:lang w:val="lt-LT"/>
              </w:rPr>
              <w:t xml:space="preserve"> proc.</w:t>
            </w:r>
          </w:p>
        </w:tc>
        <w:tc>
          <w:tcPr>
            <w:tcW w:w="1732" w:type="dxa"/>
            <w:noWrap/>
            <w:vAlign w:val="center"/>
            <w:hideMark/>
          </w:tcPr>
          <w:p w14:paraId="1C4C40DC" w14:textId="788D728A"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60</w:t>
            </w:r>
            <w:r w:rsidR="00B55C94" w:rsidRPr="003C0378">
              <w:rPr>
                <w:rFonts w:cs="Times New Roman"/>
                <w:sz w:val="20"/>
                <w:szCs w:val="20"/>
                <w:lang w:val="lt-LT"/>
              </w:rPr>
              <w:t xml:space="preserve"> proc.</w:t>
            </w:r>
          </w:p>
        </w:tc>
        <w:tc>
          <w:tcPr>
            <w:tcW w:w="1666" w:type="dxa"/>
            <w:vAlign w:val="center"/>
          </w:tcPr>
          <w:p w14:paraId="3B40B26F" w14:textId="7FD019F6"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0,42–0,48</w:t>
            </w:r>
          </w:p>
        </w:tc>
        <w:tc>
          <w:tcPr>
            <w:tcW w:w="2127" w:type="dxa"/>
          </w:tcPr>
          <w:p w14:paraId="3D0286BF" w14:textId="05D2C022"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1,49–1,71</w:t>
            </w:r>
          </w:p>
        </w:tc>
        <w:tc>
          <w:tcPr>
            <w:tcW w:w="2181" w:type="dxa"/>
            <w:noWrap/>
            <w:hideMark/>
          </w:tcPr>
          <w:p w14:paraId="34610480" w14:textId="3ACFD792"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3,23</w:t>
            </w:r>
            <w:r w:rsidR="00F36FBF" w:rsidRPr="003C0378">
              <w:rPr>
                <w:rFonts w:cs="Times New Roman"/>
                <w:sz w:val="20"/>
                <w:szCs w:val="20"/>
                <w:lang w:val="lt-LT"/>
              </w:rPr>
              <w:t>–</w:t>
            </w:r>
            <w:r w:rsidRPr="003C0378">
              <w:rPr>
                <w:rFonts w:cs="Times New Roman"/>
                <w:sz w:val="20"/>
                <w:szCs w:val="20"/>
                <w:lang w:val="lt-LT"/>
              </w:rPr>
              <w:t>3,73</w:t>
            </w:r>
          </w:p>
        </w:tc>
      </w:tr>
      <w:tr w:rsidR="00CA0A51" w:rsidRPr="003C0378" w14:paraId="2B1D37F7" w14:textId="77777777" w:rsidTr="00E24002">
        <w:trPr>
          <w:trHeight w:val="17"/>
        </w:trPr>
        <w:tc>
          <w:tcPr>
            <w:tcW w:w="1700" w:type="dxa"/>
            <w:noWrap/>
            <w:vAlign w:val="center"/>
            <w:hideMark/>
          </w:tcPr>
          <w:p w14:paraId="70F63F54" w14:textId="5BA1167F"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30</w:t>
            </w:r>
            <w:r w:rsidR="00B55C94" w:rsidRPr="003C0378">
              <w:rPr>
                <w:rFonts w:cs="Times New Roman"/>
                <w:sz w:val="20"/>
                <w:szCs w:val="20"/>
                <w:lang w:val="lt-LT"/>
              </w:rPr>
              <w:t xml:space="preserve"> proc.</w:t>
            </w:r>
          </w:p>
        </w:tc>
        <w:tc>
          <w:tcPr>
            <w:tcW w:w="1732" w:type="dxa"/>
            <w:noWrap/>
            <w:vAlign w:val="center"/>
            <w:hideMark/>
          </w:tcPr>
          <w:p w14:paraId="31E87885" w14:textId="7CC24A8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70</w:t>
            </w:r>
            <w:r w:rsidR="00B55C94" w:rsidRPr="003C0378">
              <w:rPr>
                <w:rFonts w:cs="Times New Roman"/>
                <w:sz w:val="20"/>
                <w:szCs w:val="20"/>
                <w:lang w:val="lt-LT"/>
              </w:rPr>
              <w:t xml:space="preserve"> proc.</w:t>
            </w:r>
          </w:p>
        </w:tc>
        <w:tc>
          <w:tcPr>
            <w:tcW w:w="1666" w:type="dxa"/>
            <w:vAlign w:val="center"/>
          </w:tcPr>
          <w:p w14:paraId="69EBA782" w14:textId="30F14940"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0,31–0,36</w:t>
            </w:r>
          </w:p>
        </w:tc>
        <w:tc>
          <w:tcPr>
            <w:tcW w:w="2127" w:type="dxa"/>
          </w:tcPr>
          <w:p w14:paraId="5BD55278" w14:textId="4C691824"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1,73–2</w:t>
            </w:r>
          </w:p>
        </w:tc>
        <w:tc>
          <w:tcPr>
            <w:tcW w:w="2181" w:type="dxa"/>
            <w:noWrap/>
            <w:hideMark/>
          </w:tcPr>
          <w:p w14:paraId="3E645BA9" w14:textId="25CBD07E"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3,38</w:t>
            </w:r>
            <w:r w:rsidR="00F36FBF" w:rsidRPr="003C0378">
              <w:rPr>
                <w:rFonts w:cs="Times New Roman"/>
                <w:sz w:val="20"/>
                <w:szCs w:val="20"/>
                <w:lang w:val="lt-LT"/>
              </w:rPr>
              <w:t>–</w:t>
            </w:r>
            <w:r w:rsidRPr="003C0378">
              <w:rPr>
                <w:rFonts w:cs="Times New Roman"/>
                <w:sz w:val="20"/>
                <w:szCs w:val="20"/>
                <w:lang w:val="lt-LT"/>
              </w:rPr>
              <w:t>3,9</w:t>
            </w:r>
          </w:p>
        </w:tc>
      </w:tr>
      <w:tr w:rsidR="00CA0A51" w:rsidRPr="003C0378" w14:paraId="621EABA6" w14:textId="77777777" w:rsidTr="00E24002">
        <w:trPr>
          <w:trHeight w:val="17"/>
        </w:trPr>
        <w:tc>
          <w:tcPr>
            <w:tcW w:w="1700" w:type="dxa"/>
            <w:noWrap/>
            <w:vAlign w:val="center"/>
            <w:hideMark/>
          </w:tcPr>
          <w:p w14:paraId="1AF8C2D8" w14:textId="66C6CF30"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20</w:t>
            </w:r>
            <w:r w:rsidR="00B55C94" w:rsidRPr="003C0378">
              <w:rPr>
                <w:rFonts w:cs="Times New Roman"/>
                <w:sz w:val="20"/>
                <w:szCs w:val="20"/>
                <w:lang w:val="lt-LT"/>
              </w:rPr>
              <w:t xml:space="preserve"> proc.</w:t>
            </w:r>
          </w:p>
        </w:tc>
        <w:tc>
          <w:tcPr>
            <w:tcW w:w="1732" w:type="dxa"/>
            <w:noWrap/>
            <w:vAlign w:val="center"/>
            <w:hideMark/>
          </w:tcPr>
          <w:p w14:paraId="54579037" w14:textId="56378C97"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80</w:t>
            </w:r>
            <w:r w:rsidR="00B55C94" w:rsidRPr="003C0378">
              <w:rPr>
                <w:rFonts w:cs="Times New Roman"/>
                <w:sz w:val="20"/>
                <w:szCs w:val="20"/>
                <w:lang w:val="lt-LT"/>
              </w:rPr>
              <w:t xml:space="preserve"> proc.</w:t>
            </w:r>
          </w:p>
        </w:tc>
        <w:tc>
          <w:tcPr>
            <w:tcW w:w="1666" w:type="dxa"/>
            <w:vAlign w:val="center"/>
          </w:tcPr>
          <w:p w14:paraId="03ED8D9D" w14:textId="0465DB2C"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0,21–0,24</w:t>
            </w:r>
          </w:p>
        </w:tc>
        <w:tc>
          <w:tcPr>
            <w:tcW w:w="2127" w:type="dxa"/>
          </w:tcPr>
          <w:p w14:paraId="51D05626" w14:textId="585844A5"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1,98–2,29</w:t>
            </w:r>
          </w:p>
        </w:tc>
        <w:tc>
          <w:tcPr>
            <w:tcW w:w="2181" w:type="dxa"/>
            <w:noWrap/>
            <w:hideMark/>
          </w:tcPr>
          <w:p w14:paraId="3E446D37" w14:textId="7B7A7776"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3,54</w:t>
            </w:r>
            <w:r w:rsidR="00F36FBF" w:rsidRPr="003C0378">
              <w:rPr>
                <w:rFonts w:cs="Times New Roman"/>
                <w:sz w:val="20"/>
                <w:szCs w:val="20"/>
                <w:lang w:val="lt-LT"/>
              </w:rPr>
              <w:t>–</w:t>
            </w:r>
            <w:r w:rsidRPr="003C0378">
              <w:rPr>
                <w:rFonts w:cs="Times New Roman"/>
                <w:sz w:val="20"/>
                <w:szCs w:val="20"/>
                <w:lang w:val="lt-LT"/>
              </w:rPr>
              <w:t>4,08</w:t>
            </w:r>
          </w:p>
        </w:tc>
      </w:tr>
      <w:tr w:rsidR="00CA0A51" w:rsidRPr="003C0378" w14:paraId="7E6D1BAE" w14:textId="77777777" w:rsidTr="00E24002">
        <w:trPr>
          <w:trHeight w:val="17"/>
        </w:trPr>
        <w:tc>
          <w:tcPr>
            <w:tcW w:w="1700" w:type="dxa"/>
            <w:noWrap/>
            <w:vAlign w:val="center"/>
            <w:hideMark/>
          </w:tcPr>
          <w:p w14:paraId="4DABE2E2" w14:textId="66C8D22C"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10</w:t>
            </w:r>
            <w:r w:rsidR="00B55C94" w:rsidRPr="003C0378">
              <w:rPr>
                <w:rFonts w:cs="Times New Roman"/>
                <w:sz w:val="20"/>
                <w:szCs w:val="20"/>
                <w:lang w:val="lt-LT"/>
              </w:rPr>
              <w:t xml:space="preserve"> proc.</w:t>
            </w:r>
          </w:p>
        </w:tc>
        <w:tc>
          <w:tcPr>
            <w:tcW w:w="1732" w:type="dxa"/>
            <w:noWrap/>
            <w:vAlign w:val="center"/>
            <w:hideMark/>
          </w:tcPr>
          <w:p w14:paraId="562BE14D" w14:textId="7E4B1F2D"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90</w:t>
            </w:r>
            <w:r w:rsidR="00B55C94" w:rsidRPr="003C0378">
              <w:rPr>
                <w:rFonts w:cs="Times New Roman"/>
                <w:sz w:val="20"/>
                <w:szCs w:val="20"/>
                <w:lang w:val="lt-LT"/>
              </w:rPr>
              <w:t xml:space="preserve"> proc.</w:t>
            </w:r>
          </w:p>
        </w:tc>
        <w:tc>
          <w:tcPr>
            <w:tcW w:w="1666" w:type="dxa"/>
            <w:vAlign w:val="center"/>
          </w:tcPr>
          <w:p w14:paraId="010C5F91" w14:textId="38CD455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0,1–0,12</w:t>
            </w:r>
          </w:p>
        </w:tc>
        <w:tc>
          <w:tcPr>
            <w:tcW w:w="2127" w:type="dxa"/>
          </w:tcPr>
          <w:p w14:paraId="65E0A445" w14:textId="7312F1D9"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2,23–2,57</w:t>
            </w:r>
          </w:p>
        </w:tc>
        <w:tc>
          <w:tcPr>
            <w:tcW w:w="2181" w:type="dxa"/>
            <w:noWrap/>
            <w:hideMark/>
          </w:tcPr>
          <w:p w14:paraId="6C6F21B5" w14:textId="28E3E9B4"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3,69</w:t>
            </w:r>
            <w:r w:rsidR="00F36FBF" w:rsidRPr="003C0378">
              <w:rPr>
                <w:rFonts w:cs="Times New Roman"/>
                <w:sz w:val="20"/>
                <w:szCs w:val="20"/>
                <w:lang w:val="lt-LT"/>
              </w:rPr>
              <w:t>–</w:t>
            </w:r>
            <w:r w:rsidRPr="003C0378">
              <w:rPr>
                <w:rFonts w:cs="Times New Roman"/>
                <w:sz w:val="20"/>
                <w:szCs w:val="20"/>
                <w:lang w:val="lt-LT"/>
              </w:rPr>
              <w:t>4,26</w:t>
            </w:r>
          </w:p>
        </w:tc>
      </w:tr>
      <w:tr w:rsidR="00CA0A51" w:rsidRPr="003C0378" w14:paraId="536042BD" w14:textId="77777777" w:rsidTr="00E24002">
        <w:trPr>
          <w:trHeight w:val="17"/>
        </w:trPr>
        <w:tc>
          <w:tcPr>
            <w:tcW w:w="1700" w:type="dxa"/>
            <w:noWrap/>
            <w:vAlign w:val="center"/>
            <w:hideMark/>
          </w:tcPr>
          <w:p w14:paraId="3ACBD706" w14:textId="1DB1235F"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0</w:t>
            </w:r>
            <w:r w:rsidR="00B55C94" w:rsidRPr="003C0378">
              <w:rPr>
                <w:rFonts w:cs="Times New Roman"/>
                <w:sz w:val="20"/>
                <w:szCs w:val="20"/>
                <w:lang w:val="lt-LT"/>
              </w:rPr>
              <w:t xml:space="preserve"> proc.</w:t>
            </w:r>
          </w:p>
        </w:tc>
        <w:tc>
          <w:tcPr>
            <w:tcW w:w="1732" w:type="dxa"/>
            <w:noWrap/>
            <w:vAlign w:val="center"/>
            <w:hideMark/>
          </w:tcPr>
          <w:p w14:paraId="3904E1EA" w14:textId="2901D6D5"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100</w:t>
            </w:r>
            <w:r w:rsidR="00B55C94" w:rsidRPr="003C0378">
              <w:rPr>
                <w:rFonts w:cs="Times New Roman"/>
                <w:sz w:val="20"/>
                <w:szCs w:val="20"/>
                <w:lang w:val="lt-LT"/>
              </w:rPr>
              <w:t xml:space="preserve"> proc.</w:t>
            </w:r>
          </w:p>
        </w:tc>
        <w:tc>
          <w:tcPr>
            <w:tcW w:w="1666" w:type="dxa"/>
            <w:vAlign w:val="center"/>
          </w:tcPr>
          <w:p w14:paraId="6B03FCD8" w14:textId="48E2DA73"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color w:val="000000"/>
                <w:sz w:val="20"/>
                <w:szCs w:val="20"/>
                <w:lang w:val="lt-LT"/>
              </w:rPr>
              <w:t>0</w:t>
            </w:r>
          </w:p>
        </w:tc>
        <w:tc>
          <w:tcPr>
            <w:tcW w:w="2127" w:type="dxa"/>
          </w:tcPr>
          <w:p w14:paraId="18027501" w14:textId="3FD9B9E1" w:rsidR="00CA0A51" w:rsidRPr="003C0378" w:rsidRDefault="00CA0A51" w:rsidP="00BB4DC2">
            <w:pPr>
              <w:spacing w:after="0" w:line="276" w:lineRule="auto"/>
              <w:ind w:firstLine="0"/>
              <w:jc w:val="center"/>
              <w:rPr>
                <w:rFonts w:cs="Times New Roman"/>
                <w:sz w:val="20"/>
                <w:szCs w:val="20"/>
                <w:lang w:val="lt-LT"/>
              </w:rPr>
            </w:pPr>
            <w:r w:rsidRPr="003C0378">
              <w:rPr>
                <w:rFonts w:cs="Times New Roman"/>
                <w:sz w:val="20"/>
                <w:szCs w:val="20"/>
                <w:lang w:val="lt-LT"/>
              </w:rPr>
              <w:t>2,48–2,86</w:t>
            </w:r>
          </w:p>
        </w:tc>
        <w:tc>
          <w:tcPr>
            <w:tcW w:w="2181" w:type="dxa"/>
            <w:noWrap/>
            <w:hideMark/>
          </w:tcPr>
          <w:p w14:paraId="0B5B9498" w14:textId="37F7ED47" w:rsidR="00CA0A51" w:rsidRPr="003C0378" w:rsidRDefault="00F36FBF" w:rsidP="00BB4DC2">
            <w:pPr>
              <w:spacing w:after="0" w:line="276" w:lineRule="auto"/>
              <w:ind w:firstLine="0"/>
              <w:jc w:val="center"/>
              <w:rPr>
                <w:rFonts w:cs="Times New Roman"/>
                <w:sz w:val="20"/>
                <w:szCs w:val="20"/>
                <w:lang w:val="lt-LT"/>
              </w:rPr>
            </w:pPr>
            <w:r w:rsidRPr="003C0378">
              <w:rPr>
                <w:rFonts w:cs="Times New Roman"/>
                <w:sz w:val="20"/>
                <w:szCs w:val="20"/>
                <w:lang w:val="lt-LT"/>
              </w:rPr>
              <w:t>3,84–4,43</w:t>
            </w:r>
          </w:p>
        </w:tc>
      </w:tr>
    </w:tbl>
    <w:p w14:paraId="268C70FE" w14:textId="48930456" w:rsidR="00B55C94" w:rsidRPr="003C0378" w:rsidRDefault="008543DF" w:rsidP="00CA1C79">
      <w:pPr>
        <w:keepNext/>
        <w:spacing w:after="0"/>
        <w:jc w:val="left"/>
        <w:rPr>
          <w:rFonts w:cs="Times New Roman"/>
          <w:sz w:val="20"/>
          <w:szCs w:val="20"/>
        </w:rPr>
      </w:pPr>
      <w:r w:rsidRPr="003C0378">
        <w:rPr>
          <w:rFonts w:cs="Times New Roman"/>
          <w:sz w:val="20"/>
          <w:szCs w:val="20"/>
        </w:rPr>
        <w:t>Šaltinis: sudaryta Vertintojų</w:t>
      </w:r>
    </w:p>
    <w:p w14:paraId="05FA269C" w14:textId="44CB035F" w:rsidR="00C866FA" w:rsidRPr="003C0378" w:rsidRDefault="00C866FA" w:rsidP="00C866FA">
      <w:pPr>
        <w:pStyle w:val="Antrat2"/>
        <w:numPr>
          <w:ilvl w:val="2"/>
          <w:numId w:val="3"/>
        </w:numPr>
        <w:rPr>
          <w:rFonts w:cs="Times New Roman"/>
        </w:rPr>
      </w:pPr>
      <w:bookmarkStart w:id="32" w:name="_Toc126051350"/>
      <w:bookmarkStart w:id="33" w:name="_Toc166139823"/>
      <w:bookmarkStart w:id="34" w:name="_Toc170804585"/>
      <w:r w:rsidRPr="003C0378">
        <w:rPr>
          <w:rFonts w:cs="Times New Roman"/>
        </w:rPr>
        <w:t xml:space="preserve">AEI plėtros galimybės </w:t>
      </w:r>
      <w:r w:rsidR="000B2604" w:rsidRPr="003C0378">
        <w:rPr>
          <w:rFonts w:cs="Times New Roman"/>
        </w:rPr>
        <w:t>atskirose tikslinėse grupėse</w:t>
      </w:r>
      <w:bookmarkEnd w:id="32"/>
      <w:bookmarkEnd w:id="33"/>
      <w:bookmarkEnd w:id="34"/>
    </w:p>
    <w:p w14:paraId="7F384788" w14:textId="2A7ACC84" w:rsidR="0025708C" w:rsidRPr="003C0378" w:rsidRDefault="000B2604">
      <w:pPr>
        <w:spacing w:line="276" w:lineRule="auto"/>
        <w:ind w:firstLine="562"/>
      </w:pPr>
      <w:r w:rsidRPr="003C0378">
        <w:t xml:space="preserve">Strateginių dokumentų tikslų analizė </w:t>
      </w:r>
      <w:r w:rsidRPr="00B64556">
        <w:t xml:space="preserve">leidžia apskaičiuoti </w:t>
      </w:r>
      <w:r w:rsidRPr="00500663">
        <w:t>visuminę AEI investicijų paklausą iki 2030 m., tačiau neidentif</w:t>
      </w:r>
      <w:r w:rsidR="00F36FBF" w:rsidRPr="00500663">
        <w:t>ikuoja</w:t>
      </w:r>
      <w:r w:rsidR="009F6E25" w:rsidRPr="00500663">
        <w:t>,</w:t>
      </w:r>
      <w:r w:rsidR="00F36FBF" w:rsidRPr="00500663">
        <w:t xml:space="preserve"> koks investicijų poreikis</w:t>
      </w:r>
      <w:r w:rsidR="003125FC" w:rsidRPr="00500663">
        <w:t xml:space="preserve"> ir potencialas</w:t>
      </w:r>
      <w:r w:rsidR="00F36FBF" w:rsidRPr="00500663">
        <w:t xml:space="preserve"> egzistuoja</w:t>
      </w:r>
      <w:r w:rsidRPr="00500663">
        <w:t xml:space="preserve"> atskirose tikslinėse grupėse, kuriose AEI plėtra yra aktualiausia.</w:t>
      </w:r>
      <w:r w:rsidR="0025708C" w:rsidRPr="00500663">
        <w:t xml:space="preserve"> Atsižvelgiant į tai, Vertintojai papildomai apžvelgė strateginius dokumentus ir atliko antrinių šaltinių analiz</w:t>
      </w:r>
      <w:r w:rsidR="007640C8">
        <w:t>ę</w:t>
      </w:r>
      <w:r w:rsidR="0025708C" w:rsidRPr="00500663">
        <w:t xml:space="preserve"> siekiant identifikuoti ir pagrįsti tikslines grupes, kuriose matomas didžiausias AEI plėtros potencialas.</w:t>
      </w:r>
    </w:p>
    <w:p w14:paraId="08C1B4D2" w14:textId="4404AED8" w:rsidR="00767243" w:rsidRPr="003C0378" w:rsidRDefault="001F728A">
      <w:pPr>
        <w:spacing w:line="276" w:lineRule="auto"/>
        <w:ind w:firstLine="562"/>
      </w:pPr>
      <w:r w:rsidRPr="003C0378">
        <w:t>2022 m. EK plane „</w:t>
      </w:r>
      <w:proofErr w:type="spellStart"/>
      <w:r w:rsidRPr="003C0378">
        <w:t>REPowerEU</w:t>
      </w:r>
      <w:proofErr w:type="spellEnd"/>
      <w:r w:rsidRPr="003C0378">
        <w:t>“</w:t>
      </w:r>
      <w:r w:rsidRPr="003C0378">
        <w:rPr>
          <w:rStyle w:val="Puslapioinaosnuoroda"/>
        </w:rPr>
        <w:footnoteReference w:id="8"/>
      </w:r>
      <w:r w:rsidR="00400778" w:rsidRPr="003C0378">
        <w:t xml:space="preserve"> akcentuojama, kad neišprovokuota ir nepateisinama Rusijos karinė agresija prieš Ukrainą smarkiai sutrikdė pasaulio energetikos sistemą ir sukėlė didžiulių energetinio saugumo problemų: tapo akivaizdu, kad ES </w:t>
      </w:r>
      <w:r w:rsidR="00400778" w:rsidRPr="003C0378">
        <w:rPr>
          <w:color w:val="000000"/>
          <w:shd w:val="clear" w:color="auto" w:fill="FFFFFF"/>
        </w:rPr>
        <w:t xml:space="preserve">yra pernelyg priklausoma nuo dujų, naftos ir anglių importo iš Rusijos. </w:t>
      </w:r>
      <w:r w:rsidR="00797DB7" w:rsidRPr="003C0378">
        <w:rPr>
          <w:color w:val="000000"/>
          <w:shd w:val="clear" w:color="auto" w:fill="FFFFFF"/>
        </w:rPr>
        <w:t>Rusijos sukelta energetinė krizė lėmė ženkliai išaugusias energetinių išteklių kainas</w:t>
      </w:r>
      <w:r w:rsidR="002B2A80" w:rsidRPr="003C0378">
        <w:rPr>
          <w:color w:val="000000"/>
          <w:shd w:val="clear" w:color="auto" w:fill="FFFFFF"/>
        </w:rPr>
        <w:t xml:space="preserve"> –</w:t>
      </w:r>
      <w:r w:rsidR="003C0378">
        <w:rPr>
          <w:color w:val="000000"/>
          <w:shd w:val="clear" w:color="auto" w:fill="FFFFFF"/>
        </w:rPr>
        <w:t xml:space="preserve"> </w:t>
      </w:r>
      <w:r w:rsidR="00797DB7" w:rsidRPr="003C0378">
        <w:rPr>
          <w:color w:val="000000"/>
          <w:shd w:val="clear" w:color="auto" w:fill="FFFFFF"/>
        </w:rPr>
        <w:t xml:space="preserve">2022 </w:t>
      </w:r>
      <w:r w:rsidR="007065F4">
        <w:rPr>
          <w:color w:val="000000"/>
          <w:shd w:val="clear" w:color="auto" w:fill="FFFFFF"/>
        </w:rPr>
        <w:t>m.</w:t>
      </w:r>
      <w:r w:rsidR="002B2A80" w:rsidRPr="003C0378">
        <w:rPr>
          <w:color w:val="000000"/>
          <w:shd w:val="clear" w:color="auto" w:fill="FFFFFF"/>
        </w:rPr>
        <w:t xml:space="preserve"> elektros ir dujų kainos nebuitiniams vartotojams daugumoje ES valstybių narių padvigubėjo, lyginant su 2021</w:t>
      </w:r>
      <w:r w:rsidR="00CD658D">
        <w:rPr>
          <w:color w:val="000000"/>
          <w:shd w:val="clear" w:color="auto" w:fill="FFFFFF"/>
        </w:rPr>
        <w:t xml:space="preserve"> m.</w:t>
      </w:r>
      <w:r w:rsidR="007659AE" w:rsidRPr="003C0378">
        <w:rPr>
          <w:color w:val="000000"/>
          <w:shd w:val="clear" w:color="auto" w:fill="FFFFFF"/>
        </w:rPr>
        <w:t>, o</w:t>
      </w:r>
      <w:r w:rsidR="005E4F64" w:rsidRPr="003C0378">
        <w:rPr>
          <w:color w:val="000000"/>
          <w:shd w:val="clear" w:color="auto" w:fill="FFFFFF"/>
        </w:rPr>
        <w:t xml:space="preserve"> tai atitinkamai </w:t>
      </w:r>
      <w:r w:rsidR="007659AE" w:rsidRPr="003C0378">
        <w:rPr>
          <w:color w:val="000000"/>
          <w:shd w:val="clear" w:color="auto" w:fill="FFFFFF"/>
        </w:rPr>
        <w:t xml:space="preserve">turėjo neigiamų implikacijų fiskalinei drausmei ir gyventojų pragyvenimo lygiui. Sparti energetinių išteklių kainų raida taip pat turėjo neigiamų pasekmių verslui – išaugę gamybos kaštai ženkliai mažino įmonių konkurencingumą. </w:t>
      </w:r>
      <w:r w:rsidR="00400778" w:rsidRPr="003C0378">
        <w:rPr>
          <w:color w:val="000000"/>
          <w:shd w:val="clear" w:color="auto" w:fill="FFFFFF"/>
        </w:rPr>
        <w:t>Atsižvelgiant į šias geopolitines</w:t>
      </w:r>
      <w:r w:rsidR="007659AE" w:rsidRPr="003C0378">
        <w:rPr>
          <w:color w:val="000000"/>
          <w:shd w:val="clear" w:color="auto" w:fill="FFFFFF"/>
        </w:rPr>
        <w:t xml:space="preserve"> ir </w:t>
      </w:r>
      <w:proofErr w:type="spellStart"/>
      <w:r w:rsidR="007659AE" w:rsidRPr="003C0378">
        <w:rPr>
          <w:color w:val="000000"/>
          <w:shd w:val="clear" w:color="auto" w:fill="FFFFFF"/>
        </w:rPr>
        <w:t>socio</w:t>
      </w:r>
      <w:proofErr w:type="spellEnd"/>
      <w:r w:rsidR="003C0378">
        <w:rPr>
          <w:color w:val="000000"/>
          <w:shd w:val="clear" w:color="auto" w:fill="FFFFFF"/>
        </w:rPr>
        <w:t>–</w:t>
      </w:r>
      <w:r w:rsidR="007659AE" w:rsidRPr="003C0378">
        <w:rPr>
          <w:color w:val="000000"/>
          <w:shd w:val="clear" w:color="auto" w:fill="FFFFFF"/>
        </w:rPr>
        <w:t>ekonomines</w:t>
      </w:r>
      <w:r w:rsidR="00400778" w:rsidRPr="003C0378">
        <w:rPr>
          <w:color w:val="000000"/>
          <w:shd w:val="clear" w:color="auto" w:fill="FFFFFF"/>
        </w:rPr>
        <w:t xml:space="preserve"> aplinkybes,</w:t>
      </w:r>
      <w:r w:rsidR="0025708C" w:rsidRPr="003C0378">
        <w:rPr>
          <w:color w:val="000000"/>
          <w:shd w:val="clear" w:color="auto" w:fill="FFFFFF"/>
        </w:rPr>
        <w:t xml:space="preserve"> </w:t>
      </w:r>
      <w:proofErr w:type="spellStart"/>
      <w:r w:rsidR="0025708C" w:rsidRPr="003C0378">
        <w:rPr>
          <w:color w:val="000000"/>
          <w:shd w:val="clear" w:color="auto" w:fill="FFFFFF"/>
        </w:rPr>
        <w:t>REPowerEU</w:t>
      </w:r>
      <w:proofErr w:type="spellEnd"/>
      <w:r w:rsidR="00400778" w:rsidRPr="003C0378">
        <w:rPr>
          <w:color w:val="000000"/>
          <w:shd w:val="clear" w:color="auto" w:fill="FFFFFF"/>
        </w:rPr>
        <w:t xml:space="preserve"> pla</w:t>
      </w:r>
      <w:r w:rsidR="00767243" w:rsidRPr="003C0378">
        <w:rPr>
          <w:color w:val="000000"/>
          <w:shd w:val="clear" w:color="auto" w:fill="FFFFFF"/>
        </w:rPr>
        <w:t>nas kelia siekį</w:t>
      </w:r>
      <w:r w:rsidR="00400778" w:rsidRPr="003C0378">
        <w:rPr>
          <w:color w:val="000000"/>
          <w:shd w:val="clear" w:color="auto" w:fill="FFFFFF"/>
        </w:rPr>
        <w:t xml:space="preserve"> – sparčiai sumažinti priklausomybę nuo Rusijos iškastinio kuro, spartinant perėjimą prie švarios energijos ir suvienijant jėgas, kad būtų sukurta atsparesnė energetikos sistema ir tikra energetikos sąjunga.</w:t>
      </w:r>
      <w:r w:rsidR="003125FC" w:rsidRPr="003C0378">
        <w:rPr>
          <w:color w:val="000000"/>
          <w:shd w:val="clear" w:color="auto" w:fill="FFFFFF"/>
        </w:rPr>
        <w:t xml:space="preserve"> Kaip jau anksčiau minėta, </w:t>
      </w:r>
      <w:proofErr w:type="spellStart"/>
      <w:r w:rsidR="003125FC" w:rsidRPr="003C0378">
        <w:rPr>
          <w:color w:val="000000"/>
          <w:shd w:val="clear" w:color="auto" w:fill="FFFFFF"/>
        </w:rPr>
        <w:t>REPowerEU</w:t>
      </w:r>
      <w:proofErr w:type="spellEnd"/>
      <w:r w:rsidR="003125FC" w:rsidRPr="003C0378">
        <w:rPr>
          <w:color w:val="000000"/>
          <w:shd w:val="clear" w:color="auto" w:fill="FFFFFF"/>
        </w:rPr>
        <w:t xml:space="preserve"> plano</w:t>
      </w:r>
      <w:r w:rsidR="00767243" w:rsidRPr="003C0378">
        <w:rPr>
          <w:color w:val="000000"/>
          <w:shd w:val="clear" w:color="auto" w:fill="FFFFFF"/>
        </w:rPr>
        <w:t xml:space="preserve"> konkretūs</w:t>
      </w:r>
      <w:r w:rsidR="003125FC" w:rsidRPr="003C0378">
        <w:rPr>
          <w:color w:val="000000"/>
          <w:shd w:val="clear" w:color="auto" w:fill="FFFFFF"/>
        </w:rPr>
        <w:t xml:space="preserve"> tikslai numato, </w:t>
      </w:r>
      <w:r w:rsidR="003125FC" w:rsidRPr="003C0378">
        <w:t>kad iki 2030 m. AEI energija turi sudaryti 45 proc. sunaudojamos energijos kiekio visoje ES</w:t>
      </w:r>
      <w:r w:rsidR="003125FC" w:rsidRPr="003C0378">
        <w:rPr>
          <w:color w:val="000000"/>
          <w:shd w:val="clear" w:color="auto" w:fill="FFFFFF"/>
        </w:rPr>
        <w:t xml:space="preserve">. </w:t>
      </w:r>
      <w:r w:rsidR="00767243" w:rsidRPr="003C0378">
        <w:t xml:space="preserve">Įgyvendinus šiuos EK pasiūlymus, bendri AEI gamybos pajėgumai padidėtų iki 1236 GW iki 2030 m. visoje ES. </w:t>
      </w:r>
    </w:p>
    <w:p w14:paraId="68C74604" w14:textId="7EE5780C" w:rsidR="00401D7C" w:rsidRPr="00841253" w:rsidRDefault="00E977E7">
      <w:pPr>
        <w:spacing w:line="276" w:lineRule="auto"/>
        <w:ind w:firstLine="562"/>
      </w:pPr>
      <w:bookmarkStart w:id="35" w:name="_Hlk165534929"/>
      <w:r w:rsidRPr="00841253">
        <w:t xml:space="preserve">Remiantis </w:t>
      </w:r>
      <w:proofErr w:type="spellStart"/>
      <w:r w:rsidRPr="00841253">
        <w:t>REPowerEU</w:t>
      </w:r>
      <w:proofErr w:type="spellEnd"/>
      <w:r w:rsidRPr="00841253">
        <w:t xml:space="preserve"> plano iniciatyva, v</w:t>
      </w:r>
      <w:r w:rsidR="00767243" w:rsidRPr="00841253">
        <w:t xml:space="preserve">iena iš tikslinių grupių, kurioje matomas didžiulis AEI plėtros potencialas, yra </w:t>
      </w:r>
      <w:r w:rsidR="00CB35A8" w:rsidRPr="00841253">
        <w:t>viešieji juridiniai asmenys</w:t>
      </w:r>
      <w:r w:rsidR="00CB35A8" w:rsidRPr="00841253">
        <w:rPr>
          <w:rStyle w:val="Puslapioinaosnuoroda"/>
        </w:rPr>
        <w:footnoteReference w:id="9"/>
      </w:r>
      <w:r w:rsidR="00CB35A8" w:rsidRPr="00841253">
        <w:t xml:space="preserve"> (toliau – VJA) </w:t>
      </w:r>
      <w:r w:rsidR="00500663" w:rsidRPr="00841253">
        <w:t>ir jų valdomas</w:t>
      </w:r>
      <w:r w:rsidR="00CD749F" w:rsidRPr="00841253">
        <w:t xml:space="preserve"> (arba rinkoje </w:t>
      </w:r>
      <w:r w:rsidR="00FF6350" w:rsidRPr="00841253">
        <w:t>savo reikmėms</w:t>
      </w:r>
      <w:r w:rsidR="008F6C76">
        <w:t xml:space="preserve"> </w:t>
      </w:r>
      <w:r w:rsidR="00CD749F" w:rsidRPr="00841253">
        <w:t>nuomojamas</w:t>
      </w:r>
      <w:r w:rsidR="00C65729" w:rsidRPr="00841253">
        <w:t>is</w:t>
      </w:r>
      <w:r w:rsidR="00CD749F" w:rsidRPr="00841253">
        <w:t>)</w:t>
      </w:r>
      <w:r w:rsidR="00500663" w:rsidRPr="00841253">
        <w:t xml:space="preserve"> NT</w:t>
      </w:r>
      <w:r w:rsidR="00767243" w:rsidRPr="00841253">
        <w:t xml:space="preserve"> (ligoninės, mokyklos, darželiai ir kiti savivaldybių ir centrinės valdžios</w:t>
      </w:r>
      <w:r w:rsidR="00CD749F" w:rsidRPr="00841253">
        <w:t>, viešųjų įstaigų</w:t>
      </w:r>
      <w:r w:rsidR="00767243" w:rsidRPr="00841253">
        <w:t xml:space="preserve"> NT objektai). </w:t>
      </w:r>
      <w:r w:rsidR="00F4409E" w:rsidRPr="00841253">
        <w:t>2022 m. ženkliai išaugus viešųjų pastatų išlaikymo sąnaudoms (</w:t>
      </w:r>
      <w:r w:rsidR="008D1BD6" w:rsidRPr="00841253">
        <w:t>kaip antai, elektros energijos sąnaudoms apšvietimui, prietaisams, sąnaudom</w:t>
      </w:r>
      <w:r w:rsidR="00F4409E" w:rsidRPr="00841253">
        <w:t xml:space="preserve">s su pastato naudojimu susijusioms reikmės, </w:t>
      </w:r>
      <w:r w:rsidR="008D1BD6" w:rsidRPr="00841253">
        <w:t>vėdinimo įrenginių</w:t>
      </w:r>
      <w:r w:rsidR="00F4409E" w:rsidRPr="00841253">
        <w:t xml:space="preserve"> </w:t>
      </w:r>
      <w:r w:rsidR="008D1BD6" w:rsidRPr="00841253">
        <w:t>vėsinimo sąnaudoms</w:t>
      </w:r>
      <w:r w:rsidR="00F4409E" w:rsidRPr="00841253">
        <w:t>, šildymo išlaido</w:t>
      </w:r>
      <w:r w:rsidR="008D1BD6" w:rsidRPr="00841253">
        <w:t>m</w:t>
      </w:r>
      <w:r w:rsidR="00F4409E" w:rsidRPr="00841253">
        <w:t>s ir t.t.), ženkliai išaugo savivaldybių ir centrinės valdžios išlaidos NT aptarnavimui</w:t>
      </w:r>
      <w:r w:rsidR="008D1BD6" w:rsidRPr="00841253">
        <w:t xml:space="preserve"> ir, atitinkamai, padidėjo spaudimas savivaldybių ir centrinės valdžios biudžetams ir fiskalinei drausmei</w:t>
      </w:r>
      <w:r w:rsidR="00F4409E" w:rsidRPr="00841253">
        <w:t>. Ženkliai išaugusios NT išlaikymo išlaidos verčia ieškoti NT valdytojus AEI plėtros sprendimų, leisiančių ateityje užsitikrinti</w:t>
      </w:r>
      <w:r w:rsidR="002F5760" w:rsidRPr="00841253">
        <w:t xml:space="preserve"> mažesne</w:t>
      </w:r>
      <w:r w:rsidR="007A424E">
        <w:t>s</w:t>
      </w:r>
      <w:r w:rsidR="002F5760" w:rsidRPr="00841253">
        <w:t xml:space="preserve"> elektros</w:t>
      </w:r>
      <w:r w:rsidR="00F4409E" w:rsidRPr="00841253">
        <w:t xml:space="preserve"> kainas ir viešųjų išteklių panaudojimo efektyvumą. Ta</w:t>
      </w:r>
      <w:r w:rsidR="008D1BD6" w:rsidRPr="00841253">
        <w:t>d</w:t>
      </w:r>
      <w:r w:rsidR="00F4409E" w:rsidRPr="00841253">
        <w:t xml:space="preserve"> kaip nurodoma </w:t>
      </w:r>
      <w:proofErr w:type="spellStart"/>
      <w:r w:rsidR="00767243" w:rsidRPr="00841253">
        <w:t>REPowerEU</w:t>
      </w:r>
      <w:proofErr w:type="spellEnd"/>
      <w:r w:rsidR="00767243" w:rsidRPr="00841253">
        <w:t xml:space="preserve"> plane </w:t>
      </w:r>
      <w:r w:rsidRPr="00841253">
        <w:t>– iškastinio kuro pakeitimas šildymo sistemose</w:t>
      </w:r>
      <w:r w:rsidR="00500663" w:rsidRPr="00841253">
        <w:t xml:space="preserve">, </w:t>
      </w:r>
      <w:r w:rsidRPr="00841253">
        <w:t>spartesnė AEI technologijomis grįsta elektrifikacija viešųjų pastatų tikslinėje srityje</w:t>
      </w:r>
      <w:r w:rsidR="00500663" w:rsidRPr="00841253">
        <w:t xml:space="preserve"> kartu su viešųjų pastatų modernizacija / renovacija</w:t>
      </w:r>
      <w:r w:rsidRPr="00841253">
        <w:t xml:space="preserve"> leis sparčiai sumažinti energetinę priklausomybę nuo iškastinio kuro importo</w:t>
      </w:r>
      <w:r w:rsidR="00F4409E" w:rsidRPr="00841253">
        <w:t>, sumažinti NT išlaikymo kaštus</w:t>
      </w:r>
      <w:r w:rsidRPr="00841253">
        <w:t xml:space="preserve"> ir ženkliai padidinti energetinį efektyvumą.</w:t>
      </w:r>
      <w:r w:rsidR="00F4409E" w:rsidRPr="00841253">
        <w:t xml:space="preserve"> </w:t>
      </w:r>
      <w:r w:rsidR="008D1BD6" w:rsidRPr="00841253">
        <w:t>S</w:t>
      </w:r>
      <w:r w:rsidRPr="00841253">
        <w:t xml:space="preserve">varbu atkreipti dėmesį, kad </w:t>
      </w:r>
      <w:r w:rsidRPr="00841253">
        <w:lastRenderedPageBreak/>
        <w:t xml:space="preserve">spartesnė AEI plėtra </w:t>
      </w:r>
      <w:r w:rsidR="005F6C58" w:rsidRPr="00841253">
        <w:t>VJA</w:t>
      </w:r>
      <w:r w:rsidRPr="00841253">
        <w:t xml:space="preserve"> tikslinėje grupėje taip pat leis prisidėti pri</w:t>
      </w:r>
      <w:r w:rsidR="00F4409E" w:rsidRPr="00841253">
        <w:t>e energetinių tikslų</w:t>
      </w:r>
      <w:r w:rsidR="008D1BD6" w:rsidRPr="00841253">
        <w:t xml:space="preserve"> (kaip antai, nulinės energijos pastatai ir pan.)</w:t>
      </w:r>
      <w:r w:rsidR="00F4409E" w:rsidRPr="00841253">
        <w:t>, numatytų Europos Parlamento ir Tarybos direktyvoje 2018/844 ir, atitinkamai, Lietuvos ilgalaikėje renovacijos strategijoje</w:t>
      </w:r>
      <w:r w:rsidR="008D1BD6" w:rsidRPr="00841253">
        <w:t>,</w:t>
      </w:r>
      <w:r w:rsidR="00F4409E" w:rsidRPr="00841253">
        <w:t xml:space="preserve"> pasiekimo.</w:t>
      </w:r>
      <w:r w:rsidR="008D1BD6" w:rsidRPr="00841253">
        <w:t xml:space="preserve"> </w:t>
      </w:r>
    </w:p>
    <w:bookmarkEnd w:id="35"/>
    <w:p w14:paraId="1E0BA6F4" w14:textId="6A2F791D" w:rsidR="00E977E7" w:rsidRPr="003C0378" w:rsidRDefault="00401D7C">
      <w:pPr>
        <w:spacing w:line="276" w:lineRule="auto"/>
        <w:ind w:firstLine="562"/>
      </w:pPr>
      <w:r w:rsidRPr="00841253">
        <w:t>AEI, ypač saulės elektrinių ant stogų</w:t>
      </w:r>
      <w:r w:rsidR="0063782A" w:rsidRPr="00841253">
        <w:t>,</w:t>
      </w:r>
      <w:r w:rsidRPr="00841253">
        <w:t xml:space="preserve"> plėtra </w:t>
      </w:r>
      <w:r w:rsidR="00CD749F" w:rsidRPr="00841253">
        <w:t>VJA</w:t>
      </w:r>
      <w:r w:rsidRPr="00841253">
        <w:t xml:space="preserve"> tikslinėje grupėje taip pat yra patraukli tuo, kad leidžia didinti elektros gamybą neapkraunant perdavimo tinklų pajėgumų, ir, atitinkamai, neapribojant </w:t>
      </w:r>
      <w:r w:rsidR="00B46F6A" w:rsidRPr="00841253">
        <w:t>AEI pajėgumų plėtros, kai sukurtini pajėgumai yra pajungiami į perdavimo tinklus</w:t>
      </w:r>
      <w:r w:rsidRPr="00841253">
        <w:t>.</w:t>
      </w:r>
      <w:r w:rsidR="00B46F6A" w:rsidRPr="00841253">
        <w:t xml:space="preserve"> Tad AEI plėtra </w:t>
      </w:r>
      <w:r w:rsidR="00CD749F" w:rsidRPr="00841253">
        <w:t>VJA</w:t>
      </w:r>
      <w:r w:rsidR="00B46F6A" w:rsidRPr="00841253">
        <w:t xml:space="preserve"> tikslinėje grupėje taip pat leistų prisidėti prie </w:t>
      </w:r>
      <w:r w:rsidR="00B46F6A" w:rsidRPr="00841253">
        <w:rPr>
          <w:color w:val="000000"/>
          <w:shd w:val="clear" w:color="auto" w:fill="FFFFFF"/>
        </w:rPr>
        <w:t>Europos stoginių saulės energijos įrenginių iniciatyvos ir</w:t>
      </w:r>
      <w:r w:rsidR="00B46F6A" w:rsidRPr="00841253">
        <w:t xml:space="preserve"> ES saulės energetikos strategijos, kuri yra </w:t>
      </w:r>
      <w:proofErr w:type="spellStart"/>
      <w:r w:rsidR="00B46F6A" w:rsidRPr="00841253">
        <w:t>REPowerEU</w:t>
      </w:r>
      <w:proofErr w:type="spellEnd"/>
      <w:r w:rsidR="00B46F6A" w:rsidRPr="00841253">
        <w:t xml:space="preserve"> plano dalis, tikslų</w:t>
      </w:r>
      <w:r w:rsidR="00B46F6A" w:rsidRPr="00841253">
        <w:rPr>
          <w:rStyle w:val="Puslapioinaosnuoroda"/>
        </w:rPr>
        <w:footnoteReference w:id="10"/>
      </w:r>
      <w:r w:rsidR="00B46F6A" w:rsidRPr="00841253">
        <w:t xml:space="preserve"> pasiekimų.</w:t>
      </w:r>
    </w:p>
    <w:p w14:paraId="1AD530AA" w14:textId="19A882BE" w:rsidR="00760BC7" w:rsidRPr="003C0378" w:rsidRDefault="00F815CC">
      <w:pPr>
        <w:spacing w:line="276" w:lineRule="auto"/>
        <w:ind w:firstLine="562"/>
      </w:pPr>
      <w:r w:rsidRPr="003C0378">
        <w:t xml:space="preserve">Kita tikslinė grupė, kurioje, remiantis </w:t>
      </w:r>
      <w:proofErr w:type="spellStart"/>
      <w:r w:rsidRPr="003C0378">
        <w:t>REPowerEU</w:t>
      </w:r>
      <w:proofErr w:type="spellEnd"/>
      <w:r w:rsidRPr="003C0378">
        <w:t xml:space="preserve"> plano iniciatyva, matomas didžiulis AEI plėtros potencialas, yra </w:t>
      </w:r>
      <w:r w:rsidRPr="003C0378">
        <w:rPr>
          <w:b/>
        </w:rPr>
        <w:t>verslas.</w:t>
      </w:r>
      <w:r w:rsidR="00760BC7" w:rsidRPr="003C0378">
        <w:rPr>
          <w:b/>
        </w:rPr>
        <w:t xml:space="preserve"> </w:t>
      </w:r>
      <w:r w:rsidR="00760BC7" w:rsidRPr="003C0378">
        <w:t xml:space="preserve">2022 m. ženkliai išaugus energetinių išteklių kainoms reikšminga dalis verslo susidūrė su konkurencinėmis problemomis. </w:t>
      </w:r>
      <w:r w:rsidR="0001046F" w:rsidRPr="003C0378">
        <w:t xml:space="preserve">Dalis didelių įmonių Lietuvoje ir likusioje Europoje (kaip antai, Achema, Lifosa ir t.t.) buvo priverstos laikinai stabdyti savo ekonominę veiklą, o tai turėjo neigiamų </w:t>
      </w:r>
      <w:proofErr w:type="spellStart"/>
      <w:r w:rsidR="0001046F" w:rsidRPr="003C0378">
        <w:t>socio</w:t>
      </w:r>
      <w:proofErr w:type="spellEnd"/>
      <w:r w:rsidR="003C0378">
        <w:t>–</w:t>
      </w:r>
      <w:r w:rsidR="0001046F" w:rsidRPr="003C0378">
        <w:t>ekonominių padarinių</w:t>
      </w:r>
      <w:r w:rsidR="0025708C" w:rsidRPr="003C0378">
        <w:t xml:space="preserve"> Lietuvos</w:t>
      </w:r>
      <w:r w:rsidR="0001046F" w:rsidRPr="003C0378">
        <w:t xml:space="preserve"> region</w:t>
      </w:r>
      <w:r w:rsidR="0025708C" w:rsidRPr="003C0378">
        <w:t>uose</w:t>
      </w:r>
      <w:r w:rsidR="0001046F" w:rsidRPr="003C0378">
        <w:t xml:space="preserve"> (kaip antai, nedarbo augimas). Dalis įmonių</w:t>
      </w:r>
      <w:r w:rsidR="00BF7D21" w:rsidRPr="003C0378">
        <w:t xml:space="preserve"> taip pat</w:t>
      </w:r>
      <w:r w:rsidR="0001046F" w:rsidRPr="003C0378">
        <w:t xml:space="preserve"> buvo priverstos didinti produkcijos </w:t>
      </w:r>
      <w:r w:rsidR="00731D4E">
        <w:t>ir</w:t>
      </w:r>
      <w:r w:rsidR="0001046F" w:rsidRPr="003C0378">
        <w:t xml:space="preserve"> paslaugų kainas, o tai prisidėjo prie ženklaus </w:t>
      </w:r>
      <w:r w:rsidR="00731D4E">
        <w:t>bendro</w:t>
      </w:r>
      <w:r w:rsidR="0001046F" w:rsidRPr="003C0378">
        <w:t xml:space="preserve"> kainų lygio kylimo ir konkurenci</w:t>
      </w:r>
      <w:r w:rsidR="00F3202B" w:rsidRPr="003C0378">
        <w:t>nės situacijos prastėjimo</w:t>
      </w:r>
      <w:r w:rsidR="007659AE" w:rsidRPr="003C0378">
        <w:rPr>
          <w:rStyle w:val="Puslapioinaosnuoroda"/>
        </w:rPr>
        <w:footnoteReference w:id="11"/>
      </w:r>
      <w:r w:rsidR="00F3202B" w:rsidRPr="003C0378">
        <w:t>.</w:t>
      </w:r>
      <w:r w:rsidR="007659AE" w:rsidRPr="003C0378">
        <w:t xml:space="preserve"> </w:t>
      </w:r>
      <w:r w:rsidR="0001046F" w:rsidRPr="003C0378">
        <w:t xml:space="preserve">Tokios situacijos </w:t>
      </w:r>
      <w:r w:rsidR="00F3202B" w:rsidRPr="003C0378">
        <w:t xml:space="preserve">susidarymas skatina </w:t>
      </w:r>
      <w:r w:rsidR="0001046F" w:rsidRPr="003C0378">
        <w:t xml:space="preserve">įmones diversifikuoti energijos tiekimo šaltinius, investuojant į AEI elektrinių plėtrą ir taip </w:t>
      </w:r>
      <w:r w:rsidR="00F3202B" w:rsidRPr="003C0378">
        <w:t xml:space="preserve">užsitikrinant stabilią elektros kainą ilguoju laikotarpiu. Tad kaip nurodoma </w:t>
      </w:r>
      <w:proofErr w:type="spellStart"/>
      <w:r w:rsidR="00F3202B" w:rsidRPr="003C0378">
        <w:t>REPoweEU</w:t>
      </w:r>
      <w:proofErr w:type="spellEnd"/>
      <w:r w:rsidR="00F3202B" w:rsidRPr="003C0378">
        <w:t xml:space="preserve"> plane – AEI plėtra versle paskatintų žaliąją transformaciją, ženkliai sumažinti iškastinio kuro paklausą ir importą, o tai, atitinkamai, paskatintų energetinių išteklių kainos stabilizavimą </w:t>
      </w:r>
      <w:r w:rsidR="00BF7D21" w:rsidRPr="003C0378">
        <w:t xml:space="preserve">ir </w:t>
      </w:r>
      <w:r w:rsidR="00F3202B" w:rsidRPr="003C0378">
        <w:t xml:space="preserve">konkurencingumo </w:t>
      </w:r>
      <w:r w:rsidR="00BF7D21" w:rsidRPr="003C0378">
        <w:t xml:space="preserve">situacijos gerėjimą. </w:t>
      </w:r>
      <w:r w:rsidR="000461D8" w:rsidRPr="003C0378">
        <w:t>Papildomos</w:t>
      </w:r>
      <w:r w:rsidR="00760BC7" w:rsidRPr="003C0378">
        <w:t xml:space="preserve"> AEI plėtros naud</w:t>
      </w:r>
      <w:r w:rsidR="000461D8" w:rsidRPr="003C0378">
        <w:t>os</w:t>
      </w:r>
      <w:r w:rsidR="00BF7D21" w:rsidRPr="003C0378">
        <w:t xml:space="preserve"> versle</w:t>
      </w:r>
      <w:r w:rsidR="00760BC7" w:rsidRPr="003C0378">
        <w:t xml:space="preserve"> – pagerėjusi viešojo įvaizdžio situacija</w:t>
      </w:r>
      <w:r w:rsidR="00BF7D21" w:rsidRPr="003C0378">
        <w:t xml:space="preserve">, </w:t>
      </w:r>
      <w:r w:rsidR="00760BC7" w:rsidRPr="003C0378">
        <w:t>reputacija</w:t>
      </w:r>
      <w:r w:rsidR="00BF7D21" w:rsidRPr="003C0378">
        <w:t xml:space="preserve"> ir padidėjusi įmonių socialinė atsakomybė</w:t>
      </w:r>
      <w:r w:rsidR="00760BC7" w:rsidRPr="003C0378">
        <w:t>. Prekės ženklo įvaizdis atlieka vieną iš svarbiausių vaidmenų įgyjant ir išlaikant klientus, o pereidamos prie atsina</w:t>
      </w:r>
      <w:r w:rsidR="002F5760" w:rsidRPr="003C0378">
        <w:t>ujinančiosios energijos, įmonės</w:t>
      </w:r>
      <w:r w:rsidR="002F5760" w:rsidRPr="006C0B37">
        <w:rPr>
          <w:color w:val="000000"/>
        </w:rPr>
        <w:t xml:space="preserve"> </w:t>
      </w:r>
      <w:r w:rsidR="002F5760" w:rsidRPr="003C0378">
        <w:rPr>
          <w:rFonts w:eastAsia="Times New Roman" w:cs="Arial"/>
          <w:color w:val="000000"/>
          <w:lang w:eastAsia="lt-LT"/>
        </w:rPr>
        <w:t>įgyja konkurencinį pranašumą lyginant su konkurentais</w:t>
      </w:r>
      <w:r w:rsidR="00BF7D21" w:rsidRPr="003C0378">
        <w:t xml:space="preserve">. </w:t>
      </w:r>
      <w:r w:rsidR="000461D8" w:rsidRPr="003C0378">
        <w:t xml:space="preserve">Kas dėl įmonių socialinės atsakomybės tikslų raidos, tai AEI plėtra kuria teigiamą ir apčiuopiamą naudą vietos bendruomenės – prisideda prie gerėjančio oro ir vandens kokybės. </w:t>
      </w:r>
    </w:p>
    <w:p w14:paraId="1C58C62D" w14:textId="1CB6F4F3" w:rsidR="0022089B" w:rsidRPr="003C0378" w:rsidRDefault="00140291">
      <w:pPr>
        <w:spacing w:line="276" w:lineRule="auto"/>
        <w:ind w:firstLine="562"/>
      </w:pPr>
      <w:r w:rsidRPr="003C0378">
        <w:t>Dar viena</w:t>
      </w:r>
      <w:r w:rsidR="00BF7D21" w:rsidRPr="003C0378">
        <w:t xml:space="preserve"> tikslinė grupė, kurioje, remiantis </w:t>
      </w:r>
      <w:proofErr w:type="spellStart"/>
      <w:r w:rsidR="00BF7D21" w:rsidRPr="003C0378">
        <w:t>REPowerEU</w:t>
      </w:r>
      <w:proofErr w:type="spellEnd"/>
      <w:r w:rsidR="00BF7D21" w:rsidRPr="003C0378">
        <w:t xml:space="preserve"> plano iniciatyva, matomas didžiulis AEI plėtros potencialas</w:t>
      </w:r>
      <w:r w:rsidR="00207DF1" w:rsidRPr="003C0378">
        <w:t xml:space="preserve">, yra </w:t>
      </w:r>
      <w:r w:rsidR="00BF7D21" w:rsidRPr="003C0378">
        <w:rPr>
          <w:b/>
        </w:rPr>
        <w:t>energetikos bendrijos.</w:t>
      </w:r>
      <w:r w:rsidR="00AB040E" w:rsidRPr="003C0378">
        <w:t xml:space="preserve"> </w:t>
      </w:r>
      <w:proofErr w:type="spellStart"/>
      <w:r w:rsidR="00AB040E" w:rsidRPr="003C0378">
        <w:t>REPowe</w:t>
      </w:r>
      <w:r w:rsidR="00274297">
        <w:t>r</w:t>
      </w:r>
      <w:r w:rsidR="00AB040E" w:rsidRPr="003C0378">
        <w:t>EU</w:t>
      </w:r>
      <w:proofErr w:type="spellEnd"/>
      <w:r w:rsidR="00AB040E" w:rsidRPr="003C0378">
        <w:t xml:space="preserve"> plane pažymima</w:t>
      </w:r>
      <w:r w:rsidR="001F728A" w:rsidRPr="003C0378">
        <w:t xml:space="preserve"> jog </w:t>
      </w:r>
      <w:r w:rsidR="001F728A" w:rsidRPr="003C0378">
        <w:rPr>
          <w:b/>
          <w:bCs/>
        </w:rPr>
        <w:t>energetikos bendrijos</w:t>
      </w:r>
      <w:r w:rsidR="001F728A" w:rsidRPr="003C0378">
        <w:t xml:space="preserve"> yra novatoriškas būdas kaip vartotojai gali veiksmingai dalyvauti energijos rinkose (gaminti, patys vartoti, parduoti atsinaujinančiųjų išteklių energiją arba ja dalytis</w:t>
      </w:r>
      <w:r w:rsidRPr="003C0378">
        <w:t>)</w:t>
      </w:r>
      <w:r w:rsidR="00771981" w:rsidRPr="003C0378">
        <w:rPr>
          <w:rStyle w:val="Puslapioinaosnuoroda"/>
        </w:rPr>
        <w:footnoteReference w:id="12"/>
      </w:r>
      <w:r w:rsidRPr="003C0378">
        <w:t>.</w:t>
      </w:r>
      <w:r w:rsidR="00D9331A" w:rsidRPr="003C0378">
        <w:t xml:space="preserve"> Remiantis ES švarios energijos paketo taisyklėmis</w:t>
      </w:r>
      <w:r w:rsidR="00D9331A" w:rsidRPr="003C0378">
        <w:rPr>
          <w:rStyle w:val="Puslapioinaosnuoroda"/>
        </w:rPr>
        <w:footnoteReference w:id="13"/>
      </w:r>
      <w:r w:rsidR="00D9331A" w:rsidRPr="003C0378">
        <w:t>, energetinės bendruomenės laikomos juridiniais asmenimis, kuriems leidžiama eksploatuoti įrengtinas elektrines ir vartoti pagamintą energiją tarp energetikos bendruomen</w:t>
      </w:r>
      <w:r w:rsidR="00D621ED">
        <w:t>ės</w:t>
      </w:r>
      <w:r w:rsidR="00D9331A" w:rsidRPr="003C0378">
        <w:t xml:space="preserve"> narių. Energijos bendruomenės taip pat gali tiekti energiją išorės vartotojams (pagal energijos pirkimo</w:t>
      </w:r>
      <w:r w:rsidR="003C0378">
        <w:t>–</w:t>
      </w:r>
      <w:r w:rsidR="00D9331A" w:rsidRPr="003C0378">
        <w:t xml:space="preserve">pardavimo sutartis) arba pasirinkti energijos supirkimo kvotas. </w:t>
      </w:r>
      <w:r w:rsidR="00771981" w:rsidRPr="003C0378">
        <w:t xml:space="preserve">Remiantis LR </w:t>
      </w:r>
      <w:r w:rsidR="00993345">
        <w:t>A</w:t>
      </w:r>
      <w:r w:rsidR="00771981" w:rsidRPr="003C0378">
        <w:t>tsinaujinanči</w:t>
      </w:r>
      <w:r w:rsidR="00274297">
        <w:t xml:space="preserve">ų </w:t>
      </w:r>
      <w:r w:rsidR="00771981" w:rsidRPr="003C0378">
        <w:t xml:space="preserve">išteklių energetikos įstatymu ir LR </w:t>
      </w:r>
      <w:r w:rsidR="00993345">
        <w:t>E</w:t>
      </w:r>
      <w:r w:rsidR="00771981" w:rsidRPr="003C0378">
        <w:t xml:space="preserve">lektros energetikos įstatymu, Lietuvoje energetikos bendrijos gali veikti kaip </w:t>
      </w:r>
      <w:r w:rsidR="00207DF1" w:rsidRPr="007863F6">
        <w:rPr>
          <w:i/>
          <w:iCs/>
        </w:rPr>
        <w:t>PEB</w:t>
      </w:r>
      <w:r w:rsidR="00771981" w:rsidRPr="003C0378">
        <w:rPr>
          <w:i/>
        </w:rPr>
        <w:t xml:space="preserve"> </w:t>
      </w:r>
      <w:r w:rsidR="00771981" w:rsidRPr="003C0378">
        <w:t xml:space="preserve">ir </w:t>
      </w:r>
      <w:r w:rsidR="00207DF1" w:rsidRPr="007863F6">
        <w:rPr>
          <w:i/>
          <w:iCs/>
        </w:rPr>
        <w:t>AI</w:t>
      </w:r>
      <w:r w:rsidR="00274297" w:rsidRPr="007863F6">
        <w:rPr>
          <w:i/>
          <w:iCs/>
        </w:rPr>
        <w:t>E</w:t>
      </w:r>
      <w:r w:rsidR="00207DF1" w:rsidRPr="007863F6">
        <w:rPr>
          <w:i/>
          <w:iCs/>
        </w:rPr>
        <w:t>B</w:t>
      </w:r>
      <w:r w:rsidR="00771981" w:rsidRPr="003C0378">
        <w:rPr>
          <w:i/>
        </w:rPr>
        <w:t>.</w:t>
      </w:r>
      <w:r w:rsidR="00207DF1" w:rsidRPr="003C0378">
        <w:t xml:space="preserve"> Nors abiejų bendrijų veikimo principas vienodas – bendrijos turi būti ne pelno siekiančios organizacijos, paremtos savanorišku dalyvavimu veikloje, </w:t>
      </w:r>
      <w:r w:rsidR="006D68A2">
        <w:t>PEB</w:t>
      </w:r>
      <w:r w:rsidR="00207DF1" w:rsidRPr="003C0378">
        <w:t xml:space="preserve"> gali veikti tik elektros energijos segmente, o AIEB – tiek šilumos, tiek elektros energijos gamybos sferoje. AIEB gali elektrą ar šilumą gaminti tik atsinaujinančių išteklių energijos gamybos įrenginiuose, tuo tarpu PEB tokio apribojimo nėra. </w:t>
      </w:r>
      <w:r w:rsidR="0022089B" w:rsidRPr="003C0378">
        <w:t>PEB taip pat neturi ap</w:t>
      </w:r>
      <w:r w:rsidR="00207DF1" w:rsidRPr="003C0378">
        <w:t>ribojimo lokacijai – PEB gali turėti savo gamybos ir kaupimo įrenginius bet kurioje Lietuvos vietoje, o AIEB gamybos įrenginiai ir 51 proc. jos narių turi būti toje pačioje apskrityje.</w:t>
      </w:r>
    </w:p>
    <w:p w14:paraId="266AD7BE" w14:textId="744E4959" w:rsidR="004B3E76" w:rsidRPr="003C0378" w:rsidRDefault="0022089B" w:rsidP="005B6A76">
      <w:pPr>
        <w:spacing w:line="276" w:lineRule="auto"/>
        <w:ind w:firstLine="562"/>
      </w:pPr>
      <w:r w:rsidRPr="003C0378">
        <w:lastRenderedPageBreak/>
        <w:t xml:space="preserve">2022 m. ženkliai išaugus energetinių išteklių kainoms ir ženkliai padidėjus </w:t>
      </w:r>
      <w:r w:rsidR="002F18F0">
        <w:t xml:space="preserve">rizikai, kad augs </w:t>
      </w:r>
      <w:r w:rsidR="002F18F0" w:rsidRPr="003C0378">
        <w:t>energetin</w:t>
      </w:r>
      <w:r w:rsidR="002F18F0">
        <w:t>į</w:t>
      </w:r>
      <w:r w:rsidR="002F18F0" w:rsidRPr="003C0378">
        <w:t xml:space="preserve"> nepritekli</w:t>
      </w:r>
      <w:r w:rsidR="002F18F0">
        <w:t>ų</w:t>
      </w:r>
      <w:r w:rsidRPr="003C0378">
        <w:rPr>
          <w:rStyle w:val="Puslapioinaosnuoroda"/>
        </w:rPr>
        <w:footnoteReference w:id="14"/>
      </w:r>
      <w:r w:rsidRPr="003C0378">
        <w:t xml:space="preserve"> </w:t>
      </w:r>
      <w:r w:rsidR="002F18F0">
        <w:t>patiriančių namų ūkių dalis</w:t>
      </w:r>
      <w:r w:rsidRPr="003C0378">
        <w:t xml:space="preserve">, inovatyvus </w:t>
      </w:r>
      <w:r w:rsidR="00F6739B">
        <w:t>AIEB</w:t>
      </w:r>
      <w:r w:rsidR="006D68A2" w:rsidRPr="006D68A2">
        <w:t xml:space="preserve"> bei PEB</w:t>
      </w:r>
      <w:r w:rsidRPr="003C0378">
        <w:t xml:space="preserve"> veikimo modelis gali padėti užtikrinti didesnį vietos gyventojų atsparumą energijos išteklių kainų šuoliams rinkoje</w:t>
      </w:r>
      <w:r w:rsidR="004B3E76" w:rsidRPr="003C0378">
        <w:t xml:space="preserve"> – gyventojai, ūkininkai, savivaldybės ir (arba) </w:t>
      </w:r>
      <w:r w:rsidR="00DE77BE">
        <w:t>smulkusis ir vidutinis verslas</w:t>
      </w:r>
      <w:r w:rsidR="004B3E76" w:rsidRPr="003C0378">
        <w:t xml:space="preserve"> ir kiti juridiniai asmenys susibūrę ir kartu pradėję vystyti AEI pajėgumus</w:t>
      </w:r>
      <w:r w:rsidR="001C7B8D">
        <w:t>,</w:t>
      </w:r>
      <w:r w:rsidR="004B3E76" w:rsidRPr="003C0378">
        <w:t xml:space="preserve"> gali pasidalinti AEI plėtros riziką ir pasinaudoti galimybę</w:t>
      </w:r>
      <w:r w:rsidR="000E5D21" w:rsidRPr="003C0378">
        <w:t xml:space="preserve"> užsitikrin</w:t>
      </w:r>
      <w:r w:rsidR="004B3E76" w:rsidRPr="003C0378">
        <w:t>ti</w:t>
      </w:r>
      <w:r w:rsidR="000E5D21" w:rsidRPr="003C0378">
        <w:t xml:space="preserve"> stabilias</w:t>
      </w:r>
      <w:r w:rsidR="004B3E76" w:rsidRPr="003C0378">
        <w:t xml:space="preserve"> elektros</w:t>
      </w:r>
      <w:r w:rsidR="000E5D21" w:rsidRPr="003C0378">
        <w:t xml:space="preserve"> kainas ateityje. </w:t>
      </w:r>
      <w:r w:rsidR="00F6739B">
        <w:t>AIEB</w:t>
      </w:r>
      <w:r w:rsidR="000E5D21" w:rsidRPr="003C0378">
        <w:t xml:space="preserve"> nauda mažinant energetinį nepriteklių yra nurodoma </w:t>
      </w:r>
      <w:r w:rsidR="00140291" w:rsidRPr="003C0378">
        <w:t>LR elektros energetikos įstatyme</w:t>
      </w:r>
      <w:r w:rsidR="001F728A" w:rsidRPr="003C0378">
        <w:rPr>
          <w:rStyle w:val="Puslapioinaosnuoroda"/>
        </w:rPr>
        <w:footnoteReference w:id="15"/>
      </w:r>
      <w:r w:rsidR="001F728A" w:rsidRPr="003C0378">
        <w:t>,</w:t>
      </w:r>
      <w:r w:rsidR="00140291" w:rsidRPr="003C0378">
        <w:t xml:space="preserve"> </w:t>
      </w:r>
      <w:r w:rsidR="000E5D21" w:rsidRPr="003C0378">
        <w:t xml:space="preserve">kuriame teigiama, kad </w:t>
      </w:r>
      <w:r w:rsidR="00140291" w:rsidRPr="003C0378">
        <w:t>energetinės bendrijos gali ženkliai prisidėti prie energijos nepritekliaus mažinimo ir (ar) teikti naudą labiausiai ekonomiškai pažeidžiamiems vartotojams.</w:t>
      </w:r>
      <w:r w:rsidR="001F728A" w:rsidRPr="003C0378">
        <w:t xml:space="preserve"> 2018 m. gruodžio 11 d. ES direktyvoje dėl skatinimo naudoti atsinaujinančiųjų išteklių energiją</w:t>
      </w:r>
      <w:r w:rsidR="004B3E76" w:rsidRPr="003C0378">
        <w:t xml:space="preserve"> (toliau – AEI direktyva)</w:t>
      </w:r>
      <w:r w:rsidR="001F728A" w:rsidRPr="003C0378">
        <w:rPr>
          <w:rStyle w:val="Puslapioinaosnuoroda"/>
        </w:rPr>
        <w:footnoteReference w:id="16"/>
      </w:r>
      <w:r w:rsidR="000E5D21" w:rsidRPr="003C0378">
        <w:t xml:space="preserve"> taip pat</w:t>
      </w:r>
      <w:r w:rsidR="001F728A" w:rsidRPr="003C0378">
        <w:t xml:space="preserve"> akcentuojama, kad kartu veikiančių</w:t>
      </w:r>
      <w:r w:rsidR="00140291" w:rsidRPr="003C0378">
        <w:t xml:space="preserve"> (energetikos bendrijų pagrindu)</w:t>
      </w:r>
      <w:r w:rsidR="001F728A" w:rsidRPr="003C0378">
        <w:t xml:space="preserve"> iš atsinaujinančiųjų išteklių pasigamintos energijos vartotojų įgalinimas taip pat suteikia galimybes atsinaujinančiųjų išteklių energijos bendrijoms didinti energijos vartojimo efektyvumą namų ūkių lygmeniu ir padeda mažinti energijos nepriteklių mažinant vartojimą ir tiekimo tarifus.</w:t>
      </w:r>
      <w:r w:rsidR="004B3E76" w:rsidRPr="003C0378">
        <w:t xml:space="preserve"> </w:t>
      </w:r>
    </w:p>
    <w:p w14:paraId="4450B3F2" w14:textId="2CF1F4A6" w:rsidR="000E5D21" w:rsidRPr="003C0378" w:rsidRDefault="004B3E76" w:rsidP="005B6A76">
      <w:pPr>
        <w:spacing w:line="276" w:lineRule="auto"/>
        <w:ind w:firstLine="562"/>
        <w:rPr>
          <w:rFonts w:cs="Times New Roman"/>
        </w:rPr>
      </w:pPr>
      <w:r w:rsidRPr="003C0378">
        <w:t xml:space="preserve">Be aukščiau aptartų teigiamų </w:t>
      </w:r>
      <w:r w:rsidR="00F6739B">
        <w:t>AIEB</w:t>
      </w:r>
      <w:r w:rsidRPr="003C0378">
        <w:t xml:space="preserve"> </w:t>
      </w:r>
      <w:r w:rsidR="007B5E59" w:rsidRPr="007B5E59">
        <w:t xml:space="preserve">bei PEB </w:t>
      </w:r>
      <w:r w:rsidRPr="003C0378">
        <w:t>naudų didinant atsparumą elektros kainų šuoliams vietos bendruomenėse ir energetinių nepriteklių patiriančiuose ūkiuose, AEI d</w:t>
      </w:r>
      <w:r w:rsidR="001F728A" w:rsidRPr="003C0378">
        <w:t>irektyvoje taip pat pastebima, kad, remiantis</w:t>
      </w:r>
      <w:r w:rsidR="00140291" w:rsidRPr="003C0378">
        <w:t xml:space="preserve"> jau</w:t>
      </w:r>
      <w:r w:rsidR="001F728A" w:rsidRPr="003C0378">
        <w:t xml:space="preserve"> įgyvendintais projektais, atsinaujinančiųjų išteklių energijos projektai </w:t>
      </w:r>
      <w:r w:rsidRPr="003C0378">
        <w:t>kuria</w:t>
      </w:r>
      <w:r w:rsidR="001F728A" w:rsidRPr="003C0378">
        <w:t xml:space="preserve"> didelę pridėtinę vertę</w:t>
      </w:r>
      <w:r w:rsidR="000461D8" w:rsidRPr="003C0378">
        <w:t xml:space="preserve"> bendruomeniškumo srityje</w:t>
      </w:r>
      <w:r w:rsidR="001F728A" w:rsidRPr="003C0378">
        <w:t xml:space="preserve"> – atsinaujinančiųjų išteklių energija sulaukė vietos pritarimo ir atsirado galimybių pritraukti daugiau privačiojo kapitalo, o tai paskatino vietos investicijas, išplėtė vartotojų pasirinkimo galimybes ir padidino gyventojų dalyvavimą energetikos pertvarkos procese. </w:t>
      </w:r>
      <w:r w:rsidR="00140291" w:rsidRPr="003C0378">
        <w:t>Taip</w:t>
      </w:r>
      <w:r w:rsidR="001F728A" w:rsidRPr="003C0378">
        <w:rPr>
          <w:rFonts w:cs="Times New Roman"/>
        </w:rPr>
        <w:t xml:space="preserve"> pat</w:t>
      </w:r>
      <w:r w:rsidR="00140291" w:rsidRPr="003C0378">
        <w:rPr>
          <w:rFonts w:cs="Times New Roman"/>
        </w:rPr>
        <w:t xml:space="preserve"> pastebėtina</w:t>
      </w:r>
      <w:r w:rsidR="001F728A" w:rsidRPr="003C0378">
        <w:rPr>
          <w:rFonts w:cs="Times New Roman"/>
        </w:rPr>
        <w:t xml:space="preserve">, jog </w:t>
      </w:r>
      <w:r w:rsidR="00F6739B">
        <w:rPr>
          <w:rFonts w:cs="Times New Roman"/>
        </w:rPr>
        <w:t>AIEB</w:t>
      </w:r>
      <w:r w:rsidR="00140291" w:rsidRPr="003C0378">
        <w:rPr>
          <w:rFonts w:cs="Times New Roman"/>
        </w:rPr>
        <w:t xml:space="preserve"> </w:t>
      </w:r>
      <w:r w:rsidR="007B5E59" w:rsidRPr="007B5E59">
        <w:rPr>
          <w:rFonts w:cs="Times New Roman"/>
        </w:rPr>
        <w:t xml:space="preserve">bei PEB </w:t>
      </w:r>
      <w:r w:rsidR="00140291" w:rsidRPr="003C0378">
        <w:rPr>
          <w:rFonts w:cs="Times New Roman"/>
        </w:rPr>
        <w:t>veikimas</w:t>
      </w:r>
      <w:r w:rsidR="001F728A" w:rsidRPr="003C0378">
        <w:rPr>
          <w:rFonts w:cs="Times New Roman"/>
        </w:rPr>
        <w:t xml:space="preserve"> sudaro sąlygas tam tikroms namų ūkių grupėms</w:t>
      </w:r>
      <w:r w:rsidR="000461D8" w:rsidRPr="003C0378">
        <w:rPr>
          <w:rFonts w:cs="Times New Roman"/>
        </w:rPr>
        <w:t xml:space="preserve"> (kaip antai, daugiabučių bendrijoms, sodų bendrijoms ir pan.)</w:t>
      </w:r>
      <w:r w:rsidR="001F728A" w:rsidRPr="003C0378">
        <w:rPr>
          <w:rFonts w:cs="Times New Roman"/>
        </w:rPr>
        <w:t>, kurios kitais atvejais tokios galimybės neturėdavo, dalyvauti energetikos transformacijoje.</w:t>
      </w:r>
      <w:r w:rsidR="001F728A" w:rsidRPr="003C0378">
        <w:rPr>
          <w:rStyle w:val="Puslapioinaosnuoroda"/>
          <w:rFonts w:cs="Times New Roman"/>
        </w:rPr>
        <w:footnoteReference w:id="17"/>
      </w:r>
      <w:r w:rsidR="001F728A" w:rsidRPr="003C0378">
        <w:rPr>
          <w:rFonts w:cs="Times New Roman"/>
        </w:rPr>
        <w:t xml:space="preserve"> </w:t>
      </w:r>
      <w:r w:rsidR="001F728A" w:rsidRPr="003C0378">
        <w:t>Taigi, energijos bendrijos svarbios ne tik socialinių problemų sprendimui, bet ir gyventojų pritarimo atsinaujinančiųjų išteklių energij</w:t>
      </w:r>
      <w:r w:rsidR="003B45EC">
        <w:t>os plėtrai</w:t>
      </w:r>
      <w:r w:rsidR="001F728A" w:rsidRPr="003C0378">
        <w:t xml:space="preserve"> didinimui</w:t>
      </w:r>
      <w:r w:rsidR="001F728A" w:rsidRPr="003C0378">
        <w:rPr>
          <w:rFonts w:cs="Times New Roman"/>
        </w:rPr>
        <w:t xml:space="preserve">. </w:t>
      </w:r>
    </w:p>
    <w:p w14:paraId="4216B6DE" w14:textId="31DFDDC7" w:rsidR="001F728A" w:rsidRPr="00C9652A" w:rsidRDefault="001F728A" w:rsidP="005B6A76">
      <w:pPr>
        <w:spacing w:line="276" w:lineRule="auto"/>
        <w:ind w:firstLine="562"/>
        <w:rPr>
          <w:bCs/>
        </w:rPr>
      </w:pPr>
      <w:r w:rsidRPr="003C0378">
        <w:t xml:space="preserve">Taigi, remiantis </w:t>
      </w:r>
      <w:r w:rsidR="000461D8" w:rsidRPr="003C0378">
        <w:t>aukščiau atlikta</w:t>
      </w:r>
      <w:r w:rsidR="006D35DF" w:rsidRPr="003C0378">
        <w:t xml:space="preserve"> analize</w:t>
      </w:r>
      <w:r w:rsidR="000461D8" w:rsidRPr="003C0378">
        <w:t>,</w:t>
      </w:r>
      <w:r w:rsidR="006D35DF" w:rsidRPr="003C0378">
        <w:t xml:space="preserve"> galima identifikuoti tris pagrindines AEI investicijų tikslines grupes: </w:t>
      </w:r>
      <w:r w:rsidR="006D35DF" w:rsidRPr="003C0378">
        <w:rPr>
          <w:b/>
        </w:rPr>
        <w:t xml:space="preserve">verslas, </w:t>
      </w:r>
      <w:r w:rsidR="00EF7AB6">
        <w:rPr>
          <w:b/>
        </w:rPr>
        <w:t xml:space="preserve">VJA </w:t>
      </w:r>
      <w:r w:rsidR="006D35DF" w:rsidRPr="003C0378">
        <w:rPr>
          <w:b/>
        </w:rPr>
        <w:t xml:space="preserve">ir atsinaujinančių išteklių </w:t>
      </w:r>
      <w:r w:rsidR="00A83BFD" w:rsidRPr="003C0378">
        <w:rPr>
          <w:b/>
        </w:rPr>
        <w:t xml:space="preserve">energijos </w:t>
      </w:r>
      <w:r w:rsidR="006D35DF" w:rsidRPr="003C0378">
        <w:rPr>
          <w:b/>
        </w:rPr>
        <w:t>bendrijos</w:t>
      </w:r>
      <w:r w:rsidR="00DE77BE" w:rsidRPr="00B135A3">
        <w:rPr>
          <w:b/>
        </w:rPr>
        <w:t xml:space="preserve">, </w:t>
      </w:r>
      <w:r w:rsidR="00DE77BE">
        <w:rPr>
          <w:b/>
        </w:rPr>
        <w:t xml:space="preserve">įskaitant </w:t>
      </w:r>
      <w:r w:rsidR="00CF0ED8">
        <w:rPr>
          <w:b/>
        </w:rPr>
        <w:t>piliečių energetines bendrijas</w:t>
      </w:r>
      <w:r w:rsidR="006D35DF" w:rsidRPr="003C0378">
        <w:rPr>
          <w:b/>
        </w:rPr>
        <w:t>.</w:t>
      </w:r>
      <w:r w:rsidR="007E5699">
        <w:rPr>
          <w:b/>
        </w:rPr>
        <w:t xml:space="preserve"> </w:t>
      </w:r>
      <w:r w:rsidR="007E5699">
        <w:rPr>
          <w:bCs/>
        </w:rPr>
        <w:t xml:space="preserve">Toliau Vertinime yra apžvelgiamas investicijų poreikis (paklausa) kiekvienoje identifikuotoje tikslinėje grupėje, išskyrus piliečių energetinėse bendrijose. Šis apsiribojimas grįstinas tuo, kad ataskaitos rašymo metu dar nebuvo iki galo aiškus piliečių energetinės bendrijos veikimo modelis. Kadangi nebuvo aiškus modelis, tai apskaičiuotina paklausa taip pat būtų klaidinga. </w:t>
      </w:r>
    </w:p>
    <w:p w14:paraId="24562907" w14:textId="744BEA6A" w:rsidR="00BF7D21" w:rsidRPr="003C0378" w:rsidRDefault="000B2604" w:rsidP="00797DB7">
      <w:pPr>
        <w:pStyle w:val="Antrat2"/>
        <w:numPr>
          <w:ilvl w:val="3"/>
          <w:numId w:val="3"/>
        </w:numPr>
      </w:pPr>
      <w:bookmarkStart w:id="36" w:name="_Toc166139824"/>
      <w:bookmarkStart w:id="37" w:name="_Toc170804586"/>
      <w:r w:rsidRPr="003C0378">
        <w:rPr>
          <w:rFonts w:cs="Times New Roman"/>
        </w:rPr>
        <w:t>AEI plėtra verslo tikslinėje grupė</w:t>
      </w:r>
      <w:r w:rsidR="003338A0">
        <w:rPr>
          <w:rFonts w:cs="Times New Roman"/>
        </w:rPr>
        <w:t>je</w:t>
      </w:r>
      <w:bookmarkEnd w:id="36"/>
      <w:bookmarkEnd w:id="37"/>
    </w:p>
    <w:p w14:paraId="2B096916" w14:textId="4EBAEBD2" w:rsidR="00570F04" w:rsidRPr="003C0378" w:rsidRDefault="00BF7D21" w:rsidP="00DB782E">
      <w:pPr>
        <w:spacing w:line="276" w:lineRule="auto"/>
        <w:ind w:firstLine="562"/>
      </w:pPr>
      <w:r w:rsidRPr="003C0378">
        <w:t xml:space="preserve">Nors AEI plėtros naudos verslui yra akivaizdžios, spartesnę plėtrą versle dažnai riboja </w:t>
      </w:r>
      <w:r w:rsidRPr="003C0378">
        <w:rPr>
          <w:bCs/>
        </w:rPr>
        <w:t xml:space="preserve">per didelės pradinės investicijos, nuosavybės, kurioje būtų galima įrenginėti elektrinės, neturėjimas ir skeptiškumas dėl investicijų atsiperkamumo elektros tiekimo stabilumo ir elektros kainos dydžio vidutiniu laikotarpiu. </w:t>
      </w:r>
      <w:r w:rsidR="00570F04" w:rsidRPr="003C0378">
        <w:t>Siekiant įvertinti AEI plėtr</w:t>
      </w:r>
      <w:r w:rsidR="00DB782E" w:rsidRPr="003C0378">
        <w:t>ą ribojančius veiksnius, AEI pajėgumų</w:t>
      </w:r>
      <w:r w:rsidR="00570F04" w:rsidRPr="003C0378">
        <w:t xml:space="preserve"> poreikį ir</w:t>
      </w:r>
      <w:r w:rsidR="00DB782E" w:rsidRPr="003C0378">
        <w:t>,</w:t>
      </w:r>
      <w:r w:rsidR="00570F04" w:rsidRPr="003C0378">
        <w:t xml:space="preserve"> atitinkamai</w:t>
      </w:r>
      <w:r w:rsidR="00DB782E" w:rsidRPr="003C0378">
        <w:t>,</w:t>
      </w:r>
      <w:r w:rsidR="00570F04" w:rsidRPr="003C0378">
        <w:t xml:space="preserve"> investicijų paklausą</w:t>
      </w:r>
      <w:r w:rsidR="00880FE9" w:rsidRPr="003C0378">
        <w:t xml:space="preserve"> verslo tikslinėje srityje, vertintojų užsakymu</w:t>
      </w:r>
      <w:r w:rsidR="00DB782E" w:rsidRPr="003C0378">
        <w:t xml:space="preserve"> </w:t>
      </w:r>
      <w:r w:rsidR="00880FE9" w:rsidRPr="003C0378">
        <w:t>2022</w:t>
      </w:r>
      <w:r w:rsidR="004F50BB">
        <w:t xml:space="preserve"> m.</w:t>
      </w:r>
      <w:r w:rsidR="00880FE9" w:rsidRPr="003C0378">
        <w:t xml:space="preserve"> gruodžio 27</w:t>
      </w:r>
      <w:r w:rsidR="004F50BB">
        <w:t xml:space="preserve"> d.</w:t>
      </w:r>
      <w:r w:rsidR="001A49D5" w:rsidRPr="003C0378">
        <w:t xml:space="preserve"> </w:t>
      </w:r>
      <w:r w:rsidR="00570F04" w:rsidRPr="003C0378">
        <w:t>–</w:t>
      </w:r>
      <w:r w:rsidR="00880FE9" w:rsidRPr="003C0378">
        <w:t xml:space="preserve"> </w:t>
      </w:r>
      <w:r w:rsidR="00570F04" w:rsidRPr="003C0378">
        <w:t>2023 m. sausio</w:t>
      </w:r>
      <w:r w:rsidR="00880FE9" w:rsidRPr="003C0378">
        <w:t xml:space="preserve"> 11 </w:t>
      </w:r>
      <w:r w:rsidR="00F63FE9">
        <w:t>d.</w:t>
      </w:r>
      <w:r w:rsidR="00F63FE9" w:rsidRPr="003C0378">
        <w:t xml:space="preserve"> </w:t>
      </w:r>
      <w:r w:rsidR="00880FE9" w:rsidRPr="003C0378">
        <w:t>buvo atlikta reprezentatyvi</w:t>
      </w:r>
      <w:r w:rsidR="00570F04" w:rsidRPr="003C0378">
        <w:t xml:space="preserve"> Lietuvos įmonių </w:t>
      </w:r>
      <w:r w:rsidR="00366716" w:rsidRPr="003C0378">
        <w:t>apklausa</w:t>
      </w:r>
      <w:r w:rsidR="009F6E25" w:rsidRPr="003C0378">
        <w:t>, kurios metu buvo siekiama išsiaiškinti verslo subjektų AEI plėtros poreikį iki 2030 m.</w:t>
      </w:r>
      <w:r w:rsidR="00880FE9" w:rsidRPr="003C0378">
        <w:t xml:space="preserve"> ir</w:t>
      </w:r>
      <w:r w:rsidR="009F6E25" w:rsidRPr="003C0378">
        <w:t xml:space="preserve"> pri</w:t>
      </w:r>
      <w:r w:rsidR="00880FE9" w:rsidRPr="003C0378">
        <w:t xml:space="preserve">einamą finansavimą AEI plėtrai. Detali apklausos metodologija ir kiti svarbūs metodologiniai aspektai </w:t>
      </w:r>
      <w:r w:rsidR="002F5760" w:rsidRPr="003C0378">
        <w:t>yra aprašyti prieduose</w:t>
      </w:r>
      <w:r w:rsidR="00880FE9" w:rsidRPr="003C0378">
        <w:t xml:space="preserve"> (žr.</w:t>
      </w:r>
      <w:r w:rsidR="006B6964" w:rsidRPr="003C0378">
        <w:t xml:space="preserve"> </w:t>
      </w:r>
      <w:r w:rsidR="006B6964" w:rsidRPr="003C0378">
        <w:fldChar w:fldCharType="begin"/>
      </w:r>
      <w:r w:rsidR="006B6964" w:rsidRPr="003C0378">
        <w:instrText xml:space="preserve"> REF _Ref126045611 \h </w:instrText>
      </w:r>
      <w:r w:rsidR="006B6964" w:rsidRPr="003C0378">
        <w:fldChar w:fldCharType="separate"/>
      </w:r>
      <w:r w:rsidR="00347605" w:rsidRPr="003C0378">
        <w:rPr>
          <w:rFonts w:cs="Times New Roman"/>
        </w:rPr>
        <w:t xml:space="preserve">Priedas 2. </w:t>
      </w:r>
      <w:r w:rsidR="00347605" w:rsidRPr="003C0378">
        <w:t>Reprezentatyvios anketinės apklausos sudarymo metodologija ir aprašas</w:t>
      </w:r>
      <w:r w:rsidR="006B6964" w:rsidRPr="003C0378">
        <w:fldChar w:fldCharType="end"/>
      </w:r>
      <w:r w:rsidR="00880FE9" w:rsidRPr="003C0378">
        <w:t>), todėl toliau yra pristatom</w:t>
      </w:r>
      <w:r w:rsidR="00824EC4" w:rsidRPr="003C0378">
        <w:t xml:space="preserve">i </w:t>
      </w:r>
      <w:r w:rsidR="00880FE9" w:rsidRPr="003C0378">
        <w:t xml:space="preserve">tik apklausos rezultatai, leidžiantys paskaičiuoti AEI plėtros paklausą </w:t>
      </w:r>
      <w:r w:rsidR="0036526F" w:rsidRPr="003C0378">
        <w:t>iki 2030 m.</w:t>
      </w:r>
      <w:r w:rsidR="001A49D5" w:rsidRPr="003C0378">
        <w:t xml:space="preserve"> </w:t>
      </w:r>
    </w:p>
    <w:p w14:paraId="60407564" w14:textId="56520295" w:rsidR="00867DF8" w:rsidRPr="003C0378" w:rsidRDefault="00F16C0D" w:rsidP="00BB4DC2">
      <w:pPr>
        <w:spacing w:line="276" w:lineRule="auto"/>
        <w:ind w:firstLine="562"/>
        <w:rPr>
          <w:iCs/>
        </w:rPr>
      </w:pPr>
      <w:r w:rsidRPr="003C0378">
        <w:rPr>
          <w:iCs/>
        </w:rPr>
        <w:lastRenderedPageBreak/>
        <w:t>Apklausoje r</w:t>
      </w:r>
      <w:r w:rsidR="001A49D5" w:rsidRPr="003C0378">
        <w:rPr>
          <w:iCs/>
        </w:rPr>
        <w:t>espondentų buvo prašoma nurodyti, kokios galios pajėgumus jų įmonė planuotų diegti per ateinančius 3</w:t>
      </w:r>
      <w:r w:rsidR="00103D8D" w:rsidRPr="003C0378">
        <w:rPr>
          <w:iCs/>
        </w:rPr>
        <w:t>–</w:t>
      </w:r>
      <w:r w:rsidR="001A49D5" w:rsidRPr="003C0378">
        <w:rPr>
          <w:iCs/>
        </w:rPr>
        <w:t xml:space="preserve">5 metus. Beveik du trečdaliai apklaustų įmonių (64 proc.) nurodė, jog per ateinančius 5 metus planuoja statytis elektrinę – penktadalis (20 proc.) apklaustųjų planuoja investuoti į nuo 10 iki 25 </w:t>
      </w:r>
      <w:r w:rsidR="00091DD0">
        <w:rPr>
          <w:iCs/>
        </w:rPr>
        <w:t>k</w:t>
      </w:r>
      <w:r w:rsidR="00843EAE" w:rsidRPr="003C0378">
        <w:rPr>
          <w:iCs/>
        </w:rPr>
        <w:t>W</w:t>
      </w:r>
      <w:r w:rsidR="001A49D5" w:rsidRPr="003C0378">
        <w:rPr>
          <w:iCs/>
        </w:rPr>
        <w:t xml:space="preserve"> pajėgumo elektrines, šeštadalis (17 proc.) planuoja statyti iki 10 </w:t>
      </w:r>
      <w:r w:rsidR="00091DD0">
        <w:rPr>
          <w:iCs/>
        </w:rPr>
        <w:t>k</w:t>
      </w:r>
      <w:r w:rsidR="00843EAE" w:rsidRPr="003C0378">
        <w:rPr>
          <w:iCs/>
        </w:rPr>
        <w:t>W</w:t>
      </w:r>
      <w:r w:rsidR="001A49D5" w:rsidRPr="003C0378">
        <w:rPr>
          <w:iCs/>
        </w:rPr>
        <w:t xml:space="preserve"> pajėgumo elektrines, o beveik kas aštuntas (12 proc.) respondentas nurodė, jog jų įmonė planuoja statytis nuo 25 </w:t>
      </w:r>
      <w:r w:rsidR="00091DD0">
        <w:rPr>
          <w:iCs/>
        </w:rPr>
        <w:t>k</w:t>
      </w:r>
      <w:r w:rsidR="00843EAE" w:rsidRPr="003C0378">
        <w:rPr>
          <w:iCs/>
        </w:rPr>
        <w:t>W</w:t>
      </w:r>
      <w:r w:rsidR="001A49D5" w:rsidRPr="003C0378">
        <w:rPr>
          <w:iCs/>
        </w:rPr>
        <w:t xml:space="preserve"> iki 50 </w:t>
      </w:r>
      <w:r w:rsidR="00091DD0">
        <w:rPr>
          <w:iCs/>
        </w:rPr>
        <w:t>k</w:t>
      </w:r>
      <w:r w:rsidR="00843EAE" w:rsidRPr="003C0378">
        <w:rPr>
          <w:iCs/>
        </w:rPr>
        <w:t>W</w:t>
      </w:r>
      <w:r w:rsidR="001A49D5" w:rsidRPr="003C0378">
        <w:rPr>
          <w:iCs/>
        </w:rPr>
        <w:t xml:space="preserve"> pajėgumo elektrinę.</w:t>
      </w:r>
    </w:p>
    <w:p w14:paraId="5437A1D8" w14:textId="08FBCD34" w:rsidR="001A49D5" w:rsidRPr="003C0378" w:rsidRDefault="006E7576" w:rsidP="001A49D5">
      <w:pPr>
        <w:ind w:firstLine="0"/>
        <w:jc w:val="left"/>
      </w:pPr>
      <w:r w:rsidRPr="003C0378">
        <w:rPr>
          <w:noProof/>
          <w:lang w:eastAsia="lt-LT"/>
        </w:rPr>
        <w:drawing>
          <wp:inline distT="0" distB="0" distL="0" distR="0" wp14:anchorId="3EFBFDF6" wp14:editId="1E9A1CEA">
            <wp:extent cx="6120130" cy="2125345"/>
            <wp:effectExtent l="0" t="0" r="0" b="825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125345"/>
                    </a:xfrm>
                    <a:prstGeom prst="rect">
                      <a:avLst/>
                    </a:prstGeom>
                  </pic:spPr>
                </pic:pic>
              </a:graphicData>
            </a:graphic>
          </wp:inline>
        </w:drawing>
      </w:r>
    </w:p>
    <w:bookmarkStart w:id="38" w:name="_Hlk101365390"/>
    <w:p w14:paraId="228D1014" w14:textId="53324C73" w:rsidR="00AE47CE" w:rsidRPr="003C0378" w:rsidRDefault="006E7576" w:rsidP="00AE47CE">
      <w:pPr>
        <w:rPr>
          <w:i/>
          <w:iCs/>
        </w:rPr>
      </w:pPr>
      <w:r w:rsidRPr="003C0378">
        <w:rPr>
          <w:i/>
          <w:iCs/>
        </w:rPr>
        <w:fldChar w:fldCharType="begin"/>
      </w:r>
      <w:r w:rsidRPr="003C0378">
        <w:rPr>
          <w:i/>
          <w:iCs/>
        </w:rPr>
        <w:instrText xml:space="preserve"> SEQ pav. \* ARABIC </w:instrText>
      </w:r>
      <w:r w:rsidRPr="003C0378">
        <w:rPr>
          <w:i/>
          <w:iCs/>
        </w:rPr>
        <w:fldChar w:fldCharType="separate"/>
      </w:r>
      <w:bookmarkStart w:id="39" w:name="_Ref94717062"/>
      <w:bookmarkStart w:id="40" w:name="_Toc126051416"/>
      <w:bookmarkStart w:id="41" w:name="_Toc166139886"/>
      <w:bookmarkStart w:id="42" w:name="_Toc170804652"/>
      <w:r w:rsidR="00347605">
        <w:rPr>
          <w:i/>
          <w:iCs/>
          <w:noProof/>
        </w:rPr>
        <w:t>1</w:t>
      </w:r>
      <w:bookmarkEnd w:id="39"/>
      <w:r w:rsidRPr="003C0378">
        <w:rPr>
          <w:i/>
          <w:iCs/>
        </w:rPr>
        <w:fldChar w:fldCharType="end"/>
      </w:r>
      <w:r w:rsidRPr="003C0378">
        <w:rPr>
          <w:i/>
          <w:iCs/>
        </w:rPr>
        <w:t xml:space="preserve"> paveikslas.</w:t>
      </w:r>
      <w:bookmarkEnd w:id="38"/>
      <w:r w:rsidRPr="003C0378">
        <w:rPr>
          <w:i/>
          <w:iCs/>
        </w:rPr>
        <w:t xml:space="preserve"> </w:t>
      </w:r>
      <w:r w:rsidR="00AE47CE" w:rsidRPr="003C0378">
        <w:rPr>
          <w:i/>
          <w:iCs/>
        </w:rPr>
        <w:t>Lietuvos įmonių</w:t>
      </w:r>
      <w:r w:rsidRPr="003C0378">
        <w:rPr>
          <w:i/>
          <w:iCs/>
        </w:rPr>
        <w:t xml:space="preserve"> dalis</w:t>
      </w:r>
      <w:r w:rsidR="00AE47CE" w:rsidRPr="003C0378">
        <w:rPr>
          <w:i/>
          <w:iCs/>
        </w:rPr>
        <w:t>, pasiryžusių per ateinančius 5 metus statytis elektrinę. N = 423.</w:t>
      </w:r>
      <w:bookmarkEnd w:id="40"/>
      <w:bookmarkEnd w:id="41"/>
      <w:bookmarkEnd w:id="42"/>
    </w:p>
    <w:p w14:paraId="08496BE9" w14:textId="52D8FCCF" w:rsidR="006E7576" w:rsidRPr="003C0378" w:rsidRDefault="001A49D5" w:rsidP="006B6964">
      <w:pPr>
        <w:rPr>
          <w:rFonts w:cs="Times New Roman"/>
          <w:sz w:val="20"/>
          <w:szCs w:val="20"/>
        </w:rPr>
      </w:pPr>
      <w:r w:rsidRPr="003C0378">
        <w:rPr>
          <w:rFonts w:cs="Times New Roman"/>
          <w:sz w:val="20"/>
          <w:szCs w:val="20"/>
        </w:rPr>
        <w:t>Šaltinis: sudaryta Vertintojų, remiantis reprezentatyvios verslo subjektų anketinės apklausos rezultatais.</w:t>
      </w:r>
    </w:p>
    <w:p w14:paraId="51637149" w14:textId="139C9F03" w:rsidR="001A49D5" w:rsidRPr="003C0378" w:rsidRDefault="001A49D5" w:rsidP="005B6A76">
      <w:pPr>
        <w:spacing w:line="276" w:lineRule="auto"/>
        <w:ind w:firstLine="562"/>
        <w:rPr>
          <w:iCs/>
        </w:rPr>
      </w:pPr>
      <w:r w:rsidRPr="003C0378">
        <w:rPr>
          <w:iCs/>
        </w:rPr>
        <w:t>Labiausiai investuoti į elektrines yra linkusios didelės įmonės (turinčios 250 ir daugiau darbuotojų) – visi šiai grupei priskirtini respondentai teigė, jog per ateinančius 3</w:t>
      </w:r>
      <w:r w:rsidR="00103D8D" w:rsidRPr="003C0378">
        <w:rPr>
          <w:iCs/>
        </w:rPr>
        <w:t>–</w:t>
      </w:r>
      <w:r w:rsidRPr="003C0378">
        <w:rPr>
          <w:iCs/>
        </w:rPr>
        <w:t xml:space="preserve">5 metus jų atstovaujama įmonė planuoja statyti elektrinę. Pusė (50 proc.) didelių įmonių planuoja statytis daugiau nei 1000 </w:t>
      </w:r>
      <w:r w:rsidR="00091DD0">
        <w:rPr>
          <w:iCs/>
        </w:rPr>
        <w:t>k</w:t>
      </w:r>
      <w:r w:rsidR="00843EAE" w:rsidRPr="003C0378">
        <w:rPr>
          <w:iCs/>
        </w:rPr>
        <w:t>W</w:t>
      </w:r>
      <w:r w:rsidRPr="003C0378">
        <w:rPr>
          <w:iCs/>
        </w:rPr>
        <w:t xml:space="preserve"> pajėgumo elektrines, o penktadalis (21 proc.) – nuo 200</w:t>
      </w:r>
      <w:r w:rsidR="00091DD0">
        <w:rPr>
          <w:iCs/>
        </w:rPr>
        <w:t xml:space="preserve"> k</w:t>
      </w:r>
      <w:r w:rsidR="00843EAE" w:rsidRPr="003C0378">
        <w:rPr>
          <w:iCs/>
        </w:rPr>
        <w:t>W</w:t>
      </w:r>
      <w:r w:rsidRPr="003C0378">
        <w:rPr>
          <w:iCs/>
        </w:rPr>
        <w:t xml:space="preserve"> iki 400 </w:t>
      </w:r>
      <w:r w:rsidR="00091DD0">
        <w:rPr>
          <w:iCs/>
        </w:rPr>
        <w:t>k</w:t>
      </w:r>
      <w:r w:rsidR="00843EAE" w:rsidRPr="003C0378">
        <w:rPr>
          <w:iCs/>
        </w:rPr>
        <w:t>W</w:t>
      </w:r>
      <w:r w:rsidRPr="003C0378">
        <w:rPr>
          <w:iCs/>
        </w:rPr>
        <w:t xml:space="preserve"> pajėgumo elektrines. Dar kas septintas (14 proc.) respondentas, atstovaujantis didelę įmonę, teigė, jog planuojama investuoti į nuo 100 </w:t>
      </w:r>
      <w:r w:rsidR="00091DD0">
        <w:rPr>
          <w:iCs/>
        </w:rPr>
        <w:t>k</w:t>
      </w:r>
      <w:r w:rsidR="00843EAE" w:rsidRPr="003C0378">
        <w:rPr>
          <w:iCs/>
        </w:rPr>
        <w:t>W</w:t>
      </w:r>
      <w:r w:rsidRPr="003C0378">
        <w:rPr>
          <w:iCs/>
        </w:rPr>
        <w:t xml:space="preserve"> iki 200 </w:t>
      </w:r>
      <w:r w:rsidR="00091DD0">
        <w:rPr>
          <w:iCs/>
        </w:rPr>
        <w:t>k</w:t>
      </w:r>
      <w:r w:rsidR="00843EAE" w:rsidRPr="003C0378">
        <w:rPr>
          <w:iCs/>
        </w:rPr>
        <w:t>W</w:t>
      </w:r>
      <w:r w:rsidRPr="003C0378">
        <w:rPr>
          <w:iCs/>
        </w:rPr>
        <w:t xml:space="preserve"> pajėgumo elektrinę. </w:t>
      </w:r>
    </w:p>
    <w:p w14:paraId="6EFDDD46" w14:textId="7A1632AB" w:rsidR="001A49D5" w:rsidRPr="003C0378" w:rsidRDefault="001A49D5" w:rsidP="005B6A76">
      <w:pPr>
        <w:spacing w:line="276" w:lineRule="auto"/>
        <w:ind w:firstLine="562"/>
        <w:rPr>
          <w:iCs/>
        </w:rPr>
      </w:pPr>
      <w:r w:rsidRPr="003C0378">
        <w:rPr>
          <w:iCs/>
        </w:rPr>
        <w:t xml:space="preserve">Mažiausiai linkusios investuoti į elektrines yra labai mažos įmonės (turinčios 9 arba mažiau darbuotojų) – 40 proc. šiai kategorijai priskirtinų įmonių atstovų teigė, jog per ateinančius 5 metus nebus instaliuojamos elektrinės. Beveik ketvirtadalis (23 proc.) labai mažų įmonių planuoja statytis nuo 10 iki 25 </w:t>
      </w:r>
      <w:r w:rsidR="00091DD0">
        <w:rPr>
          <w:iCs/>
        </w:rPr>
        <w:t>k</w:t>
      </w:r>
      <w:r w:rsidR="00843EAE" w:rsidRPr="003C0378">
        <w:rPr>
          <w:iCs/>
        </w:rPr>
        <w:t>W</w:t>
      </w:r>
      <w:r w:rsidRPr="003C0378">
        <w:rPr>
          <w:iCs/>
        </w:rPr>
        <w:t xml:space="preserve"> pajėgumo elektrines, o penktadalis (19 proc.) labai mažų įmonių – iki 10 </w:t>
      </w:r>
      <w:r w:rsidR="00091DD0">
        <w:rPr>
          <w:iCs/>
        </w:rPr>
        <w:t>k</w:t>
      </w:r>
      <w:r w:rsidR="00843EAE" w:rsidRPr="003C0378">
        <w:rPr>
          <w:iCs/>
        </w:rPr>
        <w:t>W</w:t>
      </w:r>
      <w:r w:rsidRPr="003C0378">
        <w:rPr>
          <w:iCs/>
        </w:rPr>
        <w:t xml:space="preserve"> pajėgumo elektrines. Kas devintas (11 proc.) respondentas, atstovaujantis labai mažą įmonę, teigė jog planuojama statytis nuo 25 </w:t>
      </w:r>
      <w:r w:rsidR="00091DD0">
        <w:rPr>
          <w:iCs/>
        </w:rPr>
        <w:t>k</w:t>
      </w:r>
      <w:r w:rsidR="00843EAE" w:rsidRPr="003C0378">
        <w:rPr>
          <w:iCs/>
        </w:rPr>
        <w:t>W</w:t>
      </w:r>
      <w:r w:rsidRPr="003C0378">
        <w:rPr>
          <w:iCs/>
        </w:rPr>
        <w:t xml:space="preserve"> iki 50 </w:t>
      </w:r>
      <w:r w:rsidR="00091DD0">
        <w:rPr>
          <w:iCs/>
        </w:rPr>
        <w:t>k</w:t>
      </w:r>
      <w:r w:rsidR="00843EAE" w:rsidRPr="003C0378">
        <w:rPr>
          <w:iCs/>
        </w:rPr>
        <w:t>W</w:t>
      </w:r>
      <w:r w:rsidRPr="003C0378">
        <w:rPr>
          <w:iCs/>
        </w:rPr>
        <w:t xml:space="preserve"> pajėgumo elektrinę. </w:t>
      </w:r>
    </w:p>
    <w:p w14:paraId="1C1ECBE1" w14:textId="1AD5FBA9" w:rsidR="001A49D5" w:rsidRPr="003C0378" w:rsidRDefault="001A49D5" w:rsidP="005B6A76">
      <w:pPr>
        <w:spacing w:line="276" w:lineRule="auto"/>
        <w:ind w:firstLine="562"/>
        <w:rPr>
          <w:iCs/>
        </w:rPr>
      </w:pPr>
      <w:r w:rsidRPr="003C0378">
        <w:rPr>
          <w:iCs/>
        </w:rPr>
        <w:t xml:space="preserve">Kiek daugiau nei penktadalis (22 proc.) mažų įmonių (turinčių nuo 10 iki 49 darbuotojų) per ateinančius 5 metus taip pat neplanuoja statytis elektrinių, o beveik penktadalis (18 proc.) planuoja instaliuoti nuo 25 </w:t>
      </w:r>
      <w:r w:rsidR="00091DD0">
        <w:rPr>
          <w:iCs/>
        </w:rPr>
        <w:t>k</w:t>
      </w:r>
      <w:r w:rsidR="00843EAE" w:rsidRPr="003C0378">
        <w:rPr>
          <w:iCs/>
        </w:rPr>
        <w:t>W</w:t>
      </w:r>
      <w:r w:rsidRPr="003C0378">
        <w:rPr>
          <w:iCs/>
        </w:rPr>
        <w:t xml:space="preserve"> iki 50 </w:t>
      </w:r>
      <w:r w:rsidR="00091DD0">
        <w:rPr>
          <w:iCs/>
        </w:rPr>
        <w:t>k</w:t>
      </w:r>
      <w:r w:rsidR="00843EAE" w:rsidRPr="003C0378">
        <w:rPr>
          <w:iCs/>
        </w:rPr>
        <w:t>W</w:t>
      </w:r>
      <w:r w:rsidRPr="003C0378">
        <w:rPr>
          <w:iCs/>
        </w:rPr>
        <w:t xml:space="preserve"> pajėgumo elektrines. Kas šešta (16 proc.) maža įmonė planuoja statytis iki 10 </w:t>
      </w:r>
      <w:r w:rsidR="00091DD0">
        <w:rPr>
          <w:iCs/>
        </w:rPr>
        <w:t>k</w:t>
      </w:r>
      <w:r w:rsidR="00843EAE" w:rsidRPr="003C0378">
        <w:rPr>
          <w:iCs/>
        </w:rPr>
        <w:t>W</w:t>
      </w:r>
      <w:r w:rsidRPr="003C0378">
        <w:rPr>
          <w:iCs/>
        </w:rPr>
        <w:t xml:space="preserve"> pajėgumo elektrinę, o kas septinta (14 proc.) – nuo 100 iki 200 </w:t>
      </w:r>
      <w:r w:rsidR="00091DD0">
        <w:rPr>
          <w:iCs/>
        </w:rPr>
        <w:t>k</w:t>
      </w:r>
      <w:r w:rsidR="00843EAE" w:rsidRPr="003C0378">
        <w:rPr>
          <w:iCs/>
        </w:rPr>
        <w:t>W</w:t>
      </w:r>
      <w:r w:rsidRPr="003C0378">
        <w:rPr>
          <w:iCs/>
        </w:rPr>
        <w:t xml:space="preserve"> pajėgumo elektrinę. </w:t>
      </w:r>
    </w:p>
    <w:p w14:paraId="64803D8B" w14:textId="357F0D0A" w:rsidR="001A49D5" w:rsidRPr="003C0378" w:rsidRDefault="001A49D5" w:rsidP="005B6A76">
      <w:pPr>
        <w:spacing w:line="276" w:lineRule="auto"/>
        <w:ind w:firstLine="562"/>
        <w:rPr>
          <w:iCs/>
        </w:rPr>
      </w:pPr>
      <w:r w:rsidRPr="003C0378">
        <w:rPr>
          <w:iCs/>
        </w:rPr>
        <w:t xml:space="preserve">Trečdalis (32 proc.) vidutinių įmonių (turinčių nuo 50 iki 249 darbuotojų) per ateinančius 5 metus planuoja statytis nuo 100 </w:t>
      </w:r>
      <w:r w:rsidR="00091DD0">
        <w:rPr>
          <w:iCs/>
        </w:rPr>
        <w:t>k</w:t>
      </w:r>
      <w:r w:rsidR="00843EAE" w:rsidRPr="003C0378">
        <w:rPr>
          <w:iCs/>
        </w:rPr>
        <w:t>W</w:t>
      </w:r>
      <w:r w:rsidRPr="003C0378">
        <w:rPr>
          <w:iCs/>
        </w:rPr>
        <w:t xml:space="preserve"> iki 200 </w:t>
      </w:r>
      <w:r w:rsidR="00091DD0">
        <w:rPr>
          <w:iCs/>
        </w:rPr>
        <w:t>k</w:t>
      </w:r>
      <w:r w:rsidR="00843EAE" w:rsidRPr="003C0378">
        <w:rPr>
          <w:iCs/>
        </w:rPr>
        <w:t>W</w:t>
      </w:r>
      <w:r w:rsidRPr="003C0378">
        <w:rPr>
          <w:iCs/>
        </w:rPr>
        <w:t xml:space="preserve"> pajėgumo elektrines, o penktadalis (21 proc.) – daugiau nei 1000 </w:t>
      </w:r>
      <w:r w:rsidR="00091DD0">
        <w:rPr>
          <w:iCs/>
        </w:rPr>
        <w:t>k</w:t>
      </w:r>
      <w:r w:rsidR="00843EAE" w:rsidRPr="003C0378">
        <w:rPr>
          <w:iCs/>
        </w:rPr>
        <w:t>W</w:t>
      </w:r>
      <w:r w:rsidRPr="003C0378">
        <w:rPr>
          <w:iCs/>
        </w:rPr>
        <w:t xml:space="preserve"> pajėgumo elektrines. Dar penktadalis (21 proc.) vidutinių įmonių per ateinančius 3</w:t>
      </w:r>
      <w:r w:rsidR="00103D8D" w:rsidRPr="003C0378">
        <w:rPr>
          <w:iCs/>
        </w:rPr>
        <w:t>–</w:t>
      </w:r>
      <w:r w:rsidRPr="003C0378">
        <w:rPr>
          <w:iCs/>
        </w:rPr>
        <w:t>5 metus neplanuoja statytis elektrinių.</w:t>
      </w:r>
    </w:p>
    <w:p w14:paraId="21FB1524" w14:textId="63D24C9E" w:rsidR="00853C6D" w:rsidRPr="003C0378" w:rsidRDefault="00853C6D" w:rsidP="00853C6D">
      <w:pPr>
        <w:spacing w:line="276" w:lineRule="auto"/>
        <w:ind w:firstLine="562"/>
        <w:rPr>
          <w:rFonts w:eastAsia="MS Mincho" w:cs="Times New Roman"/>
        </w:rPr>
      </w:pPr>
      <w:r w:rsidRPr="003C0378">
        <w:rPr>
          <w:rFonts w:eastAsia="MS Mincho" w:cs="Times New Roman"/>
        </w:rPr>
        <w:t xml:space="preserve">Respondentų, kurie atsakė, jog elektrinių nestatys, buvo prašoma įvardinti tokio pasirinkimo priežastis. Maždaug du iš penkių (42 proc.) tyrimo dalyvių teigė, jog tokį pasirinkimą lėmė </w:t>
      </w:r>
      <w:r w:rsidR="00673DAF">
        <w:rPr>
          <w:rFonts w:eastAsia="MS Mincho" w:cs="Times New Roman"/>
        </w:rPr>
        <w:t xml:space="preserve">faktas, kad </w:t>
      </w:r>
      <w:r w:rsidRPr="003C0378">
        <w:rPr>
          <w:rFonts w:eastAsia="MS Mincho" w:cs="Times New Roman"/>
        </w:rPr>
        <w:t xml:space="preserve">jų </w:t>
      </w:r>
      <w:r w:rsidR="00673DAF" w:rsidRPr="003C0378">
        <w:rPr>
          <w:rFonts w:eastAsia="MS Mincho" w:cs="Times New Roman"/>
        </w:rPr>
        <w:t>atstovaujam</w:t>
      </w:r>
      <w:r w:rsidR="00673DAF">
        <w:rPr>
          <w:rFonts w:eastAsia="MS Mincho" w:cs="Times New Roman"/>
        </w:rPr>
        <w:t>a</w:t>
      </w:r>
      <w:r w:rsidR="00673DAF" w:rsidRPr="003C0378">
        <w:rPr>
          <w:rFonts w:eastAsia="MS Mincho" w:cs="Times New Roman"/>
        </w:rPr>
        <w:t xml:space="preserve"> </w:t>
      </w:r>
      <w:r w:rsidRPr="003C0378">
        <w:rPr>
          <w:rFonts w:eastAsia="MS Mincho" w:cs="Times New Roman"/>
        </w:rPr>
        <w:t xml:space="preserve">įmonė </w:t>
      </w:r>
      <w:r w:rsidR="00673DAF">
        <w:rPr>
          <w:rFonts w:eastAsia="MS Mincho" w:cs="Times New Roman"/>
        </w:rPr>
        <w:t xml:space="preserve">neturi </w:t>
      </w:r>
      <w:r w:rsidRPr="003C0378">
        <w:rPr>
          <w:rFonts w:eastAsia="MS Mincho" w:cs="Times New Roman"/>
        </w:rPr>
        <w:t>nuosavybės</w:t>
      </w:r>
      <w:r w:rsidR="00673DAF">
        <w:rPr>
          <w:rFonts w:eastAsia="MS Mincho" w:cs="Times New Roman"/>
        </w:rPr>
        <w:t xml:space="preserve"> teise priklausančio turto</w:t>
      </w:r>
      <w:r w:rsidRPr="003C0378">
        <w:rPr>
          <w:rFonts w:eastAsia="MS Mincho" w:cs="Times New Roman"/>
        </w:rPr>
        <w:t xml:space="preserve">, </w:t>
      </w:r>
      <w:r w:rsidR="00673DAF" w:rsidRPr="003C0378">
        <w:rPr>
          <w:rFonts w:eastAsia="MS Mincho" w:cs="Times New Roman"/>
        </w:rPr>
        <w:t>kuri</w:t>
      </w:r>
      <w:r w:rsidR="00673DAF">
        <w:rPr>
          <w:rFonts w:eastAsia="MS Mincho" w:cs="Times New Roman"/>
        </w:rPr>
        <w:t>am</w:t>
      </w:r>
      <w:r w:rsidR="00673DAF" w:rsidRPr="003C0378">
        <w:rPr>
          <w:rFonts w:eastAsia="MS Mincho" w:cs="Times New Roman"/>
        </w:rPr>
        <w:t>e gal</w:t>
      </w:r>
      <w:r w:rsidR="00673DAF">
        <w:rPr>
          <w:rFonts w:eastAsia="MS Mincho" w:cs="Times New Roman"/>
        </w:rPr>
        <w:t>ima būt</w:t>
      </w:r>
      <w:r w:rsidR="00673DAF" w:rsidRPr="003C0378">
        <w:rPr>
          <w:rFonts w:eastAsia="MS Mincho" w:cs="Times New Roman"/>
        </w:rPr>
        <w:t xml:space="preserve">ų </w:t>
      </w:r>
      <w:r w:rsidRPr="003C0378">
        <w:rPr>
          <w:rFonts w:eastAsia="MS Mincho" w:cs="Times New Roman"/>
        </w:rPr>
        <w:t xml:space="preserve">įrengti elektrinių pajėgumus. Beveik kas šeštas (17,2 proc.) respondentas teigė, jog tokį pasirinkimą lėmė kitos, apklausoje nenurodytos, priežastys, o maždaug kas aštuntas (12,3 proc.) apklausos dalyvis teigė, kad pasirinkimą nestatyti elektrinių arba jas statyti nenuosavomis lėšomis lėmė nepakankami įmonės turimi finansiniai ištekliai, nors galimybė įsirengti arba </w:t>
      </w:r>
      <w:r w:rsidRPr="003C0378">
        <w:rPr>
          <w:rFonts w:eastAsia="MS Mincho" w:cs="Times New Roman"/>
        </w:rPr>
        <w:lastRenderedPageBreak/>
        <w:t xml:space="preserve">išsipirkti elektrinių pajėgumus įmonėje buvo svarstyta. Tiek pat (12 proc.) respondentų teigė, kad pasirinkimą nestatyti elektrinių arba jas statyti nenuosavomis lėšomis lėmė manymas, kad saulės arba vėjo elektrinių investicijos neatsipirktų. Beveik kas devintas (10,8 proc.) respondentas pasirinko atsakymą, jog nėra poreikio statyti elektrines jų atstovaujamoje įmonėje. Mažiausiai (2,7 proc.) apklaustųjų kaip pasirinkimo nestatyti elektrinių arba statyti nenuosavomis lėšomis priežastį įvardijo informacijos trūkumą arba biurokratines kliūtis, tiek pat (2,9 proc.) teigė, kad nors jų atstovaujama įmonė turi </w:t>
      </w:r>
      <w:r w:rsidR="00673DAF" w:rsidRPr="003C0378">
        <w:rPr>
          <w:rFonts w:eastAsia="MS Mincho" w:cs="Times New Roman"/>
        </w:rPr>
        <w:t>nuosavyb</w:t>
      </w:r>
      <w:r w:rsidR="00673DAF">
        <w:rPr>
          <w:rFonts w:eastAsia="MS Mincho" w:cs="Times New Roman"/>
        </w:rPr>
        <w:t>ės teise priklausantį turtą</w:t>
      </w:r>
      <w:r w:rsidRPr="003C0378">
        <w:rPr>
          <w:rFonts w:eastAsia="MS Mincho" w:cs="Times New Roman"/>
        </w:rPr>
        <w:t xml:space="preserve">, </w:t>
      </w:r>
      <w:r w:rsidR="00673DAF" w:rsidRPr="003C0378">
        <w:rPr>
          <w:rFonts w:eastAsia="MS Mincho" w:cs="Times New Roman"/>
        </w:rPr>
        <w:t>kuri</w:t>
      </w:r>
      <w:r w:rsidR="00673DAF">
        <w:rPr>
          <w:rFonts w:eastAsia="MS Mincho" w:cs="Times New Roman"/>
        </w:rPr>
        <w:t>am</w:t>
      </w:r>
      <w:r w:rsidR="00673DAF" w:rsidRPr="003C0378">
        <w:rPr>
          <w:rFonts w:eastAsia="MS Mincho" w:cs="Times New Roman"/>
        </w:rPr>
        <w:t xml:space="preserve">e </w:t>
      </w:r>
      <w:r w:rsidRPr="003C0378">
        <w:rPr>
          <w:rFonts w:eastAsia="MS Mincho" w:cs="Times New Roman"/>
        </w:rPr>
        <w:t xml:space="preserve">galėtų įrengti elektrinių pajėgumus, tačiau </w:t>
      </w:r>
      <w:r w:rsidR="00673DAF">
        <w:rPr>
          <w:rFonts w:eastAsia="MS Mincho" w:cs="Times New Roman"/>
        </w:rPr>
        <w:t>šiame turte</w:t>
      </w:r>
      <w:r w:rsidRPr="003C0378">
        <w:rPr>
          <w:rFonts w:eastAsia="MS Mincho" w:cs="Times New Roman"/>
        </w:rPr>
        <w:t xml:space="preserve"> elektrinių įrengti negalima dėl įvairių apribojimų. </w:t>
      </w:r>
    </w:p>
    <w:p w14:paraId="2E9A1390" w14:textId="35A34C4F" w:rsidR="00853C6D" w:rsidRPr="003C0378" w:rsidRDefault="00BB4DC2" w:rsidP="00853C6D">
      <w:pPr>
        <w:spacing w:before="100" w:after="200" w:line="276" w:lineRule="auto"/>
        <w:ind w:firstLine="0"/>
        <w:rPr>
          <w:rFonts w:ascii="Cambria" w:eastAsia="MS Mincho" w:hAnsi="Cambria" w:cs="Times New Roman"/>
          <w:sz w:val="20"/>
          <w:szCs w:val="20"/>
        </w:rPr>
      </w:pPr>
      <w:r w:rsidRPr="003C0378">
        <w:rPr>
          <w:noProof/>
          <w:lang w:eastAsia="lt-LT"/>
        </w:rPr>
        <w:drawing>
          <wp:inline distT="0" distB="0" distL="0" distR="0" wp14:anchorId="54B34D10" wp14:editId="05A9F8FC">
            <wp:extent cx="6120130" cy="2576830"/>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2576830"/>
                    </a:xfrm>
                    <a:prstGeom prst="rect">
                      <a:avLst/>
                    </a:prstGeom>
                  </pic:spPr>
                </pic:pic>
              </a:graphicData>
            </a:graphic>
          </wp:inline>
        </w:drawing>
      </w:r>
    </w:p>
    <w:p w14:paraId="67ED47BD" w14:textId="217ACE2C" w:rsidR="00853C6D" w:rsidRPr="003C0378" w:rsidRDefault="00797DB7" w:rsidP="00853C6D">
      <w:pPr>
        <w:keepNext/>
        <w:spacing w:before="0" w:line="276" w:lineRule="auto"/>
        <w:ind w:firstLine="0"/>
        <w:rPr>
          <w:rFonts w:ascii="Cambria" w:eastAsia="MS Mincho" w:hAnsi="Cambria" w:cs="Times New Roman"/>
          <w:caps/>
          <w:noProof/>
          <w:color w:val="595959"/>
          <w:sz w:val="20"/>
          <w:szCs w:val="20"/>
        </w:rPr>
      </w:pPr>
      <w:r w:rsidRPr="003C0378">
        <w:rPr>
          <w:i/>
          <w:iCs/>
        </w:rPr>
        <w:fldChar w:fldCharType="begin"/>
      </w:r>
      <w:r w:rsidRPr="003C0378">
        <w:rPr>
          <w:i/>
          <w:iCs/>
        </w:rPr>
        <w:instrText xml:space="preserve"> SEQ pav. \* ARABIC </w:instrText>
      </w:r>
      <w:r w:rsidRPr="003C0378">
        <w:rPr>
          <w:i/>
          <w:iCs/>
        </w:rPr>
        <w:fldChar w:fldCharType="separate"/>
      </w:r>
      <w:bookmarkStart w:id="43" w:name="_Toc166139887"/>
      <w:bookmarkStart w:id="44" w:name="_Toc170804653"/>
      <w:r w:rsidR="00347605">
        <w:rPr>
          <w:i/>
          <w:iCs/>
          <w:noProof/>
        </w:rPr>
        <w:t>2</w:t>
      </w:r>
      <w:r w:rsidRPr="003C0378">
        <w:rPr>
          <w:i/>
          <w:iCs/>
        </w:rPr>
        <w:fldChar w:fldCharType="end"/>
      </w:r>
      <w:r w:rsidRPr="003C0378">
        <w:rPr>
          <w:i/>
          <w:iCs/>
        </w:rPr>
        <w:t xml:space="preserve"> paveikslas.</w:t>
      </w:r>
      <w:r w:rsidRPr="006C0B37">
        <w:rPr>
          <w:rFonts w:ascii="Cambria" w:hAnsi="Cambria"/>
          <w:caps/>
          <w:color w:val="595959"/>
          <w:sz w:val="20"/>
        </w:rPr>
        <w:t xml:space="preserve"> </w:t>
      </w:r>
      <w:r w:rsidR="00853C6D" w:rsidRPr="003C0378">
        <w:rPr>
          <w:i/>
          <w:iCs/>
        </w:rPr>
        <w:t>Respondentų pasirinkimo nestatyti elektrinių arba jas statyti nenuosavomis lėšomis priežastys. N = 290.</w:t>
      </w:r>
      <w:bookmarkEnd w:id="43"/>
      <w:bookmarkEnd w:id="44"/>
    </w:p>
    <w:p w14:paraId="0E0FBB13" w14:textId="35638290" w:rsidR="00853C6D" w:rsidRPr="003C0378" w:rsidRDefault="00853C6D" w:rsidP="00B62217">
      <w:pPr>
        <w:spacing w:before="100" w:after="200" w:line="276" w:lineRule="auto"/>
        <w:ind w:firstLine="0"/>
        <w:rPr>
          <w:rFonts w:cs="Times New Roman"/>
          <w:sz w:val="20"/>
          <w:szCs w:val="20"/>
        </w:rPr>
      </w:pPr>
      <w:r w:rsidRPr="003C0378">
        <w:rPr>
          <w:rFonts w:cs="Times New Roman"/>
          <w:sz w:val="20"/>
          <w:szCs w:val="20"/>
        </w:rPr>
        <w:t xml:space="preserve">Šaltinis: sudaryta </w:t>
      </w:r>
      <w:r w:rsidR="00797DB7" w:rsidRPr="003C0378">
        <w:rPr>
          <w:rFonts w:cs="Times New Roman"/>
          <w:sz w:val="20"/>
          <w:szCs w:val="20"/>
        </w:rPr>
        <w:t>Vertintojų</w:t>
      </w:r>
      <w:r w:rsidRPr="003C0378">
        <w:rPr>
          <w:rFonts w:cs="Times New Roman"/>
          <w:sz w:val="20"/>
          <w:szCs w:val="20"/>
        </w:rPr>
        <w:t>, remiantis reprezentatyvios verslo subjektų anketinės apklausos rezultatais.</w:t>
      </w:r>
    </w:p>
    <w:p w14:paraId="27A0BBCE" w14:textId="262164C0" w:rsidR="0016200E" w:rsidRPr="003C0378" w:rsidRDefault="00797DB7" w:rsidP="005B6A76">
      <w:pPr>
        <w:spacing w:line="276" w:lineRule="auto"/>
        <w:ind w:firstLine="562"/>
      </w:pPr>
      <w:r w:rsidRPr="003C0378">
        <w:t xml:space="preserve">Nors dalis verslo subjektų nėra pasiryžę investuoti į AEI pajėgumus, didesnioji dalis verslo įmonių yra pasiryžusios didinti AEI pajėgumus. </w:t>
      </w:r>
      <w:r w:rsidR="001A49D5" w:rsidRPr="003C0378">
        <w:t xml:space="preserve">Siekiant </w:t>
      </w:r>
      <w:r w:rsidRPr="003C0378">
        <w:t>apklausos</w:t>
      </w:r>
      <w:r w:rsidR="001A49D5" w:rsidRPr="003C0378">
        <w:t xml:space="preserve"> rezultatus </w:t>
      </w:r>
      <w:proofErr w:type="spellStart"/>
      <w:r w:rsidR="001A49D5" w:rsidRPr="003C0378">
        <w:t>ekstrapoliuoti</w:t>
      </w:r>
      <w:proofErr w:type="spellEnd"/>
      <w:r w:rsidR="001A49D5" w:rsidRPr="003C0378">
        <w:t xml:space="preserve"> ir ap</w:t>
      </w:r>
      <w:r w:rsidR="005E34F1" w:rsidRPr="003C0378">
        <w:t>s</w:t>
      </w:r>
      <w:r w:rsidR="001A49D5" w:rsidRPr="003C0378">
        <w:t>kaičiuoti</w:t>
      </w:r>
      <w:r w:rsidR="00824EC4" w:rsidRPr="003C0378">
        <w:t xml:space="preserve"> visuminių</w:t>
      </w:r>
      <w:r w:rsidR="005E34F1" w:rsidRPr="003C0378">
        <w:t xml:space="preserve"> pajėgumų poreikį, </w:t>
      </w:r>
      <w:r w:rsidR="006E7576" w:rsidRPr="003C0378">
        <w:fldChar w:fldCharType="begin"/>
      </w:r>
      <w:r w:rsidR="006E7576" w:rsidRPr="003C0378">
        <w:instrText xml:space="preserve"> REF _Ref94717062 \h  \* MERGEFORMAT </w:instrText>
      </w:r>
      <w:r w:rsidR="006E7576" w:rsidRPr="003C0378">
        <w:fldChar w:fldCharType="separate"/>
      </w:r>
      <w:r w:rsidR="00347605" w:rsidRPr="00347605">
        <w:t>1</w:t>
      </w:r>
      <w:r w:rsidR="006E7576" w:rsidRPr="003C0378">
        <w:fldChar w:fldCharType="end"/>
      </w:r>
      <w:r w:rsidR="006E7576" w:rsidRPr="003C0378">
        <w:t xml:space="preserve"> paveiksle </w:t>
      </w:r>
      <w:r w:rsidR="005E34F1" w:rsidRPr="003C0378">
        <w:t xml:space="preserve">pavaizduoto klausimo intervalinius atsakymo variantus </w:t>
      </w:r>
      <w:r w:rsidR="00ED19D5" w:rsidRPr="003C0378">
        <w:t>Vertintojai</w:t>
      </w:r>
      <w:r w:rsidR="005E34F1" w:rsidRPr="003C0378">
        <w:t xml:space="preserve"> sugrupavo į apatinį, vidurinį ir viršutinį rėžius</w:t>
      </w:r>
      <w:r w:rsidR="00F81C7A" w:rsidRPr="003C0378">
        <w:t xml:space="preserve"> (detaliau </w:t>
      </w:r>
      <w:proofErr w:type="spellStart"/>
      <w:r w:rsidR="00F81C7A" w:rsidRPr="003C0378">
        <w:t>ekstrapoliavimo</w:t>
      </w:r>
      <w:proofErr w:type="spellEnd"/>
      <w:r w:rsidR="00F81C7A" w:rsidRPr="003C0378">
        <w:t xml:space="preserve"> metodika pristatoma priede 2 (žr. </w:t>
      </w:r>
      <w:r w:rsidR="00F81C7A" w:rsidRPr="003C0378">
        <w:fldChar w:fldCharType="begin"/>
      </w:r>
      <w:r w:rsidR="00F81C7A" w:rsidRPr="003C0378">
        <w:instrText xml:space="preserve"> REF _Ref126045611 \h </w:instrText>
      </w:r>
      <w:r w:rsidR="00F81C7A" w:rsidRPr="003C0378">
        <w:fldChar w:fldCharType="separate"/>
      </w:r>
      <w:r w:rsidR="00347605" w:rsidRPr="003C0378">
        <w:rPr>
          <w:rFonts w:cs="Times New Roman"/>
        </w:rPr>
        <w:t xml:space="preserve">Priedas 2. </w:t>
      </w:r>
      <w:r w:rsidR="00347605" w:rsidRPr="003C0378">
        <w:t>Reprezentatyvios anketinės apklausos sudarymo metodologija ir aprašas</w:t>
      </w:r>
      <w:r w:rsidR="00F81C7A" w:rsidRPr="003C0378">
        <w:fldChar w:fldCharType="end"/>
      </w:r>
      <w:r w:rsidR="00F81C7A" w:rsidRPr="003C0378">
        <w:t>)).</w:t>
      </w:r>
      <w:r w:rsidR="005E34F1" w:rsidRPr="003C0378">
        <w:t xml:space="preserve"> Pavyzdžiui, jeigu atsakymo variantas buvo „Nuo 25 </w:t>
      </w:r>
      <w:r w:rsidR="00091DD0">
        <w:t>k</w:t>
      </w:r>
      <w:r w:rsidR="00843EAE" w:rsidRPr="003C0378">
        <w:t>W</w:t>
      </w:r>
      <w:r w:rsidR="005E34F1" w:rsidRPr="003C0378">
        <w:t xml:space="preserve"> iki 50 </w:t>
      </w:r>
      <w:r w:rsidR="00091DD0">
        <w:t>k</w:t>
      </w:r>
      <w:r w:rsidR="00843EAE" w:rsidRPr="003C0378">
        <w:t>W</w:t>
      </w:r>
      <w:r w:rsidR="005E34F1" w:rsidRPr="003C0378">
        <w:t xml:space="preserve">”, apatinis atsakymo rėžis numatė 25 </w:t>
      </w:r>
      <w:r w:rsidR="00091DD0">
        <w:t>k</w:t>
      </w:r>
      <w:r w:rsidR="00843EAE" w:rsidRPr="003C0378">
        <w:t>W</w:t>
      </w:r>
      <w:r w:rsidR="005E34F1" w:rsidRPr="003C0378">
        <w:t xml:space="preserve"> pajėgumų </w:t>
      </w:r>
      <w:r w:rsidR="00642903" w:rsidRPr="003C0378">
        <w:t>instaliavimą</w:t>
      </w:r>
      <w:r w:rsidR="005E34F1" w:rsidRPr="003C0378">
        <w:t xml:space="preserve">, vidurinis 37,5 </w:t>
      </w:r>
      <w:r w:rsidR="00091DD0">
        <w:t>k</w:t>
      </w:r>
      <w:r w:rsidR="00843EAE" w:rsidRPr="003C0378">
        <w:t>W</w:t>
      </w:r>
      <w:r w:rsidR="005E34F1" w:rsidRPr="003C0378">
        <w:t xml:space="preserve">, o viršutinis 49,99 </w:t>
      </w:r>
      <w:r w:rsidR="00091DD0">
        <w:t>k</w:t>
      </w:r>
      <w:r w:rsidR="00843EAE" w:rsidRPr="003C0378">
        <w:t>W</w:t>
      </w:r>
      <w:r w:rsidR="005E34F1" w:rsidRPr="003C0378">
        <w:t>. Atsakymų variantų, k</w:t>
      </w:r>
      <w:r w:rsidR="00F16C0D" w:rsidRPr="003C0378">
        <w:t>uriuose</w:t>
      </w:r>
      <w:r w:rsidR="005E34F1" w:rsidRPr="003C0378">
        <w:t xml:space="preserve"> nebuvo aiškiai nurodytos intervalų ribos,</w:t>
      </w:r>
      <w:r w:rsidR="00F16C0D" w:rsidRPr="003C0378">
        <w:t xml:space="preserve"> atvejais</w:t>
      </w:r>
      <w:r w:rsidR="005E34F1" w:rsidRPr="003C0378">
        <w:t xml:space="preserve"> kaip antai „Iki 10 </w:t>
      </w:r>
      <w:r w:rsidR="00091DD0">
        <w:t>k</w:t>
      </w:r>
      <w:r w:rsidR="00843EAE" w:rsidRPr="003C0378">
        <w:t>W</w:t>
      </w:r>
      <w:r w:rsidR="005B6A76" w:rsidRPr="003C0378">
        <w:t>“</w:t>
      </w:r>
      <w:r w:rsidR="005E34F1" w:rsidRPr="003C0378">
        <w:t xml:space="preserve"> ir </w:t>
      </w:r>
      <w:r w:rsidR="005B6A76" w:rsidRPr="003C0378">
        <w:t>„</w:t>
      </w:r>
      <w:r w:rsidR="005E34F1" w:rsidRPr="003C0378">
        <w:t xml:space="preserve">Daugiau nei 1000 </w:t>
      </w:r>
      <w:r w:rsidR="00091DD0">
        <w:t>k</w:t>
      </w:r>
      <w:r w:rsidR="00843EAE" w:rsidRPr="003C0378">
        <w:t>W</w:t>
      </w:r>
      <w:r w:rsidR="005B6A76" w:rsidRPr="003C0378">
        <w:t>“</w:t>
      </w:r>
      <w:r w:rsidR="005E34F1" w:rsidRPr="003C0378">
        <w:t xml:space="preserve"> </w:t>
      </w:r>
      <w:r w:rsidR="00ED19D5" w:rsidRPr="003C0378">
        <w:t>Vertintojai</w:t>
      </w:r>
      <w:r w:rsidR="005E34F1" w:rsidRPr="003C0378">
        <w:t xml:space="preserve"> padarė prielaidą, kad apatinės intervalų ribos</w:t>
      </w:r>
      <w:r w:rsidR="00BC7458" w:rsidRPr="003C0378">
        <w:t xml:space="preserve"> </w:t>
      </w:r>
      <w:r w:rsidR="005E34F1" w:rsidRPr="003C0378">
        <w:t>yra</w:t>
      </w:r>
      <w:r w:rsidR="00BC7458" w:rsidRPr="003C0378">
        <w:t xml:space="preserve">, atitinkamai, </w:t>
      </w:r>
      <w:r w:rsidR="005E34F1" w:rsidRPr="003C0378">
        <w:t xml:space="preserve">1 </w:t>
      </w:r>
      <w:r w:rsidR="00091DD0">
        <w:t>k</w:t>
      </w:r>
      <w:r w:rsidR="00843EAE" w:rsidRPr="003C0378">
        <w:t>W</w:t>
      </w:r>
      <w:r w:rsidR="005E34F1" w:rsidRPr="003C0378">
        <w:t xml:space="preserve"> ir 1000 </w:t>
      </w:r>
      <w:r w:rsidR="00091DD0">
        <w:t>k</w:t>
      </w:r>
      <w:r w:rsidR="00843EAE" w:rsidRPr="003C0378">
        <w:t>W</w:t>
      </w:r>
      <w:r w:rsidR="005E34F1" w:rsidRPr="003C0378">
        <w:t>, vidurinė</w:t>
      </w:r>
      <w:r w:rsidR="00F16C0D" w:rsidRPr="003C0378">
        <w:t>s</w:t>
      </w:r>
      <w:r w:rsidR="005E34F1" w:rsidRPr="003C0378">
        <w:t xml:space="preserve"> – 5 </w:t>
      </w:r>
      <w:r w:rsidR="00091DD0">
        <w:t>k</w:t>
      </w:r>
      <w:r w:rsidR="00843EAE" w:rsidRPr="003C0378">
        <w:t>W</w:t>
      </w:r>
      <w:r w:rsidR="005E34F1" w:rsidRPr="003C0378">
        <w:t xml:space="preserve"> ir 1500 </w:t>
      </w:r>
      <w:r w:rsidR="00091DD0">
        <w:t>k</w:t>
      </w:r>
      <w:r w:rsidR="00843EAE" w:rsidRPr="003C0378">
        <w:t>W</w:t>
      </w:r>
      <w:r w:rsidR="005E34F1" w:rsidRPr="003C0378">
        <w:t>, viršutinė</w:t>
      </w:r>
      <w:r w:rsidR="00F16C0D" w:rsidRPr="003C0378">
        <w:t xml:space="preserve"> –</w:t>
      </w:r>
      <w:r w:rsidR="003C0378">
        <w:t xml:space="preserve"> </w:t>
      </w:r>
      <w:r w:rsidR="005E34F1" w:rsidRPr="003C0378">
        <w:t xml:space="preserve">9,99 </w:t>
      </w:r>
      <w:r w:rsidR="00091DD0">
        <w:t>k</w:t>
      </w:r>
      <w:r w:rsidR="00843EAE" w:rsidRPr="003C0378">
        <w:t>W</w:t>
      </w:r>
      <w:r w:rsidR="005E34F1" w:rsidRPr="003C0378">
        <w:t xml:space="preserve"> ir 2000 </w:t>
      </w:r>
      <w:r w:rsidR="00091DD0">
        <w:t>k</w:t>
      </w:r>
      <w:r w:rsidR="00843EAE" w:rsidRPr="003C0378">
        <w:t>W</w:t>
      </w:r>
      <w:r w:rsidR="005E34F1" w:rsidRPr="003C0378">
        <w:t xml:space="preserve">. </w:t>
      </w:r>
      <w:r w:rsidR="0016200E" w:rsidRPr="003C0378">
        <w:t>Žemiau lentelėje yra pateikiami diegtinų pajėgumų poreikio apskaičiavimo rezultatai.</w:t>
      </w:r>
    </w:p>
    <w:p w14:paraId="423E992B" w14:textId="745BCC33" w:rsidR="0016200E" w:rsidRPr="003C0378" w:rsidRDefault="0016200E" w:rsidP="0016200E">
      <w:pPr>
        <w:keepNext/>
        <w:ind w:firstLine="0"/>
        <w:rPr>
          <w:rFonts w:cs="Times New Roman"/>
          <w:i/>
          <w:iCs/>
        </w:rPr>
      </w:pPr>
      <w:bookmarkStart w:id="45" w:name="_Toc126051378"/>
      <w:bookmarkStart w:id="46" w:name="_Toc166139853"/>
      <w:bookmarkStart w:id="47" w:name="_Toc170804619"/>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3</w:t>
      </w:r>
      <w:r w:rsidRPr="003C0378">
        <w:rPr>
          <w:rFonts w:cs="Times New Roman"/>
          <w:i/>
          <w:iCs/>
        </w:rPr>
        <w:fldChar w:fldCharType="end"/>
      </w:r>
      <w:r w:rsidRPr="003C0378">
        <w:rPr>
          <w:rFonts w:cs="Times New Roman"/>
          <w:i/>
          <w:iCs/>
        </w:rPr>
        <w:t>. AEI pajėgumų paklaus</w:t>
      </w:r>
      <w:r w:rsidR="00824EC4" w:rsidRPr="003C0378">
        <w:rPr>
          <w:rFonts w:cs="Times New Roman"/>
          <w:i/>
          <w:iCs/>
        </w:rPr>
        <w:t>a</w:t>
      </w:r>
      <w:r w:rsidRPr="003C0378">
        <w:rPr>
          <w:rFonts w:cs="Times New Roman"/>
          <w:i/>
          <w:iCs/>
        </w:rPr>
        <w:t xml:space="preserve"> per ateinančius 5</w:t>
      </w:r>
      <w:r w:rsidR="006B6964" w:rsidRPr="003C0378">
        <w:rPr>
          <w:rFonts w:cs="Times New Roman"/>
          <w:i/>
          <w:iCs/>
        </w:rPr>
        <w:t xml:space="preserve"> metus</w:t>
      </w:r>
      <w:r w:rsidRPr="003C0378">
        <w:rPr>
          <w:rFonts w:cs="Times New Roman"/>
          <w:i/>
          <w:iCs/>
        </w:rPr>
        <w:t xml:space="preserve"> verslo tikslinėje grupėje</w:t>
      </w:r>
      <w:bookmarkEnd w:id="45"/>
      <w:bookmarkEnd w:id="46"/>
      <w:bookmarkEnd w:id="47"/>
    </w:p>
    <w:tbl>
      <w:tblPr>
        <w:tblStyle w:val="Lentelstinklelis"/>
        <w:tblW w:w="0" w:type="auto"/>
        <w:tblLook w:val="04A0" w:firstRow="1" w:lastRow="0" w:firstColumn="1" w:lastColumn="0" w:noHBand="0" w:noVBand="1"/>
      </w:tblPr>
      <w:tblGrid>
        <w:gridCol w:w="2407"/>
        <w:gridCol w:w="2407"/>
        <w:gridCol w:w="2407"/>
        <w:gridCol w:w="2407"/>
      </w:tblGrid>
      <w:tr w:rsidR="0016200E" w:rsidRPr="003C0378" w14:paraId="50042FF7" w14:textId="77777777" w:rsidTr="00E24002">
        <w:trPr>
          <w:trHeight w:val="20"/>
          <w:tblHeader/>
        </w:trPr>
        <w:tc>
          <w:tcPr>
            <w:tcW w:w="2407" w:type="dxa"/>
            <w:noWrap/>
            <w:vAlign w:val="center"/>
            <w:hideMark/>
          </w:tcPr>
          <w:p w14:paraId="43DA0236" w14:textId="77777777" w:rsidR="0016200E" w:rsidRPr="003C0378" w:rsidRDefault="0016200E" w:rsidP="00BB4DC2">
            <w:pPr>
              <w:spacing w:after="0"/>
              <w:ind w:firstLine="0"/>
              <w:jc w:val="center"/>
              <w:rPr>
                <w:b/>
                <w:bCs/>
                <w:sz w:val="20"/>
                <w:szCs w:val="20"/>
                <w:lang w:val="lt-LT"/>
              </w:rPr>
            </w:pPr>
            <w:r w:rsidRPr="003C0378">
              <w:rPr>
                <w:b/>
                <w:bCs/>
                <w:sz w:val="20"/>
                <w:szCs w:val="20"/>
                <w:lang w:val="lt-LT"/>
              </w:rPr>
              <w:t>Įmonės dydis</w:t>
            </w:r>
          </w:p>
        </w:tc>
        <w:tc>
          <w:tcPr>
            <w:tcW w:w="2407" w:type="dxa"/>
            <w:noWrap/>
            <w:vAlign w:val="center"/>
            <w:hideMark/>
          </w:tcPr>
          <w:p w14:paraId="1D93B86C" w14:textId="77777777" w:rsidR="0016200E" w:rsidRPr="003C0378" w:rsidRDefault="0016200E" w:rsidP="00BB4DC2">
            <w:pPr>
              <w:spacing w:after="0"/>
              <w:ind w:firstLine="0"/>
              <w:jc w:val="center"/>
              <w:rPr>
                <w:b/>
                <w:bCs/>
                <w:sz w:val="20"/>
                <w:szCs w:val="20"/>
                <w:lang w:val="lt-LT"/>
              </w:rPr>
            </w:pPr>
            <w:r w:rsidRPr="003C0378">
              <w:rPr>
                <w:b/>
                <w:bCs/>
                <w:sz w:val="20"/>
                <w:szCs w:val="20"/>
                <w:lang w:val="lt-LT"/>
              </w:rPr>
              <w:t>Paklausos apatinis rėžis (GW)</w:t>
            </w:r>
          </w:p>
        </w:tc>
        <w:tc>
          <w:tcPr>
            <w:tcW w:w="2407" w:type="dxa"/>
            <w:noWrap/>
            <w:vAlign w:val="center"/>
            <w:hideMark/>
          </w:tcPr>
          <w:p w14:paraId="4716C2CD" w14:textId="77777777" w:rsidR="0016200E" w:rsidRPr="003C0378" w:rsidRDefault="0016200E" w:rsidP="00BB4DC2">
            <w:pPr>
              <w:spacing w:after="0"/>
              <w:ind w:firstLine="0"/>
              <w:jc w:val="center"/>
              <w:rPr>
                <w:b/>
                <w:bCs/>
                <w:sz w:val="20"/>
                <w:szCs w:val="20"/>
                <w:lang w:val="lt-LT"/>
              </w:rPr>
            </w:pPr>
            <w:r w:rsidRPr="003C0378">
              <w:rPr>
                <w:b/>
                <w:bCs/>
                <w:sz w:val="20"/>
                <w:szCs w:val="20"/>
                <w:lang w:val="lt-LT"/>
              </w:rPr>
              <w:t>Paklausos vidurinis rėžis (GW)</w:t>
            </w:r>
          </w:p>
        </w:tc>
        <w:tc>
          <w:tcPr>
            <w:tcW w:w="2407" w:type="dxa"/>
            <w:noWrap/>
            <w:vAlign w:val="center"/>
            <w:hideMark/>
          </w:tcPr>
          <w:p w14:paraId="4F3C1BD2" w14:textId="77777777" w:rsidR="0016200E" w:rsidRPr="003C0378" w:rsidRDefault="0016200E" w:rsidP="00BB4DC2">
            <w:pPr>
              <w:spacing w:after="0"/>
              <w:ind w:firstLine="0"/>
              <w:jc w:val="center"/>
              <w:rPr>
                <w:b/>
                <w:bCs/>
                <w:sz w:val="20"/>
                <w:szCs w:val="20"/>
                <w:lang w:val="lt-LT"/>
              </w:rPr>
            </w:pPr>
            <w:r w:rsidRPr="003C0378">
              <w:rPr>
                <w:b/>
                <w:bCs/>
                <w:sz w:val="20"/>
                <w:szCs w:val="20"/>
                <w:lang w:val="lt-LT"/>
              </w:rPr>
              <w:t>Paklausos viršutinis rėžis (GW)</w:t>
            </w:r>
          </w:p>
        </w:tc>
      </w:tr>
      <w:tr w:rsidR="0016200E" w:rsidRPr="003C0378" w14:paraId="5E089C07" w14:textId="77777777" w:rsidTr="00E24002">
        <w:trPr>
          <w:trHeight w:val="20"/>
        </w:trPr>
        <w:tc>
          <w:tcPr>
            <w:tcW w:w="2407" w:type="dxa"/>
            <w:noWrap/>
            <w:hideMark/>
          </w:tcPr>
          <w:p w14:paraId="4BB0E70E" w14:textId="77777777" w:rsidR="0016200E" w:rsidRPr="003C0378" w:rsidRDefault="0016200E" w:rsidP="00BB4DC2">
            <w:pPr>
              <w:spacing w:after="0"/>
              <w:ind w:firstLine="0"/>
              <w:rPr>
                <w:sz w:val="20"/>
                <w:szCs w:val="20"/>
                <w:lang w:val="lt-LT"/>
              </w:rPr>
            </w:pPr>
            <w:r w:rsidRPr="003C0378">
              <w:rPr>
                <w:sz w:val="20"/>
                <w:szCs w:val="20"/>
                <w:lang w:val="lt-LT"/>
              </w:rPr>
              <w:t>Labai mažos įmonės</w:t>
            </w:r>
          </w:p>
        </w:tc>
        <w:tc>
          <w:tcPr>
            <w:tcW w:w="2407" w:type="dxa"/>
            <w:noWrap/>
            <w:vAlign w:val="center"/>
            <w:hideMark/>
          </w:tcPr>
          <w:p w14:paraId="5C9CD322" w14:textId="1E083E90" w:rsidR="0016200E" w:rsidRPr="003C0378" w:rsidRDefault="0016200E" w:rsidP="00BB4DC2">
            <w:pPr>
              <w:spacing w:after="0"/>
              <w:ind w:firstLine="0"/>
              <w:jc w:val="center"/>
              <w:rPr>
                <w:sz w:val="20"/>
                <w:szCs w:val="20"/>
                <w:lang w:val="lt-LT"/>
              </w:rPr>
            </w:pPr>
            <w:r w:rsidRPr="003C0378">
              <w:rPr>
                <w:sz w:val="20"/>
                <w:szCs w:val="20"/>
                <w:lang w:val="lt-LT"/>
              </w:rPr>
              <w:t>0,90</w:t>
            </w:r>
          </w:p>
        </w:tc>
        <w:tc>
          <w:tcPr>
            <w:tcW w:w="2407" w:type="dxa"/>
            <w:noWrap/>
            <w:vAlign w:val="center"/>
            <w:hideMark/>
          </w:tcPr>
          <w:p w14:paraId="075CB165" w14:textId="7BBD7527" w:rsidR="0016200E" w:rsidRPr="003C0378" w:rsidRDefault="0016200E" w:rsidP="00BB4DC2">
            <w:pPr>
              <w:spacing w:after="0"/>
              <w:ind w:firstLine="0"/>
              <w:jc w:val="center"/>
              <w:rPr>
                <w:sz w:val="20"/>
                <w:szCs w:val="20"/>
                <w:lang w:val="lt-LT"/>
              </w:rPr>
            </w:pPr>
            <w:r w:rsidRPr="003C0378">
              <w:rPr>
                <w:sz w:val="20"/>
                <w:szCs w:val="20"/>
                <w:lang w:val="lt-LT"/>
              </w:rPr>
              <w:t>1,37</w:t>
            </w:r>
          </w:p>
        </w:tc>
        <w:tc>
          <w:tcPr>
            <w:tcW w:w="2407" w:type="dxa"/>
            <w:noWrap/>
            <w:vAlign w:val="center"/>
            <w:hideMark/>
          </w:tcPr>
          <w:p w14:paraId="0A0E34B4" w14:textId="0D1A3ACD" w:rsidR="0016200E" w:rsidRPr="003C0378" w:rsidRDefault="0016200E" w:rsidP="00BB4DC2">
            <w:pPr>
              <w:spacing w:after="0"/>
              <w:ind w:firstLine="0"/>
              <w:jc w:val="center"/>
              <w:rPr>
                <w:sz w:val="20"/>
                <w:szCs w:val="20"/>
                <w:lang w:val="lt-LT"/>
              </w:rPr>
            </w:pPr>
            <w:r w:rsidRPr="003C0378">
              <w:rPr>
                <w:sz w:val="20"/>
                <w:szCs w:val="20"/>
                <w:lang w:val="lt-LT"/>
              </w:rPr>
              <w:t>1,85</w:t>
            </w:r>
          </w:p>
        </w:tc>
      </w:tr>
      <w:tr w:rsidR="0016200E" w:rsidRPr="003C0378" w14:paraId="2E160B97" w14:textId="77777777" w:rsidTr="00E24002">
        <w:trPr>
          <w:trHeight w:val="20"/>
        </w:trPr>
        <w:tc>
          <w:tcPr>
            <w:tcW w:w="2407" w:type="dxa"/>
            <w:noWrap/>
            <w:hideMark/>
          </w:tcPr>
          <w:p w14:paraId="0B56B30E" w14:textId="77777777" w:rsidR="0016200E" w:rsidRPr="003C0378" w:rsidRDefault="0016200E" w:rsidP="00BB4DC2">
            <w:pPr>
              <w:spacing w:after="0"/>
              <w:ind w:firstLine="0"/>
              <w:rPr>
                <w:sz w:val="20"/>
                <w:szCs w:val="20"/>
                <w:lang w:val="lt-LT"/>
              </w:rPr>
            </w:pPr>
            <w:r w:rsidRPr="003C0378">
              <w:rPr>
                <w:sz w:val="20"/>
                <w:szCs w:val="20"/>
                <w:lang w:val="lt-LT"/>
              </w:rPr>
              <w:t>Mažos įmonės</w:t>
            </w:r>
          </w:p>
        </w:tc>
        <w:tc>
          <w:tcPr>
            <w:tcW w:w="2407" w:type="dxa"/>
            <w:noWrap/>
            <w:vAlign w:val="center"/>
            <w:hideMark/>
          </w:tcPr>
          <w:p w14:paraId="181FD2E4" w14:textId="56A79771" w:rsidR="0016200E" w:rsidRPr="003C0378" w:rsidRDefault="0016200E" w:rsidP="00BB4DC2">
            <w:pPr>
              <w:spacing w:after="0"/>
              <w:ind w:firstLine="0"/>
              <w:jc w:val="center"/>
              <w:rPr>
                <w:sz w:val="20"/>
                <w:szCs w:val="20"/>
                <w:lang w:val="lt-LT"/>
              </w:rPr>
            </w:pPr>
            <w:r w:rsidRPr="003C0378">
              <w:rPr>
                <w:sz w:val="20"/>
                <w:szCs w:val="20"/>
                <w:lang w:val="lt-LT"/>
              </w:rPr>
              <w:t>1,02</w:t>
            </w:r>
          </w:p>
        </w:tc>
        <w:tc>
          <w:tcPr>
            <w:tcW w:w="2407" w:type="dxa"/>
            <w:noWrap/>
            <w:vAlign w:val="center"/>
            <w:hideMark/>
          </w:tcPr>
          <w:p w14:paraId="17EA2E27" w14:textId="4FC3BC5A" w:rsidR="0016200E" w:rsidRPr="003C0378" w:rsidRDefault="0016200E" w:rsidP="00BB4DC2">
            <w:pPr>
              <w:spacing w:after="0"/>
              <w:ind w:firstLine="0"/>
              <w:jc w:val="center"/>
              <w:rPr>
                <w:sz w:val="20"/>
                <w:szCs w:val="20"/>
                <w:lang w:val="lt-LT"/>
              </w:rPr>
            </w:pPr>
            <w:r w:rsidRPr="003C0378">
              <w:rPr>
                <w:sz w:val="20"/>
                <w:szCs w:val="20"/>
                <w:lang w:val="lt-LT"/>
              </w:rPr>
              <w:t>1,54</w:t>
            </w:r>
          </w:p>
        </w:tc>
        <w:tc>
          <w:tcPr>
            <w:tcW w:w="2407" w:type="dxa"/>
            <w:noWrap/>
            <w:vAlign w:val="center"/>
            <w:hideMark/>
          </w:tcPr>
          <w:p w14:paraId="0DF93FEC" w14:textId="41928338" w:rsidR="0016200E" w:rsidRPr="003C0378" w:rsidRDefault="0016200E" w:rsidP="00BB4DC2">
            <w:pPr>
              <w:spacing w:after="0"/>
              <w:ind w:firstLine="0"/>
              <w:jc w:val="center"/>
              <w:rPr>
                <w:sz w:val="20"/>
                <w:szCs w:val="20"/>
                <w:lang w:val="lt-LT"/>
              </w:rPr>
            </w:pPr>
            <w:r w:rsidRPr="003C0378">
              <w:rPr>
                <w:sz w:val="20"/>
                <w:szCs w:val="20"/>
                <w:lang w:val="lt-LT"/>
              </w:rPr>
              <w:t>2,07</w:t>
            </w:r>
          </w:p>
        </w:tc>
      </w:tr>
      <w:tr w:rsidR="0016200E" w:rsidRPr="003C0378" w14:paraId="165C3DCF" w14:textId="77777777" w:rsidTr="00E24002">
        <w:trPr>
          <w:trHeight w:val="20"/>
        </w:trPr>
        <w:tc>
          <w:tcPr>
            <w:tcW w:w="2407" w:type="dxa"/>
            <w:noWrap/>
            <w:hideMark/>
          </w:tcPr>
          <w:p w14:paraId="1EC764F1" w14:textId="77777777" w:rsidR="0016200E" w:rsidRPr="003C0378" w:rsidRDefault="0016200E" w:rsidP="00BB4DC2">
            <w:pPr>
              <w:spacing w:after="0"/>
              <w:ind w:firstLine="0"/>
              <w:rPr>
                <w:sz w:val="20"/>
                <w:szCs w:val="20"/>
                <w:lang w:val="lt-LT"/>
              </w:rPr>
            </w:pPr>
            <w:r w:rsidRPr="003C0378">
              <w:rPr>
                <w:sz w:val="20"/>
                <w:szCs w:val="20"/>
                <w:lang w:val="lt-LT"/>
              </w:rPr>
              <w:t>Vidutinės įmonės</w:t>
            </w:r>
          </w:p>
        </w:tc>
        <w:tc>
          <w:tcPr>
            <w:tcW w:w="2407" w:type="dxa"/>
            <w:noWrap/>
            <w:vAlign w:val="center"/>
            <w:hideMark/>
          </w:tcPr>
          <w:p w14:paraId="62783728" w14:textId="7D493789" w:rsidR="0016200E" w:rsidRPr="003C0378" w:rsidRDefault="0016200E" w:rsidP="00BB4DC2">
            <w:pPr>
              <w:spacing w:after="0"/>
              <w:ind w:firstLine="0"/>
              <w:jc w:val="center"/>
              <w:rPr>
                <w:sz w:val="20"/>
                <w:szCs w:val="20"/>
                <w:lang w:val="lt-LT"/>
              </w:rPr>
            </w:pPr>
            <w:r w:rsidRPr="003C0378">
              <w:rPr>
                <w:sz w:val="20"/>
                <w:szCs w:val="20"/>
                <w:lang w:val="lt-LT"/>
              </w:rPr>
              <w:t>1,01</w:t>
            </w:r>
          </w:p>
        </w:tc>
        <w:tc>
          <w:tcPr>
            <w:tcW w:w="2407" w:type="dxa"/>
            <w:noWrap/>
            <w:vAlign w:val="center"/>
            <w:hideMark/>
          </w:tcPr>
          <w:p w14:paraId="38E8EFEB" w14:textId="648A2753" w:rsidR="0016200E" w:rsidRPr="003C0378" w:rsidRDefault="0016200E" w:rsidP="00BB4DC2">
            <w:pPr>
              <w:spacing w:after="0"/>
              <w:ind w:firstLine="0"/>
              <w:jc w:val="center"/>
              <w:rPr>
                <w:sz w:val="20"/>
                <w:szCs w:val="20"/>
                <w:lang w:val="lt-LT"/>
              </w:rPr>
            </w:pPr>
            <w:r w:rsidRPr="003C0378">
              <w:rPr>
                <w:sz w:val="20"/>
                <w:szCs w:val="20"/>
                <w:lang w:val="lt-LT"/>
              </w:rPr>
              <w:t>1,52</w:t>
            </w:r>
          </w:p>
        </w:tc>
        <w:tc>
          <w:tcPr>
            <w:tcW w:w="2407" w:type="dxa"/>
            <w:noWrap/>
            <w:vAlign w:val="center"/>
            <w:hideMark/>
          </w:tcPr>
          <w:p w14:paraId="5B48E3E9" w14:textId="3ED7AACA" w:rsidR="0016200E" w:rsidRPr="003C0378" w:rsidRDefault="0016200E" w:rsidP="00BB4DC2">
            <w:pPr>
              <w:spacing w:after="0"/>
              <w:ind w:firstLine="0"/>
              <w:jc w:val="center"/>
              <w:rPr>
                <w:sz w:val="20"/>
                <w:szCs w:val="20"/>
                <w:lang w:val="lt-LT"/>
              </w:rPr>
            </w:pPr>
            <w:r w:rsidRPr="003C0378">
              <w:rPr>
                <w:sz w:val="20"/>
                <w:szCs w:val="20"/>
                <w:lang w:val="lt-LT"/>
              </w:rPr>
              <w:t>2,02</w:t>
            </w:r>
          </w:p>
        </w:tc>
      </w:tr>
      <w:tr w:rsidR="0016200E" w:rsidRPr="003C0378" w14:paraId="7B1830E6" w14:textId="77777777" w:rsidTr="00E24002">
        <w:trPr>
          <w:trHeight w:val="20"/>
        </w:trPr>
        <w:tc>
          <w:tcPr>
            <w:tcW w:w="2407" w:type="dxa"/>
            <w:noWrap/>
            <w:hideMark/>
          </w:tcPr>
          <w:p w14:paraId="6BBBF1B5" w14:textId="77777777" w:rsidR="0016200E" w:rsidRPr="003C0378" w:rsidRDefault="0016200E" w:rsidP="00BB4DC2">
            <w:pPr>
              <w:spacing w:after="0"/>
              <w:ind w:firstLine="0"/>
              <w:rPr>
                <w:sz w:val="20"/>
                <w:szCs w:val="20"/>
                <w:lang w:val="lt-LT"/>
              </w:rPr>
            </w:pPr>
            <w:r w:rsidRPr="003C0378">
              <w:rPr>
                <w:sz w:val="20"/>
                <w:szCs w:val="20"/>
                <w:lang w:val="lt-LT"/>
              </w:rPr>
              <w:t>Didelės įmonės</w:t>
            </w:r>
          </w:p>
        </w:tc>
        <w:tc>
          <w:tcPr>
            <w:tcW w:w="2407" w:type="dxa"/>
            <w:noWrap/>
            <w:vAlign w:val="center"/>
            <w:hideMark/>
          </w:tcPr>
          <w:p w14:paraId="24349FD9" w14:textId="42E8BF24" w:rsidR="0016200E" w:rsidRPr="003C0378" w:rsidRDefault="0016200E" w:rsidP="00BB4DC2">
            <w:pPr>
              <w:spacing w:after="0"/>
              <w:ind w:firstLine="0"/>
              <w:jc w:val="center"/>
              <w:rPr>
                <w:sz w:val="20"/>
                <w:szCs w:val="20"/>
                <w:lang w:val="lt-LT"/>
              </w:rPr>
            </w:pPr>
            <w:r w:rsidRPr="003C0378">
              <w:rPr>
                <w:sz w:val="20"/>
                <w:szCs w:val="20"/>
                <w:lang w:val="lt-LT"/>
              </w:rPr>
              <w:t>0,37</w:t>
            </w:r>
          </w:p>
        </w:tc>
        <w:tc>
          <w:tcPr>
            <w:tcW w:w="2407" w:type="dxa"/>
            <w:noWrap/>
            <w:vAlign w:val="center"/>
            <w:hideMark/>
          </w:tcPr>
          <w:p w14:paraId="11E4FB50" w14:textId="06D66E40" w:rsidR="0016200E" w:rsidRPr="003C0378" w:rsidRDefault="0016200E" w:rsidP="00BB4DC2">
            <w:pPr>
              <w:spacing w:after="0"/>
              <w:ind w:firstLine="0"/>
              <w:jc w:val="center"/>
              <w:rPr>
                <w:sz w:val="20"/>
                <w:szCs w:val="20"/>
                <w:lang w:val="lt-LT"/>
              </w:rPr>
            </w:pPr>
            <w:r w:rsidRPr="003C0378">
              <w:rPr>
                <w:sz w:val="20"/>
                <w:szCs w:val="20"/>
                <w:lang w:val="lt-LT"/>
              </w:rPr>
              <w:t>0,54</w:t>
            </w:r>
          </w:p>
        </w:tc>
        <w:tc>
          <w:tcPr>
            <w:tcW w:w="2407" w:type="dxa"/>
            <w:noWrap/>
            <w:vAlign w:val="center"/>
            <w:hideMark/>
          </w:tcPr>
          <w:p w14:paraId="1889D760" w14:textId="021D623F" w:rsidR="0016200E" w:rsidRPr="003C0378" w:rsidRDefault="0016200E" w:rsidP="00BB4DC2">
            <w:pPr>
              <w:spacing w:after="0"/>
              <w:ind w:firstLine="0"/>
              <w:jc w:val="center"/>
              <w:rPr>
                <w:sz w:val="20"/>
                <w:szCs w:val="20"/>
                <w:lang w:val="lt-LT"/>
              </w:rPr>
            </w:pPr>
            <w:r w:rsidRPr="003C0378">
              <w:rPr>
                <w:sz w:val="20"/>
                <w:szCs w:val="20"/>
                <w:lang w:val="lt-LT"/>
              </w:rPr>
              <w:t>0,71</w:t>
            </w:r>
          </w:p>
        </w:tc>
      </w:tr>
      <w:tr w:rsidR="0016200E" w:rsidRPr="003C0378" w14:paraId="0A2F7227" w14:textId="77777777" w:rsidTr="00E24002">
        <w:trPr>
          <w:trHeight w:val="20"/>
        </w:trPr>
        <w:tc>
          <w:tcPr>
            <w:tcW w:w="2407" w:type="dxa"/>
            <w:noWrap/>
          </w:tcPr>
          <w:p w14:paraId="61B2EEDA" w14:textId="3C26E632" w:rsidR="0016200E" w:rsidRPr="003C0378" w:rsidRDefault="0016200E" w:rsidP="00BB4DC2">
            <w:pPr>
              <w:spacing w:after="0"/>
              <w:ind w:firstLine="0"/>
              <w:rPr>
                <w:b/>
                <w:bCs/>
                <w:sz w:val="20"/>
                <w:szCs w:val="20"/>
                <w:lang w:val="lt-LT"/>
              </w:rPr>
            </w:pPr>
            <w:r w:rsidRPr="003C0378">
              <w:rPr>
                <w:b/>
                <w:bCs/>
                <w:sz w:val="20"/>
                <w:szCs w:val="20"/>
                <w:lang w:val="lt-LT"/>
              </w:rPr>
              <w:t>Visos įmonės</w:t>
            </w:r>
          </w:p>
        </w:tc>
        <w:tc>
          <w:tcPr>
            <w:tcW w:w="2407" w:type="dxa"/>
            <w:noWrap/>
          </w:tcPr>
          <w:p w14:paraId="28821569" w14:textId="3137E680" w:rsidR="0016200E" w:rsidRPr="003C0378" w:rsidRDefault="0016200E" w:rsidP="00BB4DC2">
            <w:pPr>
              <w:spacing w:after="0"/>
              <w:ind w:firstLine="0"/>
              <w:jc w:val="center"/>
              <w:rPr>
                <w:b/>
                <w:bCs/>
                <w:sz w:val="20"/>
                <w:szCs w:val="20"/>
                <w:lang w:val="lt-LT"/>
              </w:rPr>
            </w:pPr>
            <w:r w:rsidRPr="003C0378">
              <w:rPr>
                <w:b/>
                <w:bCs/>
                <w:sz w:val="20"/>
                <w:szCs w:val="20"/>
                <w:lang w:val="lt-LT"/>
              </w:rPr>
              <w:t>3,30</w:t>
            </w:r>
          </w:p>
        </w:tc>
        <w:tc>
          <w:tcPr>
            <w:tcW w:w="2407" w:type="dxa"/>
            <w:noWrap/>
          </w:tcPr>
          <w:p w14:paraId="217C2C6C" w14:textId="36FDE30D" w:rsidR="0016200E" w:rsidRPr="003C0378" w:rsidRDefault="0016200E" w:rsidP="00BB4DC2">
            <w:pPr>
              <w:spacing w:after="0"/>
              <w:ind w:firstLine="0"/>
              <w:jc w:val="center"/>
              <w:rPr>
                <w:b/>
                <w:bCs/>
                <w:sz w:val="20"/>
                <w:szCs w:val="20"/>
                <w:lang w:val="lt-LT"/>
              </w:rPr>
            </w:pPr>
            <w:r w:rsidRPr="003C0378">
              <w:rPr>
                <w:b/>
                <w:bCs/>
                <w:sz w:val="20"/>
                <w:szCs w:val="20"/>
                <w:lang w:val="lt-LT"/>
              </w:rPr>
              <w:t>4,97</w:t>
            </w:r>
          </w:p>
        </w:tc>
        <w:tc>
          <w:tcPr>
            <w:tcW w:w="2407" w:type="dxa"/>
            <w:noWrap/>
          </w:tcPr>
          <w:p w14:paraId="33C0E574" w14:textId="1AE9F1CF" w:rsidR="0016200E" w:rsidRPr="003C0378" w:rsidRDefault="0016200E" w:rsidP="00BB4DC2">
            <w:pPr>
              <w:spacing w:after="0"/>
              <w:ind w:firstLine="0"/>
              <w:jc w:val="center"/>
              <w:rPr>
                <w:b/>
                <w:bCs/>
                <w:sz w:val="20"/>
                <w:szCs w:val="20"/>
                <w:lang w:val="lt-LT"/>
              </w:rPr>
            </w:pPr>
            <w:r w:rsidRPr="003C0378">
              <w:rPr>
                <w:b/>
                <w:bCs/>
                <w:sz w:val="20"/>
                <w:szCs w:val="20"/>
                <w:lang w:val="lt-LT"/>
              </w:rPr>
              <w:t>6,65</w:t>
            </w:r>
          </w:p>
        </w:tc>
      </w:tr>
    </w:tbl>
    <w:p w14:paraId="09329668" w14:textId="28659D44" w:rsidR="00B55C94" w:rsidRPr="003C0378" w:rsidRDefault="0016200E" w:rsidP="006B6964">
      <w:pPr>
        <w:keepNext/>
        <w:spacing w:after="0"/>
        <w:jc w:val="left"/>
        <w:rPr>
          <w:rFonts w:cs="Times New Roman"/>
          <w:sz w:val="20"/>
          <w:szCs w:val="20"/>
        </w:rPr>
      </w:pPr>
      <w:r w:rsidRPr="003C0378">
        <w:rPr>
          <w:rFonts w:cs="Times New Roman"/>
          <w:sz w:val="20"/>
          <w:szCs w:val="20"/>
        </w:rPr>
        <w:lastRenderedPageBreak/>
        <w:t>Šaltinis: sudaryta Vertintojų</w:t>
      </w:r>
    </w:p>
    <w:p w14:paraId="0F839A82" w14:textId="7A31742C" w:rsidR="001A49D5" w:rsidRPr="003C0378" w:rsidRDefault="0016200E" w:rsidP="00BC7458">
      <w:pPr>
        <w:spacing w:line="276" w:lineRule="auto"/>
        <w:ind w:firstLine="562"/>
        <w:rPr>
          <w:rFonts w:eastAsia="Times New Roman" w:cs="Times New Roman"/>
          <w:iCs/>
          <w:szCs w:val="20"/>
        </w:rPr>
      </w:pPr>
      <w:r w:rsidRPr="003C0378">
        <w:rPr>
          <w:rFonts w:eastAsia="Times New Roman" w:cs="Times New Roman"/>
          <w:iCs/>
          <w:szCs w:val="20"/>
        </w:rPr>
        <w:t>Kaip galima matyti lentelėje, paklausos apatinis rėžis iš viso sudaro 3,3 GW</w:t>
      </w:r>
      <w:r w:rsidR="00F16C0D" w:rsidRPr="003C0378">
        <w:rPr>
          <w:rFonts w:eastAsia="Times New Roman" w:cs="Times New Roman"/>
          <w:iCs/>
          <w:szCs w:val="20"/>
        </w:rPr>
        <w:t>. Š</w:t>
      </w:r>
      <w:r w:rsidRPr="003C0378">
        <w:rPr>
          <w:rFonts w:eastAsia="Times New Roman" w:cs="Times New Roman"/>
          <w:iCs/>
          <w:szCs w:val="20"/>
        </w:rPr>
        <w:t>iuo atveju didžiausia pajėgumų paklausa egzistuoja mažose ir vidutinėse įmonėse, atitinkamai 1,02 ir 1,01 GW, o mažiausia – didelėse įmonėse (0,37 GW). Paklausos vidurinis rėžis iš viso sudaro 4,97 GW, didžiausia pajėgumų paklausa egzistuoja taip pat mažose (1,54 GW) ir vidutinėse (1,52 GW) įmonėse. Labai mažų įmonių elektrinių pajėgumų paklausa sudaro 1,37 GW, o didelių įmonių – 0,54 GW. Paklausos viršutinis rėžis iš viso sudaro 6,65 GW. Šiuo atveju, didžiausia paklausa taip pat yra mažose (2,07 GW) ir vidutinėse (2,02 GW) įmonėse, kiek mažesnė (1,85 GW) paklausa labai mažose įmonėse. Didelių įmonių elektrinių pajėgumų paklausa sudaro 0,71 GW.</w:t>
      </w:r>
    </w:p>
    <w:p w14:paraId="1DBF457E" w14:textId="7C2509C1" w:rsidR="001D7E9E" w:rsidRPr="003C0378" w:rsidRDefault="001D7E9E" w:rsidP="00BC7458">
      <w:pPr>
        <w:spacing w:line="276" w:lineRule="auto"/>
        <w:ind w:firstLine="562"/>
      </w:pPr>
      <w:r w:rsidRPr="003C0378">
        <w:t xml:space="preserve">Remiantis apskaičiuota elektrinių pajėgumų paklausa per ateinančius 5 metus, buvo apskaičiuotas elektrinių investicijų poreikis per ateinančius 5 metus, pajėgumų paklausą padauginus iš investicijų kainos vienam </w:t>
      </w:r>
      <w:r w:rsidR="00091DD0">
        <w:t>k</w:t>
      </w:r>
      <w:r w:rsidR="00843EAE" w:rsidRPr="003C0378">
        <w:t>W</w:t>
      </w:r>
      <w:r w:rsidRPr="003C0378">
        <w:t xml:space="preserve">. </w:t>
      </w:r>
      <w:r w:rsidR="00ED19D5" w:rsidRPr="003C0378">
        <w:t>Vertintojai</w:t>
      </w:r>
      <w:r w:rsidRPr="003C0378">
        <w:t xml:space="preserve"> verslo tikslinės grupės atveju darė prielaida, kad didžioji dauguma subjektų diegs saulės j</w:t>
      </w:r>
      <w:r w:rsidR="00F16C0D" w:rsidRPr="003C0378">
        <w:t>ė</w:t>
      </w:r>
      <w:r w:rsidRPr="003C0378">
        <w:t xml:space="preserve">gaines, tad 1 </w:t>
      </w:r>
      <w:r w:rsidR="00091DD0">
        <w:t>k</w:t>
      </w:r>
      <w:r w:rsidR="00843EAE" w:rsidRPr="003C0378">
        <w:t>W</w:t>
      </w:r>
      <w:r w:rsidRPr="003C0378">
        <w:t xml:space="preserve"> įrengimo įkainis, kaip ir ankstesnių skaičiavimų atvejais, siekė 1552 Eur (įskaitant PVM). AEI investicijų paklausa pateikiama žemiau esančioje lentelėje.</w:t>
      </w:r>
    </w:p>
    <w:p w14:paraId="5A477612" w14:textId="638A46C9" w:rsidR="001D7E9E" w:rsidRPr="003C0378" w:rsidRDefault="001D7E9E" w:rsidP="001D7E9E">
      <w:pPr>
        <w:keepNext/>
        <w:ind w:firstLine="0"/>
        <w:rPr>
          <w:rFonts w:cs="Times New Roman"/>
          <w:i/>
          <w:iCs/>
        </w:rPr>
      </w:pPr>
      <w:bookmarkStart w:id="48" w:name="_Toc126051379"/>
      <w:bookmarkStart w:id="49" w:name="_Toc166139854"/>
      <w:bookmarkStart w:id="50" w:name="_Toc170804620"/>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4</w:t>
      </w:r>
      <w:r w:rsidRPr="003C0378">
        <w:rPr>
          <w:rFonts w:cs="Times New Roman"/>
          <w:i/>
          <w:iCs/>
        </w:rPr>
        <w:fldChar w:fldCharType="end"/>
      </w:r>
      <w:r w:rsidRPr="003C0378">
        <w:rPr>
          <w:rFonts w:cs="Times New Roman"/>
          <w:i/>
          <w:iCs/>
        </w:rPr>
        <w:t>. AEI investicijų paklaus</w:t>
      </w:r>
      <w:r w:rsidR="00824EC4" w:rsidRPr="003C0378">
        <w:rPr>
          <w:rFonts w:cs="Times New Roman"/>
          <w:i/>
          <w:iCs/>
        </w:rPr>
        <w:t>a</w:t>
      </w:r>
      <w:r w:rsidRPr="003C0378">
        <w:rPr>
          <w:rFonts w:cs="Times New Roman"/>
          <w:i/>
          <w:iCs/>
        </w:rPr>
        <w:t xml:space="preserve"> per ateinančius 5 </w:t>
      </w:r>
      <w:r w:rsidR="00824EC4" w:rsidRPr="003C0378">
        <w:rPr>
          <w:rFonts w:cs="Times New Roman"/>
          <w:i/>
          <w:iCs/>
        </w:rPr>
        <w:t xml:space="preserve">metus </w:t>
      </w:r>
      <w:r w:rsidRPr="003C0378">
        <w:rPr>
          <w:rFonts w:cs="Times New Roman"/>
          <w:i/>
          <w:iCs/>
        </w:rPr>
        <w:t>verslo tikslinėje grupėje</w:t>
      </w:r>
      <w:bookmarkEnd w:id="48"/>
      <w:bookmarkEnd w:id="49"/>
      <w:bookmarkEnd w:id="50"/>
    </w:p>
    <w:tbl>
      <w:tblPr>
        <w:tblStyle w:val="Lentelstinklelis"/>
        <w:tblW w:w="0" w:type="auto"/>
        <w:tblLook w:val="04A0" w:firstRow="1" w:lastRow="0" w:firstColumn="1" w:lastColumn="0" w:noHBand="0" w:noVBand="1"/>
      </w:tblPr>
      <w:tblGrid>
        <w:gridCol w:w="2570"/>
        <w:gridCol w:w="2112"/>
        <w:gridCol w:w="2039"/>
        <w:gridCol w:w="2907"/>
      </w:tblGrid>
      <w:tr w:rsidR="001D7E9E" w:rsidRPr="003C0378" w14:paraId="6AE30D98" w14:textId="77777777" w:rsidTr="00E24002">
        <w:trPr>
          <w:trHeight w:val="20"/>
          <w:tblHeader/>
        </w:trPr>
        <w:tc>
          <w:tcPr>
            <w:tcW w:w="2570" w:type="dxa"/>
            <w:noWrap/>
            <w:vAlign w:val="center"/>
            <w:hideMark/>
          </w:tcPr>
          <w:p w14:paraId="6AEAAABE" w14:textId="77777777" w:rsidR="001D7E9E" w:rsidRPr="003C0378" w:rsidRDefault="001D7E9E" w:rsidP="00867DF8">
            <w:pPr>
              <w:spacing w:after="0"/>
              <w:ind w:firstLine="0"/>
              <w:jc w:val="center"/>
              <w:rPr>
                <w:b/>
                <w:bCs/>
                <w:sz w:val="20"/>
                <w:szCs w:val="20"/>
                <w:lang w:val="lt-LT"/>
              </w:rPr>
            </w:pPr>
            <w:r w:rsidRPr="003C0378">
              <w:rPr>
                <w:b/>
                <w:bCs/>
                <w:sz w:val="20"/>
                <w:szCs w:val="20"/>
                <w:lang w:val="lt-LT"/>
              </w:rPr>
              <w:t>Įmonės dydis</w:t>
            </w:r>
          </w:p>
        </w:tc>
        <w:tc>
          <w:tcPr>
            <w:tcW w:w="2112" w:type="dxa"/>
            <w:noWrap/>
            <w:vAlign w:val="center"/>
            <w:hideMark/>
          </w:tcPr>
          <w:p w14:paraId="47A52738" w14:textId="6AFF53C3" w:rsidR="001D7E9E" w:rsidRPr="003C0378" w:rsidRDefault="001D7E9E" w:rsidP="00867DF8">
            <w:pPr>
              <w:spacing w:after="0"/>
              <w:ind w:firstLine="0"/>
              <w:jc w:val="center"/>
              <w:rPr>
                <w:b/>
                <w:bCs/>
                <w:sz w:val="20"/>
                <w:szCs w:val="20"/>
                <w:lang w:val="lt-LT"/>
              </w:rPr>
            </w:pPr>
            <w:r w:rsidRPr="003C0378">
              <w:rPr>
                <w:b/>
                <w:bCs/>
                <w:sz w:val="20"/>
                <w:szCs w:val="20"/>
                <w:lang w:val="lt-LT"/>
              </w:rPr>
              <w:t>Paklausos apatinis rėžis (ml</w:t>
            </w:r>
            <w:r w:rsidR="004A2B2F" w:rsidRPr="003C0378">
              <w:rPr>
                <w:b/>
                <w:bCs/>
                <w:sz w:val="20"/>
                <w:szCs w:val="20"/>
                <w:lang w:val="lt-LT"/>
              </w:rPr>
              <w:t>rd</w:t>
            </w:r>
            <w:r w:rsidRPr="003C0378">
              <w:rPr>
                <w:b/>
                <w:bCs/>
                <w:sz w:val="20"/>
                <w:szCs w:val="20"/>
                <w:lang w:val="lt-LT"/>
              </w:rPr>
              <w:t>. Eur)</w:t>
            </w:r>
          </w:p>
        </w:tc>
        <w:tc>
          <w:tcPr>
            <w:tcW w:w="2039" w:type="dxa"/>
            <w:noWrap/>
            <w:vAlign w:val="center"/>
            <w:hideMark/>
          </w:tcPr>
          <w:p w14:paraId="25DE7446" w14:textId="24FA864D" w:rsidR="001D7E9E" w:rsidRPr="003C0378" w:rsidRDefault="001D7E9E" w:rsidP="00867DF8">
            <w:pPr>
              <w:spacing w:after="0"/>
              <w:ind w:firstLine="0"/>
              <w:jc w:val="center"/>
              <w:rPr>
                <w:b/>
                <w:bCs/>
                <w:sz w:val="20"/>
                <w:szCs w:val="20"/>
                <w:lang w:val="lt-LT"/>
              </w:rPr>
            </w:pPr>
            <w:r w:rsidRPr="003C0378">
              <w:rPr>
                <w:b/>
                <w:bCs/>
                <w:sz w:val="20"/>
                <w:szCs w:val="20"/>
                <w:lang w:val="lt-LT"/>
              </w:rPr>
              <w:t>Paklausos vidurinis rėžis (ml</w:t>
            </w:r>
            <w:r w:rsidR="004A2B2F" w:rsidRPr="003C0378">
              <w:rPr>
                <w:b/>
                <w:bCs/>
                <w:sz w:val="20"/>
                <w:szCs w:val="20"/>
                <w:lang w:val="lt-LT"/>
              </w:rPr>
              <w:t>rd</w:t>
            </w:r>
            <w:r w:rsidRPr="003C0378">
              <w:rPr>
                <w:b/>
                <w:bCs/>
                <w:sz w:val="20"/>
                <w:szCs w:val="20"/>
                <w:lang w:val="lt-LT"/>
              </w:rPr>
              <w:t>. Eur)</w:t>
            </w:r>
          </w:p>
        </w:tc>
        <w:tc>
          <w:tcPr>
            <w:tcW w:w="2907" w:type="dxa"/>
            <w:noWrap/>
            <w:vAlign w:val="center"/>
            <w:hideMark/>
          </w:tcPr>
          <w:p w14:paraId="621F6E9B" w14:textId="31A9F664" w:rsidR="001D7E9E" w:rsidRPr="003C0378" w:rsidRDefault="001D7E9E" w:rsidP="00867DF8">
            <w:pPr>
              <w:spacing w:after="0"/>
              <w:ind w:firstLine="0"/>
              <w:jc w:val="center"/>
              <w:rPr>
                <w:b/>
                <w:bCs/>
                <w:sz w:val="20"/>
                <w:szCs w:val="20"/>
                <w:lang w:val="lt-LT"/>
              </w:rPr>
            </w:pPr>
            <w:r w:rsidRPr="003C0378">
              <w:rPr>
                <w:b/>
                <w:bCs/>
                <w:sz w:val="20"/>
                <w:szCs w:val="20"/>
                <w:lang w:val="lt-LT"/>
              </w:rPr>
              <w:t>Paklausos viršutinis rėžis (ml</w:t>
            </w:r>
            <w:r w:rsidR="004A2B2F" w:rsidRPr="003C0378">
              <w:rPr>
                <w:b/>
                <w:bCs/>
                <w:sz w:val="20"/>
                <w:szCs w:val="20"/>
                <w:lang w:val="lt-LT"/>
              </w:rPr>
              <w:t>rd</w:t>
            </w:r>
            <w:r w:rsidRPr="003C0378">
              <w:rPr>
                <w:b/>
                <w:bCs/>
                <w:sz w:val="20"/>
                <w:szCs w:val="20"/>
                <w:lang w:val="lt-LT"/>
              </w:rPr>
              <w:t>. Eur)</w:t>
            </w:r>
          </w:p>
        </w:tc>
      </w:tr>
      <w:tr w:rsidR="001D7E9E" w:rsidRPr="003C0378" w14:paraId="1B345362" w14:textId="77777777" w:rsidTr="00E24002">
        <w:trPr>
          <w:trHeight w:val="20"/>
        </w:trPr>
        <w:tc>
          <w:tcPr>
            <w:tcW w:w="2570" w:type="dxa"/>
            <w:noWrap/>
            <w:hideMark/>
          </w:tcPr>
          <w:p w14:paraId="238D5F88" w14:textId="77777777" w:rsidR="001D7E9E" w:rsidRPr="003C0378" w:rsidRDefault="001D7E9E" w:rsidP="00867DF8">
            <w:pPr>
              <w:spacing w:after="0"/>
              <w:ind w:firstLine="0"/>
              <w:rPr>
                <w:sz w:val="20"/>
                <w:szCs w:val="20"/>
                <w:lang w:val="lt-LT"/>
              </w:rPr>
            </w:pPr>
            <w:r w:rsidRPr="003C0378">
              <w:rPr>
                <w:sz w:val="20"/>
                <w:szCs w:val="20"/>
                <w:lang w:val="lt-LT"/>
              </w:rPr>
              <w:t>Labai mažos įmonės</w:t>
            </w:r>
          </w:p>
        </w:tc>
        <w:tc>
          <w:tcPr>
            <w:tcW w:w="2112" w:type="dxa"/>
            <w:noWrap/>
            <w:vAlign w:val="center"/>
            <w:hideMark/>
          </w:tcPr>
          <w:p w14:paraId="019699AF" w14:textId="234E332A" w:rsidR="001D7E9E" w:rsidRPr="003C0378" w:rsidRDefault="001D7E9E" w:rsidP="00867DF8">
            <w:pPr>
              <w:spacing w:after="0"/>
              <w:ind w:firstLine="0"/>
              <w:jc w:val="center"/>
              <w:rPr>
                <w:sz w:val="20"/>
                <w:szCs w:val="20"/>
                <w:lang w:val="lt-LT"/>
              </w:rPr>
            </w:pPr>
            <w:r w:rsidRPr="003C0378">
              <w:rPr>
                <w:sz w:val="20"/>
                <w:szCs w:val="20"/>
                <w:lang w:val="lt-LT"/>
              </w:rPr>
              <w:t>1</w:t>
            </w:r>
            <w:r w:rsidR="004A2B2F" w:rsidRPr="003C0378">
              <w:rPr>
                <w:sz w:val="20"/>
                <w:szCs w:val="20"/>
                <w:lang w:val="lt-LT"/>
              </w:rPr>
              <w:t>,</w:t>
            </w:r>
            <w:r w:rsidRPr="003C0378">
              <w:rPr>
                <w:sz w:val="20"/>
                <w:szCs w:val="20"/>
                <w:lang w:val="lt-LT"/>
              </w:rPr>
              <w:t>40</w:t>
            </w:r>
          </w:p>
        </w:tc>
        <w:tc>
          <w:tcPr>
            <w:tcW w:w="2039" w:type="dxa"/>
            <w:noWrap/>
            <w:vAlign w:val="center"/>
            <w:hideMark/>
          </w:tcPr>
          <w:p w14:paraId="099287AC" w14:textId="47F4FF3F" w:rsidR="001D7E9E" w:rsidRPr="003C0378" w:rsidRDefault="001D7E9E" w:rsidP="00867DF8">
            <w:pPr>
              <w:spacing w:after="0"/>
              <w:ind w:firstLine="0"/>
              <w:jc w:val="center"/>
              <w:rPr>
                <w:sz w:val="20"/>
                <w:szCs w:val="20"/>
                <w:lang w:val="lt-LT"/>
              </w:rPr>
            </w:pPr>
            <w:r w:rsidRPr="003C0378">
              <w:rPr>
                <w:sz w:val="20"/>
                <w:szCs w:val="20"/>
                <w:lang w:val="lt-LT"/>
              </w:rPr>
              <w:t>2</w:t>
            </w:r>
            <w:r w:rsidR="004A2B2F" w:rsidRPr="003C0378">
              <w:rPr>
                <w:sz w:val="20"/>
                <w:szCs w:val="20"/>
                <w:lang w:val="lt-LT"/>
              </w:rPr>
              <w:t>,</w:t>
            </w:r>
            <w:r w:rsidRPr="003C0378">
              <w:rPr>
                <w:sz w:val="20"/>
                <w:szCs w:val="20"/>
                <w:lang w:val="lt-LT"/>
              </w:rPr>
              <w:t>13</w:t>
            </w:r>
          </w:p>
        </w:tc>
        <w:tc>
          <w:tcPr>
            <w:tcW w:w="2907" w:type="dxa"/>
            <w:noWrap/>
            <w:vAlign w:val="center"/>
            <w:hideMark/>
          </w:tcPr>
          <w:p w14:paraId="556B94B2" w14:textId="63DF5317" w:rsidR="001D7E9E" w:rsidRPr="003C0378" w:rsidRDefault="001D7E9E" w:rsidP="00867DF8">
            <w:pPr>
              <w:spacing w:after="0"/>
              <w:ind w:firstLine="0"/>
              <w:jc w:val="center"/>
              <w:rPr>
                <w:sz w:val="20"/>
                <w:szCs w:val="20"/>
                <w:lang w:val="lt-LT"/>
              </w:rPr>
            </w:pPr>
            <w:r w:rsidRPr="003C0378">
              <w:rPr>
                <w:sz w:val="20"/>
                <w:szCs w:val="20"/>
                <w:lang w:val="lt-LT"/>
              </w:rPr>
              <w:t>2</w:t>
            </w:r>
            <w:r w:rsidR="004A2B2F" w:rsidRPr="003C0378">
              <w:rPr>
                <w:sz w:val="20"/>
                <w:szCs w:val="20"/>
                <w:lang w:val="lt-LT"/>
              </w:rPr>
              <w:t>,</w:t>
            </w:r>
            <w:r w:rsidRPr="003C0378">
              <w:rPr>
                <w:sz w:val="20"/>
                <w:szCs w:val="20"/>
                <w:lang w:val="lt-LT"/>
              </w:rPr>
              <w:t>87</w:t>
            </w:r>
          </w:p>
        </w:tc>
      </w:tr>
      <w:tr w:rsidR="001D7E9E" w:rsidRPr="003C0378" w14:paraId="582F3728" w14:textId="77777777" w:rsidTr="00E24002">
        <w:trPr>
          <w:trHeight w:val="20"/>
        </w:trPr>
        <w:tc>
          <w:tcPr>
            <w:tcW w:w="2570" w:type="dxa"/>
            <w:noWrap/>
            <w:hideMark/>
          </w:tcPr>
          <w:p w14:paraId="416FA92C" w14:textId="77777777" w:rsidR="001D7E9E" w:rsidRPr="003C0378" w:rsidRDefault="001D7E9E" w:rsidP="00867DF8">
            <w:pPr>
              <w:spacing w:after="0"/>
              <w:ind w:firstLine="0"/>
              <w:rPr>
                <w:sz w:val="20"/>
                <w:szCs w:val="20"/>
                <w:lang w:val="lt-LT"/>
              </w:rPr>
            </w:pPr>
            <w:r w:rsidRPr="003C0378">
              <w:rPr>
                <w:sz w:val="20"/>
                <w:szCs w:val="20"/>
                <w:lang w:val="lt-LT"/>
              </w:rPr>
              <w:t>Mažos įmonės</w:t>
            </w:r>
          </w:p>
        </w:tc>
        <w:tc>
          <w:tcPr>
            <w:tcW w:w="2112" w:type="dxa"/>
            <w:noWrap/>
            <w:vAlign w:val="center"/>
            <w:hideMark/>
          </w:tcPr>
          <w:p w14:paraId="73B9DD44" w14:textId="17454488" w:rsidR="001D7E9E" w:rsidRPr="003C0378" w:rsidRDefault="001D7E9E" w:rsidP="00867DF8">
            <w:pPr>
              <w:spacing w:after="0"/>
              <w:ind w:firstLine="0"/>
              <w:jc w:val="center"/>
              <w:rPr>
                <w:sz w:val="20"/>
                <w:szCs w:val="20"/>
                <w:lang w:val="lt-LT"/>
              </w:rPr>
            </w:pPr>
            <w:r w:rsidRPr="003C0378">
              <w:rPr>
                <w:sz w:val="20"/>
                <w:szCs w:val="20"/>
                <w:lang w:val="lt-LT"/>
              </w:rPr>
              <w:t>1</w:t>
            </w:r>
            <w:r w:rsidR="004A2B2F" w:rsidRPr="003C0378">
              <w:rPr>
                <w:sz w:val="20"/>
                <w:szCs w:val="20"/>
                <w:lang w:val="lt-LT"/>
              </w:rPr>
              <w:t>,</w:t>
            </w:r>
            <w:r w:rsidRPr="003C0378">
              <w:rPr>
                <w:sz w:val="20"/>
                <w:szCs w:val="20"/>
                <w:lang w:val="lt-LT"/>
              </w:rPr>
              <w:t>58</w:t>
            </w:r>
          </w:p>
        </w:tc>
        <w:tc>
          <w:tcPr>
            <w:tcW w:w="2039" w:type="dxa"/>
            <w:noWrap/>
            <w:vAlign w:val="center"/>
            <w:hideMark/>
          </w:tcPr>
          <w:p w14:paraId="3C6A6334" w14:textId="04E96A75" w:rsidR="001D7E9E" w:rsidRPr="003C0378" w:rsidRDefault="001D7E9E" w:rsidP="00867DF8">
            <w:pPr>
              <w:spacing w:after="0"/>
              <w:ind w:firstLine="0"/>
              <w:jc w:val="center"/>
              <w:rPr>
                <w:sz w:val="20"/>
                <w:szCs w:val="20"/>
                <w:lang w:val="lt-LT"/>
              </w:rPr>
            </w:pPr>
            <w:r w:rsidRPr="003C0378">
              <w:rPr>
                <w:sz w:val="20"/>
                <w:szCs w:val="20"/>
                <w:lang w:val="lt-LT"/>
              </w:rPr>
              <w:t>2</w:t>
            </w:r>
            <w:r w:rsidR="004A2B2F" w:rsidRPr="003C0378">
              <w:rPr>
                <w:sz w:val="20"/>
                <w:szCs w:val="20"/>
                <w:lang w:val="lt-LT"/>
              </w:rPr>
              <w:t>,</w:t>
            </w:r>
            <w:r w:rsidRPr="003C0378">
              <w:rPr>
                <w:sz w:val="20"/>
                <w:szCs w:val="20"/>
                <w:lang w:val="lt-LT"/>
              </w:rPr>
              <w:t>39</w:t>
            </w:r>
          </w:p>
        </w:tc>
        <w:tc>
          <w:tcPr>
            <w:tcW w:w="2907" w:type="dxa"/>
            <w:noWrap/>
            <w:vAlign w:val="center"/>
            <w:hideMark/>
          </w:tcPr>
          <w:p w14:paraId="586C9223" w14:textId="3605FCE6" w:rsidR="001D7E9E" w:rsidRPr="003C0378" w:rsidRDefault="001D7E9E" w:rsidP="00867DF8">
            <w:pPr>
              <w:spacing w:after="0"/>
              <w:ind w:firstLine="0"/>
              <w:jc w:val="center"/>
              <w:rPr>
                <w:sz w:val="20"/>
                <w:szCs w:val="20"/>
                <w:lang w:val="lt-LT"/>
              </w:rPr>
            </w:pPr>
            <w:r w:rsidRPr="003C0378">
              <w:rPr>
                <w:sz w:val="20"/>
                <w:szCs w:val="20"/>
                <w:lang w:val="lt-LT"/>
              </w:rPr>
              <w:t>3</w:t>
            </w:r>
            <w:r w:rsidR="004A2B2F" w:rsidRPr="003C0378">
              <w:rPr>
                <w:sz w:val="20"/>
                <w:szCs w:val="20"/>
                <w:lang w:val="lt-LT"/>
              </w:rPr>
              <w:t>,</w:t>
            </w:r>
            <w:r w:rsidRPr="003C0378">
              <w:rPr>
                <w:sz w:val="20"/>
                <w:szCs w:val="20"/>
                <w:lang w:val="lt-LT"/>
              </w:rPr>
              <w:t>21</w:t>
            </w:r>
          </w:p>
        </w:tc>
      </w:tr>
      <w:tr w:rsidR="001D7E9E" w:rsidRPr="003C0378" w14:paraId="6EBD19BC" w14:textId="77777777" w:rsidTr="00E24002">
        <w:trPr>
          <w:trHeight w:val="20"/>
        </w:trPr>
        <w:tc>
          <w:tcPr>
            <w:tcW w:w="2570" w:type="dxa"/>
            <w:noWrap/>
            <w:hideMark/>
          </w:tcPr>
          <w:p w14:paraId="2663EFB2" w14:textId="77777777" w:rsidR="001D7E9E" w:rsidRPr="003C0378" w:rsidRDefault="001D7E9E" w:rsidP="00867DF8">
            <w:pPr>
              <w:spacing w:after="0"/>
              <w:ind w:firstLine="0"/>
              <w:rPr>
                <w:sz w:val="20"/>
                <w:szCs w:val="20"/>
                <w:lang w:val="lt-LT"/>
              </w:rPr>
            </w:pPr>
            <w:r w:rsidRPr="003C0378">
              <w:rPr>
                <w:sz w:val="20"/>
                <w:szCs w:val="20"/>
                <w:lang w:val="lt-LT"/>
              </w:rPr>
              <w:t>Vidutinės įmonės</w:t>
            </w:r>
          </w:p>
        </w:tc>
        <w:tc>
          <w:tcPr>
            <w:tcW w:w="2112" w:type="dxa"/>
            <w:noWrap/>
            <w:vAlign w:val="center"/>
            <w:hideMark/>
          </w:tcPr>
          <w:p w14:paraId="62EF444C" w14:textId="5C16D198" w:rsidR="001D7E9E" w:rsidRPr="003C0378" w:rsidRDefault="001D7E9E" w:rsidP="00867DF8">
            <w:pPr>
              <w:spacing w:after="0"/>
              <w:ind w:firstLine="0"/>
              <w:jc w:val="center"/>
              <w:rPr>
                <w:sz w:val="20"/>
                <w:szCs w:val="20"/>
                <w:lang w:val="lt-LT"/>
              </w:rPr>
            </w:pPr>
            <w:r w:rsidRPr="003C0378">
              <w:rPr>
                <w:sz w:val="20"/>
                <w:szCs w:val="20"/>
                <w:lang w:val="lt-LT"/>
              </w:rPr>
              <w:t>1</w:t>
            </w:r>
            <w:r w:rsidR="004A2B2F" w:rsidRPr="003C0378">
              <w:rPr>
                <w:sz w:val="20"/>
                <w:szCs w:val="20"/>
                <w:lang w:val="lt-LT"/>
              </w:rPr>
              <w:t>,</w:t>
            </w:r>
            <w:r w:rsidRPr="003C0378">
              <w:rPr>
                <w:sz w:val="20"/>
                <w:szCs w:val="20"/>
                <w:lang w:val="lt-LT"/>
              </w:rPr>
              <w:t>57</w:t>
            </w:r>
          </w:p>
        </w:tc>
        <w:tc>
          <w:tcPr>
            <w:tcW w:w="2039" w:type="dxa"/>
            <w:noWrap/>
            <w:vAlign w:val="center"/>
            <w:hideMark/>
          </w:tcPr>
          <w:p w14:paraId="101C0023" w14:textId="5756F906" w:rsidR="001D7E9E" w:rsidRPr="003C0378" w:rsidRDefault="001D7E9E" w:rsidP="00867DF8">
            <w:pPr>
              <w:spacing w:after="0"/>
              <w:ind w:firstLine="0"/>
              <w:jc w:val="center"/>
              <w:rPr>
                <w:sz w:val="20"/>
                <w:szCs w:val="20"/>
                <w:lang w:val="lt-LT"/>
              </w:rPr>
            </w:pPr>
            <w:r w:rsidRPr="003C0378">
              <w:rPr>
                <w:sz w:val="20"/>
                <w:szCs w:val="20"/>
                <w:lang w:val="lt-LT"/>
              </w:rPr>
              <w:t>2</w:t>
            </w:r>
            <w:r w:rsidR="004A2B2F" w:rsidRPr="003C0378">
              <w:rPr>
                <w:sz w:val="20"/>
                <w:szCs w:val="20"/>
                <w:lang w:val="lt-LT"/>
              </w:rPr>
              <w:t>,</w:t>
            </w:r>
            <w:r w:rsidRPr="003C0378">
              <w:rPr>
                <w:sz w:val="20"/>
                <w:szCs w:val="20"/>
                <w:lang w:val="lt-LT"/>
              </w:rPr>
              <w:t>36</w:t>
            </w:r>
          </w:p>
        </w:tc>
        <w:tc>
          <w:tcPr>
            <w:tcW w:w="2907" w:type="dxa"/>
            <w:noWrap/>
            <w:vAlign w:val="center"/>
            <w:hideMark/>
          </w:tcPr>
          <w:p w14:paraId="1D3E011B" w14:textId="0B48BFDE" w:rsidR="001D7E9E" w:rsidRPr="003C0378" w:rsidRDefault="001D7E9E" w:rsidP="00867DF8">
            <w:pPr>
              <w:spacing w:after="0"/>
              <w:ind w:firstLine="0"/>
              <w:jc w:val="center"/>
              <w:rPr>
                <w:sz w:val="20"/>
                <w:szCs w:val="20"/>
                <w:lang w:val="lt-LT"/>
              </w:rPr>
            </w:pPr>
            <w:r w:rsidRPr="003C0378">
              <w:rPr>
                <w:sz w:val="20"/>
                <w:szCs w:val="20"/>
                <w:lang w:val="lt-LT"/>
              </w:rPr>
              <w:t>3</w:t>
            </w:r>
            <w:r w:rsidR="004A2B2F" w:rsidRPr="003C0378">
              <w:rPr>
                <w:sz w:val="20"/>
                <w:szCs w:val="20"/>
                <w:lang w:val="lt-LT"/>
              </w:rPr>
              <w:t>,</w:t>
            </w:r>
            <w:r w:rsidRPr="003C0378">
              <w:rPr>
                <w:sz w:val="20"/>
                <w:szCs w:val="20"/>
                <w:lang w:val="lt-LT"/>
              </w:rPr>
              <w:t>14</w:t>
            </w:r>
          </w:p>
        </w:tc>
      </w:tr>
      <w:tr w:rsidR="001D7E9E" w:rsidRPr="003C0378" w14:paraId="683DDDC4" w14:textId="77777777" w:rsidTr="00E24002">
        <w:trPr>
          <w:trHeight w:val="79"/>
        </w:trPr>
        <w:tc>
          <w:tcPr>
            <w:tcW w:w="2570" w:type="dxa"/>
            <w:noWrap/>
            <w:hideMark/>
          </w:tcPr>
          <w:p w14:paraId="67913296" w14:textId="77777777" w:rsidR="001D7E9E" w:rsidRPr="003C0378" w:rsidRDefault="001D7E9E" w:rsidP="00867DF8">
            <w:pPr>
              <w:spacing w:after="0"/>
              <w:ind w:firstLine="0"/>
              <w:rPr>
                <w:sz w:val="20"/>
                <w:szCs w:val="20"/>
                <w:lang w:val="lt-LT"/>
              </w:rPr>
            </w:pPr>
            <w:r w:rsidRPr="003C0378">
              <w:rPr>
                <w:sz w:val="20"/>
                <w:szCs w:val="20"/>
                <w:lang w:val="lt-LT"/>
              </w:rPr>
              <w:t>Didelės įmonės</w:t>
            </w:r>
          </w:p>
        </w:tc>
        <w:tc>
          <w:tcPr>
            <w:tcW w:w="2112" w:type="dxa"/>
            <w:noWrap/>
            <w:vAlign w:val="center"/>
            <w:hideMark/>
          </w:tcPr>
          <w:p w14:paraId="484E96E8" w14:textId="62B249E5" w:rsidR="001D7E9E" w:rsidRPr="003C0378" w:rsidRDefault="001D7E9E" w:rsidP="00867DF8">
            <w:pPr>
              <w:spacing w:after="0"/>
              <w:ind w:firstLine="0"/>
              <w:jc w:val="center"/>
              <w:rPr>
                <w:sz w:val="20"/>
                <w:szCs w:val="20"/>
                <w:lang w:val="lt-LT"/>
              </w:rPr>
            </w:pPr>
            <w:r w:rsidRPr="003C0378">
              <w:rPr>
                <w:sz w:val="20"/>
                <w:szCs w:val="20"/>
                <w:lang w:val="lt-LT"/>
              </w:rPr>
              <w:t>0</w:t>
            </w:r>
            <w:r w:rsidR="004A2B2F" w:rsidRPr="003C0378">
              <w:rPr>
                <w:sz w:val="20"/>
                <w:szCs w:val="20"/>
                <w:lang w:val="lt-LT"/>
              </w:rPr>
              <w:t>,</w:t>
            </w:r>
            <w:r w:rsidRPr="003C0378">
              <w:rPr>
                <w:sz w:val="20"/>
                <w:szCs w:val="20"/>
                <w:lang w:val="lt-LT"/>
              </w:rPr>
              <w:t>57</w:t>
            </w:r>
          </w:p>
        </w:tc>
        <w:tc>
          <w:tcPr>
            <w:tcW w:w="2039" w:type="dxa"/>
            <w:noWrap/>
            <w:vAlign w:val="center"/>
            <w:hideMark/>
          </w:tcPr>
          <w:p w14:paraId="0A002A23" w14:textId="12D464A1" w:rsidR="001D7E9E" w:rsidRPr="003C0378" w:rsidRDefault="001D7E9E" w:rsidP="00867DF8">
            <w:pPr>
              <w:spacing w:after="0"/>
              <w:ind w:firstLine="0"/>
              <w:jc w:val="center"/>
              <w:rPr>
                <w:sz w:val="20"/>
                <w:szCs w:val="20"/>
                <w:lang w:val="lt-LT"/>
              </w:rPr>
            </w:pPr>
            <w:r w:rsidRPr="003C0378">
              <w:rPr>
                <w:sz w:val="20"/>
                <w:szCs w:val="20"/>
                <w:lang w:val="lt-LT"/>
              </w:rPr>
              <w:t>0</w:t>
            </w:r>
            <w:r w:rsidR="004A2B2F" w:rsidRPr="003C0378">
              <w:rPr>
                <w:sz w:val="20"/>
                <w:szCs w:val="20"/>
                <w:lang w:val="lt-LT"/>
              </w:rPr>
              <w:t>,</w:t>
            </w:r>
            <w:r w:rsidRPr="003C0378">
              <w:rPr>
                <w:sz w:val="20"/>
                <w:szCs w:val="20"/>
                <w:lang w:val="lt-LT"/>
              </w:rPr>
              <w:t>84</w:t>
            </w:r>
          </w:p>
        </w:tc>
        <w:tc>
          <w:tcPr>
            <w:tcW w:w="2907" w:type="dxa"/>
            <w:noWrap/>
            <w:vAlign w:val="center"/>
            <w:hideMark/>
          </w:tcPr>
          <w:p w14:paraId="435D2AC0" w14:textId="21867FE3" w:rsidR="001D7E9E" w:rsidRPr="003C0378" w:rsidRDefault="001D7E9E" w:rsidP="00867DF8">
            <w:pPr>
              <w:spacing w:after="0"/>
              <w:ind w:firstLine="0"/>
              <w:jc w:val="center"/>
              <w:rPr>
                <w:sz w:val="20"/>
                <w:szCs w:val="20"/>
                <w:lang w:val="lt-LT"/>
              </w:rPr>
            </w:pPr>
            <w:r w:rsidRPr="003C0378">
              <w:rPr>
                <w:sz w:val="20"/>
                <w:szCs w:val="20"/>
                <w:lang w:val="lt-LT"/>
              </w:rPr>
              <w:t>1</w:t>
            </w:r>
            <w:r w:rsidR="004A2B2F" w:rsidRPr="003C0378">
              <w:rPr>
                <w:sz w:val="20"/>
                <w:szCs w:val="20"/>
                <w:lang w:val="lt-LT"/>
              </w:rPr>
              <w:t>,</w:t>
            </w:r>
            <w:r w:rsidRPr="003C0378">
              <w:rPr>
                <w:sz w:val="20"/>
                <w:szCs w:val="20"/>
                <w:lang w:val="lt-LT"/>
              </w:rPr>
              <w:t>10</w:t>
            </w:r>
          </w:p>
        </w:tc>
      </w:tr>
      <w:tr w:rsidR="001D7E9E" w:rsidRPr="003C0378" w14:paraId="0F935D93" w14:textId="77777777" w:rsidTr="00E24002">
        <w:trPr>
          <w:trHeight w:val="20"/>
        </w:trPr>
        <w:tc>
          <w:tcPr>
            <w:tcW w:w="2570" w:type="dxa"/>
            <w:noWrap/>
            <w:hideMark/>
          </w:tcPr>
          <w:p w14:paraId="28719620" w14:textId="77777777" w:rsidR="001D7E9E" w:rsidRPr="003C0378" w:rsidRDefault="001D7E9E" w:rsidP="00867DF8">
            <w:pPr>
              <w:spacing w:after="0"/>
              <w:ind w:firstLine="0"/>
              <w:rPr>
                <w:b/>
                <w:bCs/>
                <w:sz w:val="20"/>
                <w:szCs w:val="20"/>
                <w:lang w:val="lt-LT"/>
              </w:rPr>
            </w:pPr>
            <w:r w:rsidRPr="003C0378">
              <w:rPr>
                <w:b/>
                <w:bCs/>
                <w:sz w:val="20"/>
                <w:szCs w:val="20"/>
                <w:lang w:val="lt-LT"/>
              </w:rPr>
              <w:t>Visos įmonės</w:t>
            </w:r>
          </w:p>
        </w:tc>
        <w:tc>
          <w:tcPr>
            <w:tcW w:w="2112" w:type="dxa"/>
            <w:noWrap/>
            <w:vAlign w:val="center"/>
            <w:hideMark/>
          </w:tcPr>
          <w:p w14:paraId="28990F03" w14:textId="4CEBFBFA" w:rsidR="001D7E9E" w:rsidRPr="003C0378" w:rsidRDefault="001D7E9E" w:rsidP="00867DF8">
            <w:pPr>
              <w:spacing w:after="0"/>
              <w:ind w:firstLine="0"/>
              <w:jc w:val="center"/>
              <w:rPr>
                <w:b/>
                <w:bCs/>
                <w:sz w:val="20"/>
                <w:szCs w:val="20"/>
                <w:lang w:val="lt-LT"/>
              </w:rPr>
            </w:pPr>
            <w:r w:rsidRPr="003C0378">
              <w:rPr>
                <w:b/>
                <w:bCs/>
                <w:sz w:val="20"/>
                <w:szCs w:val="20"/>
                <w:lang w:val="lt-LT"/>
              </w:rPr>
              <w:t>5</w:t>
            </w:r>
            <w:r w:rsidR="004A2B2F" w:rsidRPr="003C0378">
              <w:rPr>
                <w:b/>
                <w:bCs/>
                <w:sz w:val="20"/>
                <w:szCs w:val="20"/>
                <w:lang w:val="lt-LT"/>
              </w:rPr>
              <w:t>,</w:t>
            </w:r>
            <w:r w:rsidRPr="003C0378">
              <w:rPr>
                <w:b/>
                <w:bCs/>
                <w:sz w:val="20"/>
                <w:szCs w:val="20"/>
                <w:lang w:val="lt-LT"/>
              </w:rPr>
              <w:t>13</w:t>
            </w:r>
          </w:p>
        </w:tc>
        <w:tc>
          <w:tcPr>
            <w:tcW w:w="2039" w:type="dxa"/>
            <w:noWrap/>
            <w:vAlign w:val="center"/>
            <w:hideMark/>
          </w:tcPr>
          <w:p w14:paraId="12E1A136" w14:textId="572F04B4" w:rsidR="001D7E9E" w:rsidRPr="003C0378" w:rsidRDefault="001D7E9E" w:rsidP="00867DF8">
            <w:pPr>
              <w:spacing w:after="0"/>
              <w:ind w:firstLine="0"/>
              <w:jc w:val="center"/>
              <w:rPr>
                <w:b/>
                <w:bCs/>
                <w:sz w:val="20"/>
                <w:szCs w:val="20"/>
                <w:lang w:val="lt-LT"/>
              </w:rPr>
            </w:pPr>
            <w:r w:rsidRPr="003C0378">
              <w:rPr>
                <w:b/>
                <w:bCs/>
                <w:sz w:val="20"/>
                <w:szCs w:val="20"/>
                <w:lang w:val="lt-LT"/>
              </w:rPr>
              <w:t>7</w:t>
            </w:r>
            <w:r w:rsidR="004A2B2F" w:rsidRPr="003C0378">
              <w:rPr>
                <w:b/>
                <w:bCs/>
                <w:sz w:val="20"/>
                <w:szCs w:val="20"/>
                <w:lang w:val="lt-LT"/>
              </w:rPr>
              <w:t>,</w:t>
            </w:r>
            <w:r w:rsidRPr="003C0378">
              <w:rPr>
                <w:b/>
                <w:bCs/>
                <w:sz w:val="20"/>
                <w:szCs w:val="20"/>
                <w:lang w:val="lt-LT"/>
              </w:rPr>
              <w:t>72</w:t>
            </w:r>
          </w:p>
        </w:tc>
        <w:tc>
          <w:tcPr>
            <w:tcW w:w="2907" w:type="dxa"/>
            <w:noWrap/>
            <w:vAlign w:val="center"/>
            <w:hideMark/>
          </w:tcPr>
          <w:p w14:paraId="74F25427" w14:textId="08DCE72D" w:rsidR="001D7E9E" w:rsidRPr="003C0378" w:rsidRDefault="001D7E9E" w:rsidP="00867DF8">
            <w:pPr>
              <w:spacing w:after="0"/>
              <w:ind w:firstLine="0"/>
              <w:jc w:val="center"/>
              <w:rPr>
                <w:b/>
                <w:bCs/>
                <w:sz w:val="20"/>
                <w:szCs w:val="20"/>
                <w:lang w:val="lt-LT"/>
              </w:rPr>
            </w:pPr>
            <w:r w:rsidRPr="003C0378">
              <w:rPr>
                <w:b/>
                <w:bCs/>
                <w:sz w:val="20"/>
                <w:szCs w:val="20"/>
                <w:lang w:val="lt-LT"/>
              </w:rPr>
              <w:t>10</w:t>
            </w:r>
            <w:r w:rsidR="004A2B2F" w:rsidRPr="003C0378">
              <w:rPr>
                <w:b/>
                <w:bCs/>
                <w:sz w:val="20"/>
                <w:szCs w:val="20"/>
                <w:lang w:val="lt-LT"/>
              </w:rPr>
              <w:t>,</w:t>
            </w:r>
            <w:r w:rsidRPr="003C0378">
              <w:rPr>
                <w:b/>
                <w:bCs/>
                <w:sz w:val="20"/>
                <w:szCs w:val="20"/>
                <w:lang w:val="lt-LT"/>
              </w:rPr>
              <w:t>32</w:t>
            </w:r>
          </w:p>
        </w:tc>
      </w:tr>
    </w:tbl>
    <w:p w14:paraId="371D11B2" w14:textId="5D4F077A" w:rsidR="00B55C94" w:rsidRPr="003C0378" w:rsidRDefault="001D7E9E" w:rsidP="006B6964">
      <w:pPr>
        <w:keepNext/>
        <w:spacing w:after="0"/>
        <w:jc w:val="left"/>
        <w:rPr>
          <w:rFonts w:cs="Times New Roman"/>
          <w:sz w:val="20"/>
          <w:szCs w:val="20"/>
        </w:rPr>
      </w:pPr>
      <w:r w:rsidRPr="003C0378">
        <w:rPr>
          <w:rFonts w:cs="Times New Roman"/>
          <w:sz w:val="20"/>
          <w:szCs w:val="20"/>
        </w:rPr>
        <w:t>Šaltinis: sudaryta Vertintojų</w:t>
      </w:r>
    </w:p>
    <w:p w14:paraId="762674C5" w14:textId="79EC073D" w:rsidR="0016200E" w:rsidRPr="003C0378" w:rsidRDefault="001D7E9E" w:rsidP="00BC7458">
      <w:pPr>
        <w:spacing w:line="276" w:lineRule="auto"/>
        <w:ind w:firstLine="562"/>
      </w:pPr>
      <w:r w:rsidRPr="003C0378">
        <w:t>Kaip galima matyti lentelėje, investicijų paklausa varijuoja nuo 5,13 mlrd. Eur iki 10,32 mlrd. Eur. Bendras investicijų poreikis elektrinių pajėgumų paklausos apatinio rėžio atveju siekia 5,13 mlrd. Eur – didžiausias investicijų poreikis yra mažoms (1,58 mlrd. Eur) ir vidutinėms (1,57 mlrd. Eur) įmonėms. Paklausos vidurinio rėžio atveju, bendras investicijų poreikis siekia 7,72 mlrd. Eur – vėlgi, didžiausias investicijų poreikis yra mažoms (2,39 mlrd. Eur) ir vidutinėms (2,36 mlrd. Eur) įmonėms. Elektrinių pajėgumų paklausos viršutinio rėžio atveju, bendras investicijų poreikis siekia 10,32 mlrd. Eur.</w:t>
      </w:r>
      <w:r w:rsidR="00797DB7" w:rsidRPr="003C0378">
        <w:t xml:space="preserve"> </w:t>
      </w:r>
    </w:p>
    <w:p w14:paraId="737BC905" w14:textId="15D2481B" w:rsidR="00797DB7" w:rsidRPr="003C0378" w:rsidRDefault="00BE0DED" w:rsidP="00BC7458">
      <w:pPr>
        <w:spacing w:line="276" w:lineRule="auto"/>
        <w:ind w:firstLine="562"/>
      </w:pPr>
      <w:r w:rsidRPr="003C0378">
        <w:t>S</w:t>
      </w:r>
      <w:r w:rsidR="00797DB7" w:rsidRPr="003C0378">
        <w:t xml:space="preserve">varbu atkreipti dėmesį, kad reprezentatyvi anketinė apklausa buvo atlikta </w:t>
      </w:r>
      <w:r w:rsidRPr="003C0378">
        <w:t>2022 gruodžio 27 – 2023 m. sausio 11 dienomis, kai elektros kainos buvo ženkliai išaugusios ir viršijo 0,</w:t>
      </w:r>
      <w:r w:rsidR="00C5525C" w:rsidRPr="003C0378">
        <w:t>3</w:t>
      </w:r>
      <w:r w:rsidRPr="003C0378">
        <w:t xml:space="preserve"> Eur/</w:t>
      </w:r>
      <w:r w:rsidR="00091DD0">
        <w:t>k</w:t>
      </w:r>
      <w:r w:rsidR="00843EAE" w:rsidRPr="003C0378">
        <w:t>W</w:t>
      </w:r>
      <w:r w:rsidRPr="003C0378">
        <w:t xml:space="preserve">h. Atsižvelgiant į tai, tikėtina, kad respondentų įvertinta investicijų paklausa yra stipriai paveikta apklausos metu vyravusių </w:t>
      </w:r>
      <w:r w:rsidR="004E1BD2">
        <w:t xml:space="preserve">aukštų </w:t>
      </w:r>
      <w:r w:rsidRPr="003C0378">
        <w:t>kainų. Kadangi elektros kainos pradėjo kristi 2023 m. sausio–vasario mėnesiais, tikėtina, kad jeigu apklausa būtų atlikta šiuo metu, paklausa būtų mažesnė</w:t>
      </w:r>
      <w:r w:rsidR="00E450E6" w:rsidRPr="003C0378">
        <w:t xml:space="preserve">. </w:t>
      </w:r>
      <w:r w:rsidR="00C5525C" w:rsidRPr="003C0378">
        <w:t xml:space="preserve">Taip pat svarbu atkreipti dėmesį, kad AEI plėtra yra apribota realių tinklo </w:t>
      </w:r>
      <w:r w:rsidR="001C1D9E" w:rsidRPr="003C0378">
        <w:t>pralaidumo pajėgumų, kurie siekia maždaug 10 GW</w:t>
      </w:r>
      <w:r w:rsidR="00E450E6" w:rsidRPr="003C0378">
        <w:t xml:space="preserve">. </w:t>
      </w:r>
    </w:p>
    <w:p w14:paraId="2D1ED3A7" w14:textId="716A43FA" w:rsidR="00C866FA" w:rsidRPr="006C2BD6" w:rsidRDefault="00C866FA" w:rsidP="009F6E25">
      <w:pPr>
        <w:pStyle w:val="Antrat2"/>
        <w:numPr>
          <w:ilvl w:val="3"/>
          <w:numId w:val="3"/>
        </w:numPr>
        <w:rPr>
          <w:rFonts w:cs="Times New Roman"/>
        </w:rPr>
      </w:pPr>
      <w:bookmarkStart w:id="51" w:name="_Toc126051352"/>
      <w:bookmarkStart w:id="52" w:name="_Toc166139825"/>
      <w:bookmarkStart w:id="53" w:name="_Toc170804587"/>
      <w:r w:rsidRPr="006C2BD6">
        <w:rPr>
          <w:rFonts w:cs="Times New Roman"/>
        </w:rPr>
        <w:t xml:space="preserve">AEI plėtros galimybės </w:t>
      </w:r>
      <w:r w:rsidR="00F3261B" w:rsidRPr="00E53F02">
        <w:t>VJA</w:t>
      </w:r>
      <w:r w:rsidR="009F6E25" w:rsidRPr="006C2BD6">
        <w:rPr>
          <w:rFonts w:cs="Times New Roman"/>
        </w:rPr>
        <w:t xml:space="preserve"> tikslinėje grupėje</w:t>
      </w:r>
      <w:bookmarkEnd w:id="51"/>
      <w:bookmarkEnd w:id="52"/>
      <w:bookmarkEnd w:id="53"/>
    </w:p>
    <w:p w14:paraId="70C160C7" w14:textId="33D17C68" w:rsidR="005F6BE9" w:rsidRPr="00E24002" w:rsidRDefault="003353E7" w:rsidP="00BC7458">
      <w:pPr>
        <w:spacing w:line="276" w:lineRule="auto"/>
        <w:ind w:firstLine="562"/>
        <w:rPr>
          <w:highlight w:val="yellow"/>
        </w:rPr>
      </w:pPr>
      <w:r w:rsidRPr="00E178A5">
        <w:t>Atsižvelgiant į aukščiau pristatytą situaciją ir s</w:t>
      </w:r>
      <w:r w:rsidR="009E5CEE" w:rsidRPr="00E178A5">
        <w:t xml:space="preserve">iekiant išsiaiškinti, koks yra dabartinis elektros vartojimo kiekis </w:t>
      </w:r>
      <w:r w:rsidR="005B5841">
        <w:t xml:space="preserve">VJA </w:t>
      </w:r>
      <w:r w:rsidR="003317A2" w:rsidRPr="00E178A5">
        <w:t>tikslinėje grupėje</w:t>
      </w:r>
      <w:r w:rsidR="009E5CEE" w:rsidRPr="00E178A5">
        <w:t xml:space="preserve"> ir koks</w:t>
      </w:r>
      <w:r w:rsidR="00BC7458" w:rsidRPr="00E178A5">
        <w:t xml:space="preserve"> </w:t>
      </w:r>
      <w:r w:rsidR="009E5CEE" w:rsidRPr="00E178A5">
        <w:t>galėtų būti AEI</w:t>
      </w:r>
      <w:r w:rsidRPr="00E178A5">
        <w:t xml:space="preserve"> investicijų</w:t>
      </w:r>
      <w:r w:rsidR="009E5CEE" w:rsidRPr="00E178A5">
        <w:t xml:space="preserve"> poreikis, </w:t>
      </w:r>
      <w:r w:rsidR="00ED19D5" w:rsidRPr="00E178A5">
        <w:t>Vertintojai</w:t>
      </w:r>
      <w:r w:rsidR="009E5CEE" w:rsidRPr="00E178A5">
        <w:t xml:space="preserve"> atliko </w:t>
      </w:r>
      <w:r w:rsidR="001D4B32">
        <w:t xml:space="preserve">VJA </w:t>
      </w:r>
      <w:r w:rsidRPr="00E178A5">
        <w:t>elektros vartojimo analizę</w:t>
      </w:r>
      <w:r w:rsidR="005F6BE9" w:rsidRPr="00E178A5">
        <w:t>, kurios metodologija</w:t>
      </w:r>
      <w:r w:rsidR="000E530B" w:rsidRPr="00E178A5">
        <w:t xml:space="preserve"> ir rezultatai</w:t>
      </w:r>
      <w:r w:rsidR="005F6BE9" w:rsidRPr="00E178A5">
        <w:t xml:space="preserve"> yra</w:t>
      </w:r>
      <w:r w:rsidR="000E530B" w:rsidRPr="00E178A5">
        <w:t xml:space="preserve"> glaustai</w:t>
      </w:r>
      <w:r w:rsidR="005F6BE9" w:rsidRPr="00E178A5">
        <w:t xml:space="preserve"> pristatom</w:t>
      </w:r>
      <w:r w:rsidR="000E530B" w:rsidRPr="00E178A5">
        <w:t>i</w:t>
      </w:r>
      <w:r w:rsidR="005F6BE9" w:rsidRPr="00E178A5">
        <w:t xml:space="preserve"> toliau.</w:t>
      </w:r>
    </w:p>
    <w:p w14:paraId="7AEB0DFF" w14:textId="65283122" w:rsidR="0038336C" w:rsidRPr="005D3D6C" w:rsidRDefault="00CC3E6D" w:rsidP="00BC7458">
      <w:pPr>
        <w:spacing w:line="276" w:lineRule="auto"/>
        <w:ind w:firstLine="562"/>
      </w:pPr>
      <w:r w:rsidRPr="000226B2">
        <w:t xml:space="preserve">VJA </w:t>
      </w:r>
      <w:r w:rsidR="003353E7" w:rsidRPr="000226B2">
        <w:t xml:space="preserve">tikslinė grupė </w:t>
      </w:r>
      <w:r w:rsidR="006478C9" w:rsidRPr="000226B2">
        <w:t xml:space="preserve">susideda iš dviejų </w:t>
      </w:r>
      <w:r w:rsidR="000929A0" w:rsidRPr="000226B2">
        <w:t xml:space="preserve">pagrindinių </w:t>
      </w:r>
      <w:r w:rsidR="006478C9" w:rsidRPr="000226B2">
        <w:t xml:space="preserve">tipų NT: </w:t>
      </w:r>
      <w:r w:rsidR="006478C9" w:rsidRPr="000226B2">
        <w:rPr>
          <w:b/>
        </w:rPr>
        <w:t>savivaldybių</w:t>
      </w:r>
      <w:r w:rsidR="00C65729" w:rsidRPr="000226B2">
        <w:rPr>
          <w:b/>
        </w:rPr>
        <w:t xml:space="preserve"> nekilnojamo turto</w:t>
      </w:r>
      <w:r w:rsidR="007C26E7">
        <w:rPr>
          <w:b/>
        </w:rPr>
        <w:t>,</w:t>
      </w:r>
      <w:r w:rsidR="00C65729" w:rsidRPr="000226B2">
        <w:rPr>
          <w:b/>
        </w:rPr>
        <w:t xml:space="preserve"> įskaitant rinkoje savo reikmėms nuomojamą turtą</w:t>
      </w:r>
      <w:r w:rsidR="005C27E9" w:rsidRPr="000226B2">
        <w:rPr>
          <w:b/>
        </w:rPr>
        <w:t xml:space="preserve"> (toliau – SNT)</w:t>
      </w:r>
      <w:r w:rsidR="006478C9" w:rsidRPr="000226B2">
        <w:t xml:space="preserve"> ir </w:t>
      </w:r>
      <w:r w:rsidR="005F6BE9" w:rsidRPr="000226B2">
        <w:rPr>
          <w:b/>
        </w:rPr>
        <w:t>valstybės</w:t>
      </w:r>
      <w:r w:rsidR="003353E7" w:rsidRPr="000226B2">
        <w:rPr>
          <w:b/>
        </w:rPr>
        <w:t xml:space="preserve"> valdomo</w:t>
      </w:r>
      <w:r w:rsidRPr="000226B2">
        <w:rPr>
          <w:b/>
        </w:rPr>
        <w:t xml:space="preserve"> </w:t>
      </w:r>
      <w:r w:rsidR="00C65729" w:rsidRPr="000226B2">
        <w:rPr>
          <w:b/>
        </w:rPr>
        <w:t>nekilnojamo turto</w:t>
      </w:r>
      <w:r w:rsidR="007C26E7">
        <w:rPr>
          <w:b/>
        </w:rPr>
        <w:t>,</w:t>
      </w:r>
      <w:r w:rsidR="00C65729" w:rsidRPr="000226B2">
        <w:rPr>
          <w:b/>
        </w:rPr>
        <w:t xml:space="preserve"> įskaitant rinkoje savo reikmėms nuomojamą turtą</w:t>
      </w:r>
      <w:r w:rsidR="005C27E9" w:rsidRPr="000226B2">
        <w:rPr>
          <w:b/>
        </w:rPr>
        <w:t xml:space="preserve"> (toliau – VNT)</w:t>
      </w:r>
      <w:r w:rsidR="006478C9" w:rsidRPr="000226B2">
        <w:rPr>
          <w:rStyle w:val="Puslapioinaosnuoroda"/>
          <w:b/>
        </w:rPr>
        <w:footnoteReference w:id="18"/>
      </w:r>
      <w:r w:rsidR="006478C9" w:rsidRPr="000226B2">
        <w:t>.</w:t>
      </w:r>
      <w:r w:rsidR="00880FE9" w:rsidRPr="000226B2">
        <w:t xml:space="preserve"> </w:t>
      </w:r>
      <w:r w:rsidR="005C27E9" w:rsidRPr="000226B2">
        <w:t>SNT</w:t>
      </w:r>
      <w:r w:rsidR="00880FE9" w:rsidRPr="000226B2">
        <w:t xml:space="preserve"> valdytojai gali būti savivaldybių įstaigos, savivaldybių taryb</w:t>
      </w:r>
      <w:r w:rsidR="00B81625" w:rsidRPr="000226B2">
        <w:t>os</w:t>
      </w:r>
      <w:r w:rsidR="00880FE9" w:rsidRPr="000226B2">
        <w:t>, įvairios savivaldybių institucijos ir organizacijos.</w:t>
      </w:r>
      <w:r w:rsidR="003353E7" w:rsidRPr="000226B2">
        <w:t xml:space="preserve"> Tuo tarpu </w:t>
      </w:r>
      <w:r w:rsidR="005C27E9" w:rsidRPr="000226B2">
        <w:t>VNT</w:t>
      </w:r>
      <w:r w:rsidR="003353E7" w:rsidRPr="000226B2">
        <w:t xml:space="preserve"> valdytojai </w:t>
      </w:r>
      <w:r w:rsidR="003353E7" w:rsidRPr="000226B2">
        <w:lastRenderedPageBreak/>
        <w:t xml:space="preserve">gali būti Turto bankas, </w:t>
      </w:r>
      <w:r w:rsidR="001009B5" w:rsidRPr="000226B2">
        <w:t xml:space="preserve">viešosios įstaigos (kolegijos, mokymo įstaigos, </w:t>
      </w:r>
      <w:r w:rsidR="005F6BE9" w:rsidRPr="000226B2">
        <w:t>universitetai</w:t>
      </w:r>
      <w:r w:rsidR="001009B5" w:rsidRPr="000226B2">
        <w:t xml:space="preserve"> ir pan.), valstybinės įmonės ir kiti centrinės valdžios </w:t>
      </w:r>
      <w:r w:rsidR="00CB35A8" w:rsidRPr="000226B2">
        <w:t>VJA</w:t>
      </w:r>
      <w:r w:rsidR="001009B5" w:rsidRPr="005D3D6C">
        <w:t>.</w:t>
      </w:r>
      <w:r w:rsidR="003C0378" w:rsidRPr="005D3D6C">
        <w:t xml:space="preserve"> </w:t>
      </w:r>
      <w:r w:rsidR="005F6BE9" w:rsidRPr="005D3D6C">
        <w:t xml:space="preserve">Informaciją apie </w:t>
      </w:r>
      <w:r w:rsidR="005C27E9" w:rsidRPr="005D3D6C">
        <w:t>VNT</w:t>
      </w:r>
      <w:r w:rsidR="00FE2797" w:rsidRPr="005D3D6C">
        <w:t xml:space="preserve"> ploto</w:t>
      </w:r>
      <w:r w:rsidR="005F6BE9" w:rsidRPr="005D3D6C">
        <w:t xml:space="preserve"> kiekį</w:t>
      </w:r>
      <w:r w:rsidR="00CA256C" w:rsidRPr="005D3D6C">
        <w:t xml:space="preserve"> pateikė</w:t>
      </w:r>
      <w:r w:rsidR="005F6BE9" w:rsidRPr="005D3D6C">
        <w:t xml:space="preserve"> Turto bankas</w:t>
      </w:r>
      <w:r w:rsidR="005F6BE9" w:rsidRPr="005D3D6C">
        <w:rPr>
          <w:rStyle w:val="Puslapioinaosnuoroda"/>
        </w:rPr>
        <w:footnoteReference w:id="19"/>
      </w:r>
      <w:r w:rsidR="000B57BE" w:rsidRPr="005D3D6C">
        <w:t xml:space="preserve">. Turto banko pateikta informacija apie </w:t>
      </w:r>
      <w:r w:rsidR="005C27E9" w:rsidRPr="005D3D6C">
        <w:t>VNT</w:t>
      </w:r>
      <w:r w:rsidR="000B57BE" w:rsidRPr="005D3D6C">
        <w:t xml:space="preserve"> yra pateikta žemiau esančioje lentelėje</w:t>
      </w:r>
      <w:r w:rsidR="000B57BE" w:rsidRPr="004B6B5C">
        <w:t>.</w:t>
      </w:r>
      <w:r w:rsidR="00C242AA" w:rsidRPr="004B6B5C">
        <w:t xml:space="preserve"> Kaip galima matyti lentelėje, valstybės valdomo ir naudojamo NT plotas siekė 9,5 mln. kv.</w:t>
      </w:r>
      <w:r w:rsidR="00F50A8D">
        <w:t xml:space="preserve"> </w:t>
      </w:r>
      <w:r w:rsidR="00C242AA" w:rsidRPr="004B6B5C">
        <w:t>m.</w:t>
      </w:r>
      <w:r w:rsidR="00826055" w:rsidRPr="005D3D6C">
        <w:t xml:space="preserve"> Kadangi Turto banko valdomoje Valstybės turto informacinės paieškos sistemoje esanti informacij</w:t>
      </w:r>
      <w:r w:rsidR="00BC7458" w:rsidRPr="005D3D6C">
        <w:t>a</w:t>
      </w:r>
      <w:r w:rsidR="00826055" w:rsidRPr="005D3D6C">
        <w:t xml:space="preserve"> apie elektros suvartojimą visame VNT nėra iki galo prieinama bei turi trūkumų, tai ši informacija n</w:t>
      </w:r>
      <w:r w:rsidR="00BC7458" w:rsidRPr="005D3D6C">
        <w:t>ebuvo vertintojams</w:t>
      </w:r>
      <w:r w:rsidR="00826055" w:rsidRPr="005D3D6C">
        <w:t xml:space="preserve"> pateik</w:t>
      </w:r>
      <w:r w:rsidR="00BC7458" w:rsidRPr="005D3D6C">
        <w:t>ta</w:t>
      </w:r>
      <w:r w:rsidR="00826055" w:rsidRPr="005D3D6C">
        <w:t xml:space="preserve">. Tuo tarpu, </w:t>
      </w:r>
      <w:r w:rsidR="00826055" w:rsidRPr="009F45AA">
        <w:t xml:space="preserve">Turto banko </w:t>
      </w:r>
      <w:r w:rsidR="00A568E8" w:rsidRPr="009F45AA">
        <w:t xml:space="preserve">valdomos </w:t>
      </w:r>
      <w:r w:rsidR="00826055" w:rsidRPr="009F45AA">
        <w:t>administracinės paskirties NT plotas siekė 718,4 tūkst. kv. m. Šio ploto vidutinis elektros suvartojamas metinis kiekis siekė 25,2</w:t>
      </w:r>
      <w:r w:rsidR="00184B7A" w:rsidRPr="009F45AA">
        <w:t>7</w:t>
      </w:r>
      <w:r w:rsidR="00826055" w:rsidRPr="009F45AA">
        <w:t xml:space="preserve"> </w:t>
      </w:r>
      <w:proofErr w:type="spellStart"/>
      <w:r w:rsidR="00826055" w:rsidRPr="009F45AA">
        <w:t>GWh</w:t>
      </w:r>
      <w:proofErr w:type="spellEnd"/>
      <w:r w:rsidR="00826055" w:rsidRPr="009F45AA">
        <w:t>, o elektros suvartojimas, tenkantis vienam kv.</w:t>
      </w:r>
      <w:r w:rsidR="009F056D">
        <w:t xml:space="preserve"> </w:t>
      </w:r>
      <w:r w:rsidR="00826055" w:rsidRPr="009F45AA">
        <w:t>m., siekia 35,</w:t>
      </w:r>
      <w:r w:rsidR="00D6280B" w:rsidRPr="009F45AA">
        <w:t>2</w:t>
      </w:r>
      <w:r w:rsidR="00826055" w:rsidRPr="009F45AA">
        <w:t xml:space="preserve"> </w:t>
      </w:r>
      <w:r w:rsidR="00502886" w:rsidRPr="009F45AA">
        <w:t>k</w:t>
      </w:r>
      <w:r w:rsidR="00843EAE" w:rsidRPr="009F45AA">
        <w:t>W</w:t>
      </w:r>
      <w:r w:rsidR="00826055" w:rsidRPr="009F45AA">
        <w:t>h.</w:t>
      </w:r>
      <w:r w:rsidR="006E3A9C">
        <w:t xml:space="preserve"> Papildomai,</w:t>
      </w:r>
      <w:r w:rsidR="003F1931">
        <w:t xml:space="preserve"> remiantis</w:t>
      </w:r>
      <w:r w:rsidR="006E3A9C">
        <w:t xml:space="preserve"> Turto banko pateikta informacija, apie 60 tūkst. kv. m.</w:t>
      </w:r>
      <w:r w:rsidR="00C7021E">
        <w:t xml:space="preserve"> administracinės paskirties VNT yra nuomojama</w:t>
      </w:r>
      <w:r w:rsidR="00D5488E">
        <w:t>si</w:t>
      </w:r>
      <w:r w:rsidR="00C7021E">
        <w:t xml:space="preserve"> rinkoje</w:t>
      </w:r>
      <w:r w:rsidR="00AC1898">
        <w:t xml:space="preserve">, o šio ploto vidutinis elektros suvartojamas metinis kiekis atitinkamai siekia </w:t>
      </w:r>
      <w:r w:rsidR="00AD3148">
        <w:t xml:space="preserve">2,11 </w:t>
      </w:r>
      <w:proofErr w:type="spellStart"/>
      <w:r w:rsidR="00AD3148">
        <w:t>GWh</w:t>
      </w:r>
      <w:proofErr w:type="spellEnd"/>
      <w:r w:rsidR="00AD3148">
        <w:t>.</w:t>
      </w:r>
    </w:p>
    <w:p w14:paraId="4E1CF073" w14:textId="321FD797" w:rsidR="009F6E25" w:rsidRPr="00A13412" w:rsidRDefault="005F0532" w:rsidP="005F0532">
      <w:pPr>
        <w:keepNext/>
        <w:ind w:firstLine="0"/>
        <w:rPr>
          <w:rFonts w:cs="Times New Roman"/>
          <w:i/>
          <w:iCs/>
        </w:rPr>
      </w:pPr>
      <w:bookmarkStart w:id="54" w:name="_Toc126051380"/>
      <w:bookmarkStart w:id="55" w:name="_Toc166139855"/>
      <w:bookmarkStart w:id="56" w:name="_Toc170804621"/>
      <w:r w:rsidRPr="00A13412">
        <w:rPr>
          <w:rFonts w:cs="Times New Roman"/>
          <w:i/>
          <w:iCs/>
        </w:rPr>
        <w:t xml:space="preserve">Lentelė </w:t>
      </w:r>
      <w:r w:rsidRPr="00A13412">
        <w:rPr>
          <w:rFonts w:cs="Times New Roman"/>
          <w:i/>
          <w:iCs/>
        </w:rPr>
        <w:fldChar w:fldCharType="begin"/>
      </w:r>
      <w:r w:rsidRPr="00A13412">
        <w:rPr>
          <w:rFonts w:cs="Times New Roman"/>
          <w:i/>
          <w:iCs/>
        </w:rPr>
        <w:instrText xml:space="preserve"> SEQ Lentelė \* ARABIC </w:instrText>
      </w:r>
      <w:r w:rsidRPr="00A13412">
        <w:rPr>
          <w:rFonts w:cs="Times New Roman"/>
          <w:i/>
          <w:iCs/>
        </w:rPr>
        <w:fldChar w:fldCharType="separate"/>
      </w:r>
      <w:r w:rsidR="00347605">
        <w:rPr>
          <w:rFonts w:cs="Times New Roman"/>
          <w:i/>
          <w:iCs/>
          <w:noProof/>
        </w:rPr>
        <w:t>5</w:t>
      </w:r>
      <w:r w:rsidRPr="00A13412">
        <w:rPr>
          <w:rFonts w:cs="Times New Roman"/>
          <w:i/>
          <w:iCs/>
        </w:rPr>
        <w:fldChar w:fldCharType="end"/>
      </w:r>
      <w:r w:rsidRPr="00A13412">
        <w:rPr>
          <w:rFonts w:cs="Times New Roman"/>
          <w:i/>
          <w:iCs/>
        </w:rPr>
        <w:t xml:space="preserve">. </w:t>
      </w:r>
      <w:r w:rsidR="00CA73C3" w:rsidRPr="00A13412">
        <w:rPr>
          <w:rFonts w:cs="Times New Roman"/>
          <w:i/>
          <w:iCs/>
        </w:rPr>
        <w:t>VNT</w:t>
      </w:r>
      <w:r w:rsidR="003C0378" w:rsidRPr="00A13412">
        <w:rPr>
          <w:rFonts w:cs="Times New Roman"/>
          <w:i/>
          <w:iCs/>
        </w:rPr>
        <w:t xml:space="preserve"> </w:t>
      </w:r>
      <w:r w:rsidR="00FE2797" w:rsidRPr="00A13412">
        <w:rPr>
          <w:rFonts w:cs="Times New Roman"/>
          <w:i/>
          <w:iCs/>
        </w:rPr>
        <w:t>plotas</w:t>
      </w:r>
      <w:r w:rsidR="0038336C" w:rsidRPr="00A13412">
        <w:rPr>
          <w:rFonts w:cs="Times New Roman"/>
          <w:i/>
          <w:iCs/>
        </w:rPr>
        <w:t xml:space="preserve"> ir elektros suvartojimas administracinės paskirties NT</w:t>
      </w:r>
      <w:bookmarkEnd w:id="54"/>
      <w:bookmarkEnd w:id="55"/>
      <w:bookmarkEnd w:id="56"/>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791"/>
      </w:tblGrid>
      <w:tr w:rsidR="0038336C" w:rsidRPr="0044342D" w14:paraId="569CBE19" w14:textId="29F2E1C4" w:rsidTr="00E24002">
        <w:trPr>
          <w:trHeight w:val="423"/>
          <w:tblHeader/>
        </w:trPr>
        <w:tc>
          <w:tcPr>
            <w:tcW w:w="4390" w:type="dxa"/>
            <w:shd w:val="clear" w:color="auto" w:fill="auto"/>
            <w:noWrap/>
            <w:hideMark/>
          </w:tcPr>
          <w:p w14:paraId="2FC6B63B" w14:textId="77777777" w:rsidR="0038336C" w:rsidRPr="00AF50F2" w:rsidRDefault="0038336C" w:rsidP="000C6260">
            <w:pPr>
              <w:spacing w:after="0"/>
              <w:ind w:firstLine="0"/>
              <w:jc w:val="center"/>
              <w:rPr>
                <w:rFonts w:eastAsia="Times New Roman" w:cs="Times New Roman"/>
                <w:b/>
                <w:color w:val="000000"/>
                <w:sz w:val="20"/>
                <w:lang w:eastAsia="lt-LT"/>
              </w:rPr>
            </w:pPr>
            <w:r w:rsidRPr="00AF50F2">
              <w:rPr>
                <w:rFonts w:eastAsia="Times New Roman" w:cs="Times New Roman"/>
                <w:b/>
                <w:color w:val="000000"/>
                <w:sz w:val="20"/>
                <w:lang w:eastAsia="lt-LT"/>
              </w:rPr>
              <w:t>Rodiklis</w:t>
            </w:r>
          </w:p>
        </w:tc>
        <w:tc>
          <w:tcPr>
            <w:tcW w:w="2268" w:type="dxa"/>
            <w:shd w:val="clear" w:color="auto" w:fill="auto"/>
            <w:hideMark/>
          </w:tcPr>
          <w:p w14:paraId="7549B340" w14:textId="3BCF2C87" w:rsidR="0038336C" w:rsidRPr="00AF50F2" w:rsidRDefault="0038336C" w:rsidP="000C6260">
            <w:pPr>
              <w:spacing w:after="0"/>
              <w:ind w:firstLine="0"/>
              <w:jc w:val="center"/>
              <w:rPr>
                <w:rFonts w:eastAsia="Times New Roman" w:cs="Times New Roman"/>
                <w:b/>
                <w:color w:val="000000"/>
                <w:sz w:val="20"/>
                <w:lang w:eastAsia="lt-LT"/>
              </w:rPr>
            </w:pPr>
            <w:r w:rsidRPr="00AF50F2">
              <w:rPr>
                <w:rFonts w:eastAsia="Times New Roman" w:cs="Times New Roman"/>
                <w:b/>
                <w:color w:val="000000"/>
                <w:sz w:val="20"/>
                <w:lang w:eastAsia="lt-LT"/>
              </w:rPr>
              <w:t>Valstybės valdomas ir naudojamas NT</w:t>
            </w:r>
          </w:p>
        </w:tc>
        <w:tc>
          <w:tcPr>
            <w:tcW w:w="2791" w:type="dxa"/>
          </w:tcPr>
          <w:p w14:paraId="65CBEDA6" w14:textId="2A46FDD7" w:rsidR="0038336C" w:rsidRPr="00AF50F2" w:rsidRDefault="0038336C" w:rsidP="000C6260">
            <w:pPr>
              <w:spacing w:after="0"/>
              <w:ind w:firstLine="0"/>
              <w:jc w:val="center"/>
              <w:rPr>
                <w:rFonts w:eastAsia="Times New Roman" w:cs="Times New Roman"/>
                <w:b/>
                <w:color w:val="000000"/>
                <w:sz w:val="20"/>
                <w:lang w:eastAsia="lt-LT"/>
              </w:rPr>
            </w:pPr>
            <w:r w:rsidRPr="00AF50F2">
              <w:rPr>
                <w:rFonts w:eastAsia="Times New Roman" w:cs="Times New Roman"/>
                <w:b/>
                <w:color w:val="000000"/>
                <w:sz w:val="20"/>
                <w:lang w:eastAsia="lt-LT"/>
              </w:rPr>
              <w:t>Turto banko valdomas administracinės paskirties NT</w:t>
            </w:r>
          </w:p>
        </w:tc>
      </w:tr>
      <w:tr w:rsidR="0038336C" w:rsidRPr="0044342D" w14:paraId="18C17FF7" w14:textId="5B68E427" w:rsidTr="006E7576">
        <w:trPr>
          <w:trHeight w:val="18"/>
        </w:trPr>
        <w:tc>
          <w:tcPr>
            <w:tcW w:w="4390" w:type="dxa"/>
            <w:shd w:val="clear" w:color="auto" w:fill="auto"/>
            <w:noWrap/>
            <w:vAlign w:val="center"/>
            <w:hideMark/>
          </w:tcPr>
          <w:p w14:paraId="5635A870" w14:textId="77777777" w:rsidR="0038336C" w:rsidRPr="00AF50F2" w:rsidRDefault="0038336C" w:rsidP="000C6260">
            <w:pPr>
              <w:spacing w:after="0"/>
              <w:ind w:firstLine="0"/>
              <w:jc w:val="left"/>
              <w:rPr>
                <w:rFonts w:eastAsia="Times New Roman" w:cs="Times New Roman"/>
                <w:color w:val="000000"/>
                <w:sz w:val="20"/>
                <w:lang w:eastAsia="lt-LT"/>
              </w:rPr>
            </w:pPr>
            <w:r w:rsidRPr="00AF50F2">
              <w:rPr>
                <w:rFonts w:eastAsia="Times New Roman" w:cs="Times New Roman"/>
                <w:color w:val="000000"/>
                <w:sz w:val="20"/>
                <w:lang w:eastAsia="lt-LT"/>
              </w:rPr>
              <w:t>Plotas (</w:t>
            </w:r>
            <w:proofErr w:type="spellStart"/>
            <w:r w:rsidRPr="00AF50F2">
              <w:rPr>
                <w:rFonts w:eastAsia="Times New Roman" w:cs="Times New Roman"/>
                <w:color w:val="000000"/>
                <w:sz w:val="20"/>
                <w:lang w:eastAsia="lt-LT"/>
              </w:rPr>
              <w:t>kv.m</w:t>
            </w:r>
            <w:proofErr w:type="spellEnd"/>
            <w:r w:rsidRPr="00AF50F2">
              <w:rPr>
                <w:rFonts w:eastAsia="Times New Roman" w:cs="Times New Roman"/>
                <w:color w:val="000000"/>
                <w:sz w:val="20"/>
                <w:lang w:eastAsia="lt-LT"/>
              </w:rPr>
              <w:t>)</w:t>
            </w:r>
          </w:p>
        </w:tc>
        <w:tc>
          <w:tcPr>
            <w:tcW w:w="2268" w:type="dxa"/>
            <w:shd w:val="clear" w:color="auto" w:fill="auto"/>
            <w:noWrap/>
            <w:vAlign w:val="center"/>
            <w:hideMark/>
          </w:tcPr>
          <w:p w14:paraId="638BA4FB" w14:textId="5B668FDD" w:rsidR="0038336C" w:rsidRPr="00AF50F2" w:rsidRDefault="0038336C"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9 500 000</w:t>
            </w:r>
          </w:p>
        </w:tc>
        <w:tc>
          <w:tcPr>
            <w:tcW w:w="2791" w:type="dxa"/>
            <w:vAlign w:val="center"/>
          </w:tcPr>
          <w:p w14:paraId="620586C1" w14:textId="0F22B2C0" w:rsidR="0038336C" w:rsidRPr="00AF50F2" w:rsidRDefault="0038336C"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718</w:t>
            </w:r>
            <w:r w:rsidR="001D032A" w:rsidRPr="00AF50F2">
              <w:rPr>
                <w:rFonts w:eastAsia="Times New Roman" w:cs="Times New Roman"/>
                <w:color w:val="000000"/>
                <w:sz w:val="20"/>
                <w:lang w:eastAsia="lt-LT"/>
              </w:rPr>
              <w:t> </w:t>
            </w:r>
            <w:r w:rsidRPr="00AF50F2">
              <w:rPr>
                <w:rFonts w:eastAsia="Times New Roman" w:cs="Times New Roman"/>
                <w:color w:val="000000"/>
                <w:sz w:val="20"/>
                <w:lang w:eastAsia="lt-LT"/>
              </w:rPr>
              <w:t>400</w:t>
            </w:r>
            <w:r w:rsidR="001D032A" w:rsidRPr="00AF50F2">
              <w:rPr>
                <w:rFonts w:eastAsia="Times New Roman" w:cs="Times New Roman"/>
                <w:color w:val="000000"/>
                <w:sz w:val="20"/>
                <w:lang w:eastAsia="lt-LT"/>
              </w:rPr>
              <w:t xml:space="preserve"> (+ 60 000 nuomos pagrindais)</w:t>
            </w:r>
          </w:p>
        </w:tc>
      </w:tr>
      <w:tr w:rsidR="0038336C" w:rsidRPr="0044342D" w14:paraId="5A5B8ACD" w14:textId="77777777" w:rsidTr="006E7576">
        <w:trPr>
          <w:trHeight w:val="18"/>
        </w:trPr>
        <w:tc>
          <w:tcPr>
            <w:tcW w:w="4390" w:type="dxa"/>
            <w:shd w:val="clear" w:color="auto" w:fill="auto"/>
            <w:noWrap/>
            <w:vAlign w:val="center"/>
          </w:tcPr>
          <w:p w14:paraId="1349EE06" w14:textId="310CC146" w:rsidR="0038336C" w:rsidRPr="00AF50F2" w:rsidRDefault="0038336C" w:rsidP="000C6260">
            <w:pPr>
              <w:spacing w:after="0"/>
              <w:ind w:firstLine="0"/>
              <w:jc w:val="left"/>
              <w:rPr>
                <w:rFonts w:eastAsia="Times New Roman" w:cs="Times New Roman"/>
                <w:color w:val="000000"/>
                <w:sz w:val="20"/>
                <w:lang w:eastAsia="lt-LT"/>
              </w:rPr>
            </w:pPr>
            <w:r w:rsidRPr="00AF50F2">
              <w:rPr>
                <w:rFonts w:eastAsia="Times New Roman" w:cs="Times New Roman"/>
                <w:color w:val="000000"/>
                <w:sz w:val="20"/>
                <w:lang w:eastAsia="lt-LT"/>
              </w:rPr>
              <w:t>Elektros suvartojimas (</w:t>
            </w:r>
            <w:proofErr w:type="spellStart"/>
            <w:r w:rsidRPr="00AF50F2">
              <w:rPr>
                <w:rFonts w:eastAsia="Times New Roman" w:cs="Times New Roman"/>
                <w:color w:val="000000"/>
                <w:sz w:val="20"/>
                <w:lang w:eastAsia="lt-LT"/>
              </w:rPr>
              <w:t>GWh</w:t>
            </w:r>
            <w:proofErr w:type="spellEnd"/>
            <w:r w:rsidRPr="00AF50F2">
              <w:rPr>
                <w:rFonts w:eastAsia="Times New Roman" w:cs="Times New Roman"/>
                <w:color w:val="000000"/>
                <w:sz w:val="20"/>
                <w:lang w:eastAsia="lt-LT"/>
              </w:rPr>
              <w:t>)</w:t>
            </w:r>
          </w:p>
        </w:tc>
        <w:tc>
          <w:tcPr>
            <w:tcW w:w="2268" w:type="dxa"/>
            <w:shd w:val="clear" w:color="auto" w:fill="auto"/>
            <w:noWrap/>
            <w:vAlign w:val="center"/>
          </w:tcPr>
          <w:p w14:paraId="163D19EC" w14:textId="2CF3FF12" w:rsidR="0038336C" w:rsidRPr="00AF50F2" w:rsidRDefault="00103D8D"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w:t>
            </w:r>
          </w:p>
        </w:tc>
        <w:tc>
          <w:tcPr>
            <w:tcW w:w="2791" w:type="dxa"/>
            <w:vAlign w:val="center"/>
          </w:tcPr>
          <w:p w14:paraId="41183FFC" w14:textId="4E553ACB" w:rsidR="0038336C" w:rsidRPr="00AF50F2" w:rsidRDefault="0038336C"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25,27</w:t>
            </w:r>
            <w:r w:rsidR="00E13B50" w:rsidRPr="00AF50F2">
              <w:rPr>
                <w:rFonts w:eastAsia="Times New Roman" w:cs="Times New Roman"/>
                <w:color w:val="000000"/>
                <w:sz w:val="20"/>
                <w:lang w:eastAsia="lt-LT"/>
              </w:rPr>
              <w:t xml:space="preserve"> (+ 2,11 nuomos pagrindais)</w:t>
            </w:r>
          </w:p>
        </w:tc>
      </w:tr>
      <w:tr w:rsidR="0038336C" w:rsidRPr="0044342D" w14:paraId="54E4E4E3" w14:textId="77777777" w:rsidTr="006E7576">
        <w:trPr>
          <w:trHeight w:val="18"/>
        </w:trPr>
        <w:tc>
          <w:tcPr>
            <w:tcW w:w="4390" w:type="dxa"/>
            <w:shd w:val="clear" w:color="auto" w:fill="auto"/>
            <w:noWrap/>
            <w:vAlign w:val="center"/>
          </w:tcPr>
          <w:p w14:paraId="04E8B5AA" w14:textId="093C4672" w:rsidR="0038336C" w:rsidRPr="00AF50F2" w:rsidRDefault="0038336C" w:rsidP="000C6260">
            <w:pPr>
              <w:spacing w:after="0"/>
              <w:ind w:firstLine="0"/>
              <w:jc w:val="left"/>
              <w:rPr>
                <w:rFonts w:eastAsia="Times New Roman" w:cs="Times New Roman"/>
                <w:color w:val="000000"/>
                <w:sz w:val="20"/>
                <w:lang w:eastAsia="lt-LT"/>
              </w:rPr>
            </w:pPr>
            <w:r w:rsidRPr="00AF50F2">
              <w:rPr>
                <w:rFonts w:eastAsia="Times New Roman" w:cs="Times New Roman"/>
                <w:iCs/>
                <w:color w:val="000000"/>
                <w:sz w:val="20"/>
                <w:lang w:eastAsia="lt-LT"/>
              </w:rPr>
              <w:t>Elektros suvartojimas vienam kv.</w:t>
            </w:r>
            <w:r w:rsidR="006E3A9C" w:rsidRPr="00AF50F2">
              <w:rPr>
                <w:rFonts w:eastAsia="Times New Roman" w:cs="Times New Roman"/>
                <w:iCs/>
                <w:color w:val="000000"/>
                <w:sz w:val="20"/>
                <w:lang w:eastAsia="lt-LT"/>
              </w:rPr>
              <w:t xml:space="preserve"> </w:t>
            </w:r>
            <w:r w:rsidRPr="00AF50F2">
              <w:rPr>
                <w:rFonts w:eastAsia="Times New Roman" w:cs="Times New Roman"/>
                <w:iCs/>
                <w:color w:val="000000"/>
                <w:sz w:val="20"/>
                <w:lang w:eastAsia="lt-LT"/>
              </w:rPr>
              <w:t>m. (</w:t>
            </w:r>
            <w:r w:rsidR="00502886" w:rsidRPr="00AF50F2">
              <w:rPr>
                <w:rFonts w:eastAsia="Times New Roman" w:cs="Times New Roman"/>
                <w:iCs/>
                <w:color w:val="000000"/>
                <w:sz w:val="20"/>
                <w:lang w:eastAsia="lt-LT"/>
              </w:rPr>
              <w:t>k</w:t>
            </w:r>
            <w:r w:rsidR="00843EAE" w:rsidRPr="00AF50F2">
              <w:rPr>
                <w:rFonts w:eastAsia="Times New Roman" w:cs="Times New Roman"/>
                <w:iCs/>
                <w:color w:val="000000"/>
                <w:sz w:val="20"/>
                <w:lang w:eastAsia="lt-LT"/>
              </w:rPr>
              <w:t>W</w:t>
            </w:r>
            <w:r w:rsidRPr="00AF50F2">
              <w:rPr>
                <w:rFonts w:eastAsia="Times New Roman" w:cs="Times New Roman"/>
                <w:iCs/>
                <w:color w:val="000000"/>
                <w:sz w:val="20"/>
                <w:lang w:eastAsia="lt-LT"/>
              </w:rPr>
              <w:t>h/kv.</w:t>
            </w:r>
            <w:r w:rsidR="006E3A9C" w:rsidRPr="00AF50F2">
              <w:rPr>
                <w:rFonts w:eastAsia="Times New Roman" w:cs="Times New Roman"/>
                <w:iCs/>
                <w:color w:val="000000"/>
                <w:sz w:val="20"/>
                <w:lang w:eastAsia="lt-LT"/>
              </w:rPr>
              <w:t xml:space="preserve"> </w:t>
            </w:r>
            <w:r w:rsidRPr="00AF50F2">
              <w:rPr>
                <w:rFonts w:eastAsia="Times New Roman" w:cs="Times New Roman"/>
                <w:iCs/>
                <w:color w:val="000000"/>
                <w:sz w:val="20"/>
                <w:lang w:eastAsia="lt-LT"/>
              </w:rPr>
              <w:t>m)</w:t>
            </w:r>
          </w:p>
        </w:tc>
        <w:tc>
          <w:tcPr>
            <w:tcW w:w="2268" w:type="dxa"/>
            <w:shd w:val="clear" w:color="auto" w:fill="auto"/>
            <w:noWrap/>
            <w:vAlign w:val="center"/>
          </w:tcPr>
          <w:p w14:paraId="6E8DF067" w14:textId="6AFE34D6" w:rsidR="0038336C" w:rsidRPr="00AF50F2" w:rsidRDefault="00103D8D"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w:t>
            </w:r>
          </w:p>
        </w:tc>
        <w:tc>
          <w:tcPr>
            <w:tcW w:w="2791" w:type="dxa"/>
            <w:vAlign w:val="center"/>
          </w:tcPr>
          <w:p w14:paraId="564CA1B8" w14:textId="7589E8DC" w:rsidR="0038336C" w:rsidRPr="00AF50F2" w:rsidRDefault="0038336C" w:rsidP="000C6260">
            <w:pPr>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35,18</w:t>
            </w:r>
          </w:p>
        </w:tc>
      </w:tr>
    </w:tbl>
    <w:p w14:paraId="40B96DCB" w14:textId="3BDEC1FD" w:rsidR="00B55C94" w:rsidRPr="00E24002" w:rsidRDefault="005F0532" w:rsidP="006B6964">
      <w:pPr>
        <w:keepNext/>
        <w:spacing w:after="0"/>
        <w:jc w:val="left"/>
        <w:rPr>
          <w:sz w:val="20"/>
          <w:highlight w:val="yellow"/>
        </w:rPr>
      </w:pPr>
      <w:r w:rsidRPr="00A13412">
        <w:rPr>
          <w:rFonts w:cs="Times New Roman"/>
          <w:sz w:val="20"/>
          <w:szCs w:val="20"/>
        </w:rPr>
        <w:t>Šaltinis: sudaryta Vertintojų</w:t>
      </w:r>
    </w:p>
    <w:p w14:paraId="03AD78A6" w14:textId="1D02C78C" w:rsidR="00CA73C3" w:rsidRPr="00A90D05" w:rsidRDefault="004C0609" w:rsidP="00BC7458">
      <w:pPr>
        <w:spacing w:line="276" w:lineRule="auto"/>
        <w:ind w:firstLine="562"/>
      </w:pPr>
      <w:r w:rsidRPr="00A90D05">
        <w:t>I</w:t>
      </w:r>
      <w:r w:rsidR="00CA73C3" w:rsidRPr="00A90D05">
        <w:t xml:space="preserve">nformacijos prieinamumas apie SNT kiekį ir </w:t>
      </w:r>
      <w:r w:rsidRPr="00A90D05">
        <w:t>elektros suvartojimą taip pat yra</w:t>
      </w:r>
      <w:r w:rsidR="00CA73C3" w:rsidRPr="00A90D05">
        <w:t xml:space="preserve"> ribotas. Kaip nurodoma, 2020 m. Valstybės kontrolės </w:t>
      </w:r>
      <w:r w:rsidR="00232F32" w:rsidRPr="00A90D05">
        <w:t xml:space="preserve">atliktame SNT naudojimo audito ataskaitoje – apie SNT trūksta viešos informacijos, o </w:t>
      </w:r>
      <w:r w:rsidR="00F77D52" w:rsidRPr="00A90D05">
        <w:t>pats</w:t>
      </w:r>
      <w:r w:rsidR="00232F32" w:rsidRPr="00A90D05">
        <w:t xml:space="preserve"> SNT nėra tinkamai inventorizuotas ir skaidriai apskaitytas</w:t>
      </w:r>
      <w:r w:rsidRPr="00A90D05">
        <w:rPr>
          <w:rStyle w:val="Puslapioinaosnuoroda"/>
        </w:rPr>
        <w:footnoteReference w:id="20"/>
      </w:r>
      <w:r w:rsidR="00232F32" w:rsidRPr="00A90D05">
        <w:t>.</w:t>
      </w:r>
      <w:r w:rsidR="00F77D52" w:rsidRPr="00A90D05">
        <w:t xml:space="preserve"> </w:t>
      </w:r>
      <w:r w:rsidR="00F77D52" w:rsidRPr="004B6B5C">
        <w:t xml:space="preserve">Atsižvelgiant į tai, </w:t>
      </w:r>
      <w:r w:rsidR="00ED19D5" w:rsidRPr="004B6B5C">
        <w:t>Vertintojai</w:t>
      </w:r>
      <w:r w:rsidR="00F77D52" w:rsidRPr="004B6B5C">
        <w:t xml:space="preserve"> nusprendė remtis 2020 m. Valstybės kontrolės atliktos SNT inventorizacijos duomenimis </w:t>
      </w:r>
      <w:r w:rsidRPr="004B6B5C">
        <w:t xml:space="preserve">siekiant apskaičiuoti SNT plotą. </w:t>
      </w:r>
      <w:r w:rsidRPr="00A90D05">
        <w:t>SNT</w:t>
      </w:r>
      <w:r w:rsidR="00F16C0D" w:rsidRPr="00A90D05">
        <w:t xml:space="preserve"> kiekybinė</w:t>
      </w:r>
      <w:r w:rsidRPr="00A90D05">
        <w:t xml:space="preserve"> informacija pateikiama žemiau esančioje lentelėje.</w:t>
      </w:r>
    </w:p>
    <w:p w14:paraId="2673BBF1" w14:textId="060E9891" w:rsidR="00F77D52" w:rsidRPr="00AF50F2" w:rsidRDefault="00F77D52" w:rsidP="00F744C9">
      <w:pPr>
        <w:keepNext/>
        <w:ind w:firstLine="0"/>
        <w:rPr>
          <w:rFonts w:cs="Times New Roman"/>
          <w:i/>
          <w:iCs/>
        </w:rPr>
      </w:pPr>
      <w:bookmarkStart w:id="57" w:name="_Toc126051381"/>
      <w:bookmarkStart w:id="58" w:name="_Toc166139856"/>
      <w:bookmarkStart w:id="59" w:name="_Toc170804622"/>
      <w:r w:rsidRPr="00AF50F2">
        <w:rPr>
          <w:rFonts w:cs="Times New Roman"/>
          <w:i/>
          <w:iCs/>
        </w:rPr>
        <w:t xml:space="preserve">Lentelė </w:t>
      </w:r>
      <w:r w:rsidRPr="00AF50F2">
        <w:rPr>
          <w:rFonts w:cs="Times New Roman"/>
          <w:i/>
          <w:iCs/>
        </w:rPr>
        <w:fldChar w:fldCharType="begin"/>
      </w:r>
      <w:r w:rsidRPr="00AF50F2">
        <w:rPr>
          <w:rFonts w:cs="Times New Roman"/>
          <w:i/>
          <w:iCs/>
        </w:rPr>
        <w:instrText xml:space="preserve"> SEQ Lentelė \* ARABIC </w:instrText>
      </w:r>
      <w:r w:rsidRPr="00AF50F2">
        <w:rPr>
          <w:rFonts w:cs="Times New Roman"/>
          <w:i/>
          <w:iCs/>
        </w:rPr>
        <w:fldChar w:fldCharType="separate"/>
      </w:r>
      <w:r w:rsidR="00347605">
        <w:rPr>
          <w:rFonts w:cs="Times New Roman"/>
          <w:i/>
          <w:iCs/>
          <w:noProof/>
        </w:rPr>
        <w:t>6</w:t>
      </w:r>
      <w:r w:rsidRPr="00AF50F2">
        <w:rPr>
          <w:rFonts w:cs="Times New Roman"/>
          <w:i/>
          <w:iCs/>
        </w:rPr>
        <w:fldChar w:fldCharType="end"/>
      </w:r>
      <w:r w:rsidRPr="00AF50F2">
        <w:rPr>
          <w:rFonts w:cs="Times New Roman"/>
          <w:i/>
          <w:iCs/>
        </w:rPr>
        <w:t>. SNT</w:t>
      </w:r>
      <w:r w:rsidR="003C0378" w:rsidRPr="00AF50F2">
        <w:rPr>
          <w:rFonts w:cs="Times New Roman"/>
          <w:i/>
          <w:iCs/>
        </w:rPr>
        <w:t xml:space="preserve"> </w:t>
      </w:r>
      <w:r w:rsidR="004C0609" w:rsidRPr="00AF50F2">
        <w:rPr>
          <w:rFonts w:cs="Times New Roman"/>
          <w:i/>
          <w:iCs/>
        </w:rPr>
        <w:t>plotas</w:t>
      </w:r>
      <w:bookmarkEnd w:id="57"/>
      <w:r w:rsidR="00B3169C" w:rsidRPr="00AF50F2">
        <w:rPr>
          <w:rFonts w:cs="Times New Roman"/>
          <w:i/>
          <w:iCs/>
        </w:rPr>
        <w:t xml:space="preserve"> 2020 m.</w:t>
      </w:r>
      <w:bookmarkEnd w:id="58"/>
      <w:bookmarkEnd w:id="59"/>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3534"/>
      </w:tblGrid>
      <w:tr w:rsidR="004C0609" w:rsidRPr="00AF50F2" w14:paraId="575E00CA" w14:textId="77777777" w:rsidTr="00E24002">
        <w:trPr>
          <w:trHeight w:val="225"/>
        </w:trPr>
        <w:tc>
          <w:tcPr>
            <w:tcW w:w="5932" w:type="dxa"/>
            <w:shd w:val="clear" w:color="auto" w:fill="auto"/>
            <w:noWrap/>
            <w:vAlign w:val="center"/>
            <w:hideMark/>
          </w:tcPr>
          <w:p w14:paraId="66EC64E1" w14:textId="77777777" w:rsidR="004C0609" w:rsidRPr="00AF50F2" w:rsidRDefault="004C0609" w:rsidP="000C6260">
            <w:pPr>
              <w:keepNext/>
              <w:spacing w:after="0"/>
              <w:ind w:firstLine="0"/>
              <w:jc w:val="center"/>
              <w:rPr>
                <w:rFonts w:eastAsia="Times New Roman" w:cs="Times New Roman"/>
                <w:b/>
                <w:color w:val="000000"/>
                <w:sz w:val="20"/>
                <w:lang w:eastAsia="lt-LT"/>
              </w:rPr>
            </w:pPr>
            <w:r w:rsidRPr="00AF50F2">
              <w:rPr>
                <w:rFonts w:eastAsia="Times New Roman" w:cs="Times New Roman"/>
                <w:b/>
                <w:color w:val="000000"/>
                <w:sz w:val="20"/>
                <w:lang w:eastAsia="lt-LT"/>
              </w:rPr>
              <w:t>Rodiklis</w:t>
            </w:r>
          </w:p>
        </w:tc>
        <w:tc>
          <w:tcPr>
            <w:tcW w:w="3534" w:type="dxa"/>
            <w:shd w:val="clear" w:color="auto" w:fill="auto"/>
            <w:noWrap/>
            <w:vAlign w:val="center"/>
            <w:hideMark/>
          </w:tcPr>
          <w:p w14:paraId="15E6EEA6" w14:textId="77777777" w:rsidR="004C0609" w:rsidRPr="00AF50F2" w:rsidRDefault="004C0609" w:rsidP="000C6260">
            <w:pPr>
              <w:keepNext/>
              <w:spacing w:after="0"/>
              <w:ind w:firstLine="0"/>
              <w:jc w:val="center"/>
              <w:rPr>
                <w:rFonts w:eastAsia="Times New Roman" w:cs="Times New Roman"/>
                <w:b/>
                <w:color w:val="000000"/>
                <w:sz w:val="20"/>
                <w:lang w:eastAsia="lt-LT"/>
              </w:rPr>
            </w:pPr>
            <w:r w:rsidRPr="00AF50F2">
              <w:rPr>
                <w:rFonts w:eastAsia="Times New Roman" w:cs="Times New Roman"/>
                <w:b/>
                <w:color w:val="000000"/>
                <w:sz w:val="20"/>
                <w:lang w:eastAsia="lt-LT"/>
              </w:rPr>
              <w:t>Rodiklio vertė</w:t>
            </w:r>
          </w:p>
        </w:tc>
      </w:tr>
      <w:tr w:rsidR="004C0609" w:rsidRPr="00AF50F2" w14:paraId="66BA142C" w14:textId="77777777" w:rsidTr="007739CE">
        <w:trPr>
          <w:trHeight w:val="225"/>
        </w:trPr>
        <w:tc>
          <w:tcPr>
            <w:tcW w:w="5932" w:type="dxa"/>
            <w:shd w:val="clear" w:color="auto" w:fill="auto"/>
            <w:noWrap/>
            <w:vAlign w:val="center"/>
            <w:hideMark/>
          </w:tcPr>
          <w:p w14:paraId="4C511ED9" w14:textId="7C7B11BC" w:rsidR="004C0609" w:rsidRPr="00AF50F2" w:rsidRDefault="004C0609" w:rsidP="000C6260">
            <w:pPr>
              <w:keepNext/>
              <w:spacing w:after="0"/>
              <w:ind w:firstLine="0"/>
              <w:jc w:val="left"/>
              <w:rPr>
                <w:rFonts w:eastAsia="Times New Roman" w:cs="Times New Roman"/>
                <w:color w:val="000000"/>
                <w:sz w:val="20"/>
                <w:lang w:eastAsia="lt-LT"/>
              </w:rPr>
            </w:pPr>
            <w:r w:rsidRPr="00AF50F2">
              <w:rPr>
                <w:rFonts w:eastAsia="Times New Roman" w:cs="Times New Roman"/>
                <w:color w:val="000000"/>
                <w:sz w:val="20"/>
                <w:lang w:eastAsia="lt-LT"/>
              </w:rPr>
              <w:t>Savivaldybių valdomas NT (kv.</w:t>
            </w:r>
            <w:r w:rsidR="006E3A9C" w:rsidRPr="00AF50F2">
              <w:rPr>
                <w:rFonts w:eastAsia="Times New Roman" w:cs="Times New Roman"/>
                <w:color w:val="000000"/>
                <w:sz w:val="20"/>
                <w:lang w:eastAsia="lt-LT"/>
              </w:rPr>
              <w:t xml:space="preserve"> </w:t>
            </w:r>
            <w:r w:rsidRPr="00AF50F2">
              <w:rPr>
                <w:rFonts w:eastAsia="Times New Roman" w:cs="Times New Roman"/>
                <w:color w:val="000000"/>
                <w:sz w:val="20"/>
                <w:lang w:eastAsia="lt-LT"/>
              </w:rPr>
              <w:t>m)</w:t>
            </w:r>
          </w:p>
        </w:tc>
        <w:tc>
          <w:tcPr>
            <w:tcW w:w="3534" w:type="dxa"/>
            <w:shd w:val="clear" w:color="auto" w:fill="auto"/>
            <w:noWrap/>
            <w:vAlign w:val="bottom"/>
            <w:hideMark/>
          </w:tcPr>
          <w:p w14:paraId="5F194006" w14:textId="5A7732F2" w:rsidR="004C0609" w:rsidRPr="00AF50F2" w:rsidRDefault="004C0609" w:rsidP="000C6260">
            <w:pPr>
              <w:keepNext/>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12 100 000</w:t>
            </w:r>
          </w:p>
        </w:tc>
      </w:tr>
      <w:tr w:rsidR="004C0609" w:rsidRPr="00AF50F2" w14:paraId="5F226A3E" w14:textId="77777777" w:rsidTr="007739CE">
        <w:trPr>
          <w:trHeight w:val="225"/>
        </w:trPr>
        <w:tc>
          <w:tcPr>
            <w:tcW w:w="5932" w:type="dxa"/>
            <w:shd w:val="clear" w:color="auto" w:fill="auto"/>
            <w:noWrap/>
            <w:vAlign w:val="center"/>
            <w:hideMark/>
          </w:tcPr>
          <w:p w14:paraId="0BA4CEB4" w14:textId="5BDB5353" w:rsidR="004C0609" w:rsidRPr="00AF50F2" w:rsidRDefault="004C0609" w:rsidP="000C6260">
            <w:pPr>
              <w:keepNext/>
              <w:spacing w:after="0"/>
              <w:ind w:firstLine="0"/>
              <w:jc w:val="left"/>
              <w:rPr>
                <w:rFonts w:eastAsia="Times New Roman" w:cs="Times New Roman"/>
                <w:color w:val="000000"/>
                <w:sz w:val="20"/>
                <w:lang w:eastAsia="lt-LT"/>
              </w:rPr>
            </w:pPr>
            <w:r w:rsidRPr="00AF50F2">
              <w:rPr>
                <w:rFonts w:eastAsia="Times New Roman" w:cs="Times New Roman"/>
                <w:color w:val="000000"/>
                <w:sz w:val="20"/>
                <w:lang w:eastAsia="lt-LT"/>
              </w:rPr>
              <w:t>Nenaudojamas SNT (kv.</w:t>
            </w:r>
            <w:r w:rsidR="006E3A9C" w:rsidRPr="00AF50F2">
              <w:rPr>
                <w:rFonts w:eastAsia="Times New Roman" w:cs="Times New Roman"/>
                <w:color w:val="000000"/>
                <w:sz w:val="20"/>
                <w:lang w:eastAsia="lt-LT"/>
              </w:rPr>
              <w:t xml:space="preserve"> </w:t>
            </w:r>
            <w:r w:rsidRPr="00AF50F2">
              <w:rPr>
                <w:rFonts w:eastAsia="Times New Roman" w:cs="Times New Roman"/>
                <w:color w:val="000000"/>
                <w:sz w:val="20"/>
                <w:lang w:eastAsia="lt-LT"/>
              </w:rPr>
              <w:t>m)</w:t>
            </w:r>
          </w:p>
        </w:tc>
        <w:tc>
          <w:tcPr>
            <w:tcW w:w="3534" w:type="dxa"/>
            <w:shd w:val="clear" w:color="auto" w:fill="auto"/>
            <w:noWrap/>
            <w:vAlign w:val="bottom"/>
            <w:hideMark/>
          </w:tcPr>
          <w:p w14:paraId="4C9A8663" w14:textId="29EA4428" w:rsidR="004C0609" w:rsidRPr="00AF50F2" w:rsidRDefault="004C0609" w:rsidP="000C6260">
            <w:pPr>
              <w:keepNext/>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646 000</w:t>
            </w:r>
          </w:p>
        </w:tc>
      </w:tr>
      <w:tr w:rsidR="004C0609" w:rsidRPr="0044342D" w14:paraId="27680249" w14:textId="77777777" w:rsidTr="007739CE">
        <w:trPr>
          <w:trHeight w:val="225"/>
        </w:trPr>
        <w:tc>
          <w:tcPr>
            <w:tcW w:w="5932" w:type="dxa"/>
            <w:shd w:val="clear" w:color="auto" w:fill="auto"/>
            <w:noWrap/>
            <w:vAlign w:val="center"/>
            <w:hideMark/>
          </w:tcPr>
          <w:p w14:paraId="4652A40A" w14:textId="79F0D6C6" w:rsidR="004C0609" w:rsidRPr="00AF50F2" w:rsidRDefault="004C0609" w:rsidP="000C6260">
            <w:pPr>
              <w:keepNext/>
              <w:spacing w:after="0"/>
              <w:ind w:firstLine="0"/>
              <w:jc w:val="left"/>
              <w:rPr>
                <w:rFonts w:eastAsia="Times New Roman" w:cs="Times New Roman"/>
                <w:color w:val="000000"/>
                <w:sz w:val="20"/>
                <w:lang w:eastAsia="lt-LT"/>
              </w:rPr>
            </w:pPr>
            <w:r w:rsidRPr="00AF50F2">
              <w:rPr>
                <w:rFonts w:eastAsia="Times New Roman" w:cs="Times New Roman"/>
                <w:color w:val="000000"/>
                <w:sz w:val="20"/>
                <w:lang w:eastAsia="lt-LT"/>
              </w:rPr>
              <w:t>Naudojamas SNT (kv.</w:t>
            </w:r>
            <w:r w:rsidR="006E3A9C" w:rsidRPr="00AF50F2">
              <w:rPr>
                <w:rFonts w:eastAsia="Times New Roman" w:cs="Times New Roman"/>
                <w:color w:val="000000"/>
                <w:sz w:val="20"/>
                <w:lang w:eastAsia="lt-LT"/>
              </w:rPr>
              <w:t xml:space="preserve"> </w:t>
            </w:r>
            <w:r w:rsidRPr="00AF50F2">
              <w:rPr>
                <w:rFonts w:eastAsia="Times New Roman" w:cs="Times New Roman"/>
                <w:color w:val="000000"/>
                <w:sz w:val="20"/>
                <w:lang w:eastAsia="lt-LT"/>
              </w:rPr>
              <w:t>m)</w:t>
            </w:r>
          </w:p>
        </w:tc>
        <w:tc>
          <w:tcPr>
            <w:tcW w:w="3534" w:type="dxa"/>
            <w:shd w:val="clear" w:color="auto" w:fill="auto"/>
            <w:noWrap/>
            <w:vAlign w:val="bottom"/>
            <w:hideMark/>
          </w:tcPr>
          <w:p w14:paraId="6B6BF377" w14:textId="568B85A8" w:rsidR="004C0609" w:rsidRPr="00AF50F2" w:rsidRDefault="004C0609" w:rsidP="000C6260">
            <w:pPr>
              <w:keepNext/>
              <w:spacing w:after="0"/>
              <w:ind w:firstLine="0"/>
              <w:jc w:val="center"/>
              <w:rPr>
                <w:rFonts w:eastAsia="Times New Roman" w:cs="Times New Roman"/>
                <w:color w:val="000000"/>
                <w:sz w:val="20"/>
                <w:lang w:eastAsia="lt-LT"/>
              </w:rPr>
            </w:pPr>
            <w:r w:rsidRPr="00AF50F2">
              <w:rPr>
                <w:rFonts w:eastAsia="Times New Roman" w:cs="Times New Roman"/>
                <w:color w:val="000000"/>
                <w:sz w:val="20"/>
                <w:lang w:eastAsia="lt-LT"/>
              </w:rPr>
              <w:t>11 454 000</w:t>
            </w:r>
          </w:p>
        </w:tc>
      </w:tr>
    </w:tbl>
    <w:p w14:paraId="7153E4B6" w14:textId="6BC4EB9D" w:rsidR="00B55C94" w:rsidRPr="00A90D05" w:rsidRDefault="00F77D52" w:rsidP="006B6964">
      <w:pPr>
        <w:keepNext/>
        <w:spacing w:after="0"/>
        <w:jc w:val="left"/>
        <w:rPr>
          <w:rFonts w:cs="Times New Roman"/>
          <w:sz w:val="20"/>
          <w:szCs w:val="20"/>
        </w:rPr>
      </w:pPr>
      <w:r w:rsidRPr="00A90D05">
        <w:rPr>
          <w:rFonts w:cs="Times New Roman"/>
          <w:sz w:val="20"/>
          <w:szCs w:val="20"/>
        </w:rPr>
        <w:t>Šaltinis: sudaryta Vertintojų</w:t>
      </w:r>
    </w:p>
    <w:p w14:paraId="1F8F632A" w14:textId="41301E48" w:rsidR="00880FE9" w:rsidRDefault="004C0609" w:rsidP="00BC7458">
      <w:pPr>
        <w:spacing w:line="276" w:lineRule="auto"/>
        <w:ind w:firstLine="562"/>
      </w:pPr>
      <w:r w:rsidRPr="00A90D05">
        <w:t xml:space="preserve">Kaip galima matyti </w:t>
      </w:r>
      <w:r w:rsidR="00AA30A0" w:rsidRPr="00A90D05">
        <w:t>aukščiau esančioje lentelėje, SNT kiekis išvis siekia daugiau negu 12,1 mln. kv.</w:t>
      </w:r>
      <w:r w:rsidR="006E3A9C">
        <w:t xml:space="preserve"> </w:t>
      </w:r>
      <w:r w:rsidR="00AA30A0" w:rsidRPr="00A90D05">
        <w:t>m. Iš šio kiekio, kiek daugiau nei 0,6</w:t>
      </w:r>
      <w:r w:rsidR="00A703A9">
        <w:t>5</w:t>
      </w:r>
      <w:r w:rsidR="00AA30A0" w:rsidRPr="00A90D05">
        <w:t xml:space="preserve"> mln. kv.</w:t>
      </w:r>
      <w:r w:rsidR="007E2D0E">
        <w:t xml:space="preserve"> </w:t>
      </w:r>
      <w:r w:rsidR="00AA30A0" w:rsidRPr="00A90D05">
        <w:t xml:space="preserve">m. NT yra nenaudojama. </w:t>
      </w:r>
      <w:r w:rsidR="002F5760" w:rsidRPr="00A90D05">
        <w:t>Taigi</w:t>
      </w:r>
      <w:r w:rsidR="00AA30A0" w:rsidRPr="00A90D05">
        <w:t>, naudojamas SNT kiekis, kurį valdant yra patiriamos elektros sąnaudos, siekia 1</w:t>
      </w:r>
      <w:r w:rsidR="00BE0DED" w:rsidRPr="00A90D05">
        <w:t>1</w:t>
      </w:r>
      <w:r w:rsidR="00AA30A0" w:rsidRPr="00A90D05">
        <w:t>,45 mln. kv.</w:t>
      </w:r>
      <w:r w:rsidR="006E3A9C">
        <w:t xml:space="preserve"> </w:t>
      </w:r>
      <w:r w:rsidR="00AA30A0" w:rsidRPr="00A90D05">
        <w:t>m.</w:t>
      </w:r>
    </w:p>
    <w:p w14:paraId="27F6732E" w14:textId="177BF9D7" w:rsidR="001D032A" w:rsidRPr="00A90D05" w:rsidRDefault="001D032A" w:rsidP="00BC7458">
      <w:pPr>
        <w:spacing w:line="276" w:lineRule="auto"/>
        <w:ind w:firstLine="562"/>
      </w:pPr>
      <w:r>
        <w:t xml:space="preserve">Remiantis 2024 m. II </w:t>
      </w:r>
      <w:proofErr w:type="spellStart"/>
      <w:r>
        <w:t>ketv</w:t>
      </w:r>
      <w:proofErr w:type="spellEnd"/>
      <w:r>
        <w:t xml:space="preserve">. atlikto ekspertinio tyrimo, įskaitant interviu su </w:t>
      </w:r>
      <w:r w:rsidR="00A34C3D">
        <w:t>Lietuvos savivaldybių asociacija ir pavienėmis (</w:t>
      </w:r>
      <w:r>
        <w:t>didžiausi</w:t>
      </w:r>
      <w:r w:rsidR="00A34C3D">
        <w:t>omis)</w:t>
      </w:r>
      <w:r>
        <w:t xml:space="preserve"> Lietuvos savivaldybių administracijomis, duomenimis daroma įžvalga, kad savivaldybių nekilnojamo turto dalis, kuri</w:t>
      </w:r>
      <w:r w:rsidR="00CA70D8">
        <w:t xml:space="preserve"> </w:t>
      </w:r>
      <w:r>
        <w:t>savo reikmėms nuomojama rinkoje, gali sudaryti 0,1-0,5 proc. nuo viso naudojamo SNT ploto. Tai galėtų aproksimuotis į 11 000 – 57 000 kv.</w:t>
      </w:r>
      <w:r w:rsidR="006E3A9C">
        <w:t xml:space="preserve"> </w:t>
      </w:r>
      <w:r>
        <w:t xml:space="preserve">m. </w:t>
      </w:r>
    </w:p>
    <w:p w14:paraId="16418021" w14:textId="72955EC2" w:rsidR="00AA30A0" w:rsidRPr="00B168E9" w:rsidRDefault="00AA30A0" w:rsidP="00BC7458">
      <w:pPr>
        <w:spacing w:line="276" w:lineRule="auto"/>
        <w:ind w:firstLine="562"/>
      </w:pPr>
      <w:r w:rsidRPr="00B83508">
        <w:t xml:space="preserve">Identifikavus VNT ir SNT naudojamą plotą, kurį valdant </w:t>
      </w:r>
      <w:r w:rsidR="001D032A" w:rsidRPr="00B83508">
        <w:t xml:space="preserve">(įskaitant nuomos pagrindais) </w:t>
      </w:r>
      <w:r w:rsidRPr="00B83508">
        <w:t xml:space="preserve">yra patiriamos elektros sąnaudos, </w:t>
      </w:r>
      <w:r w:rsidR="00ED19D5" w:rsidRPr="00B168E9">
        <w:t>Vertintojai</w:t>
      </w:r>
      <w:r w:rsidR="008458DA" w:rsidRPr="00B168E9">
        <w:t xml:space="preserve"> ieškojo tinkamiausio įverčio, kuris leistų apskaičiuoti suvartojamas elektros kiekį. </w:t>
      </w:r>
      <w:r w:rsidR="006242B0" w:rsidRPr="00B168E9">
        <w:t>Kadangi Turto banko valdomai</w:t>
      </w:r>
      <w:r w:rsidR="00826055" w:rsidRPr="00B168E9">
        <w:t xml:space="preserve"> NT daliai elektros energijos suvartojimas yra aiškus, tai šiai NT daliai </w:t>
      </w:r>
      <w:r w:rsidR="00826055" w:rsidRPr="00B168E9">
        <w:lastRenderedPageBreak/>
        <w:t>nebuvo ieškoma tinkamo įverčio. Tuo tarpu siekiant tiksliai apskaičiuoti elektros suvartojimą likusiam VNT ir SNT</w:t>
      </w:r>
      <w:r w:rsidR="008458DA" w:rsidRPr="00B168E9">
        <w:t xml:space="preserve"> </w:t>
      </w:r>
      <w:r w:rsidR="00ED19D5" w:rsidRPr="00B168E9">
        <w:t>Vertintojai</w:t>
      </w:r>
      <w:r w:rsidR="00B651A8" w:rsidRPr="00B168E9">
        <w:t xml:space="preserve"> rėmėsi</w:t>
      </w:r>
      <w:r w:rsidR="008458DA" w:rsidRPr="00B168E9">
        <w:t xml:space="preserve"> </w:t>
      </w:r>
      <w:r w:rsidR="00B651A8" w:rsidRPr="00B168E9">
        <w:t>Ilgalaikėje renovacijos strategijoje (toliau – IRS)</w:t>
      </w:r>
      <w:r w:rsidR="00502C34" w:rsidRPr="00B168E9">
        <w:t xml:space="preserve"> pateikiamais elektros suvartojimo</w:t>
      </w:r>
      <w:r w:rsidR="006242B0" w:rsidRPr="00B168E9">
        <w:t xml:space="preserve"> skaičiavimais</w:t>
      </w:r>
      <w:r w:rsidR="00034CAA" w:rsidRPr="00B168E9">
        <w:rPr>
          <w:rStyle w:val="Puslapioinaosnuoroda"/>
        </w:rPr>
        <w:footnoteReference w:id="21"/>
      </w:r>
      <w:r w:rsidR="00B651A8" w:rsidRPr="00B168E9">
        <w:t>. Kaip galima matyti</w:t>
      </w:r>
      <w:r w:rsidR="006242B0" w:rsidRPr="00B168E9">
        <w:t xml:space="preserve"> žemiau esančioje</w:t>
      </w:r>
      <w:r w:rsidR="00B651A8" w:rsidRPr="00B168E9">
        <w:t xml:space="preserve"> lentelėje, IRS pateikiami įverčiai yra iš esmės identiški, n</w:t>
      </w:r>
      <w:r w:rsidR="00C242AA" w:rsidRPr="00B168E9">
        <w:t>epriklausomai nuo pastato tipo</w:t>
      </w:r>
      <w:r w:rsidR="0038336C" w:rsidRPr="00B168E9">
        <w:rPr>
          <w:rStyle w:val="Puslapioinaosnuoroda"/>
        </w:rPr>
        <w:footnoteReference w:id="22"/>
      </w:r>
      <w:r w:rsidR="00C242AA" w:rsidRPr="00B168E9">
        <w:t>. Visų pastatų vidutinis</w:t>
      </w:r>
      <w:r w:rsidR="006B6964" w:rsidRPr="00B168E9">
        <w:t xml:space="preserve"> metinis</w:t>
      </w:r>
      <w:r w:rsidR="00C242AA" w:rsidRPr="00B168E9">
        <w:t xml:space="preserve"> elektros suvartojimas siekia 12,63 </w:t>
      </w:r>
      <w:r w:rsidR="00091DD0" w:rsidRPr="00B168E9">
        <w:t>k</w:t>
      </w:r>
      <w:r w:rsidR="00843EAE" w:rsidRPr="00B168E9">
        <w:t>W</w:t>
      </w:r>
      <w:r w:rsidR="00C242AA" w:rsidRPr="00B168E9">
        <w:t>h/kv.</w:t>
      </w:r>
      <w:r w:rsidR="00F8790D">
        <w:t xml:space="preserve"> </w:t>
      </w:r>
      <w:r w:rsidR="00C242AA" w:rsidRPr="00B168E9">
        <w:t xml:space="preserve">m. Skaičiavimo patogumo tikslais </w:t>
      </w:r>
      <w:r w:rsidR="00ED19D5" w:rsidRPr="00B168E9">
        <w:t>Vertintojai</w:t>
      </w:r>
      <w:r w:rsidR="00C242AA" w:rsidRPr="00B168E9">
        <w:t xml:space="preserve"> minėtą įvertį </w:t>
      </w:r>
      <w:proofErr w:type="spellStart"/>
      <w:r w:rsidR="00C242AA" w:rsidRPr="00B168E9">
        <w:t>suvidurkino</w:t>
      </w:r>
      <w:proofErr w:type="spellEnd"/>
      <w:r w:rsidR="00C242AA" w:rsidRPr="00B168E9">
        <w:t xml:space="preserve"> iki</w:t>
      </w:r>
      <w:r w:rsidR="00B651A8" w:rsidRPr="00B168E9">
        <w:t xml:space="preserve"> 13</w:t>
      </w:r>
      <w:r w:rsidR="00C242AA" w:rsidRPr="00B168E9">
        <w:t xml:space="preserve"> </w:t>
      </w:r>
      <w:proofErr w:type="spellStart"/>
      <w:r w:rsidR="00091DD0" w:rsidRPr="00B168E9">
        <w:t>k</w:t>
      </w:r>
      <w:r w:rsidR="00843EAE" w:rsidRPr="00B168E9">
        <w:t>W</w:t>
      </w:r>
      <w:r w:rsidR="00C242AA" w:rsidRPr="00B168E9">
        <w:t>h</w:t>
      </w:r>
      <w:proofErr w:type="spellEnd"/>
      <w:r w:rsidR="00C242AA" w:rsidRPr="00B168E9">
        <w:t>/kv.</w:t>
      </w:r>
      <w:r w:rsidR="00206E3D">
        <w:t xml:space="preserve"> </w:t>
      </w:r>
      <w:r w:rsidR="00C242AA" w:rsidRPr="00B168E9">
        <w:t>m. ir nusprendė naudoti tolimesniuose skaičiavimuose.</w:t>
      </w:r>
    </w:p>
    <w:p w14:paraId="6D7D0B39" w14:textId="26DFC4AE" w:rsidR="008458DA" w:rsidRPr="00B168E9" w:rsidRDefault="008458DA" w:rsidP="008458DA">
      <w:pPr>
        <w:keepNext/>
        <w:ind w:firstLine="0"/>
        <w:rPr>
          <w:rFonts w:cs="Times New Roman"/>
          <w:i/>
          <w:iCs/>
        </w:rPr>
      </w:pPr>
      <w:bookmarkStart w:id="60" w:name="_Toc126051382"/>
      <w:bookmarkStart w:id="61" w:name="_Toc166139857"/>
      <w:bookmarkStart w:id="62" w:name="_Toc170804623"/>
      <w:r w:rsidRPr="00B168E9">
        <w:rPr>
          <w:rFonts w:cs="Times New Roman"/>
          <w:i/>
          <w:iCs/>
        </w:rPr>
        <w:t xml:space="preserve">Lentelė </w:t>
      </w:r>
      <w:r w:rsidRPr="00B168E9">
        <w:rPr>
          <w:rFonts w:cs="Times New Roman"/>
          <w:i/>
          <w:iCs/>
        </w:rPr>
        <w:fldChar w:fldCharType="begin"/>
      </w:r>
      <w:r w:rsidRPr="00B168E9">
        <w:rPr>
          <w:rFonts w:cs="Times New Roman"/>
          <w:i/>
          <w:iCs/>
        </w:rPr>
        <w:instrText xml:space="preserve"> SEQ Lentelė \* ARABIC </w:instrText>
      </w:r>
      <w:r w:rsidRPr="00B168E9">
        <w:rPr>
          <w:rFonts w:cs="Times New Roman"/>
          <w:i/>
          <w:iCs/>
        </w:rPr>
        <w:fldChar w:fldCharType="separate"/>
      </w:r>
      <w:r w:rsidR="00347605">
        <w:rPr>
          <w:rFonts w:cs="Times New Roman"/>
          <w:i/>
          <w:iCs/>
          <w:noProof/>
        </w:rPr>
        <w:t>7</w:t>
      </w:r>
      <w:r w:rsidRPr="00B168E9">
        <w:rPr>
          <w:rFonts w:cs="Times New Roman"/>
          <w:i/>
          <w:iCs/>
        </w:rPr>
        <w:fldChar w:fldCharType="end"/>
      </w:r>
      <w:r w:rsidRPr="00B168E9">
        <w:rPr>
          <w:rFonts w:cs="Times New Roman"/>
          <w:i/>
          <w:iCs/>
        </w:rPr>
        <w:t>. Elektros suvartojimo vienam kv.</w:t>
      </w:r>
      <w:r w:rsidR="00206E3D">
        <w:rPr>
          <w:rFonts w:cs="Times New Roman"/>
          <w:i/>
          <w:iCs/>
        </w:rPr>
        <w:t xml:space="preserve"> </w:t>
      </w:r>
      <w:r w:rsidRPr="00B168E9">
        <w:rPr>
          <w:rFonts w:cs="Times New Roman"/>
          <w:i/>
          <w:iCs/>
        </w:rPr>
        <w:t>m. (</w:t>
      </w:r>
      <w:r w:rsidR="00091DD0" w:rsidRPr="00B168E9">
        <w:rPr>
          <w:rFonts w:cs="Times New Roman"/>
          <w:i/>
          <w:iCs/>
        </w:rPr>
        <w:t>k</w:t>
      </w:r>
      <w:r w:rsidR="00843EAE" w:rsidRPr="00B168E9">
        <w:rPr>
          <w:rFonts w:cs="Times New Roman"/>
          <w:i/>
          <w:iCs/>
        </w:rPr>
        <w:t>W</w:t>
      </w:r>
      <w:r w:rsidRPr="00B168E9">
        <w:rPr>
          <w:rFonts w:cs="Times New Roman"/>
          <w:i/>
          <w:iCs/>
        </w:rPr>
        <w:t>h/kv.</w:t>
      </w:r>
      <w:r w:rsidR="00206E3D">
        <w:rPr>
          <w:rFonts w:cs="Times New Roman"/>
          <w:i/>
          <w:iCs/>
        </w:rPr>
        <w:t xml:space="preserve"> </w:t>
      </w:r>
      <w:r w:rsidRPr="00B168E9">
        <w:rPr>
          <w:rFonts w:cs="Times New Roman"/>
          <w:i/>
          <w:iCs/>
        </w:rPr>
        <w:t>m) įverčiai</w:t>
      </w:r>
      <w:bookmarkEnd w:id="60"/>
      <w:bookmarkEnd w:id="61"/>
      <w:bookmarkEnd w:id="62"/>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599"/>
      </w:tblGrid>
      <w:tr w:rsidR="00AA30A0" w:rsidRPr="0044342D" w14:paraId="2C34730B" w14:textId="77777777" w:rsidTr="007863F6">
        <w:trPr>
          <w:trHeight w:val="37"/>
          <w:tblHeader/>
        </w:trPr>
        <w:tc>
          <w:tcPr>
            <w:tcW w:w="4757" w:type="dxa"/>
            <w:shd w:val="clear" w:color="auto" w:fill="auto"/>
            <w:noWrap/>
            <w:vAlign w:val="center"/>
            <w:hideMark/>
          </w:tcPr>
          <w:p w14:paraId="79350687" w14:textId="77777777" w:rsidR="00AA30A0" w:rsidRPr="00B168E9" w:rsidRDefault="00AA30A0" w:rsidP="000C6260">
            <w:pPr>
              <w:spacing w:after="0"/>
              <w:ind w:firstLine="0"/>
              <w:jc w:val="center"/>
              <w:rPr>
                <w:rFonts w:eastAsia="Times New Roman" w:cs="Times New Roman"/>
                <w:b/>
                <w:bCs/>
                <w:color w:val="000000"/>
                <w:sz w:val="20"/>
                <w:szCs w:val="20"/>
                <w:lang w:eastAsia="lt-LT"/>
              </w:rPr>
            </w:pPr>
            <w:r w:rsidRPr="00B168E9">
              <w:rPr>
                <w:rFonts w:eastAsia="Times New Roman" w:cs="Times New Roman"/>
                <w:b/>
                <w:bCs/>
                <w:color w:val="000000"/>
                <w:sz w:val="20"/>
                <w:szCs w:val="20"/>
                <w:lang w:eastAsia="lt-LT"/>
              </w:rPr>
              <w:t>Informacijos šaltinis</w:t>
            </w:r>
          </w:p>
        </w:tc>
        <w:tc>
          <w:tcPr>
            <w:tcW w:w="4599" w:type="dxa"/>
            <w:shd w:val="clear" w:color="auto" w:fill="auto"/>
            <w:noWrap/>
            <w:vAlign w:val="center"/>
            <w:hideMark/>
          </w:tcPr>
          <w:p w14:paraId="024856BE" w14:textId="02267094" w:rsidR="00AA30A0" w:rsidRPr="00B168E9" w:rsidRDefault="00AA30A0" w:rsidP="000C6260">
            <w:pPr>
              <w:spacing w:after="0"/>
              <w:ind w:firstLine="0"/>
              <w:jc w:val="center"/>
              <w:rPr>
                <w:rFonts w:eastAsia="Times New Roman" w:cs="Times New Roman"/>
                <w:b/>
                <w:color w:val="000000"/>
                <w:sz w:val="20"/>
                <w:szCs w:val="20"/>
                <w:lang w:eastAsia="lt-LT"/>
              </w:rPr>
            </w:pPr>
            <w:r w:rsidRPr="00B168E9">
              <w:rPr>
                <w:rFonts w:eastAsia="Times New Roman" w:cs="Times New Roman"/>
                <w:b/>
                <w:color w:val="000000"/>
                <w:sz w:val="20"/>
                <w:szCs w:val="20"/>
                <w:lang w:eastAsia="lt-LT"/>
              </w:rPr>
              <w:t>Elektros suvartojimas 1 (</w:t>
            </w:r>
            <w:r w:rsidR="00091DD0" w:rsidRPr="00B168E9">
              <w:rPr>
                <w:rFonts w:eastAsia="Times New Roman" w:cs="Times New Roman"/>
                <w:b/>
                <w:color w:val="000000"/>
                <w:sz w:val="20"/>
                <w:szCs w:val="20"/>
                <w:lang w:eastAsia="lt-LT"/>
              </w:rPr>
              <w:t>k</w:t>
            </w:r>
            <w:r w:rsidR="00843EAE" w:rsidRPr="00B168E9">
              <w:rPr>
                <w:rFonts w:eastAsia="Times New Roman" w:cs="Times New Roman"/>
                <w:b/>
                <w:color w:val="000000"/>
                <w:sz w:val="20"/>
                <w:szCs w:val="20"/>
                <w:lang w:eastAsia="lt-LT"/>
              </w:rPr>
              <w:t>W</w:t>
            </w:r>
            <w:r w:rsidRPr="00B168E9">
              <w:rPr>
                <w:rFonts w:eastAsia="Times New Roman" w:cs="Times New Roman"/>
                <w:b/>
                <w:color w:val="000000"/>
                <w:sz w:val="20"/>
                <w:szCs w:val="20"/>
                <w:lang w:eastAsia="lt-LT"/>
              </w:rPr>
              <w:t>h/kv.</w:t>
            </w:r>
            <w:r w:rsidR="00206E3D">
              <w:rPr>
                <w:rFonts w:eastAsia="Times New Roman" w:cs="Times New Roman"/>
                <w:b/>
                <w:color w:val="000000"/>
                <w:sz w:val="20"/>
                <w:szCs w:val="20"/>
                <w:lang w:eastAsia="lt-LT"/>
              </w:rPr>
              <w:t xml:space="preserve"> </w:t>
            </w:r>
            <w:r w:rsidRPr="00B168E9">
              <w:rPr>
                <w:rFonts w:eastAsia="Times New Roman" w:cs="Times New Roman"/>
                <w:b/>
                <w:color w:val="000000"/>
                <w:sz w:val="20"/>
                <w:szCs w:val="20"/>
                <w:lang w:eastAsia="lt-LT"/>
              </w:rPr>
              <w:t>m)</w:t>
            </w:r>
          </w:p>
        </w:tc>
      </w:tr>
      <w:tr w:rsidR="00AA30A0" w:rsidRPr="0044342D" w14:paraId="30B1E70B" w14:textId="77777777" w:rsidTr="00E24002">
        <w:trPr>
          <w:trHeight w:val="37"/>
        </w:trPr>
        <w:tc>
          <w:tcPr>
            <w:tcW w:w="4757" w:type="dxa"/>
            <w:shd w:val="clear" w:color="auto" w:fill="auto"/>
            <w:noWrap/>
            <w:vAlign w:val="center"/>
            <w:hideMark/>
          </w:tcPr>
          <w:p w14:paraId="100F6571" w14:textId="5F449C2C" w:rsidR="00AA30A0" w:rsidRPr="00B168E9" w:rsidRDefault="00FE2797" w:rsidP="000C6260">
            <w:pPr>
              <w:spacing w:after="0"/>
              <w:ind w:firstLine="0"/>
              <w:jc w:val="left"/>
              <w:rPr>
                <w:rFonts w:eastAsia="Times New Roman" w:cs="Times New Roman"/>
                <w:color w:val="000000"/>
                <w:sz w:val="20"/>
                <w:szCs w:val="20"/>
                <w:lang w:eastAsia="lt-LT"/>
              </w:rPr>
            </w:pPr>
            <w:r w:rsidRPr="00B168E9">
              <w:rPr>
                <w:rFonts w:eastAsia="Times New Roman" w:cs="Times New Roman"/>
                <w:color w:val="000000"/>
                <w:sz w:val="20"/>
                <w:szCs w:val="20"/>
                <w:lang w:eastAsia="lt-LT"/>
              </w:rPr>
              <w:t>IRS, visi pastatai:</w:t>
            </w:r>
          </w:p>
        </w:tc>
        <w:tc>
          <w:tcPr>
            <w:tcW w:w="4599" w:type="dxa"/>
            <w:shd w:val="clear" w:color="auto" w:fill="auto"/>
            <w:noWrap/>
            <w:vAlign w:val="center"/>
            <w:hideMark/>
          </w:tcPr>
          <w:p w14:paraId="39B35ADF"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12,63</w:t>
            </w:r>
          </w:p>
        </w:tc>
      </w:tr>
      <w:tr w:rsidR="00AA30A0" w:rsidRPr="0044342D" w14:paraId="48494313" w14:textId="77777777" w:rsidTr="00E24002">
        <w:trPr>
          <w:trHeight w:val="37"/>
        </w:trPr>
        <w:tc>
          <w:tcPr>
            <w:tcW w:w="4757" w:type="dxa"/>
            <w:shd w:val="clear" w:color="auto" w:fill="auto"/>
            <w:noWrap/>
            <w:vAlign w:val="center"/>
            <w:hideMark/>
          </w:tcPr>
          <w:p w14:paraId="33F95628"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1.Gyvenamieji</w:t>
            </w:r>
          </w:p>
        </w:tc>
        <w:tc>
          <w:tcPr>
            <w:tcW w:w="4599" w:type="dxa"/>
            <w:shd w:val="clear" w:color="auto" w:fill="auto"/>
            <w:noWrap/>
            <w:vAlign w:val="center"/>
            <w:hideMark/>
          </w:tcPr>
          <w:p w14:paraId="7F6B091B"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12,97</w:t>
            </w:r>
          </w:p>
        </w:tc>
      </w:tr>
      <w:tr w:rsidR="00AA30A0" w:rsidRPr="0044342D" w14:paraId="79334CD5" w14:textId="77777777" w:rsidTr="00E24002">
        <w:trPr>
          <w:trHeight w:val="37"/>
        </w:trPr>
        <w:tc>
          <w:tcPr>
            <w:tcW w:w="4757" w:type="dxa"/>
            <w:shd w:val="clear" w:color="auto" w:fill="auto"/>
            <w:noWrap/>
            <w:vAlign w:val="center"/>
            <w:hideMark/>
          </w:tcPr>
          <w:p w14:paraId="3D9F09E4"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1.1.Individualūs</w:t>
            </w:r>
          </w:p>
        </w:tc>
        <w:tc>
          <w:tcPr>
            <w:tcW w:w="4599" w:type="dxa"/>
            <w:shd w:val="clear" w:color="auto" w:fill="auto"/>
            <w:noWrap/>
            <w:vAlign w:val="center"/>
            <w:hideMark/>
          </w:tcPr>
          <w:p w14:paraId="194B4F70"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9,82</w:t>
            </w:r>
          </w:p>
        </w:tc>
      </w:tr>
      <w:tr w:rsidR="00AA30A0" w:rsidRPr="0044342D" w14:paraId="22B5C776" w14:textId="77777777" w:rsidTr="00E24002">
        <w:trPr>
          <w:trHeight w:val="37"/>
        </w:trPr>
        <w:tc>
          <w:tcPr>
            <w:tcW w:w="4757" w:type="dxa"/>
            <w:shd w:val="clear" w:color="auto" w:fill="auto"/>
            <w:noWrap/>
            <w:vAlign w:val="center"/>
            <w:hideMark/>
          </w:tcPr>
          <w:p w14:paraId="40177CB8"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1.2.Daugiabučiai</w:t>
            </w:r>
          </w:p>
        </w:tc>
        <w:tc>
          <w:tcPr>
            <w:tcW w:w="4599" w:type="dxa"/>
            <w:shd w:val="clear" w:color="auto" w:fill="auto"/>
            <w:noWrap/>
            <w:vAlign w:val="center"/>
            <w:hideMark/>
          </w:tcPr>
          <w:p w14:paraId="601863B4"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16,65</w:t>
            </w:r>
          </w:p>
        </w:tc>
      </w:tr>
      <w:tr w:rsidR="00AA30A0" w:rsidRPr="0044342D" w14:paraId="0251AF41" w14:textId="77777777" w:rsidTr="00E24002">
        <w:trPr>
          <w:trHeight w:val="37"/>
        </w:trPr>
        <w:tc>
          <w:tcPr>
            <w:tcW w:w="4757" w:type="dxa"/>
            <w:shd w:val="clear" w:color="auto" w:fill="auto"/>
            <w:noWrap/>
            <w:vAlign w:val="center"/>
            <w:hideMark/>
          </w:tcPr>
          <w:p w14:paraId="32B1AFE4"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2.Negyvenamieji</w:t>
            </w:r>
          </w:p>
        </w:tc>
        <w:tc>
          <w:tcPr>
            <w:tcW w:w="4599" w:type="dxa"/>
            <w:shd w:val="clear" w:color="auto" w:fill="auto"/>
            <w:noWrap/>
            <w:vAlign w:val="center"/>
            <w:hideMark/>
          </w:tcPr>
          <w:p w14:paraId="65B5963E"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12,01</w:t>
            </w:r>
          </w:p>
        </w:tc>
      </w:tr>
      <w:tr w:rsidR="00AA30A0" w:rsidRPr="0044342D" w14:paraId="0E8B094C" w14:textId="77777777" w:rsidTr="00E24002">
        <w:trPr>
          <w:trHeight w:val="37"/>
        </w:trPr>
        <w:tc>
          <w:tcPr>
            <w:tcW w:w="4757" w:type="dxa"/>
            <w:shd w:val="clear" w:color="auto" w:fill="auto"/>
            <w:noWrap/>
            <w:vAlign w:val="center"/>
            <w:hideMark/>
          </w:tcPr>
          <w:p w14:paraId="12BD0537"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2.1.Pramonės</w:t>
            </w:r>
          </w:p>
        </w:tc>
        <w:tc>
          <w:tcPr>
            <w:tcW w:w="4599" w:type="dxa"/>
            <w:shd w:val="clear" w:color="auto" w:fill="auto"/>
            <w:noWrap/>
            <w:vAlign w:val="center"/>
            <w:hideMark/>
          </w:tcPr>
          <w:p w14:paraId="787DD616"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11,61</w:t>
            </w:r>
          </w:p>
        </w:tc>
      </w:tr>
      <w:tr w:rsidR="00AA30A0" w:rsidRPr="0044342D" w14:paraId="44C42609" w14:textId="77777777" w:rsidTr="00E24002">
        <w:trPr>
          <w:trHeight w:val="37"/>
        </w:trPr>
        <w:tc>
          <w:tcPr>
            <w:tcW w:w="4757" w:type="dxa"/>
            <w:shd w:val="clear" w:color="auto" w:fill="auto"/>
            <w:noWrap/>
            <w:vAlign w:val="center"/>
            <w:hideMark/>
          </w:tcPr>
          <w:p w14:paraId="06F07377"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2.2.Administraciniai</w:t>
            </w:r>
          </w:p>
        </w:tc>
        <w:tc>
          <w:tcPr>
            <w:tcW w:w="4599" w:type="dxa"/>
            <w:shd w:val="clear" w:color="auto" w:fill="auto"/>
            <w:noWrap/>
            <w:vAlign w:val="center"/>
            <w:hideMark/>
          </w:tcPr>
          <w:p w14:paraId="518A6150"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13,77</w:t>
            </w:r>
          </w:p>
        </w:tc>
      </w:tr>
      <w:tr w:rsidR="00AA30A0" w:rsidRPr="0044342D" w14:paraId="3716E82F" w14:textId="77777777" w:rsidTr="00E24002">
        <w:trPr>
          <w:trHeight w:val="37"/>
        </w:trPr>
        <w:tc>
          <w:tcPr>
            <w:tcW w:w="4757" w:type="dxa"/>
            <w:shd w:val="clear" w:color="auto" w:fill="auto"/>
            <w:noWrap/>
            <w:vAlign w:val="center"/>
            <w:hideMark/>
          </w:tcPr>
          <w:p w14:paraId="33F3F74B"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2.3.Mokslo</w:t>
            </w:r>
          </w:p>
        </w:tc>
        <w:tc>
          <w:tcPr>
            <w:tcW w:w="4599" w:type="dxa"/>
            <w:shd w:val="clear" w:color="auto" w:fill="auto"/>
            <w:noWrap/>
            <w:vAlign w:val="center"/>
            <w:hideMark/>
          </w:tcPr>
          <w:p w14:paraId="3162D1C9"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6,94</w:t>
            </w:r>
          </w:p>
        </w:tc>
      </w:tr>
      <w:tr w:rsidR="00AA30A0" w:rsidRPr="0044342D" w14:paraId="77C54F2E" w14:textId="77777777" w:rsidTr="00E24002">
        <w:trPr>
          <w:trHeight w:val="37"/>
        </w:trPr>
        <w:tc>
          <w:tcPr>
            <w:tcW w:w="4757" w:type="dxa"/>
            <w:shd w:val="clear" w:color="auto" w:fill="auto"/>
            <w:noWrap/>
            <w:vAlign w:val="center"/>
            <w:hideMark/>
          </w:tcPr>
          <w:p w14:paraId="04D61697"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2.4.Prekybos</w:t>
            </w:r>
          </w:p>
        </w:tc>
        <w:tc>
          <w:tcPr>
            <w:tcW w:w="4599" w:type="dxa"/>
            <w:shd w:val="clear" w:color="auto" w:fill="auto"/>
            <w:noWrap/>
            <w:vAlign w:val="center"/>
            <w:hideMark/>
          </w:tcPr>
          <w:p w14:paraId="242D4539"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15,00</w:t>
            </w:r>
          </w:p>
        </w:tc>
      </w:tr>
      <w:tr w:rsidR="00AA30A0" w:rsidRPr="0044342D" w14:paraId="4AA73F42" w14:textId="77777777" w:rsidTr="00E24002">
        <w:trPr>
          <w:trHeight w:val="37"/>
        </w:trPr>
        <w:tc>
          <w:tcPr>
            <w:tcW w:w="4757" w:type="dxa"/>
            <w:shd w:val="clear" w:color="auto" w:fill="auto"/>
            <w:noWrap/>
            <w:vAlign w:val="center"/>
            <w:hideMark/>
          </w:tcPr>
          <w:p w14:paraId="677B8FBE"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2.5.Gydymo</w:t>
            </w:r>
          </w:p>
        </w:tc>
        <w:tc>
          <w:tcPr>
            <w:tcW w:w="4599" w:type="dxa"/>
            <w:shd w:val="clear" w:color="auto" w:fill="auto"/>
            <w:noWrap/>
            <w:vAlign w:val="center"/>
            <w:hideMark/>
          </w:tcPr>
          <w:p w14:paraId="0A466BEE"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14,56</w:t>
            </w:r>
          </w:p>
        </w:tc>
      </w:tr>
      <w:tr w:rsidR="00AA30A0" w:rsidRPr="0044342D" w14:paraId="531AA293" w14:textId="77777777" w:rsidTr="00E24002">
        <w:trPr>
          <w:trHeight w:val="37"/>
        </w:trPr>
        <w:tc>
          <w:tcPr>
            <w:tcW w:w="4757" w:type="dxa"/>
            <w:shd w:val="clear" w:color="auto" w:fill="auto"/>
            <w:noWrap/>
            <w:vAlign w:val="center"/>
            <w:hideMark/>
          </w:tcPr>
          <w:p w14:paraId="0D32B0DB"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2.6.Kultūros</w:t>
            </w:r>
          </w:p>
        </w:tc>
        <w:tc>
          <w:tcPr>
            <w:tcW w:w="4599" w:type="dxa"/>
            <w:shd w:val="clear" w:color="auto" w:fill="auto"/>
            <w:noWrap/>
            <w:vAlign w:val="center"/>
            <w:hideMark/>
          </w:tcPr>
          <w:p w14:paraId="6CB767EB"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13,23</w:t>
            </w:r>
          </w:p>
        </w:tc>
      </w:tr>
      <w:tr w:rsidR="00AA30A0" w:rsidRPr="0044342D" w14:paraId="1624AA5D" w14:textId="77777777" w:rsidTr="00E24002">
        <w:trPr>
          <w:trHeight w:val="37"/>
        </w:trPr>
        <w:tc>
          <w:tcPr>
            <w:tcW w:w="4757" w:type="dxa"/>
            <w:shd w:val="clear" w:color="auto" w:fill="auto"/>
            <w:noWrap/>
            <w:vAlign w:val="center"/>
            <w:hideMark/>
          </w:tcPr>
          <w:p w14:paraId="3FDBB326"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2.7.Apgyvendinimo</w:t>
            </w:r>
          </w:p>
        </w:tc>
        <w:tc>
          <w:tcPr>
            <w:tcW w:w="4599" w:type="dxa"/>
            <w:shd w:val="clear" w:color="auto" w:fill="auto"/>
            <w:noWrap/>
            <w:vAlign w:val="center"/>
            <w:hideMark/>
          </w:tcPr>
          <w:p w14:paraId="6A749929"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13,60</w:t>
            </w:r>
          </w:p>
        </w:tc>
      </w:tr>
      <w:tr w:rsidR="00AA30A0" w:rsidRPr="0044342D" w14:paraId="50499B82" w14:textId="77777777" w:rsidTr="00E24002">
        <w:trPr>
          <w:trHeight w:val="37"/>
        </w:trPr>
        <w:tc>
          <w:tcPr>
            <w:tcW w:w="4757" w:type="dxa"/>
            <w:shd w:val="clear" w:color="auto" w:fill="auto"/>
            <w:noWrap/>
            <w:vAlign w:val="center"/>
            <w:hideMark/>
          </w:tcPr>
          <w:p w14:paraId="17A87DEA"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2.8.Paslaugų</w:t>
            </w:r>
          </w:p>
        </w:tc>
        <w:tc>
          <w:tcPr>
            <w:tcW w:w="4599" w:type="dxa"/>
            <w:shd w:val="clear" w:color="auto" w:fill="auto"/>
            <w:noWrap/>
            <w:vAlign w:val="center"/>
            <w:hideMark/>
          </w:tcPr>
          <w:p w14:paraId="35F34277"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13,19</w:t>
            </w:r>
          </w:p>
        </w:tc>
      </w:tr>
      <w:tr w:rsidR="00AA30A0" w:rsidRPr="0044342D" w14:paraId="5094E440" w14:textId="77777777" w:rsidTr="00E24002">
        <w:trPr>
          <w:trHeight w:val="37"/>
        </w:trPr>
        <w:tc>
          <w:tcPr>
            <w:tcW w:w="4757" w:type="dxa"/>
            <w:shd w:val="clear" w:color="auto" w:fill="auto"/>
            <w:noWrap/>
            <w:vAlign w:val="center"/>
            <w:hideMark/>
          </w:tcPr>
          <w:p w14:paraId="32DFA09F" w14:textId="77777777" w:rsidR="00AA30A0" w:rsidRPr="00B168E9" w:rsidRDefault="00AA30A0" w:rsidP="000C6260">
            <w:pPr>
              <w:spacing w:after="0"/>
              <w:ind w:firstLine="0"/>
              <w:jc w:val="right"/>
              <w:rPr>
                <w:rFonts w:eastAsia="Times New Roman" w:cs="Times New Roman"/>
                <w:color w:val="000000"/>
                <w:sz w:val="20"/>
                <w:szCs w:val="20"/>
                <w:lang w:eastAsia="lt-LT"/>
              </w:rPr>
            </w:pPr>
            <w:r w:rsidRPr="00B168E9">
              <w:rPr>
                <w:rFonts w:eastAsia="Times New Roman" w:cs="Times New Roman"/>
                <w:color w:val="000000"/>
                <w:sz w:val="20"/>
                <w:szCs w:val="20"/>
                <w:lang w:eastAsia="lt-LT"/>
              </w:rPr>
              <w:t>2.9.Kita</w:t>
            </w:r>
          </w:p>
        </w:tc>
        <w:tc>
          <w:tcPr>
            <w:tcW w:w="4599" w:type="dxa"/>
            <w:shd w:val="clear" w:color="auto" w:fill="auto"/>
            <w:noWrap/>
            <w:vAlign w:val="center"/>
            <w:hideMark/>
          </w:tcPr>
          <w:p w14:paraId="4821B7CC" w14:textId="77777777" w:rsidR="00AA30A0" w:rsidRPr="00B168E9" w:rsidRDefault="00AA30A0" w:rsidP="000C6260">
            <w:pPr>
              <w:spacing w:after="0"/>
              <w:ind w:firstLine="0"/>
              <w:jc w:val="center"/>
              <w:rPr>
                <w:rFonts w:eastAsia="Times New Roman" w:cs="Times New Roman"/>
                <w:color w:val="000000"/>
                <w:sz w:val="20"/>
                <w:szCs w:val="20"/>
                <w:lang w:eastAsia="lt-LT"/>
              </w:rPr>
            </w:pPr>
            <w:r w:rsidRPr="00B168E9">
              <w:rPr>
                <w:rFonts w:eastAsia="Times New Roman" w:cs="Times New Roman"/>
                <w:color w:val="000000"/>
                <w:sz w:val="20"/>
                <w:szCs w:val="20"/>
                <w:lang w:eastAsia="lt-LT"/>
              </w:rPr>
              <w:t>13,21</w:t>
            </w:r>
          </w:p>
        </w:tc>
      </w:tr>
    </w:tbl>
    <w:p w14:paraId="784259B0" w14:textId="2E78F858" w:rsidR="00B55C94" w:rsidRPr="00944F9E" w:rsidRDefault="00DE2DAC" w:rsidP="006B6964">
      <w:pPr>
        <w:keepNext/>
        <w:spacing w:after="0"/>
        <w:jc w:val="left"/>
        <w:rPr>
          <w:rFonts w:cs="Times New Roman"/>
          <w:sz w:val="20"/>
          <w:szCs w:val="20"/>
        </w:rPr>
      </w:pPr>
      <w:r w:rsidRPr="00944F9E">
        <w:rPr>
          <w:rFonts w:cs="Times New Roman"/>
          <w:sz w:val="20"/>
          <w:szCs w:val="20"/>
        </w:rPr>
        <w:t>Šaltinis: sudaryta Vertintojų</w:t>
      </w:r>
    </w:p>
    <w:p w14:paraId="20F6C609" w14:textId="0970A0BB" w:rsidR="00B55C94" w:rsidRPr="00E24002" w:rsidRDefault="00C242AA" w:rsidP="006B6964">
      <w:pPr>
        <w:spacing w:line="276" w:lineRule="auto"/>
        <w:ind w:firstLine="562"/>
        <w:rPr>
          <w:highlight w:val="yellow"/>
        </w:rPr>
      </w:pPr>
      <w:r w:rsidRPr="00045E05">
        <w:t>Atrinkus elektros suv</w:t>
      </w:r>
      <w:r w:rsidR="006242B0" w:rsidRPr="00045E05">
        <w:t xml:space="preserve">artojimo įvertį (13 </w:t>
      </w:r>
      <w:r w:rsidR="00091DD0" w:rsidRPr="00045E05">
        <w:t>k</w:t>
      </w:r>
      <w:r w:rsidR="00843EAE" w:rsidRPr="00045E05">
        <w:t>W</w:t>
      </w:r>
      <w:r w:rsidR="006242B0" w:rsidRPr="00045E05">
        <w:t>h/kv.</w:t>
      </w:r>
      <w:r w:rsidR="00B73DD0" w:rsidRPr="00045E05">
        <w:t xml:space="preserve"> </w:t>
      </w:r>
      <w:r w:rsidR="006242B0" w:rsidRPr="00045E05">
        <w:t>m),</w:t>
      </w:r>
      <w:r w:rsidRPr="00045E05">
        <w:t xml:space="preserve"> žinant visą naudojamą VNT</w:t>
      </w:r>
      <w:r w:rsidR="00826055" w:rsidRPr="00045E05">
        <w:t xml:space="preserve"> (be Turto banko dalies)</w:t>
      </w:r>
      <w:r w:rsidRPr="00045E05">
        <w:t xml:space="preserve"> ir SNT plotą</w:t>
      </w:r>
      <w:r w:rsidR="006242B0" w:rsidRPr="00045E05">
        <w:t xml:space="preserve"> bei suvartojamos elektros kiekį Turto banko valdomame NT</w:t>
      </w:r>
      <w:r w:rsidRPr="00045E05">
        <w:t>,</w:t>
      </w:r>
      <w:r w:rsidRPr="00B168E9">
        <w:t xml:space="preserve"> </w:t>
      </w:r>
      <w:r w:rsidR="00ED19D5" w:rsidRPr="00B168E9">
        <w:t>Vertintojai</w:t>
      </w:r>
      <w:r w:rsidRPr="00B168E9">
        <w:t xml:space="preserve"> apskaičiavo visos suvartojamos elektros energijos kiekį</w:t>
      </w:r>
      <w:r w:rsidR="006242B0" w:rsidRPr="00B168E9">
        <w:t xml:space="preserve"> viešuosiuose pastatuose</w:t>
      </w:r>
      <w:r w:rsidRPr="00B168E9">
        <w:t xml:space="preserve">. </w:t>
      </w:r>
      <w:r w:rsidR="002F5760" w:rsidRPr="00B168E9">
        <w:t xml:space="preserve">Kaip galima matyti lentelėje </w:t>
      </w:r>
      <w:r w:rsidR="003C0378" w:rsidRPr="00B168E9">
        <w:t>N</w:t>
      </w:r>
      <w:r w:rsidR="002F5760" w:rsidRPr="00B168E9">
        <w:t xml:space="preserve">r. 8, </w:t>
      </w:r>
      <w:r w:rsidR="002F5760" w:rsidRPr="00B168E9">
        <w:rPr>
          <w:b/>
        </w:rPr>
        <w:t>a</w:t>
      </w:r>
      <w:r w:rsidR="0038336C" w:rsidRPr="00B168E9">
        <w:rPr>
          <w:b/>
        </w:rPr>
        <w:t xml:space="preserve">pskaičiuotas suvartojamos elektros </w:t>
      </w:r>
      <w:r w:rsidRPr="00B168E9">
        <w:rPr>
          <w:b/>
        </w:rPr>
        <w:t>e</w:t>
      </w:r>
      <w:r w:rsidR="006242B0" w:rsidRPr="00B168E9">
        <w:rPr>
          <w:b/>
        </w:rPr>
        <w:t xml:space="preserve">nergijos kiekis </w:t>
      </w:r>
      <w:r w:rsidR="006242B0" w:rsidRPr="002C2750">
        <w:rPr>
          <w:b/>
        </w:rPr>
        <w:t xml:space="preserve">siekia </w:t>
      </w:r>
      <w:r w:rsidR="00385578" w:rsidRPr="00385578">
        <w:rPr>
          <w:b/>
        </w:rPr>
        <w:t>290,58 – 291,18</w:t>
      </w:r>
      <w:r w:rsidR="00385578">
        <w:rPr>
          <w:b/>
        </w:rPr>
        <w:t xml:space="preserve"> </w:t>
      </w:r>
      <w:proofErr w:type="spellStart"/>
      <w:r w:rsidRPr="00181921">
        <w:rPr>
          <w:b/>
        </w:rPr>
        <w:t>GWh</w:t>
      </w:r>
      <w:proofErr w:type="spellEnd"/>
      <w:r w:rsidRPr="00181921">
        <w:t>.</w:t>
      </w:r>
    </w:p>
    <w:p w14:paraId="5EF80FC9" w14:textId="7A5972AE" w:rsidR="002203C8" w:rsidRPr="00E24002" w:rsidRDefault="002203C8" w:rsidP="002203C8">
      <w:pPr>
        <w:keepNext/>
        <w:ind w:firstLine="0"/>
        <w:rPr>
          <w:i/>
          <w:highlight w:val="yellow"/>
        </w:rPr>
      </w:pPr>
      <w:bookmarkStart w:id="63" w:name="_Toc126051383"/>
      <w:bookmarkStart w:id="64" w:name="_Toc166139858"/>
      <w:bookmarkStart w:id="65" w:name="_Toc170804624"/>
      <w:r w:rsidRPr="00B32F47">
        <w:rPr>
          <w:rFonts w:cs="Times New Roman"/>
          <w:i/>
          <w:iCs/>
        </w:rPr>
        <w:t xml:space="preserve">Lentelė </w:t>
      </w:r>
      <w:r w:rsidRPr="00B32F47">
        <w:rPr>
          <w:rFonts w:cs="Times New Roman"/>
          <w:i/>
          <w:iCs/>
        </w:rPr>
        <w:fldChar w:fldCharType="begin"/>
      </w:r>
      <w:r w:rsidRPr="00B32F47">
        <w:rPr>
          <w:rFonts w:cs="Times New Roman"/>
          <w:i/>
          <w:iCs/>
        </w:rPr>
        <w:instrText xml:space="preserve"> SEQ Lentelė \* ARABIC </w:instrText>
      </w:r>
      <w:r w:rsidRPr="00B32F47">
        <w:rPr>
          <w:rFonts w:cs="Times New Roman"/>
          <w:i/>
          <w:iCs/>
        </w:rPr>
        <w:fldChar w:fldCharType="separate"/>
      </w:r>
      <w:r w:rsidR="00347605">
        <w:rPr>
          <w:rFonts w:cs="Times New Roman"/>
          <w:i/>
          <w:iCs/>
          <w:noProof/>
        </w:rPr>
        <w:t>8</w:t>
      </w:r>
      <w:r w:rsidRPr="00B32F47">
        <w:rPr>
          <w:rFonts w:cs="Times New Roman"/>
          <w:i/>
          <w:iCs/>
        </w:rPr>
        <w:fldChar w:fldCharType="end"/>
      </w:r>
      <w:r w:rsidRPr="00B32F47">
        <w:rPr>
          <w:rFonts w:cs="Times New Roman"/>
          <w:i/>
          <w:iCs/>
        </w:rPr>
        <w:t xml:space="preserve">. Elektros suvartojimas </w:t>
      </w:r>
      <w:r w:rsidRPr="004B6B5C">
        <w:rPr>
          <w:rFonts w:cs="Times New Roman"/>
          <w:i/>
          <w:iCs/>
        </w:rPr>
        <w:t>VNT ir SNT</w:t>
      </w:r>
      <w:bookmarkEnd w:id="63"/>
      <w:bookmarkEnd w:id="64"/>
      <w:bookmarkEnd w:id="65"/>
      <w:r w:rsidRPr="004B6B5C">
        <w:rPr>
          <w:rFonts w:cs="Times New Roman"/>
          <w:i/>
          <w:iCs/>
        </w:rPr>
        <w:t xml:space="preserve"> </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599"/>
      </w:tblGrid>
      <w:tr w:rsidR="005202B6" w:rsidRPr="0044342D" w14:paraId="42451664" w14:textId="77777777" w:rsidTr="00E24002">
        <w:trPr>
          <w:trHeight w:val="113"/>
          <w:tblHeader/>
        </w:trPr>
        <w:tc>
          <w:tcPr>
            <w:tcW w:w="7933" w:type="dxa"/>
            <w:shd w:val="clear" w:color="auto" w:fill="auto"/>
            <w:noWrap/>
            <w:vAlign w:val="center"/>
            <w:hideMark/>
          </w:tcPr>
          <w:p w14:paraId="3ADD96D1" w14:textId="77777777" w:rsidR="005202B6" w:rsidRPr="00F41377" w:rsidRDefault="005202B6" w:rsidP="000C6260">
            <w:pPr>
              <w:spacing w:after="0"/>
              <w:ind w:firstLine="0"/>
              <w:jc w:val="center"/>
              <w:rPr>
                <w:rFonts w:eastAsia="Times New Roman" w:cs="Times New Roman"/>
                <w:b/>
                <w:color w:val="000000"/>
                <w:sz w:val="20"/>
                <w:szCs w:val="20"/>
                <w:lang w:eastAsia="lt-LT"/>
              </w:rPr>
            </w:pPr>
            <w:r w:rsidRPr="00F41377">
              <w:rPr>
                <w:rFonts w:eastAsia="Times New Roman" w:cs="Times New Roman"/>
                <w:b/>
                <w:color w:val="000000"/>
                <w:sz w:val="20"/>
                <w:szCs w:val="20"/>
                <w:lang w:eastAsia="lt-LT"/>
              </w:rPr>
              <w:t>Rodiklis</w:t>
            </w:r>
          </w:p>
        </w:tc>
        <w:tc>
          <w:tcPr>
            <w:tcW w:w="1599" w:type="dxa"/>
            <w:shd w:val="clear" w:color="auto" w:fill="auto"/>
            <w:noWrap/>
            <w:vAlign w:val="center"/>
            <w:hideMark/>
          </w:tcPr>
          <w:p w14:paraId="61EFA977" w14:textId="77777777" w:rsidR="005202B6" w:rsidRPr="00F41377" w:rsidRDefault="005202B6" w:rsidP="000C6260">
            <w:pPr>
              <w:spacing w:after="0"/>
              <w:ind w:firstLine="0"/>
              <w:jc w:val="center"/>
              <w:rPr>
                <w:rFonts w:eastAsia="Times New Roman" w:cs="Times New Roman"/>
                <w:b/>
                <w:color w:val="000000"/>
                <w:sz w:val="20"/>
                <w:szCs w:val="20"/>
                <w:lang w:eastAsia="lt-LT"/>
              </w:rPr>
            </w:pPr>
            <w:r w:rsidRPr="00F41377">
              <w:rPr>
                <w:rFonts w:eastAsia="Times New Roman" w:cs="Times New Roman"/>
                <w:b/>
                <w:color w:val="000000"/>
                <w:sz w:val="20"/>
                <w:szCs w:val="20"/>
                <w:lang w:eastAsia="lt-LT"/>
              </w:rPr>
              <w:t>Rodiklio vertė</w:t>
            </w:r>
          </w:p>
        </w:tc>
      </w:tr>
      <w:tr w:rsidR="005202B6" w:rsidRPr="0044342D" w14:paraId="6248663C" w14:textId="77777777" w:rsidTr="000C6260">
        <w:trPr>
          <w:trHeight w:val="113"/>
        </w:trPr>
        <w:tc>
          <w:tcPr>
            <w:tcW w:w="7933" w:type="dxa"/>
            <w:shd w:val="clear" w:color="auto" w:fill="auto"/>
            <w:noWrap/>
            <w:vAlign w:val="center"/>
            <w:hideMark/>
          </w:tcPr>
          <w:p w14:paraId="6F78E433" w14:textId="37508802" w:rsidR="005202B6" w:rsidRPr="00F41377" w:rsidRDefault="005202B6"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Naudojamas VNT</w:t>
            </w:r>
            <w:r w:rsidR="00826055" w:rsidRPr="00F41377">
              <w:rPr>
                <w:rFonts w:eastAsia="Times New Roman" w:cs="Times New Roman"/>
                <w:color w:val="000000"/>
                <w:sz w:val="20"/>
                <w:szCs w:val="20"/>
                <w:lang w:eastAsia="lt-LT"/>
              </w:rPr>
              <w:t xml:space="preserve"> be Turto banko </w:t>
            </w:r>
            <w:r w:rsidR="00F2388D" w:rsidRPr="00F41377">
              <w:rPr>
                <w:rFonts w:eastAsia="Times New Roman" w:cs="Times New Roman"/>
                <w:color w:val="000000"/>
                <w:sz w:val="20"/>
                <w:szCs w:val="20"/>
                <w:lang w:eastAsia="lt-LT"/>
              </w:rPr>
              <w:t xml:space="preserve">valdomos </w:t>
            </w:r>
            <w:r w:rsidR="00826055" w:rsidRPr="00F41377">
              <w:rPr>
                <w:rFonts w:eastAsia="Times New Roman" w:cs="Times New Roman"/>
                <w:color w:val="000000"/>
                <w:sz w:val="20"/>
                <w:szCs w:val="20"/>
                <w:lang w:eastAsia="lt-LT"/>
              </w:rPr>
              <w:t>dalies</w:t>
            </w:r>
            <w:r w:rsidRPr="00F41377">
              <w:rPr>
                <w:rFonts w:eastAsia="Times New Roman" w:cs="Times New Roman"/>
                <w:color w:val="000000"/>
                <w:sz w:val="20"/>
                <w:szCs w:val="20"/>
                <w:lang w:eastAsia="lt-LT"/>
              </w:rPr>
              <w:t xml:space="preserve"> (kv.</w:t>
            </w:r>
            <w:r w:rsidR="00B73DD0"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m)</w:t>
            </w:r>
          </w:p>
        </w:tc>
        <w:tc>
          <w:tcPr>
            <w:tcW w:w="1599" w:type="dxa"/>
            <w:shd w:val="clear" w:color="auto" w:fill="auto"/>
            <w:noWrap/>
            <w:vAlign w:val="bottom"/>
            <w:hideMark/>
          </w:tcPr>
          <w:p w14:paraId="0BD76B9F" w14:textId="1718B35F" w:rsidR="005202B6" w:rsidRPr="00F41377" w:rsidRDefault="00826055"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8</w:t>
            </w:r>
            <w:r w:rsidR="006242B0"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781</w:t>
            </w:r>
            <w:r w:rsidR="006242B0"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600</w:t>
            </w:r>
          </w:p>
        </w:tc>
      </w:tr>
      <w:tr w:rsidR="006B6964" w:rsidRPr="0044342D" w14:paraId="07C13719" w14:textId="77777777" w:rsidTr="000C6260">
        <w:trPr>
          <w:trHeight w:val="113"/>
        </w:trPr>
        <w:tc>
          <w:tcPr>
            <w:tcW w:w="7933" w:type="dxa"/>
            <w:shd w:val="clear" w:color="auto" w:fill="auto"/>
            <w:noWrap/>
            <w:vAlign w:val="center"/>
          </w:tcPr>
          <w:p w14:paraId="452FD349" w14:textId="41916E1D" w:rsidR="006B6964" w:rsidRPr="00F41377" w:rsidRDefault="006B6964" w:rsidP="000C6260">
            <w:pPr>
              <w:spacing w:after="0"/>
              <w:ind w:firstLine="0"/>
              <w:jc w:val="left"/>
              <w:rPr>
                <w:rFonts w:eastAsia="Times New Roman" w:cs="Times New Roman"/>
                <w:bCs/>
                <w:color w:val="000000"/>
                <w:sz w:val="20"/>
                <w:szCs w:val="20"/>
                <w:lang w:eastAsia="lt-LT"/>
              </w:rPr>
            </w:pPr>
            <w:r w:rsidRPr="00F41377">
              <w:rPr>
                <w:rFonts w:eastAsia="Times New Roman" w:cs="Times New Roman"/>
                <w:bCs/>
                <w:color w:val="000000"/>
                <w:sz w:val="20"/>
                <w:szCs w:val="20"/>
                <w:lang w:eastAsia="lt-LT"/>
              </w:rPr>
              <w:t>Turto banko valdomas administracinės paskirties NT</w:t>
            </w:r>
            <w:r w:rsidR="00B73DD0" w:rsidRPr="00F41377">
              <w:rPr>
                <w:rFonts w:eastAsia="Times New Roman" w:cs="Times New Roman"/>
                <w:bCs/>
                <w:color w:val="000000"/>
                <w:sz w:val="20"/>
                <w:szCs w:val="20"/>
                <w:lang w:eastAsia="lt-LT"/>
              </w:rPr>
              <w:t xml:space="preserve"> (kv. m)</w:t>
            </w:r>
          </w:p>
        </w:tc>
        <w:tc>
          <w:tcPr>
            <w:tcW w:w="1599" w:type="dxa"/>
            <w:shd w:val="clear" w:color="auto" w:fill="auto"/>
            <w:noWrap/>
            <w:vAlign w:val="bottom"/>
          </w:tcPr>
          <w:p w14:paraId="56C968AA" w14:textId="2B4C7032" w:rsidR="006B6964" w:rsidRPr="00F41377" w:rsidRDefault="006B6964"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lang w:eastAsia="lt-LT"/>
              </w:rPr>
              <w:t>718 400</w:t>
            </w:r>
          </w:p>
        </w:tc>
      </w:tr>
      <w:tr w:rsidR="00441E6B" w:rsidRPr="0044342D" w14:paraId="2D13F231" w14:textId="77777777" w:rsidTr="000C6260">
        <w:trPr>
          <w:trHeight w:val="113"/>
        </w:trPr>
        <w:tc>
          <w:tcPr>
            <w:tcW w:w="7933" w:type="dxa"/>
            <w:shd w:val="clear" w:color="auto" w:fill="auto"/>
            <w:noWrap/>
            <w:vAlign w:val="center"/>
          </w:tcPr>
          <w:p w14:paraId="5833A204" w14:textId="6ED9A564" w:rsidR="00D22746" w:rsidRPr="00F41377" w:rsidRDefault="00D22746" w:rsidP="000C6260">
            <w:pPr>
              <w:spacing w:after="0"/>
              <w:ind w:firstLine="0"/>
              <w:jc w:val="left"/>
              <w:rPr>
                <w:rFonts w:eastAsia="Times New Roman" w:cs="Times New Roman"/>
                <w:bCs/>
                <w:color w:val="000000"/>
                <w:sz w:val="20"/>
                <w:szCs w:val="20"/>
                <w:lang w:eastAsia="lt-LT"/>
              </w:rPr>
            </w:pPr>
            <w:r w:rsidRPr="00F41377">
              <w:rPr>
                <w:rFonts w:eastAsia="Times New Roman" w:cs="Times New Roman"/>
                <w:bCs/>
                <w:color w:val="000000"/>
                <w:sz w:val="20"/>
                <w:szCs w:val="20"/>
                <w:lang w:eastAsia="lt-LT"/>
              </w:rPr>
              <w:t>Turto banko nuomos pagrindais valdomas administracinės paskirties NT (kv. m)</w:t>
            </w:r>
          </w:p>
        </w:tc>
        <w:tc>
          <w:tcPr>
            <w:tcW w:w="1599" w:type="dxa"/>
            <w:shd w:val="clear" w:color="auto" w:fill="auto"/>
            <w:noWrap/>
            <w:vAlign w:val="bottom"/>
          </w:tcPr>
          <w:p w14:paraId="4FDB59E1" w14:textId="262661E9" w:rsidR="00D22746" w:rsidRPr="00F41377" w:rsidRDefault="00D22746" w:rsidP="000C6260">
            <w:pPr>
              <w:spacing w:after="0"/>
              <w:ind w:firstLine="0"/>
              <w:jc w:val="center"/>
              <w:rPr>
                <w:rFonts w:eastAsia="Times New Roman" w:cs="Times New Roman"/>
                <w:color w:val="000000"/>
                <w:sz w:val="20"/>
                <w:lang w:eastAsia="lt-LT"/>
              </w:rPr>
            </w:pPr>
            <w:r w:rsidRPr="00F41377">
              <w:rPr>
                <w:rFonts w:eastAsia="Times New Roman" w:cs="Times New Roman"/>
                <w:color w:val="000000"/>
                <w:sz w:val="20"/>
                <w:lang w:eastAsia="lt-LT"/>
              </w:rPr>
              <w:t>60 000</w:t>
            </w:r>
          </w:p>
        </w:tc>
      </w:tr>
      <w:tr w:rsidR="005202B6" w:rsidRPr="0044342D" w14:paraId="71BDE2CA" w14:textId="77777777" w:rsidTr="000C6260">
        <w:trPr>
          <w:trHeight w:val="113"/>
        </w:trPr>
        <w:tc>
          <w:tcPr>
            <w:tcW w:w="7933" w:type="dxa"/>
            <w:shd w:val="clear" w:color="auto" w:fill="auto"/>
            <w:noWrap/>
            <w:vAlign w:val="center"/>
            <w:hideMark/>
          </w:tcPr>
          <w:p w14:paraId="0E8703D6" w14:textId="7F458FD9" w:rsidR="005202B6" w:rsidRPr="00F41377" w:rsidRDefault="005202B6"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Naudojamas SNT (kv.</w:t>
            </w:r>
            <w:r w:rsidR="00B73DD0"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m)</w:t>
            </w:r>
          </w:p>
        </w:tc>
        <w:tc>
          <w:tcPr>
            <w:tcW w:w="1599" w:type="dxa"/>
            <w:shd w:val="clear" w:color="auto" w:fill="auto"/>
            <w:noWrap/>
            <w:vAlign w:val="bottom"/>
            <w:hideMark/>
          </w:tcPr>
          <w:p w14:paraId="6CAADBC4" w14:textId="6449AB81" w:rsidR="005202B6" w:rsidRPr="00F41377" w:rsidRDefault="005202B6"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11</w:t>
            </w:r>
            <w:r w:rsidR="002203C8"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454</w:t>
            </w:r>
            <w:r w:rsidR="002203C8"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000</w:t>
            </w:r>
          </w:p>
        </w:tc>
      </w:tr>
      <w:tr w:rsidR="00441E6B" w:rsidRPr="0044342D" w14:paraId="3DC6C5BF" w14:textId="77777777" w:rsidTr="000C6260">
        <w:trPr>
          <w:trHeight w:val="113"/>
        </w:trPr>
        <w:tc>
          <w:tcPr>
            <w:tcW w:w="7933" w:type="dxa"/>
            <w:shd w:val="clear" w:color="auto" w:fill="auto"/>
            <w:noWrap/>
            <w:vAlign w:val="center"/>
          </w:tcPr>
          <w:p w14:paraId="63576744" w14:textId="2363C0B3" w:rsidR="004235B1" w:rsidRPr="00F41377" w:rsidRDefault="004235B1"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Naudojamas SNT, savo reikmėms nuomojamas rinkoje (kv. m)</w:t>
            </w:r>
          </w:p>
        </w:tc>
        <w:tc>
          <w:tcPr>
            <w:tcW w:w="1599" w:type="dxa"/>
            <w:shd w:val="clear" w:color="auto" w:fill="auto"/>
            <w:noWrap/>
            <w:vAlign w:val="bottom"/>
          </w:tcPr>
          <w:p w14:paraId="2B21765E" w14:textId="17A7B9E9" w:rsidR="004235B1" w:rsidRPr="00F41377" w:rsidRDefault="00260940"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11 000 – 57 000</w:t>
            </w:r>
          </w:p>
        </w:tc>
      </w:tr>
      <w:tr w:rsidR="005202B6" w:rsidRPr="0044342D" w14:paraId="51AA7413" w14:textId="77777777" w:rsidTr="000C6260">
        <w:trPr>
          <w:trHeight w:val="113"/>
        </w:trPr>
        <w:tc>
          <w:tcPr>
            <w:tcW w:w="7933" w:type="dxa"/>
            <w:shd w:val="clear" w:color="auto" w:fill="auto"/>
            <w:noWrap/>
            <w:vAlign w:val="center"/>
            <w:hideMark/>
          </w:tcPr>
          <w:p w14:paraId="1CB25180" w14:textId="40DDC592" w:rsidR="005202B6" w:rsidRPr="00F41377" w:rsidRDefault="005202B6"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Viso NT kiekis</w:t>
            </w:r>
            <w:r w:rsidR="00826055" w:rsidRPr="00F41377">
              <w:rPr>
                <w:rFonts w:eastAsia="Times New Roman" w:cs="Times New Roman"/>
                <w:color w:val="000000"/>
                <w:sz w:val="20"/>
                <w:szCs w:val="20"/>
                <w:lang w:eastAsia="lt-LT"/>
              </w:rPr>
              <w:t xml:space="preserve"> be Turto banko valdomos dalies</w:t>
            </w:r>
            <w:r w:rsidRPr="00F41377">
              <w:rPr>
                <w:rFonts w:eastAsia="Times New Roman" w:cs="Times New Roman"/>
                <w:color w:val="000000"/>
                <w:sz w:val="20"/>
                <w:szCs w:val="20"/>
                <w:lang w:eastAsia="lt-LT"/>
              </w:rPr>
              <w:t xml:space="preserve"> (kv.</w:t>
            </w:r>
            <w:r w:rsidR="00B73DD0"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m)</w:t>
            </w:r>
          </w:p>
        </w:tc>
        <w:tc>
          <w:tcPr>
            <w:tcW w:w="1599" w:type="dxa"/>
            <w:shd w:val="clear" w:color="auto" w:fill="auto"/>
            <w:noWrap/>
            <w:vAlign w:val="bottom"/>
            <w:hideMark/>
          </w:tcPr>
          <w:p w14:paraId="7FED678C" w14:textId="579920CB" w:rsidR="005202B6" w:rsidRPr="00F41377" w:rsidRDefault="005876DB"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 xml:space="preserve">20 246 600 – </w:t>
            </w:r>
            <w:r w:rsidR="0080542C" w:rsidRPr="00F41377">
              <w:rPr>
                <w:rFonts w:eastAsia="Times New Roman" w:cs="Times New Roman"/>
                <w:color w:val="000000"/>
                <w:sz w:val="20"/>
                <w:szCs w:val="20"/>
                <w:lang w:eastAsia="lt-LT"/>
              </w:rPr>
              <w:t>20 292 600</w:t>
            </w:r>
          </w:p>
        </w:tc>
      </w:tr>
      <w:tr w:rsidR="005202B6" w:rsidRPr="0044342D" w14:paraId="57A8E281" w14:textId="77777777" w:rsidTr="000C6260">
        <w:trPr>
          <w:trHeight w:val="113"/>
        </w:trPr>
        <w:tc>
          <w:tcPr>
            <w:tcW w:w="7933" w:type="dxa"/>
            <w:shd w:val="clear" w:color="auto" w:fill="auto"/>
            <w:noWrap/>
            <w:vAlign w:val="center"/>
            <w:hideMark/>
          </w:tcPr>
          <w:p w14:paraId="0398042C" w14:textId="3F957EF2" w:rsidR="005202B6" w:rsidRPr="00F41377" w:rsidRDefault="00C242AA"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Elektros suvartojimo</w:t>
            </w:r>
            <w:r w:rsidR="005202B6" w:rsidRPr="00F41377">
              <w:rPr>
                <w:rFonts w:eastAsia="Times New Roman" w:cs="Times New Roman"/>
                <w:color w:val="000000"/>
                <w:sz w:val="20"/>
                <w:szCs w:val="20"/>
                <w:lang w:eastAsia="lt-LT"/>
              </w:rPr>
              <w:t xml:space="preserve"> įvertis (</w:t>
            </w:r>
            <w:r w:rsidR="00091DD0" w:rsidRPr="00F41377">
              <w:rPr>
                <w:rFonts w:eastAsia="Times New Roman" w:cs="Times New Roman"/>
                <w:color w:val="000000"/>
                <w:sz w:val="20"/>
                <w:szCs w:val="20"/>
                <w:lang w:eastAsia="lt-LT"/>
              </w:rPr>
              <w:t>k</w:t>
            </w:r>
            <w:r w:rsidR="00843EAE" w:rsidRPr="00F41377">
              <w:rPr>
                <w:rFonts w:eastAsia="Times New Roman" w:cs="Times New Roman"/>
                <w:color w:val="000000"/>
                <w:sz w:val="20"/>
                <w:szCs w:val="20"/>
                <w:lang w:eastAsia="lt-LT"/>
              </w:rPr>
              <w:t>W</w:t>
            </w:r>
            <w:r w:rsidR="005202B6" w:rsidRPr="00F41377">
              <w:rPr>
                <w:rFonts w:eastAsia="Times New Roman" w:cs="Times New Roman"/>
                <w:color w:val="000000"/>
                <w:sz w:val="20"/>
                <w:szCs w:val="20"/>
                <w:lang w:eastAsia="lt-LT"/>
              </w:rPr>
              <w:t>h/kv.</w:t>
            </w:r>
            <w:r w:rsidR="00B73DD0" w:rsidRPr="00F41377">
              <w:rPr>
                <w:rFonts w:eastAsia="Times New Roman" w:cs="Times New Roman"/>
                <w:color w:val="000000"/>
                <w:sz w:val="20"/>
                <w:szCs w:val="20"/>
                <w:lang w:eastAsia="lt-LT"/>
              </w:rPr>
              <w:t xml:space="preserve"> </w:t>
            </w:r>
            <w:r w:rsidR="005202B6" w:rsidRPr="00F41377">
              <w:rPr>
                <w:rFonts w:eastAsia="Times New Roman" w:cs="Times New Roman"/>
                <w:color w:val="000000"/>
                <w:sz w:val="20"/>
                <w:szCs w:val="20"/>
                <w:lang w:eastAsia="lt-LT"/>
              </w:rPr>
              <w:t>m)</w:t>
            </w:r>
          </w:p>
        </w:tc>
        <w:tc>
          <w:tcPr>
            <w:tcW w:w="1599" w:type="dxa"/>
            <w:shd w:val="clear" w:color="auto" w:fill="auto"/>
            <w:noWrap/>
            <w:vAlign w:val="bottom"/>
            <w:hideMark/>
          </w:tcPr>
          <w:p w14:paraId="79E4C00E" w14:textId="3B8230ED" w:rsidR="005202B6" w:rsidRPr="00F41377" w:rsidRDefault="00C242AA"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13</w:t>
            </w:r>
          </w:p>
        </w:tc>
      </w:tr>
      <w:tr w:rsidR="005202B6" w:rsidRPr="0044342D" w14:paraId="7870A6C4" w14:textId="77777777" w:rsidTr="000C6260">
        <w:trPr>
          <w:trHeight w:val="113"/>
        </w:trPr>
        <w:tc>
          <w:tcPr>
            <w:tcW w:w="7933" w:type="dxa"/>
            <w:shd w:val="clear" w:color="auto" w:fill="auto"/>
            <w:noWrap/>
            <w:vAlign w:val="center"/>
          </w:tcPr>
          <w:p w14:paraId="05064DCD" w14:textId="21692CCA" w:rsidR="005202B6" w:rsidRPr="00F41377" w:rsidRDefault="00826055"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Suvartojamos elektros energijos kiekis Turto banko valdomame</w:t>
            </w:r>
            <w:r w:rsidR="002D750C" w:rsidRPr="00F41377">
              <w:rPr>
                <w:rFonts w:eastAsia="Times New Roman" w:cs="Times New Roman"/>
                <w:color w:val="000000"/>
                <w:sz w:val="20"/>
                <w:szCs w:val="20"/>
                <w:lang w:eastAsia="lt-LT"/>
              </w:rPr>
              <w:t xml:space="preserve"> (įskaitant nuomos pagrindais)</w:t>
            </w:r>
            <w:r w:rsidRPr="00F41377">
              <w:rPr>
                <w:rFonts w:eastAsia="Times New Roman" w:cs="Times New Roman"/>
                <w:color w:val="000000"/>
                <w:sz w:val="20"/>
                <w:szCs w:val="20"/>
                <w:lang w:eastAsia="lt-LT"/>
              </w:rPr>
              <w:t xml:space="preserve"> NT (</w:t>
            </w:r>
            <w:proofErr w:type="spellStart"/>
            <w:r w:rsidRPr="00F41377">
              <w:rPr>
                <w:rFonts w:eastAsia="Times New Roman" w:cs="Times New Roman"/>
                <w:color w:val="000000"/>
                <w:sz w:val="20"/>
                <w:szCs w:val="20"/>
                <w:lang w:eastAsia="lt-LT"/>
              </w:rPr>
              <w:t>GWh</w:t>
            </w:r>
            <w:proofErr w:type="spellEnd"/>
            <w:r w:rsidRPr="00F41377">
              <w:rPr>
                <w:rFonts w:eastAsia="Times New Roman" w:cs="Times New Roman"/>
                <w:color w:val="000000"/>
                <w:sz w:val="20"/>
                <w:szCs w:val="20"/>
                <w:lang w:eastAsia="lt-LT"/>
              </w:rPr>
              <w:t>)</w:t>
            </w:r>
          </w:p>
        </w:tc>
        <w:tc>
          <w:tcPr>
            <w:tcW w:w="1599" w:type="dxa"/>
            <w:shd w:val="clear" w:color="auto" w:fill="auto"/>
            <w:noWrap/>
            <w:vAlign w:val="center"/>
          </w:tcPr>
          <w:p w14:paraId="5DE36A44" w14:textId="288BDF11" w:rsidR="005202B6" w:rsidRPr="00F41377" w:rsidRDefault="00532A71"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27,38</w:t>
            </w:r>
          </w:p>
        </w:tc>
      </w:tr>
      <w:tr w:rsidR="00826055" w:rsidRPr="0044342D" w14:paraId="7E11D2DA" w14:textId="77777777" w:rsidTr="000C6260">
        <w:trPr>
          <w:trHeight w:val="113"/>
        </w:trPr>
        <w:tc>
          <w:tcPr>
            <w:tcW w:w="7933" w:type="dxa"/>
            <w:shd w:val="clear" w:color="auto" w:fill="auto"/>
            <w:noWrap/>
            <w:vAlign w:val="center"/>
          </w:tcPr>
          <w:p w14:paraId="2A766CC0" w14:textId="1E3BAFA3" w:rsidR="00826055" w:rsidRPr="00F41377" w:rsidRDefault="00826055" w:rsidP="000C6260">
            <w:pPr>
              <w:spacing w:after="0"/>
              <w:ind w:firstLine="0"/>
              <w:jc w:val="left"/>
              <w:rPr>
                <w:rFonts w:eastAsia="Times New Roman" w:cs="Times New Roman"/>
                <w:color w:val="000000"/>
                <w:sz w:val="20"/>
                <w:szCs w:val="20"/>
                <w:lang w:eastAsia="lt-LT"/>
              </w:rPr>
            </w:pPr>
            <w:r w:rsidRPr="00F41377">
              <w:rPr>
                <w:rFonts w:eastAsia="Times New Roman" w:cs="Times New Roman"/>
                <w:color w:val="000000"/>
                <w:sz w:val="20"/>
                <w:szCs w:val="20"/>
                <w:lang w:eastAsia="lt-LT"/>
              </w:rPr>
              <w:t xml:space="preserve">Suvartojamos elektros energijos kiekis SNT ir VNT (be Turto banko </w:t>
            </w:r>
            <w:r w:rsidR="002E47AA" w:rsidRPr="00F41377">
              <w:rPr>
                <w:rFonts w:eastAsia="Times New Roman" w:cs="Times New Roman"/>
                <w:color w:val="000000"/>
                <w:sz w:val="20"/>
                <w:szCs w:val="20"/>
                <w:lang w:eastAsia="lt-LT"/>
              </w:rPr>
              <w:t>valdomos</w:t>
            </w:r>
            <w:r w:rsidR="002D750C" w:rsidRPr="00F41377">
              <w:rPr>
                <w:rFonts w:eastAsia="Times New Roman" w:cs="Times New Roman"/>
                <w:color w:val="000000"/>
                <w:sz w:val="20"/>
                <w:szCs w:val="20"/>
                <w:lang w:eastAsia="lt-LT"/>
              </w:rPr>
              <w:t>, įskaitant nuomos pagrindais,</w:t>
            </w:r>
            <w:r w:rsidR="002E47AA" w:rsidRPr="00F41377">
              <w:rPr>
                <w:rFonts w:eastAsia="Times New Roman" w:cs="Times New Roman"/>
                <w:color w:val="000000"/>
                <w:sz w:val="20"/>
                <w:szCs w:val="20"/>
                <w:lang w:eastAsia="lt-LT"/>
              </w:rPr>
              <w:t xml:space="preserve"> </w:t>
            </w:r>
            <w:r w:rsidRPr="00F41377">
              <w:rPr>
                <w:rFonts w:eastAsia="Times New Roman" w:cs="Times New Roman"/>
                <w:color w:val="000000"/>
                <w:sz w:val="20"/>
                <w:szCs w:val="20"/>
                <w:lang w:eastAsia="lt-LT"/>
              </w:rPr>
              <w:t>dalies)</w:t>
            </w:r>
            <w:r w:rsidR="007739CE" w:rsidRPr="00F41377">
              <w:rPr>
                <w:rFonts w:eastAsia="Times New Roman" w:cs="Times New Roman"/>
                <w:color w:val="000000"/>
                <w:sz w:val="20"/>
                <w:szCs w:val="20"/>
                <w:lang w:eastAsia="lt-LT"/>
              </w:rPr>
              <w:t xml:space="preserve"> (</w:t>
            </w:r>
            <w:proofErr w:type="spellStart"/>
            <w:r w:rsidR="007739CE" w:rsidRPr="00F41377">
              <w:rPr>
                <w:rFonts w:eastAsia="Times New Roman" w:cs="Times New Roman"/>
                <w:color w:val="000000"/>
                <w:sz w:val="20"/>
                <w:szCs w:val="20"/>
                <w:lang w:eastAsia="lt-LT"/>
              </w:rPr>
              <w:t>GWh</w:t>
            </w:r>
            <w:proofErr w:type="spellEnd"/>
            <w:r w:rsidR="007739CE" w:rsidRPr="00F41377">
              <w:rPr>
                <w:rFonts w:eastAsia="Times New Roman" w:cs="Times New Roman"/>
                <w:color w:val="000000"/>
                <w:sz w:val="20"/>
                <w:szCs w:val="20"/>
                <w:lang w:eastAsia="lt-LT"/>
              </w:rPr>
              <w:t>)</w:t>
            </w:r>
          </w:p>
        </w:tc>
        <w:tc>
          <w:tcPr>
            <w:tcW w:w="1599" w:type="dxa"/>
            <w:shd w:val="clear" w:color="auto" w:fill="auto"/>
            <w:noWrap/>
            <w:vAlign w:val="center"/>
          </w:tcPr>
          <w:p w14:paraId="1C36D18D" w14:textId="18F9686B" w:rsidR="00826055" w:rsidRPr="00F41377" w:rsidRDefault="00826055" w:rsidP="000C6260">
            <w:pPr>
              <w:spacing w:after="0"/>
              <w:ind w:firstLine="0"/>
              <w:jc w:val="center"/>
              <w:rPr>
                <w:rFonts w:eastAsia="Times New Roman" w:cs="Times New Roman"/>
                <w:color w:val="000000"/>
                <w:sz w:val="20"/>
                <w:szCs w:val="20"/>
                <w:lang w:eastAsia="lt-LT"/>
              </w:rPr>
            </w:pPr>
            <w:r w:rsidRPr="00F41377">
              <w:rPr>
                <w:rFonts w:eastAsia="Times New Roman" w:cs="Times New Roman"/>
                <w:color w:val="000000"/>
                <w:sz w:val="20"/>
                <w:szCs w:val="20"/>
                <w:lang w:eastAsia="lt-LT"/>
              </w:rPr>
              <w:t>263,</w:t>
            </w:r>
            <w:r w:rsidR="00094347" w:rsidRPr="00F41377">
              <w:rPr>
                <w:rFonts w:eastAsia="Times New Roman" w:cs="Times New Roman"/>
                <w:color w:val="000000"/>
                <w:sz w:val="20"/>
                <w:szCs w:val="20"/>
                <w:lang w:eastAsia="lt-LT"/>
              </w:rPr>
              <w:t>2 – 263,8</w:t>
            </w:r>
          </w:p>
        </w:tc>
      </w:tr>
      <w:tr w:rsidR="00826055" w:rsidRPr="0044342D" w14:paraId="2FA72884" w14:textId="77777777" w:rsidTr="000C6260">
        <w:trPr>
          <w:trHeight w:val="113"/>
        </w:trPr>
        <w:tc>
          <w:tcPr>
            <w:tcW w:w="7933" w:type="dxa"/>
            <w:shd w:val="clear" w:color="auto" w:fill="auto"/>
            <w:noWrap/>
            <w:vAlign w:val="center"/>
          </w:tcPr>
          <w:p w14:paraId="66D95B36" w14:textId="33279129" w:rsidR="00826055" w:rsidRPr="00F41377" w:rsidRDefault="003F4464" w:rsidP="000C6260">
            <w:pPr>
              <w:spacing w:after="0"/>
              <w:ind w:firstLine="0"/>
              <w:jc w:val="left"/>
              <w:rPr>
                <w:rFonts w:eastAsia="Times New Roman" w:cs="Times New Roman"/>
                <w:b/>
                <w:bCs/>
                <w:color w:val="000000"/>
                <w:sz w:val="20"/>
                <w:szCs w:val="20"/>
                <w:lang w:eastAsia="lt-LT"/>
              </w:rPr>
            </w:pPr>
            <w:r w:rsidRPr="003F4464">
              <w:rPr>
                <w:rFonts w:eastAsia="Times New Roman" w:cs="Times New Roman"/>
                <w:b/>
                <w:bCs/>
                <w:color w:val="000000"/>
                <w:sz w:val="20"/>
                <w:szCs w:val="20"/>
                <w:lang w:eastAsia="lt-LT"/>
              </w:rPr>
              <w:lastRenderedPageBreak/>
              <w:t xml:space="preserve">Suvartojamas elektros energijos kiekis VNT ir SNT </w:t>
            </w:r>
            <w:r w:rsidR="002505ED" w:rsidRPr="002505ED">
              <w:rPr>
                <w:rFonts w:eastAsia="Times New Roman" w:cs="Times New Roman"/>
                <w:b/>
                <w:bCs/>
                <w:color w:val="000000"/>
                <w:sz w:val="20"/>
                <w:szCs w:val="20"/>
                <w:lang w:eastAsia="lt-LT"/>
              </w:rPr>
              <w:t>(</w:t>
            </w:r>
            <w:proofErr w:type="spellStart"/>
            <w:r w:rsidR="002505ED" w:rsidRPr="002505ED">
              <w:rPr>
                <w:rFonts w:eastAsia="Times New Roman" w:cs="Times New Roman"/>
                <w:b/>
                <w:bCs/>
                <w:color w:val="000000"/>
                <w:sz w:val="20"/>
                <w:szCs w:val="20"/>
                <w:lang w:eastAsia="lt-LT"/>
              </w:rPr>
              <w:t>GWh</w:t>
            </w:r>
            <w:proofErr w:type="spellEnd"/>
            <w:r w:rsidR="002505ED" w:rsidRPr="002505ED">
              <w:rPr>
                <w:rFonts w:eastAsia="Times New Roman" w:cs="Times New Roman"/>
                <w:b/>
                <w:bCs/>
                <w:color w:val="000000"/>
                <w:sz w:val="20"/>
                <w:szCs w:val="20"/>
                <w:lang w:eastAsia="lt-LT"/>
              </w:rPr>
              <w:t>)</w:t>
            </w:r>
          </w:p>
        </w:tc>
        <w:tc>
          <w:tcPr>
            <w:tcW w:w="1599" w:type="dxa"/>
            <w:shd w:val="clear" w:color="auto" w:fill="auto"/>
            <w:noWrap/>
            <w:vAlign w:val="center"/>
          </w:tcPr>
          <w:p w14:paraId="3B8D1D3B" w14:textId="0FF8A5E4" w:rsidR="00826055" w:rsidRPr="00F41377" w:rsidRDefault="00F8433B" w:rsidP="000C6260">
            <w:pPr>
              <w:spacing w:after="0"/>
              <w:ind w:firstLine="0"/>
              <w:jc w:val="center"/>
              <w:rPr>
                <w:rFonts w:eastAsia="Times New Roman" w:cs="Times New Roman"/>
                <w:b/>
                <w:bCs/>
                <w:color w:val="000000"/>
                <w:sz w:val="20"/>
                <w:szCs w:val="20"/>
                <w:lang w:eastAsia="lt-LT"/>
              </w:rPr>
            </w:pPr>
            <w:r w:rsidRPr="00F41377">
              <w:rPr>
                <w:rFonts w:eastAsia="Times New Roman" w:cs="Times New Roman"/>
                <w:b/>
                <w:bCs/>
                <w:color w:val="000000"/>
                <w:sz w:val="20"/>
                <w:szCs w:val="20"/>
                <w:lang w:eastAsia="lt-LT"/>
              </w:rPr>
              <w:t xml:space="preserve">290,58 – </w:t>
            </w:r>
            <w:r w:rsidR="00385578" w:rsidRPr="00F41377">
              <w:rPr>
                <w:rFonts w:eastAsia="Times New Roman" w:cs="Times New Roman"/>
                <w:b/>
                <w:bCs/>
                <w:color w:val="000000"/>
                <w:sz w:val="20"/>
                <w:szCs w:val="20"/>
                <w:lang w:eastAsia="lt-LT"/>
              </w:rPr>
              <w:t>291,18</w:t>
            </w:r>
          </w:p>
        </w:tc>
      </w:tr>
    </w:tbl>
    <w:p w14:paraId="3283EEA4" w14:textId="24071F83" w:rsidR="00B55C94" w:rsidRPr="00E24002" w:rsidRDefault="002203C8" w:rsidP="006B6964">
      <w:pPr>
        <w:keepNext/>
        <w:spacing w:after="0"/>
        <w:jc w:val="left"/>
        <w:rPr>
          <w:sz w:val="20"/>
          <w:highlight w:val="yellow"/>
        </w:rPr>
      </w:pPr>
      <w:r w:rsidRPr="00C0630E">
        <w:rPr>
          <w:rFonts w:cs="Times New Roman"/>
          <w:sz w:val="20"/>
          <w:szCs w:val="20"/>
        </w:rPr>
        <w:t>Šaltinis: sudaryta Vertintojų</w:t>
      </w:r>
      <w:r w:rsidR="00B55C94" w:rsidRPr="00C0630E">
        <w:rPr>
          <w:rFonts w:cs="Times New Roman"/>
          <w:sz w:val="20"/>
          <w:szCs w:val="20"/>
        </w:rPr>
        <w:t>.</w:t>
      </w:r>
    </w:p>
    <w:p w14:paraId="2F6AB5B4" w14:textId="2AACEC03" w:rsidR="0038336C" w:rsidRPr="006F583A" w:rsidRDefault="0038336C" w:rsidP="00034CAA">
      <w:pPr>
        <w:spacing w:line="276" w:lineRule="auto"/>
        <w:ind w:firstLine="562"/>
      </w:pPr>
      <w:r w:rsidRPr="00B0678D">
        <w:t xml:space="preserve">Apskaičiavus suvartojamos elektros energijos kiekį, </w:t>
      </w:r>
      <w:r w:rsidR="00ED19D5" w:rsidRPr="00B0678D">
        <w:t>Vertintojai</w:t>
      </w:r>
      <w:r w:rsidRPr="00B0678D">
        <w:t xml:space="preserve"> apskaičiavo investicijų poreikį. </w:t>
      </w:r>
      <w:r w:rsidR="00ED19D5" w:rsidRPr="00B0678D">
        <w:t>Vertintojai</w:t>
      </w:r>
      <w:r w:rsidRPr="00B0678D">
        <w:t xml:space="preserve"> kaip ir ankstesniuose skyreliuose darė prielaidą, kad 1 </w:t>
      </w:r>
      <w:r w:rsidR="00091DD0" w:rsidRPr="00B0678D">
        <w:t>k</w:t>
      </w:r>
      <w:r w:rsidR="00843EAE" w:rsidRPr="00B0678D">
        <w:t>W</w:t>
      </w:r>
      <w:r w:rsidRPr="00B0678D">
        <w:t xml:space="preserve"> galingumo saulės ir vėjo elektrinės, atitinkamai, pagamina apytiksliai 1050 </w:t>
      </w:r>
      <w:r w:rsidR="00091DD0" w:rsidRPr="00B0678D">
        <w:t>k</w:t>
      </w:r>
      <w:r w:rsidR="00843EAE" w:rsidRPr="00B0678D">
        <w:t>W</w:t>
      </w:r>
      <w:r w:rsidRPr="00B0678D">
        <w:t xml:space="preserve">h ir 2500 </w:t>
      </w:r>
      <w:r w:rsidR="00091DD0" w:rsidRPr="00B0678D">
        <w:t>k</w:t>
      </w:r>
      <w:r w:rsidR="00843EAE" w:rsidRPr="00B0678D">
        <w:t>W</w:t>
      </w:r>
      <w:r w:rsidRPr="00B0678D">
        <w:t>h elektros energijos</w:t>
      </w:r>
      <w:r w:rsidR="00F81C7A" w:rsidRPr="00B0678D">
        <w:t xml:space="preserve"> per metus</w:t>
      </w:r>
      <w:r w:rsidRPr="00B0678D">
        <w:t>,</w:t>
      </w:r>
      <w:r w:rsidR="003C0378" w:rsidRPr="00B0678D">
        <w:t xml:space="preserve"> </w:t>
      </w:r>
      <w:r w:rsidRPr="00B0678D">
        <w:t xml:space="preserve">o 1 </w:t>
      </w:r>
      <w:r w:rsidR="00091DD0" w:rsidRPr="00B0678D">
        <w:t>k</w:t>
      </w:r>
      <w:r w:rsidR="00843EAE" w:rsidRPr="00B0678D">
        <w:t>W</w:t>
      </w:r>
      <w:r w:rsidRPr="00B0678D">
        <w:t xml:space="preserve"> saulės ir vėjo elektrinės pajėgumai, atitinkamai, kainuoja 1552 Eur ir 2218 Eur (įskaitant PVM). Realybėje AEI pajėgumai nebus didinami įrenginėjant tik vieno tipo elektros generavimo pajėgumus. Atsižvelgiant į tai, žemiau lentelėje yra pateikiami AEI plėtros paklausos skaičiavimai apžvelgiant</w:t>
      </w:r>
      <w:r w:rsidR="003874A7">
        <w:t>,</w:t>
      </w:r>
      <w:r w:rsidRPr="00B0678D">
        <w:t xml:space="preserve"> kokia dalis elektros energijos </w:t>
      </w:r>
      <w:r w:rsidRPr="00F13594">
        <w:t>poreikio (</w:t>
      </w:r>
      <w:r w:rsidR="009C364B" w:rsidRPr="00F13594">
        <w:t xml:space="preserve">290,58 – 291,18 </w:t>
      </w:r>
      <w:proofErr w:type="spellStart"/>
      <w:r w:rsidRPr="00F13594">
        <w:t>GWh</w:t>
      </w:r>
      <w:proofErr w:type="spellEnd"/>
      <w:r w:rsidRPr="00F13594">
        <w:t xml:space="preserve">) </w:t>
      </w:r>
      <w:r w:rsidRPr="00B0678D">
        <w:t>butų patenkinama įrenginėjant skirtingų tipų / proporcijų AEI pajėgumus.</w:t>
      </w:r>
      <w:r w:rsidR="00FC703A" w:rsidRPr="00B0678D">
        <w:t xml:space="preserve"> </w:t>
      </w:r>
      <w:r w:rsidR="00FC703A" w:rsidRPr="00B0678D">
        <w:rPr>
          <w:b/>
        </w:rPr>
        <w:t xml:space="preserve">Kaip galima matyti lentelėje, investicijų </w:t>
      </w:r>
      <w:r w:rsidR="00FC703A" w:rsidRPr="006F583A">
        <w:rPr>
          <w:b/>
        </w:rPr>
        <w:t>paklausa</w:t>
      </w:r>
      <w:r w:rsidR="00034CAA" w:rsidRPr="006F583A">
        <w:rPr>
          <w:b/>
        </w:rPr>
        <w:t xml:space="preserve"> </w:t>
      </w:r>
      <w:r w:rsidR="00CD749F" w:rsidRPr="00181921">
        <w:rPr>
          <w:b/>
        </w:rPr>
        <w:t>VJA</w:t>
      </w:r>
      <w:r w:rsidR="00034CAA" w:rsidRPr="00181921">
        <w:rPr>
          <w:b/>
        </w:rPr>
        <w:t xml:space="preserve"> </w:t>
      </w:r>
      <w:r w:rsidR="00034CAA" w:rsidRPr="006F583A">
        <w:rPr>
          <w:b/>
        </w:rPr>
        <w:t>tikslinėje grupėje</w:t>
      </w:r>
      <w:r w:rsidR="00FC703A" w:rsidRPr="006F583A">
        <w:rPr>
          <w:b/>
        </w:rPr>
        <w:t xml:space="preserve"> varijuoja nuo 0,26 mlrd. Eur iki 0,43 mlrd. Eur.</w:t>
      </w:r>
    </w:p>
    <w:p w14:paraId="4052E681" w14:textId="268C6B8B" w:rsidR="005202B6" w:rsidRPr="00E24002" w:rsidRDefault="006242B0" w:rsidP="006242B0">
      <w:pPr>
        <w:keepNext/>
        <w:ind w:firstLine="0"/>
        <w:rPr>
          <w:i/>
          <w:highlight w:val="red"/>
        </w:rPr>
      </w:pPr>
      <w:bookmarkStart w:id="66" w:name="_Toc126051384"/>
      <w:bookmarkStart w:id="67" w:name="_Toc166139859"/>
      <w:bookmarkStart w:id="68" w:name="_Toc170804625"/>
      <w:r w:rsidRPr="00BD1FFB">
        <w:rPr>
          <w:rFonts w:cs="Times New Roman"/>
          <w:i/>
          <w:iCs/>
        </w:rPr>
        <w:t xml:space="preserve">Lentelė </w:t>
      </w:r>
      <w:r w:rsidRPr="00BD1FFB">
        <w:rPr>
          <w:rFonts w:cs="Times New Roman"/>
          <w:i/>
          <w:iCs/>
        </w:rPr>
        <w:fldChar w:fldCharType="begin"/>
      </w:r>
      <w:r w:rsidRPr="00BD1FFB">
        <w:rPr>
          <w:rFonts w:cs="Times New Roman"/>
          <w:i/>
          <w:iCs/>
        </w:rPr>
        <w:instrText xml:space="preserve"> SEQ Lentelė \* ARABIC </w:instrText>
      </w:r>
      <w:r w:rsidRPr="00BD1FFB">
        <w:rPr>
          <w:rFonts w:cs="Times New Roman"/>
          <w:i/>
          <w:iCs/>
        </w:rPr>
        <w:fldChar w:fldCharType="separate"/>
      </w:r>
      <w:r w:rsidR="00347605">
        <w:rPr>
          <w:rFonts w:cs="Times New Roman"/>
          <w:i/>
          <w:iCs/>
          <w:noProof/>
        </w:rPr>
        <w:t>9</w:t>
      </w:r>
      <w:r w:rsidRPr="00BD1FFB">
        <w:rPr>
          <w:rFonts w:cs="Times New Roman"/>
          <w:i/>
          <w:iCs/>
        </w:rPr>
        <w:fldChar w:fldCharType="end"/>
      </w:r>
      <w:r w:rsidRPr="00BD1FFB">
        <w:rPr>
          <w:rFonts w:cs="Times New Roman"/>
          <w:i/>
          <w:iCs/>
        </w:rPr>
        <w:t xml:space="preserve">. AEI investicijų paklausos skaičiavimai, remiantis elektros energijos suvartojimu </w:t>
      </w:r>
      <w:r w:rsidR="00D44843">
        <w:rPr>
          <w:rFonts w:cs="Times New Roman"/>
          <w:i/>
          <w:iCs/>
        </w:rPr>
        <w:t xml:space="preserve">VNT ir </w:t>
      </w:r>
      <w:r w:rsidR="00D44843" w:rsidRPr="00B70848">
        <w:rPr>
          <w:rFonts w:cs="Times New Roman"/>
          <w:i/>
          <w:iCs/>
        </w:rPr>
        <w:t>SNT</w:t>
      </w:r>
      <w:bookmarkEnd w:id="66"/>
      <w:bookmarkEnd w:id="67"/>
      <w:bookmarkEnd w:id="68"/>
    </w:p>
    <w:tbl>
      <w:tblPr>
        <w:tblStyle w:val="Lentelstinklelis"/>
        <w:tblW w:w="9406" w:type="dxa"/>
        <w:tblLook w:val="04A0" w:firstRow="1" w:lastRow="0" w:firstColumn="1" w:lastColumn="0" w:noHBand="0" w:noVBand="1"/>
      </w:tblPr>
      <w:tblGrid>
        <w:gridCol w:w="1700"/>
        <w:gridCol w:w="1732"/>
        <w:gridCol w:w="1666"/>
        <w:gridCol w:w="2127"/>
        <w:gridCol w:w="2181"/>
      </w:tblGrid>
      <w:tr w:rsidR="00C242AA" w:rsidRPr="0044342D" w14:paraId="1004A9E9" w14:textId="77777777" w:rsidTr="00E24002">
        <w:trPr>
          <w:trHeight w:val="17"/>
          <w:tblHeader/>
        </w:trPr>
        <w:tc>
          <w:tcPr>
            <w:tcW w:w="1700" w:type="dxa"/>
            <w:noWrap/>
            <w:vAlign w:val="center"/>
            <w:hideMark/>
          </w:tcPr>
          <w:p w14:paraId="76AA52B3" w14:textId="77777777" w:rsidR="00C242AA" w:rsidRPr="00A9086F" w:rsidRDefault="00C242AA" w:rsidP="00B55C94">
            <w:pPr>
              <w:spacing w:after="0" w:line="276" w:lineRule="auto"/>
              <w:ind w:firstLine="0"/>
              <w:jc w:val="center"/>
              <w:rPr>
                <w:rFonts w:cs="Times New Roman"/>
                <w:b/>
                <w:bCs/>
                <w:sz w:val="20"/>
                <w:szCs w:val="20"/>
                <w:lang w:val="lt-LT"/>
              </w:rPr>
            </w:pPr>
            <w:r w:rsidRPr="00A9086F">
              <w:rPr>
                <w:rFonts w:cs="Times New Roman"/>
                <w:b/>
                <w:bCs/>
                <w:sz w:val="20"/>
                <w:szCs w:val="20"/>
                <w:lang w:val="lt-LT"/>
              </w:rPr>
              <w:t>Vėjo energijos dalis (proc.)</w:t>
            </w:r>
          </w:p>
        </w:tc>
        <w:tc>
          <w:tcPr>
            <w:tcW w:w="1732" w:type="dxa"/>
            <w:noWrap/>
            <w:vAlign w:val="center"/>
            <w:hideMark/>
          </w:tcPr>
          <w:p w14:paraId="7F3391E9" w14:textId="77777777" w:rsidR="00C242AA" w:rsidRPr="00A9086F" w:rsidRDefault="00C242AA" w:rsidP="00B55C94">
            <w:pPr>
              <w:spacing w:after="0" w:line="276" w:lineRule="auto"/>
              <w:ind w:firstLine="0"/>
              <w:jc w:val="center"/>
              <w:rPr>
                <w:rFonts w:cs="Times New Roman"/>
                <w:b/>
                <w:bCs/>
                <w:sz w:val="20"/>
                <w:szCs w:val="20"/>
                <w:lang w:val="lt-LT"/>
              </w:rPr>
            </w:pPr>
            <w:r w:rsidRPr="00A9086F">
              <w:rPr>
                <w:rFonts w:cs="Times New Roman"/>
                <w:b/>
                <w:bCs/>
                <w:sz w:val="20"/>
                <w:szCs w:val="20"/>
                <w:lang w:val="lt-LT"/>
              </w:rPr>
              <w:t>Saulės energijos dalis (proc.)</w:t>
            </w:r>
          </w:p>
        </w:tc>
        <w:tc>
          <w:tcPr>
            <w:tcW w:w="1666" w:type="dxa"/>
            <w:vAlign w:val="center"/>
          </w:tcPr>
          <w:p w14:paraId="7871A5A1" w14:textId="77777777" w:rsidR="00C242AA" w:rsidRPr="00A9086F" w:rsidRDefault="00C242AA" w:rsidP="00B55C94">
            <w:pPr>
              <w:spacing w:after="0" w:line="276" w:lineRule="auto"/>
              <w:ind w:firstLine="0"/>
              <w:jc w:val="center"/>
              <w:rPr>
                <w:rFonts w:cs="Times New Roman"/>
                <w:b/>
                <w:bCs/>
                <w:sz w:val="20"/>
                <w:szCs w:val="20"/>
                <w:lang w:val="lt-LT"/>
              </w:rPr>
            </w:pPr>
            <w:r w:rsidRPr="00A9086F">
              <w:rPr>
                <w:rFonts w:cs="Times New Roman"/>
                <w:b/>
                <w:bCs/>
                <w:sz w:val="20"/>
                <w:szCs w:val="20"/>
                <w:lang w:val="lt-LT"/>
              </w:rPr>
              <w:t>Vėjo pajėgumų poreikis (GW)</w:t>
            </w:r>
          </w:p>
        </w:tc>
        <w:tc>
          <w:tcPr>
            <w:tcW w:w="2127" w:type="dxa"/>
            <w:vAlign w:val="center"/>
          </w:tcPr>
          <w:p w14:paraId="3AEC19C9" w14:textId="77777777" w:rsidR="00C242AA" w:rsidRPr="00A9086F" w:rsidRDefault="00C242AA" w:rsidP="00B55C94">
            <w:pPr>
              <w:spacing w:after="0" w:line="276" w:lineRule="auto"/>
              <w:ind w:firstLine="0"/>
              <w:jc w:val="center"/>
              <w:rPr>
                <w:rFonts w:cs="Times New Roman"/>
                <w:b/>
                <w:bCs/>
                <w:sz w:val="20"/>
                <w:szCs w:val="20"/>
                <w:lang w:val="lt-LT"/>
              </w:rPr>
            </w:pPr>
            <w:r w:rsidRPr="00A9086F">
              <w:rPr>
                <w:rFonts w:cs="Times New Roman"/>
                <w:b/>
                <w:bCs/>
                <w:sz w:val="20"/>
                <w:szCs w:val="20"/>
                <w:lang w:val="lt-LT"/>
              </w:rPr>
              <w:t>Saulės pajėgumų poreikis (GW)</w:t>
            </w:r>
          </w:p>
        </w:tc>
        <w:tc>
          <w:tcPr>
            <w:tcW w:w="2181" w:type="dxa"/>
            <w:noWrap/>
            <w:vAlign w:val="center"/>
            <w:hideMark/>
          </w:tcPr>
          <w:p w14:paraId="0EA5F715" w14:textId="77777777" w:rsidR="00C242AA" w:rsidRPr="00A9086F" w:rsidRDefault="00C242AA" w:rsidP="00B55C94">
            <w:pPr>
              <w:spacing w:after="0" w:line="276" w:lineRule="auto"/>
              <w:ind w:firstLine="0"/>
              <w:jc w:val="center"/>
              <w:rPr>
                <w:rFonts w:cs="Times New Roman"/>
                <w:b/>
                <w:bCs/>
                <w:sz w:val="20"/>
                <w:szCs w:val="20"/>
                <w:lang w:val="lt-LT"/>
              </w:rPr>
            </w:pPr>
            <w:r w:rsidRPr="00A9086F">
              <w:rPr>
                <w:rFonts w:cs="Times New Roman"/>
                <w:b/>
                <w:bCs/>
                <w:sz w:val="20"/>
                <w:szCs w:val="20"/>
                <w:lang w:val="lt-LT"/>
              </w:rPr>
              <w:t>Investicijų poreikis (mlrd. Eur)</w:t>
            </w:r>
          </w:p>
        </w:tc>
      </w:tr>
      <w:tr w:rsidR="006242B0" w:rsidRPr="0044342D" w14:paraId="5338DBD4" w14:textId="77777777" w:rsidTr="00E24002">
        <w:trPr>
          <w:trHeight w:val="17"/>
        </w:trPr>
        <w:tc>
          <w:tcPr>
            <w:tcW w:w="1700" w:type="dxa"/>
            <w:noWrap/>
            <w:vAlign w:val="center"/>
            <w:hideMark/>
          </w:tcPr>
          <w:p w14:paraId="1DF71BD9" w14:textId="53A493F1"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100</w:t>
            </w:r>
            <w:r w:rsidR="00B55C94" w:rsidRPr="00A9086F">
              <w:rPr>
                <w:rFonts w:cs="Times New Roman"/>
                <w:sz w:val="20"/>
                <w:szCs w:val="20"/>
                <w:lang w:val="lt-LT"/>
              </w:rPr>
              <w:t xml:space="preserve"> proc.</w:t>
            </w:r>
          </w:p>
        </w:tc>
        <w:tc>
          <w:tcPr>
            <w:tcW w:w="1732" w:type="dxa"/>
            <w:noWrap/>
            <w:vAlign w:val="center"/>
            <w:hideMark/>
          </w:tcPr>
          <w:p w14:paraId="2BF42342" w14:textId="1C283EA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0</w:t>
            </w:r>
            <w:r w:rsidR="00B55C94" w:rsidRPr="00A9086F">
              <w:rPr>
                <w:rFonts w:cs="Times New Roman"/>
                <w:sz w:val="20"/>
                <w:szCs w:val="20"/>
                <w:lang w:val="lt-LT"/>
              </w:rPr>
              <w:t xml:space="preserve"> proc.</w:t>
            </w:r>
          </w:p>
        </w:tc>
        <w:tc>
          <w:tcPr>
            <w:tcW w:w="1666" w:type="dxa"/>
            <w:vAlign w:val="bottom"/>
          </w:tcPr>
          <w:p w14:paraId="4FF96322" w14:textId="52A0831B"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0,12</w:t>
            </w:r>
          </w:p>
        </w:tc>
        <w:tc>
          <w:tcPr>
            <w:tcW w:w="2127" w:type="dxa"/>
            <w:vAlign w:val="bottom"/>
          </w:tcPr>
          <w:p w14:paraId="2D5CE61F" w14:textId="72D27527"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0,00</w:t>
            </w:r>
          </w:p>
        </w:tc>
        <w:tc>
          <w:tcPr>
            <w:tcW w:w="2181" w:type="dxa"/>
            <w:noWrap/>
            <w:vAlign w:val="bottom"/>
          </w:tcPr>
          <w:p w14:paraId="5FF4F3C6" w14:textId="4DAF6E32"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0,26</w:t>
            </w:r>
          </w:p>
        </w:tc>
      </w:tr>
      <w:tr w:rsidR="006242B0" w:rsidRPr="0044342D" w14:paraId="7462F687" w14:textId="77777777" w:rsidTr="00E24002">
        <w:trPr>
          <w:trHeight w:val="17"/>
        </w:trPr>
        <w:tc>
          <w:tcPr>
            <w:tcW w:w="1700" w:type="dxa"/>
            <w:noWrap/>
            <w:vAlign w:val="center"/>
            <w:hideMark/>
          </w:tcPr>
          <w:p w14:paraId="4756393E" w14:textId="3787C4E2"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90</w:t>
            </w:r>
            <w:r w:rsidR="00B55C94" w:rsidRPr="00A9086F">
              <w:rPr>
                <w:rFonts w:cs="Times New Roman"/>
                <w:sz w:val="20"/>
                <w:szCs w:val="20"/>
                <w:lang w:val="lt-LT"/>
              </w:rPr>
              <w:t xml:space="preserve"> proc.</w:t>
            </w:r>
          </w:p>
        </w:tc>
        <w:tc>
          <w:tcPr>
            <w:tcW w:w="1732" w:type="dxa"/>
            <w:noWrap/>
            <w:vAlign w:val="center"/>
            <w:hideMark/>
          </w:tcPr>
          <w:p w14:paraId="51DEE892" w14:textId="780E375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10</w:t>
            </w:r>
            <w:r w:rsidR="00B55C94" w:rsidRPr="00A9086F">
              <w:rPr>
                <w:rFonts w:cs="Times New Roman"/>
                <w:sz w:val="20"/>
                <w:szCs w:val="20"/>
                <w:lang w:val="lt-LT"/>
              </w:rPr>
              <w:t xml:space="preserve"> proc.</w:t>
            </w:r>
          </w:p>
        </w:tc>
        <w:tc>
          <w:tcPr>
            <w:tcW w:w="1666" w:type="dxa"/>
            <w:vAlign w:val="bottom"/>
          </w:tcPr>
          <w:p w14:paraId="6F8D1C34" w14:textId="0D779C4C"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0,10</w:t>
            </w:r>
          </w:p>
        </w:tc>
        <w:tc>
          <w:tcPr>
            <w:tcW w:w="2127" w:type="dxa"/>
            <w:vAlign w:val="bottom"/>
          </w:tcPr>
          <w:p w14:paraId="137FD7B3" w14:textId="40B3C64F"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0,03</w:t>
            </w:r>
          </w:p>
        </w:tc>
        <w:tc>
          <w:tcPr>
            <w:tcW w:w="2181" w:type="dxa"/>
            <w:noWrap/>
            <w:vAlign w:val="bottom"/>
          </w:tcPr>
          <w:p w14:paraId="2A82BB94" w14:textId="0BD609A4"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0,27</w:t>
            </w:r>
          </w:p>
        </w:tc>
      </w:tr>
      <w:tr w:rsidR="006242B0" w:rsidRPr="0044342D" w14:paraId="1FF10478" w14:textId="77777777" w:rsidTr="00E24002">
        <w:trPr>
          <w:trHeight w:val="17"/>
        </w:trPr>
        <w:tc>
          <w:tcPr>
            <w:tcW w:w="1700" w:type="dxa"/>
            <w:noWrap/>
            <w:vAlign w:val="center"/>
            <w:hideMark/>
          </w:tcPr>
          <w:p w14:paraId="13988A1D" w14:textId="22557EE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80</w:t>
            </w:r>
            <w:r w:rsidR="00B55C94" w:rsidRPr="00A9086F">
              <w:rPr>
                <w:rFonts w:cs="Times New Roman"/>
                <w:sz w:val="20"/>
                <w:szCs w:val="20"/>
                <w:lang w:val="lt-LT"/>
              </w:rPr>
              <w:t xml:space="preserve"> proc.</w:t>
            </w:r>
          </w:p>
        </w:tc>
        <w:tc>
          <w:tcPr>
            <w:tcW w:w="1732" w:type="dxa"/>
            <w:noWrap/>
            <w:vAlign w:val="center"/>
            <w:hideMark/>
          </w:tcPr>
          <w:p w14:paraId="5DF731C1" w14:textId="1C40ACC3"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20</w:t>
            </w:r>
            <w:r w:rsidR="00B55C94" w:rsidRPr="00A9086F">
              <w:rPr>
                <w:rFonts w:cs="Times New Roman"/>
                <w:sz w:val="20"/>
                <w:szCs w:val="20"/>
                <w:lang w:val="lt-LT"/>
              </w:rPr>
              <w:t xml:space="preserve"> proc.</w:t>
            </w:r>
          </w:p>
        </w:tc>
        <w:tc>
          <w:tcPr>
            <w:tcW w:w="1666" w:type="dxa"/>
            <w:vAlign w:val="bottom"/>
          </w:tcPr>
          <w:p w14:paraId="6F3CB44B" w14:textId="5B3DC072"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0,09</w:t>
            </w:r>
          </w:p>
        </w:tc>
        <w:tc>
          <w:tcPr>
            <w:tcW w:w="2127" w:type="dxa"/>
            <w:vAlign w:val="bottom"/>
          </w:tcPr>
          <w:p w14:paraId="06DD92C4" w14:textId="6B0CB3BF"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0,05</w:t>
            </w:r>
          </w:p>
        </w:tc>
        <w:tc>
          <w:tcPr>
            <w:tcW w:w="2181" w:type="dxa"/>
            <w:noWrap/>
            <w:vAlign w:val="bottom"/>
          </w:tcPr>
          <w:p w14:paraId="7D5423DE" w14:textId="08C43084"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0,29</w:t>
            </w:r>
          </w:p>
        </w:tc>
      </w:tr>
      <w:tr w:rsidR="006242B0" w:rsidRPr="0044342D" w14:paraId="08F63886" w14:textId="77777777" w:rsidTr="00E24002">
        <w:trPr>
          <w:trHeight w:val="17"/>
        </w:trPr>
        <w:tc>
          <w:tcPr>
            <w:tcW w:w="1700" w:type="dxa"/>
            <w:noWrap/>
            <w:vAlign w:val="center"/>
            <w:hideMark/>
          </w:tcPr>
          <w:p w14:paraId="7C453D24" w14:textId="77F2F0FF"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70</w:t>
            </w:r>
            <w:r w:rsidR="00B55C94" w:rsidRPr="00A9086F">
              <w:rPr>
                <w:rFonts w:cs="Times New Roman"/>
                <w:sz w:val="20"/>
                <w:szCs w:val="20"/>
                <w:lang w:val="lt-LT"/>
              </w:rPr>
              <w:t xml:space="preserve"> proc.</w:t>
            </w:r>
          </w:p>
        </w:tc>
        <w:tc>
          <w:tcPr>
            <w:tcW w:w="1732" w:type="dxa"/>
            <w:noWrap/>
            <w:vAlign w:val="center"/>
            <w:hideMark/>
          </w:tcPr>
          <w:p w14:paraId="07478E36" w14:textId="2C0B4246"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30</w:t>
            </w:r>
            <w:r w:rsidR="00B55C94" w:rsidRPr="00A9086F">
              <w:rPr>
                <w:rFonts w:cs="Times New Roman"/>
                <w:sz w:val="20"/>
                <w:szCs w:val="20"/>
                <w:lang w:val="lt-LT"/>
              </w:rPr>
              <w:t xml:space="preserve"> proc.</w:t>
            </w:r>
          </w:p>
        </w:tc>
        <w:tc>
          <w:tcPr>
            <w:tcW w:w="1666" w:type="dxa"/>
            <w:vAlign w:val="bottom"/>
          </w:tcPr>
          <w:p w14:paraId="5F27521B" w14:textId="1F2CF58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0,08</w:t>
            </w:r>
          </w:p>
        </w:tc>
        <w:tc>
          <w:tcPr>
            <w:tcW w:w="2127" w:type="dxa"/>
            <w:vAlign w:val="bottom"/>
          </w:tcPr>
          <w:p w14:paraId="0285C143" w14:textId="1AD2FBC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0,08</w:t>
            </w:r>
          </w:p>
        </w:tc>
        <w:tc>
          <w:tcPr>
            <w:tcW w:w="2181" w:type="dxa"/>
            <w:noWrap/>
            <w:vAlign w:val="bottom"/>
          </w:tcPr>
          <w:p w14:paraId="6053C695" w14:textId="5496CAC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0,31</w:t>
            </w:r>
          </w:p>
        </w:tc>
      </w:tr>
      <w:tr w:rsidR="006242B0" w:rsidRPr="0044342D" w14:paraId="2AF17A97" w14:textId="77777777" w:rsidTr="00E24002">
        <w:trPr>
          <w:trHeight w:val="17"/>
        </w:trPr>
        <w:tc>
          <w:tcPr>
            <w:tcW w:w="1700" w:type="dxa"/>
            <w:noWrap/>
            <w:vAlign w:val="center"/>
            <w:hideMark/>
          </w:tcPr>
          <w:p w14:paraId="68E3107E" w14:textId="089FDD3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60</w:t>
            </w:r>
            <w:r w:rsidR="00B55C94" w:rsidRPr="00A9086F">
              <w:rPr>
                <w:rFonts w:cs="Times New Roman"/>
                <w:sz w:val="20"/>
                <w:szCs w:val="20"/>
                <w:lang w:val="lt-LT"/>
              </w:rPr>
              <w:t xml:space="preserve"> proc.</w:t>
            </w:r>
          </w:p>
        </w:tc>
        <w:tc>
          <w:tcPr>
            <w:tcW w:w="1732" w:type="dxa"/>
            <w:noWrap/>
            <w:vAlign w:val="center"/>
            <w:hideMark/>
          </w:tcPr>
          <w:p w14:paraId="69FCAB3B" w14:textId="12822C1B"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40</w:t>
            </w:r>
            <w:r w:rsidR="00B55C94" w:rsidRPr="00A9086F">
              <w:rPr>
                <w:rFonts w:cs="Times New Roman"/>
                <w:sz w:val="20"/>
                <w:szCs w:val="20"/>
                <w:lang w:val="lt-LT"/>
              </w:rPr>
              <w:t xml:space="preserve"> proc.</w:t>
            </w:r>
          </w:p>
        </w:tc>
        <w:tc>
          <w:tcPr>
            <w:tcW w:w="1666" w:type="dxa"/>
            <w:vAlign w:val="bottom"/>
          </w:tcPr>
          <w:p w14:paraId="1D41E122" w14:textId="668C3EF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0,07</w:t>
            </w:r>
          </w:p>
        </w:tc>
        <w:tc>
          <w:tcPr>
            <w:tcW w:w="2127" w:type="dxa"/>
            <w:vAlign w:val="bottom"/>
          </w:tcPr>
          <w:p w14:paraId="0366A202" w14:textId="2D58AD9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0,11</w:t>
            </w:r>
          </w:p>
        </w:tc>
        <w:tc>
          <w:tcPr>
            <w:tcW w:w="2181" w:type="dxa"/>
            <w:noWrap/>
            <w:vAlign w:val="bottom"/>
          </w:tcPr>
          <w:p w14:paraId="1361D33D" w14:textId="197CD9E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0,32</w:t>
            </w:r>
          </w:p>
        </w:tc>
      </w:tr>
      <w:tr w:rsidR="006242B0" w:rsidRPr="0044342D" w14:paraId="4C9B4DD3" w14:textId="77777777" w:rsidTr="00E24002">
        <w:trPr>
          <w:trHeight w:val="17"/>
        </w:trPr>
        <w:tc>
          <w:tcPr>
            <w:tcW w:w="1700" w:type="dxa"/>
            <w:noWrap/>
            <w:vAlign w:val="center"/>
            <w:hideMark/>
          </w:tcPr>
          <w:p w14:paraId="0CF8CBE0" w14:textId="66DB074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50</w:t>
            </w:r>
            <w:r w:rsidR="00B55C94" w:rsidRPr="00A9086F">
              <w:rPr>
                <w:rFonts w:cs="Times New Roman"/>
                <w:sz w:val="20"/>
                <w:szCs w:val="20"/>
                <w:lang w:val="lt-LT"/>
              </w:rPr>
              <w:t xml:space="preserve"> proc.</w:t>
            </w:r>
          </w:p>
        </w:tc>
        <w:tc>
          <w:tcPr>
            <w:tcW w:w="1732" w:type="dxa"/>
            <w:noWrap/>
            <w:vAlign w:val="center"/>
            <w:hideMark/>
          </w:tcPr>
          <w:p w14:paraId="3FB1FBC2" w14:textId="30AC6DB9"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50</w:t>
            </w:r>
            <w:r w:rsidR="00B55C94" w:rsidRPr="00A9086F">
              <w:rPr>
                <w:rFonts w:cs="Times New Roman"/>
                <w:sz w:val="20"/>
                <w:szCs w:val="20"/>
                <w:lang w:val="lt-LT"/>
              </w:rPr>
              <w:t xml:space="preserve"> proc.</w:t>
            </w:r>
          </w:p>
        </w:tc>
        <w:tc>
          <w:tcPr>
            <w:tcW w:w="1666" w:type="dxa"/>
            <w:vAlign w:val="bottom"/>
          </w:tcPr>
          <w:p w14:paraId="2A1421D6" w14:textId="6D6C307B"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0,06</w:t>
            </w:r>
          </w:p>
        </w:tc>
        <w:tc>
          <w:tcPr>
            <w:tcW w:w="2127" w:type="dxa"/>
            <w:vAlign w:val="bottom"/>
          </w:tcPr>
          <w:p w14:paraId="6162D8D8" w14:textId="6A8CC5C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0,14</w:t>
            </w:r>
          </w:p>
        </w:tc>
        <w:tc>
          <w:tcPr>
            <w:tcW w:w="2181" w:type="dxa"/>
            <w:noWrap/>
            <w:vAlign w:val="bottom"/>
          </w:tcPr>
          <w:p w14:paraId="2825C8F6" w14:textId="72A82B53"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0,34</w:t>
            </w:r>
          </w:p>
        </w:tc>
      </w:tr>
      <w:tr w:rsidR="006242B0" w:rsidRPr="0044342D" w14:paraId="0F6190CB" w14:textId="77777777" w:rsidTr="00E24002">
        <w:trPr>
          <w:trHeight w:val="17"/>
        </w:trPr>
        <w:tc>
          <w:tcPr>
            <w:tcW w:w="1700" w:type="dxa"/>
            <w:noWrap/>
            <w:vAlign w:val="center"/>
            <w:hideMark/>
          </w:tcPr>
          <w:p w14:paraId="7D0563ED" w14:textId="54D7A146"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40</w:t>
            </w:r>
            <w:r w:rsidR="00B55C94" w:rsidRPr="00A9086F">
              <w:rPr>
                <w:rFonts w:cs="Times New Roman"/>
                <w:sz w:val="20"/>
                <w:szCs w:val="20"/>
                <w:lang w:val="lt-LT"/>
              </w:rPr>
              <w:t xml:space="preserve"> proc.</w:t>
            </w:r>
          </w:p>
        </w:tc>
        <w:tc>
          <w:tcPr>
            <w:tcW w:w="1732" w:type="dxa"/>
            <w:noWrap/>
            <w:vAlign w:val="center"/>
            <w:hideMark/>
          </w:tcPr>
          <w:p w14:paraId="52D777DA" w14:textId="57ABEC7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60</w:t>
            </w:r>
            <w:r w:rsidR="00B55C94" w:rsidRPr="00A9086F">
              <w:rPr>
                <w:rFonts w:cs="Times New Roman"/>
                <w:sz w:val="20"/>
                <w:szCs w:val="20"/>
                <w:lang w:val="lt-LT"/>
              </w:rPr>
              <w:t xml:space="preserve"> proc.</w:t>
            </w:r>
          </w:p>
        </w:tc>
        <w:tc>
          <w:tcPr>
            <w:tcW w:w="1666" w:type="dxa"/>
            <w:vAlign w:val="bottom"/>
          </w:tcPr>
          <w:p w14:paraId="2F1DD0AB" w14:textId="6B3592BB"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0,05</w:t>
            </w:r>
          </w:p>
        </w:tc>
        <w:tc>
          <w:tcPr>
            <w:tcW w:w="2127" w:type="dxa"/>
            <w:vAlign w:val="bottom"/>
          </w:tcPr>
          <w:p w14:paraId="25DB0E3C" w14:textId="014AFA1C"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0,16</w:t>
            </w:r>
          </w:p>
        </w:tc>
        <w:tc>
          <w:tcPr>
            <w:tcW w:w="2181" w:type="dxa"/>
            <w:noWrap/>
            <w:vAlign w:val="bottom"/>
          </w:tcPr>
          <w:p w14:paraId="5FBDCCAA" w14:textId="7C9E695B"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0,36</w:t>
            </w:r>
          </w:p>
        </w:tc>
      </w:tr>
      <w:tr w:rsidR="006242B0" w:rsidRPr="0044342D" w14:paraId="28AF2CA7" w14:textId="77777777" w:rsidTr="00E24002">
        <w:trPr>
          <w:trHeight w:val="17"/>
        </w:trPr>
        <w:tc>
          <w:tcPr>
            <w:tcW w:w="1700" w:type="dxa"/>
            <w:noWrap/>
            <w:vAlign w:val="center"/>
            <w:hideMark/>
          </w:tcPr>
          <w:p w14:paraId="2CFC78F7" w14:textId="7018E95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30</w:t>
            </w:r>
            <w:r w:rsidR="00B55C94" w:rsidRPr="00A9086F">
              <w:rPr>
                <w:rFonts w:cs="Times New Roman"/>
                <w:sz w:val="20"/>
                <w:szCs w:val="20"/>
                <w:lang w:val="lt-LT"/>
              </w:rPr>
              <w:t xml:space="preserve"> proc.</w:t>
            </w:r>
          </w:p>
        </w:tc>
        <w:tc>
          <w:tcPr>
            <w:tcW w:w="1732" w:type="dxa"/>
            <w:noWrap/>
            <w:vAlign w:val="center"/>
            <w:hideMark/>
          </w:tcPr>
          <w:p w14:paraId="6CB95E90" w14:textId="1DA56A84"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70</w:t>
            </w:r>
            <w:r w:rsidR="00B55C94" w:rsidRPr="00A9086F">
              <w:rPr>
                <w:rFonts w:cs="Times New Roman"/>
                <w:sz w:val="20"/>
                <w:szCs w:val="20"/>
                <w:lang w:val="lt-LT"/>
              </w:rPr>
              <w:t xml:space="preserve"> proc.</w:t>
            </w:r>
          </w:p>
        </w:tc>
        <w:tc>
          <w:tcPr>
            <w:tcW w:w="1666" w:type="dxa"/>
            <w:vAlign w:val="bottom"/>
          </w:tcPr>
          <w:p w14:paraId="1E6DBB6B" w14:textId="58F0535F"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0,03</w:t>
            </w:r>
          </w:p>
        </w:tc>
        <w:tc>
          <w:tcPr>
            <w:tcW w:w="2127" w:type="dxa"/>
            <w:vAlign w:val="bottom"/>
          </w:tcPr>
          <w:p w14:paraId="72BBAA25" w14:textId="16BB3E11"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0,19</w:t>
            </w:r>
          </w:p>
        </w:tc>
        <w:tc>
          <w:tcPr>
            <w:tcW w:w="2181" w:type="dxa"/>
            <w:noWrap/>
            <w:vAlign w:val="bottom"/>
          </w:tcPr>
          <w:p w14:paraId="247B4913" w14:textId="07BF47FD"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0,38</w:t>
            </w:r>
          </w:p>
        </w:tc>
      </w:tr>
      <w:tr w:rsidR="006242B0" w:rsidRPr="0044342D" w14:paraId="37F3A2D0" w14:textId="77777777" w:rsidTr="00E24002">
        <w:trPr>
          <w:trHeight w:val="17"/>
        </w:trPr>
        <w:tc>
          <w:tcPr>
            <w:tcW w:w="1700" w:type="dxa"/>
            <w:noWrap/>
            <w:vAlign w:val="center"/>
            <w:hideMark/>
          </w:tcPr>
          <w:p w14:paraId="6350D8D5" w14:textId="45BB4635"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20</w:t>
            </w:r>
            <w:r w:rsidR="00B55C94" w:rsidRPr="00A9086F">
              <w:rPr>
                <w:rFonts w:cs="Times New Roman"/>
                <w:sz w:val="20"/>
                <w:szCs w:val="20"/>
                <w:lang w:val="lt-LT"/>
              </w:rPr>
              <w:t xml:space="preserve"> proc.</w:t>
            </w:r>
          </w:p>
        </w:tc>
        <w:tc>
          <w:tcPr>
            <w:tcW w:w="1732" w:type="dxa"/>
            <w:noWrap/>
            <w:vAlign w:val="center"/>
            <w:hideMark/>
          </w:tcPr>
          <w:p w14:paraId="2F9B5F3D" w14:textId="4677C85F"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80</w:t>
            </w:r>
            <w:r w:rsidR="00B55C94" w:rsidRPr="00A9086F">
              <w:rPr>
                <w:rFonts w:cs="Times New Roman"/>
                <w:sz w:val="20"/>
                <w:szCs w:val="20"/>
                <w:lang w:val="lt-LT"/>
              </w:rPr>
              <w:t xml:space="preserve"> proc.</w:t>
            </w:r>
          </w:p>
        </w:tc>
        <w:tc>
          <w:tcPr>
            <w:tcW w:w="1666" w:type="dxa"/>
            <w:vAlign w:val="bottom"/>
          </w:tcPr>
          <w:p w14:paraId="76A1644C" w14:textId="0AE7887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0,02</w:t>
            </w:r>
          </w:p>
        </w:tc>
        <w:tc>
          <w:tcPr>
            <w:tcW w:w="2127" w:type="dxa"/>
            <w:vAlign w:val="bottom"/>
          </w:tcPr>
          <w:p w14:paraId="2891C035" w14:textId="6F69ED3A"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0,22</w:t>
            </w:r>
          </w:p>
        </w:tc>
        <w:tc>
          <w:tcPr>
            <w:tcW w:w="2181" w:type="dxa"/>
            <w:noWrap/>
            <w:vAlign w:val="bottom"/>
          </w:tcPr>
          <w:p w14:paraId="7A8769D2" w14:textId="46048886"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0,39</w:t>
            </w:r>
          </w:p>
        </w:tc>
      </w:tr>
      <w:tr w:rsidR="006242B0" w:rsidRPr="0044342D" w14:paraId="00979A69" w14:textId="77777777" w:rsidTr="00E24002">
        <w:trPr>
          <w:trHeight w:val="17"/>
        </w:trPr>
        <w:tc>
          <w:tcPr>
            <w:tcW w:w="1700" w:type="dxa"/>
            <w:noWrap/>
            <w:vAlign w:val="center"/>
            <w:hideMark/>
          </w:tcPr>
          <w:p w14:paraId="18B9D36A" w14:textId="7325DD29"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10</w:t>
            </w:r>
            <w:r w:rsidR="00B55C94" w:rsidRPr="00A9086F">
              <w:rPr>
                <w:rFonts w:cs="Times New Roman"/>
                <w:sz w:val="20"/>
                <w:szCs w:val="20"/>
                <w:lang w:val="lt-LT"/>
              </w:rPr>
              <w:t xml:space="preserve"> proc.</w:t>
            </w:r>
          </w:p>
        </w:tc>
        <w:tc>
          <w:tcPr>
            <w:tcW w:w="1732" w:type="dxa"/>
            <w:noWrap/>
            <w:vAlign w:val="center"/>
            <w:hideMark/>
          </w:tcPr>
          <w:p w14:paraId="2BF058C9" w14:textId="045BB564"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90</w:t>
            </w:r>
            <w:r w:rsidR="00B55C94" w:rsidRPr="00A9086F">
              <w:rPr>
                <w:rFonts w:cs="Times New Roman"/>
                <w:sz w:val="20"/>
                <w:szCs w:val="20"/>
                <w:lang w:val="lt-LT"/>
              </w:rPr>
              <w:t xml:space="preserve"> proc.</w:t>
            </w:r>
          </w:p>
        </w:tc>
        <w:tc>
          <w:tcPr>
            <w:tcW w:w="1666" w:type="dxa"/>
            <w:vAlign w:val="bottom"/>
          </w:tcPr>
          <w:p w14:paraId="3E8AD13D" w14:textId="2A09C0B2"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0,01</w:t>
            </w:r>
          </w:p>
        </w:tc>
        <w:tc>
          <w:tcPr>
            <w:tcW w:w="2127" w:type="dxa"/>
            <w:vAlign w:val="bottom"/>
          </w:tcPr>
          <w:p w14:paraId="6E89F02B" w14:textId="533248D3"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0,25</w:t>
            </w:r>
          </w:p>
        </w:tc>
        <w:tc>
          <w:tcPr>
            <w:tcW w:w="2181" w:type="dxa"/>
            <w:noWrap/>
            <w:vAlign w:val="bottom"/>
          </w:tcPr>
          <w:p w14:paraId="3CCF87C0" w14:textId="23D7D8B0"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0,41</w:t>
            </w:r>
          </w:p>
        </w:tc>
      </w:tr>
      <w:tr w:rsidR="006242B0" w:rsidRPr="0044342D" w14:paraId="7710988A" w14:textId="77777777" w:rsidTr="00E24002">
        <w:trPr>
          <w:trHeight w:val="17"/>
        </w:trPr>
        <w:tc>
          <w:tcPr>
            <w:tcW w:w="1700" w:type="dxa"/>
            <w:noWrap/>
            <w:vAlign w:val="center"/>
            <w:hideMark/>
          </w:tcPr>
          <w:p w14:paraId="530B5076" w14:textId="3AED8AFC"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0</w:t>
            </w:r>
            <w:r w:rsidR="00B55C94" w:rsidRPr="00A9086F">
              <w:rPr>
                <w:rFonts w:cs="Times New Roman"/>
                <w:sz w:val="20"/>
                <w:szCs w:val="20"/>
                <w:lang w:val="lt-LT"/>
              </w:rPr>
              <w:t xml:space="preserve"> proc.</w:t>
            </w:r>
          </w:p>
        </w:tc>
        <w:tc>
          <w:tcPr>
            <w:tcW w:w="1732" w:type="dxa"/>
            <w:noWrap/>
            <w:vAlign w:val="center"/>
            <w:hideMark/>
          </w:tcPr>
          <w:p w14:paraId="741AA00C" w14:textId="1766FF34"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sz w:val="20"/>
                <w:szCs w:val="20"/>
                <w:lang w:val="lt-LT"/>
              </w:rPr>
              <w:t>100</w:t>
            </w:r>
            <w:r w:rsidR="00B55C94" w:rsidRPr="00A9086F">
              <w:rPr>
                <w:rFonts w:cs="Times New Roman"/>
                <w:sz w:val="20"/>
                <w:szCs w:val="20"/>
                <w:lang w:val="lt-LT"/>
              </w:rPr>
              <w:t xml:space="preserve"> proc.</w:t>
            </w:r>
          </w:p>
        </w:tc>
        <w:tc>
          <w:tcPr>
            <w:tcW w:w="1666" w:type="dxa"/>
            <w:vAlign w:val="bottom"/>
          </w:tcPr>
          <w:p w14:paraId="3C7AE837" w14:textId="4020F7C5"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0,00</w:t>
            </w:r>
          </w:p>
        </w:tc>
        <w:tc>
          <w:tcPr>
            <w:tcW w:w="2127" w:type="dxa"/>
            <w:vAlign w:val="bottom"/>
          </w:tcPr>
          <w:p w14:paraId="522B698F" w14:textId="4BCE1A68"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0,27</w:t>
            </w:r>
          </w:p>
        </w:tc>
        <w:tc>
          <w:tcPr>
            <w:tcW w:w="2181" w:type="dxa"/>
            <w:noWrap/>
            <w:vAlign w:val="bottom"/>
          </w:tcPr>
          <w:p w14:paraId="667D7C26" w14:textId="6F6CAC82" w:rsidR="006242B0" w:rsidRPr="00A9086F" w:rsidRDefault="006242B0" w:rsidP="00B55C94">
            <w:pPr>
              <w:spacing w:after="0" w:line="276" w:lineRule="auto"/>
              <w:ind w:firstLine="0"/>
              <w:jc w:val="center"/>
              <w:rPr>
                <w:rFonts w:cs="Times New Roman"/>
                <w:sz w:val="20"/>
                <w:szCs w:val="20"/>
                <w:lang w:val="lt-LT"/>
              </w:rPr>
            </w:pPr>
            <w:r w:rsidRPr="00A9086F">
              <w:rPr>
                <w:rFonts w:cs="Times New Roman"/>
                <w:color w:val="000000"/>
                <w:sz w:val="20"/>
                <w:szCs w:val="20"/>
                <w:lang w:val="lt-LT"/>
              </w:rPr>
              <w:t>0,43</w:t>
            </w:r>
          </w:p>
        </w:tc>
      </w:tr>
    </w:tbl>
    <w:p w14:paraId="055C6C26" w14:textId="6E292DC7" w:rsidR="00880FE9" w:rsidRPr="003C0378" w:rsidRDefault="006242B0" w:rsidP="005A4DD3">
      <w:pPr>
        <w:keepNext/>
        <w:spacing w:after="0"/>
        <w:jc w:val="left"/>
        <w:rPr>
          <w:rFonts w:cs="Times New Roman"/>
          <w:sz w:val="20"/>
          <w:szCs w:val="20"/>
        </w:rPr>
      </w:pPr>
      <w:r w:rsidRPr="00C84EEA">
        <w:rPr>
          <w:rFonts w:cs="Times New Roman"/>
          <w:sz w:val="20"/>
          <w:szCs w:val="20"/>
        </w:rPr>
        <w:t>Šaltinis: sudaryta Vertintojų</w:t>
      </w:r>
    </w:p>
    <w:p w14:paraId="7667B67F" w14:textId="52A653A9" w:rsidR="00C866FA" w:rsidRPr="003C0378" w:rsidRDefault="00C866FA" w:rsidP="00CA73C3">
      <w:pPr>
        <w:pStyle w:val="Antrat2"/>
        <w:numPr>
          <w:ilvl w:val="3"/>
          <w:numId w:val="3"/>
        </w:numPr>
        <w:rPr>
          <w:rFonts w:cs="Times New Roman"/>
        </w:rPr>
      </w:pPr>
      <w:bookmarkStart w:id="69" w:name="_Toc126051353"/>
      <w:bookmarkStart w:id="70" w:name="_Toc166139826"/>
      <w:bookmarkStart w:id="71" w:name="_Toc170804588"/>
      <w:r w:rsidRPr="003C0378">
        <w:rPr>
          <w:rFonts w:cs="Times New Roman"/>
        </w:rPr>
        <w:t xml:space="preserve">AEI plėtros galimybės </w:t>
      </w:r>
      <w:r w:rsidR="008A613D">
        <w:rPr>
          <w:rFonts w:cs="Times New Roman"/>
        </w:rPr>
        <w:t>AIEB</w:t>
      </w:r>
      <w:r w:rsidR="008D279C" w:rsidRPr="008D279C">
        <w:t xml:space="preserve"> </w:t>
      </w:r>
      <w:r w:rsidR="008D279C" w:rsidRPr="008D279C">
        <w:rPr>
          <w:rFonts w:cs="Times New Roman"/>
        </w:rPr>
        <w:t>bei PEB</w:t>
      </w:r>
      <w:r w:rsidR="00670F42" w:rsidRPr="003C0378">
        <w:rPr>
          <w:rFonts w:cs="Times New Roman"/>
        </w:rPr>
        <w:t xml:space="preserve"> tikslinėje grupėje</w:t>
      </w:r>
      <w:bookmarkEnd w:id="69"/>
      <w:bookmarkEnd w:id="70"/>
      <w:bookmarkEnd w:id="71"/>
      <w:r w:rsidRPr="003C0378">
        <w:rPr>
          <w:rFonts w:cs="Times New Roman"/>
        </w:rPr>
        <w:t xml:space="preserve"> </w:t>
      </w:r>
    </w:p>
    <w:p w14:paraId="02F82908" w14:textId="7B77EB35" w:rsidR="000E6A26" w:rsidRPr="003C0378" w:rsidRDefault="008A613D" w:rsidP="003317A2">
      <w:pPr>
        <w:spacing w:line="276" w:lineRule="auto"/>
        <w:ind w:firstLine="562"/>
      </w:pPr>
      <w:r>
        <w:t>AIEB</w:t>
      </w:r>
      <w:r w:rsidR="008D279C" w:rsidRPr="008D279C">
        <w:t xml:space="preserve"> bei PEB</w:t>
      </w:r>
      <w:r w:rsidR="00670F42" w:rsidRPr="003C0378">
        <w:t xml:space="preserve"> yra dar viena tikslinė grupė, kurioje </w:t>
      </w:r>
      <w:r w:rsidR="00FC703A" w:rsidRPr="003C0378">
        <w:t xml:space="preserve">yra didelis AEI plėtros potencialas ir poreikis. </w:t>
      </w:r>
      <w:r w:rsidR="003317A2" w:rsidRPr="003C0378">
        <w:t>Kaip jau anksčiau buvo pažymėta (žr.</w:t>
      </w:r>
      <w:r w:rsidR="00062F1C" w:rsidRPr="003C0378">
        <w:t xml:space="preserve"> 2.1.2</w:t>
      </w:r>
      <w:r w:rsidR="003317A2" w:rsidRPr="003C0378">
        <w:t xml:space="preserve"> </w:t>
      </w:r>
      <w:r w:rsidR="00A01459">
        <w:t>poskyr</w:t>
      </w:r>
      <w:r w:rsidR="00551537">
        <w:t>y</w:t>
      </w:r>
      <w:r w:rsidR="00A01459">
        <w:t>je</w:t>
      </w:r>
      <w:r w:rsidR="003317A2" w:rsidRPr="003C0378">
        <w:t xml:space="preserve">), vienas iš pagrindinių </w:t>
      </w:r>
      <w:r w:rsidR="00F6739B">
        <w:t>AIEB</w:t>
      </w:r>
      <w:r w:rsidR="008D279C" w:rsidRPr="008D279C">
        <w:t xml:space="preserve"> bei PEB</w:t>
      </w:r>
      <w:r w:rsidR="003317A2" w:rsidRPr="003C0378">
        <w:t xml:space="preserve"> modelio veikimo privalumų – galimybė didinti socialinę </w:t>
      </w:r>
      <w:proofErr w:type="spellStart"/>
      <w:r w:rsidR="00A83BFD">
        <w:t>įtrauktį</w:t>
      </w:r>
      <w:proofErr w:type="spellEnd"/>
      <w:r w:rsidR="003317A2" w:rsidRPr="003C0378">
        <w:t xml:space="preserve"> sukuriant prielaidas bendrijos dalyviams naudotis AEI teikiamais privalumais ir atitinkamai mažin</w:t>
      </w:r>
      <w:r w:rsidR="00062F1C" w:rsidRPr="003C0378">
        <w:t>ti energetinio nepritekliaus riziką</w:t>
      </w:r>
      <w:r w:rsidR="00FB5BB7" w:rsidRPr="003C0378">
        <w:t xml:space="preserve"> fiziniams</w:t>
      </w:r>
      <w:r w:rsidR="000E6A26" w:rsidRPr="003C0378">
        <w:t xml:space="preserve"> bendrijų nariams</w:t>
      </w:r>
      <w:r w:rsidR="00C6219A" w:rsidRPr="003C0378">
        <w:t>.</w:t>
      </w:r>
    </w:p>
    <w:p w14:paraId="2357E7E2" w14:textId="5968E1C1" w:rsidR="007640E6" w:rsidRPr="003C0378" w:rsidRDefault="00C6219A">
      <w:pPr>
        <w:spacing w:line="276" w:lineRule="auto"/>
        <w:ind w:firstLine="562"/>
      </w:pPr>
      <w:r w:rsidRPr="003C0378">
        <w:t xml:space="preserve">Energetinis nepriteklius apibrėžiamas kaip negebėjimas užtikrinti tinkamo / adekvataus būsto šilumos lygio ir naudotis būtinosios energetikos prekėmis </w:t>
      </w:r>
      <w:r w:rsidR="0067775D" w:rsidRPr="003C0378">
        <w:t>ir paslaugomis</w:t>
      </w:r>
      <w:r w:rsidR="0067775D" w:rsidRPr="003C0378">
        <w:rPr>
          <w:rStyle w:val="Puslapioinaosnuoroda"/>
        </w:rPr>
        <w:footnoteReference w:id="23"/>
      </w:r>
      <w:r w:rsidR="0067775D" w:rsidRPr="003C0378">
        <w:t>.</w:t>
      </w:r>
      <w:r w:rsidR="000E6A26" w:rsidRPr="003C0378">
        <w:t xml:space="preserve"> </w:t>
      </w:r>
      <w:r w:rsidR="00062F1C" w:rsidRPr="003C0378">
        <w:t>Energetin</w:t>
      </w:r>
      <w:r w:rsidR="004255C8" w:rsidRPr="003C0378">
        <w:t xml:space="preserve">į </w:t>
      </w:r>
      <w:r w:rsidR="00C47F92" w:rsidRPr="003C0378">
        <w:t>nepriteklių Lietuvoje stebintys rodikliai yra du: „Gyventojų, negalinčių šildyti būsto dėl lėšų stokos, dalis“ bei „Namų ūkių dalis, kurie energijos išlaidoms skiria didelę dalį savo pajamų“.</w:t>
      </w:r>
      <w:r w:rsidR="00BD75AD" w:rsidRPr="003C0378">
        <w:t xml:space="preserve"> </w:t>
      </w:r>
      <w:r w:rsidR="009621BD" w:rsidRPr="003C0378">
        <w:t xml:space="preserve">Pastarasis rodiklis yra naudojamas </w:t>
      </w:r>
      <w:r w:rsidR="00605308" w:rsidRPr="003C0378">
        <w:t xml:space="preserve">Nacionalinės pažangos programos (toliau – </w:t>
      </w:r>
      <w:r w:rsidR="009621BD" w:rsidRPr="003C0378">
        <w:t>NPP</w:t>
      </w:r>
      <w:r w:rsidR="00605308" w:rsidRPr="003C0378">
        <w:t>)</w:t>
      </w:r>
      <w:r w:rsidR="009621BD" w:rsidRPr="003C0378">
        <w:t xml:space="preserve"> 2.4 uždavinio įgyvendinimo stebėsenai. NPP ambicija yra</w:t>
      </w:r>
      <w:r w:rsidR="003C0378">
        <w:t xml:space="preserve"> </w:t>
      </w:r>
      <w:r w:rsidR="009621BD" w:rsidRPr="003C0378">
        <w:t>sumažinti namų ūkių, kurie energijos išlaidoms skiria didelę dalį savo pajamų, dalį nuo 17,1 proc. 2016 m. iki 8,6 proc.</w:t>
      </w:r>
    </w:p>
    <w:p w14:paraId="463C73DE" w14:textId="42875986" w:rsidR="000E6A26" w:rsidRPr="003C0378" w:rsidRDefault="00BD75AD" w:rsidP="000E6A26">
      <w:pPr>
        <w:spacing w:line="276" w:lineRule="auto"/>
        <w:ind w:firstLine="562"/>
      </w:pPr>
      <w:r w:rsidRPr="003C0378">
        <w:t xml:space="preserve">Remiantis </w:t>
      </w:r>
      <w:r w:rsidR="009621BD" w:rsidRPr="003C0378">
        <w:t>minėtų</w:t>
      </w:r>
      <w:r w:rsidRPr="003C0378">
        <w:t xml:space="preserve"> rodiklių apskaičiavimo metodologija</w:t>
      </w:r>
      <w:r w:rsidR="00203111" w:rsidRPr="003C0378">
        <w:rPr>
          <w:rStyle w:val="Puslapioinaosnuoroda"/>
        </w:rPr>
        <w:footnoteReference w:id="24"/>
      </w:r>
      <w:r w:rsidRPr="003C0378">
        <w:t xml:space="preserve">, galima pastebėti, kad rodiklių judėjimo kryptį tiesiogiai veikiai pagrindiniai du veiksniai: energetinių išteklių kainos ir pajamų dydis. </w:t>
      </w:r>
      <w:r w:rsidR="00203111" w:rsidRPr="003C0378">
        <w:t xml:space="preserve">Kadangi 2022 m. energetinė krizė tiesiogiai paveikė energetinių išteklių kainos dedamąją (dėl išaugusių dujų ir elektros kainų), </w:t>
      </w:r>
      <w:r w:rsidR="00203111" w:rsidRPr="003C0378">
        <w:lastRenderedPageBreak/>
        <w:t>ir netiesiogiai pajamų dedamąją (kai kurių namų ūkių atveju dėl didėjančio nedarbo ir išaugusių išlaidų kitoms prekių / paslaugų grupėms) neabejotina, kad energetinio nepritekliaus situacija 2022 m. Lietuvoje pablogėjo</w:t>
      </w:r>
      <w:r w:rsidR="000E6A26" w:rsidRPr="003C0378">
        <w:t>, nors 2023 m. pradžioje minėtų rodiklių reikšmės vis dar nebuvo prieinamos</w:t>
      </w:r>
      <w:r w:rsidR="00FB5BB7" w:rsidRPr="003C0378">
        <w:t xml:space="preserve"> ir šių tendencijų negali patvirtinti</w:t>
      </w:r>
      <w:r w:rsidRPr="003C0378">
        <w:rPr>
          <w:rStyle w:val="Puslapioinaosnuoroda"/>
        </w:rPr>
        <w:footnoteReference w:id="25"/>
      </w:r>
      <w:r w:rsidR="000E6A26" w:rsidRPr="003C0378">
        <w:t>. Atsižvelgiant į minėtų rodiklių neprieinamumą, energetinio nepritekliaus situacijos pablogėjimą</w:t>
      </w:r>
      <w:r w:rsidR="006C1FB4" w:rsidRPr="003C0378">
        <w:t xml:space="preserve"> 2022</w:t>
      </w:r>
      <w:r w:rsidR="00357E00">
        <w:t xml:space="preserve"> m.</w:t>
      </w:r>
      <w:r w:rsidR="000E6A26" w:rsidRPr="003C0378">
        <w:t xml:space="preserve"> gali padėti apčiuopti </w:t>
      </w:r>
      <w:r w:rsidR="006C1FB4" w:rsidRPr="003C0378">
        <w:t xml:space="preserve">kompensacijų už būsto šildymą, karštą ir geriamąjį vandenį gavėjų, kaip tai numato LR </w:t>
      </w:r>
      <w:r w:rsidR="00513F8B">
        <w:t>P</w:t>
      </w:r>
      <w:r w:rsidR="006C1FB4" w:rsidRPr="003C0378">
        <w:t>iniginės socialinės paramos nepasiturintiems įstatymas, gavėjų skaičiaus raida 2022–2023 m. Ir nors šis rodiklis tiesiogiai neparodo energetinio nepritekliaus situacijos</w:t>
      </w:r>
      <w:r w:rsidR="00484A85" w:rsidRPr="003C0378">
        <w:t xml:space="preserve"> Lietuvoje</w:t>
      </w:r>
      <w:r w:rsidR="006C1FB4" w:rsidRPr="003C0378">
        <w:t xml:space="preserve"> ar nurodo elektros iš AEI gamybos </w:t>
      </w:r>
      <w:r w:rsidR="00F23D91" w:rsidRPr="003C0378">
        <w:t>potencialo</w:t>
      </w:r>
      <w:r w:rsidR="00305887">
        <w:t xml:space="preserve"> </w:t>
      </w:r>
      <w:r w:rsidR="00F6739B">
        <w:t>AIEB</w:t>
      </w:r>
      <w:r w:rsidR="00F23D91" w:rsidRPr="003C0378">
        <w:t xml:space="preserve"> </w:t>
      </w:r>
      <w:r w:rsidR="008D279C" w:rsidRPr="008D279C">
        <w:t xml:space="preserve">bei PEB </w:t>
      </w:r>
      <w:r w:rsidR="00F23D91" w:rsidRPr="003C0378">
        <w:t xml:space="preserve">tikslinėje grupėje, remiantis interviu su LEA atstovais metu gauta informacija, šis rodiklis yra tinkama aproksimacija identifikavimui </w:t>
      </w:r>
      <w:r w:rsidR="00305887">
        <w:t>asmenų skaičių, kur</w:t>
      </w:r>
      <w:r w:rsidR="00B1147B">
        <w:t xml:space="preserve">is galėtų pasinaudoti </w:t>
      </w:r>
      <w:r w:rsidR="008A613D">
        <w:t>AIEB</w:t>
      </w:r>
      <w:r w:rsidR="00B1147B">
        <w:t xml:space="preserve"> </w:t>
      </w:r>
      <w:r w:rsidR="00F03D33" w:rsidRPr="00F03D33">
        <w:t xml:space="preserve">bei PEB </w:t>
      </w:r>
      <w:r w:rsidR="00B1147B">
        <w:t>teikiama</w:t>
      </w:r>
      <w:r w:rsidR="00305887">
        <w:t xml:space="preserve"> </w:t>
      </w:r>
      <w:r w:rsidR="00F23D91" w:rsidRPr="003C0378">
        <w:t xml:space="preserve">nauda. </w:t>
      </w:r>
    </w:p>
    <w:p w14:paraId="0D674B6F" w14:textId="4A799BC8" w:rsidR="009621BD" w:rsidRPr="003C0378" w:rsidRDefault="00F23D91" w:rsidP="009621BD">
      <w:pPr>
        <w:spacing w:line="276" w:lineRule="auto"/>
        <w:ind w:firstLine="562"/>
      </w:pPr>
      <w:r w:rsidRPr="003C0378">
        <w:t>Remiantis viešai prieinama informacija</w:t>
      </w:r>
      <w:r w:rsidRPr="003C0378">
        <w:rPr>
          <w:rStyle w:val="Puslapioinaosnuoroda"/>
        </w:rPr>
        <w:footnoteReference w:id="26"/>
      </w:r>
      <w:r w:rsidRPr="003C0378">
        <w:t xml:space="preserve"> ir interviu metu surinkta informacija</w:t>
      </w:r>
      <w:r w:rsidRPr="003C0378">
        <w:rPr>
          <w:rStyle w:val="Puslapioinaosnuoroda"/>
        </w:rPr>
        <w:footnoteReference w:id="27"/>
      </w:r>
      <w:r w:rsidRPr="003C0378">
        <w:t>, 202</w:t>
      </w:r>
      <w:r w:rsidR="00605308" w:rsidRPr="003C0378">
        <w:t>1</w:t>
      </w:r>
      <w:r w:rsidRPr="003C0378">
        <w:t xml:space="preserve"> m.</w:t>
      </w:r>
      <w:r w:rsidR="003C0378">
        <w:t xml:space="preserve"> </w:t>
      </w:r>
      <w:r w:rsidRPr="003C0378">
        <w:t>kompensacijas už būsto šildymą, karštą ir geriamąjį vandenį</w:t>
      </w:r>
      <w:r w:rsidR="007640E6" w:rsidRPr="003C0378">
        <w:t xml:space="preserve"> gaunančių namų ūkių</w:t>
      </w:r>
      <w:r w:rsidR="00605308" w:rsidRPr="003C0378">
        <w:t xml:space="preserve"> buvo šiek tiek daugiau nei 100</w:t>
      </w:r>
      <w:r w:rsidRPr="003C0378">
        <w:t xml:space="preserve"> tūkst. </w:t>
      </w:r>
      <w:r w:rsidR="00605308" w:rsidRPr="003C0378">
        <w:t>Remiantis statistikos departamento pateikiama informacija, tokių asmenų 2022 m. vidutiniškai buvo 153 tūkst. Vadinasi, per metus dėl Rusijos sukelto karo Ukrainoje kompensacijas gaunančių asmenų skaičius padaugėjo daugiau nei 50 proc.</w:t>
      </w:r>
    </w:p>
    <w:p w14:paraId="76F4E115" w14:textId="42CC0B44" w:rsidR="00A84364" w:rsidRPr="003C0378" w:rsidRDefault="009621BD">
      <w:pPr>
        <w:spacing w:line="276" w:lineRule="auto"/>
        <w:ind w:firstLine="562"/>
      </w:pPr>
      <w:r w:rsidRPr="003C0378">
        <w:t>Kitas rodiklis, kuris</w:t>
      </w:r>
      <w:r w:rsidR="00161335" w:rsidRPr="003C0378">
        <w:t xml:space="preserve"> yra tinkama aproksimacija identifikavimui energetinį nepriteklių patiriančių namų ūkių skaičius ir kuris</w:t>
      </w:r>
      <w:r w:rsidRPr="003C0378">
        <w:t xml:space="preserve"> gali būti naudojamas kaip atskaitos taškas identifikavimui </w:t>
      </w:r>
      <w:r w:rsidR="00B1147B">
        <w:t>asmenų</w:t>
      </w:r>
      <w:r w:rsidRPr="003C0378">
        <w:t xml:space="preserve"> skaičiaus, kuris galėtų pasinaudoti AEI teikiama nauda, yra „Energetinį </w:t>
      </w:r>
      <w:r w:rsidR="009541F8">
        <w:t>nepriteklių</w:t>
      </w:r>
      <w:r w:rsidRPr="003C0378">
        <w:t xml:space="preserve"> patiriantys namų ūkiai, pasinaudoję valstybės paskatų ir paramos sistema atsinaujinančios energetikos ir energijos vartojimo efektyvumo skatinimo srityje, vienetai“. Šis rodiklis yra</w:t>
      </w:r>
      <w:r w:rsidR="005D5B65" w:rsidRPr="003C0378">
        <w:t xml:space="preserve"> suplanuot</w:t>
      </w:r>
      <w:r w:rsidR="00A84364" w:rsidRPr="003C0378">
        <w:t>ai pažangos priemonės</w:t>
      </w:r>
      <w:r w:rsidR="005D5B65" w:rsidRPr="003C0378">
        <w:t xml:space="preserve"> „Sukurti tinkamas sąlygas mažas pajamas gaunantiems ir energijos nepriteklių patiriantiems gyventojams pasinaudoti valstybės paskatų ir paramos sistema atsinaujinančios energetikos ir energijos vartojimo efektyvumo skatinimo srityje, taip pat valstybės parama, skirta techninėms galimybėms pasirinkti alternatyvius (pigesnius) energijos išteklius užtikrinti“</w:t>
      </w:r>
      <w:r w:rsidR="003C0378">
        <w:t xml:space="preserve"> </w:t>
      </w:r>
      <w:r w:rsidR="00A84364" w:rsidRPr="003C0378">
        <w:t xml:space="preserve">įgyvendinimo stebėsenai. Ši priemonė yra nukreipta į </w:t>
      </w:r>
      <w:r w:rsidR="005D5B65" w:rsidRPr="003C0378">
        <w:t>NPP 2.4 uždavin</w:t>
      </w:r>
      <w:r w:rsidR="00A84364" w:rsidRPr="003C0378">
        <w:t xml:space="preserve">io įgyvendinimą </w:t>
      </w:r>
      <w:r w:rsidR="005D5B65" w:rsidRPr="003C0378">
        <w:t xml:space="preserve">ir, atitinkamai, yra nukreipta į energetinio </w:t>
      </w:r>
      <w:r w:rsidR="00E622DE">
        <w:t>nepritekliaus</w:t>
      </w:r>
      <w:r w:rsidR="005D5B65" w:rsidRPr="003C0378">
        <w:t xml:space="preserve"> mažinimą</w:t>
      </w:r>
      <w:r w:rsidR="00A84364" w:rsidRPr="003C0378">
        <w:t>. Remiantis pažangos priemonės aprašu, iki</w:t>
      </w:r>
      <w:r w:rsidR="005D5B65" w:rsidRPr="003C0378">
        <w:t xml:space="preserve"> 2030 m. yra suplanuota </w:t>
      </w:r>
      <w:r w:rsidR="00C5248E" w:rsidRPr="003C0378">
        <w:t xml:space="preserve">paremti 200 tūkst. energetinį </w:t>
      </w:r>
      <w:r w:rsidR="009541F8">
        <w:t>nepriteklių</w:t>
      </w:r>
      <w:r w:rsidR="00C5248E" w:rsidRPr="003C0378">
        <w:t xml:space="preserve"> patiriančių namų ūkių. </w:t>
      </w:r>
    </w:p>
    <w:p w14:paraId="34E47D9C" w14:textId="7206ECFE" w:rsidR="00C5248E" w:rsidRPr="003C0378" w:rsidRDefault="00C5248E">
      <w:pPr>
        <w:spacing w:line="276" w:lineRule="auto"/>
        <w:ind w:firstLine="562"/>
      </w:pPr>
      <w:r w:rsidRPr="003C0378">
        <w:t xml:space="preserve">Kadangi </w:t>
      </w:r>
      <w:r w:rsidR="00161335" w:rsidRPr="003C0378">
        <w:t xml:space="preserve">abiejų rodiklių (kompensacijas už būsto šildymą, karštą ir geriamąjį vandenį gaunančių namų ūkių skaičius ir energetinį </w:t>
      </w:r>
      <w:r w:rsidR="009541F8">
        <w:t>nepriteklių</w:t>
      </w:r>
      <w:r w:rsidR="00161335" w:rsidRPr="003C0378">
        <w:t xml:space="preserve"> patiriantys namų ūkiai, pasinaudoję valstybės paskatų ir paramos sistema atsinaujinančios energetikos ir energijos vartojimo efektyvumo skatinimo srityje, vienetai) reikšmės</w:t>
      </w:r>
      <w:r w:rsidR="00605308" w:rsidRPr="003C0378">
        <w:t xml:space="preserve"> yra panašios</w:t>
      </w:r>
      <w:r w:rsidR="00161335" w:rsidRPr="003C0378">
        <w:t xml:space="preserve">, </w:t>
      </w:r>
      <w:r w:rsidR="00161335" w:rsidRPr="003C0378">
        <w:rPr>
          <w:b/>
          <w:bCs/>
        </w:rPr>
        <w:t xml:space="preserve">Vertintojai padarė prielaidą, kad </w:t>
      </w:r>
      <w:r w:rsidR="00B1147B">
        <w:rPr>
          <w:b/>
          <w:bCs/>
        </w:rPr>
        <w:t>asmenų</w:t>
      </w:r>
      <w:r w:rsidR="00161335" w:rsidRPr="003C0378">
        <w:t xml:space="preserve">, </w:t>
      </w:r>
      <w:r w:rsidR="00E314BF">
        <w:t xml:space="preserve">kurie </w:t>
      </w:r>
      <w:r w:rsidR="00161335" w:rsidRPr="003C0378">
        <w:t xml:space="preserve">galėtų pasinaudoti </w:t>
      </w:r>
      <w:r w:rsidR="008A613D">
        <w:t>AIEB</w:t>
      </w:r>
      <w:r w:rsidR="00161335" w:rsidRPr="003C0378">
        <w:t xml:space="preserve"> </w:t>
      </w:r>
      <w:r w:rsidR="00CB585C" w:rsidRPr="00CB585C">
        <w:t xml:space="preserve">bei PEB </w:t>
      </w:r>
      <w:r w:rsidR="00161335" w:rsidRPr="003C0378">
        <w:t xml:space="preserve">teikiama nauda, </w:t>
      </w:r>
      <w:r w:rsidR="00605308" w:rsidRPr="003C0378">
        <w:rPr>
          <w:b/>
          <w:bCs/>
        </w:rPr>
        <w:t>skaičius varijuoja tarp 150–</w:t>
      </w:r>
      <w:r w:rsidR="00161335" w:rsidRPr="006C0B37">
        <w:rPr>
          <w:b/>
        </w:rPr>
        <w:t>200 tūkst</w:t>
      </w:r>
      <w:r w:rsidR="00161335" w:rsidRPr="003C0378">
        <w:rPr>
          <w:b/>
          <w:bCs/>
        </w:rPr>
        <w:t>. Atsižvelgiant į tai,</w:t>
      </w:r>
      <w:r w:rsidR="00161335" w:rsidRPr="006C0B37">
        <w:rPr>
          <w:b/>
        </w:rPr>
        <w:t xml:space="preserve"> </w:t>
      </w:r>
      <w:r w:rsidR="00ED19D5" w:rsidRPr="006C0B37">
        <w:rPr>
          <w:b/>
        </w:rPr>
        <w:t>Vertintojai</w:t>
      </w:r>
      <w:r w:rsidR="0025221B" w:rsidRPr="006C0B37">
        <w:rPr>
          <w:b/>
        </w:rPr>
        <w:t xml:space="preserve"> šį skaičių nusprendė naudoti kaip atskaitos tašką tolimesniems investicijų poreikio skaičiavimams.</w:t>
      </w:r>
    </w:p>
    <w:p w14:paraId="4BCCAAE2" w14:textId="4BDCC25D" w:rsidR="00510D3C" w:rsidRPr="003C0378" w:rsidRDefault="0025221B" w:rsidP="001418CD">
      <w:pPr>
        <w:spacing w:line="276" w:lineRule="auto"/>
        <w:ind w:firstLine="562"/>
      </w:pPr>
      <w:r w:rsidRPr="003C0378">
        <w:t>Remiantis vertintojų atlikt</w:t>
      </w:r>
      <w:r w:rsidR="006B6964" w:rsidRPr="003C0378">
        <w:t xml:space="preserve">ų </w:t>
      </w:r>
      <w:r w:rsidRPr="003C0378">
        <w:t>interviu</w:t>
      </w:r>
      <w:r w:rsidR="007640E6" w:rsidRPr="003C0378">
        <w:t xml:space="preserve"> su LEA atstovais</w:t>
      </w:r>
      <w:r w:rsidRPr="003C0378">
        <w:t xml:space="preserve"> medžiagos informacija, vienas vidutinis namų ūkis Lietuvoje per metus sunaudoja maždaug 2 160 </w:t>
      </w:r>
      <w:r w:rsidR="00091DD0">
        <w:t>k</w:t>
      </w:r>
      <w:r w:rsidR="00843EAE" w:rsidRPr="003C0378">
        <w:t>W</w:t>
      </w:r>
      <w:r w:rsidRPr="003C0378">
        <w:t>h elektros energijos. Tuo tarpu vienas vidutinis</w:t>
      </w:r>
      <w:r w:rsidR="001418CD" w:rsidRPr="003C0378">
        <w:t xml:space="preserve"> energetinį</w:t>
      </w:r>
      <w:r w:rsidRPr="003C0378">
        <w:t xml:space="preserve"> </w:t>
      </w:r>
      <w:r w:rsidR="009541F8">
        <w:t>nepriteklių</w:t>
      </w:r>
      <w:r w:rsidRPr="003C0378">
        <w:t xml:space="preserve"> patiriantis namų ūkis sunaudoja 56</w:t>
      </w:r>
      <w:r w:rsidR="00103D8D" w:rsidRPr="003C0378">
        <w:t>–</w:t>
      </w:r>
      <w:r w:rsidRPr="003C0378">
        <w:t xml:space="preserve">67 proc. šios dalies arba nuo 1 220 iki 1 440 </w:t>
      </w:r>
      <w:r w:rsidR="00091DD0">
        <w:t>k</w:t>
      </w:r>
      <w:r w:rsidR="00843EAE" w:rsidRPr="003C0378">
        <w:t>W</w:t>
      </w:r>
      <w:r w:rsidRPr="003C0378">
        <w:t xml:space="preserve">h elektros energijos per metus. </w:t>
      </w:r>
      <w:r w:rsidR="001418CD" w:rsidRPr="003C0378">
        <w:t xml:space="preserve">Sudauginus energetinį </w:t>
      </w:r>
      <w:r w:rsidR="009541F8">
        <w:t>nepriteklių</w:t>
      </w:r>
      <w:r w:rsidR="001418CD" w:rsidRPr="003C0378">
        <w:t xml:space="preserve"> patiriančių namų ūkių elektros energijos metinį suvartojimą iš energetinį </w:t>
      </w:r>
      <w:r w:rsidR="009541F8">
        <w:t>nepriteklių</w:t>
      </w:r>
      <w:r w:rsidR="001418CD" w:rsidRPr="003C0378">
        <w:t xml:space="preserve"> patiriančių namų ūkių skaičiaus buvo gautas energetinį </w:t>
      </w:r>
      <w:r w:rsidR="009541F8">
        <w:t>nepriteklių</w:t>
      </w:r>
      <w:r w:rsidR="001418CD" w:rsidRPr="003C0378">
        <w:t xml:space="preserve"> patiriančių namų ūkių visuminė elektros energijos paklausa.</w:t>
      </w:r>
    </w:p>
    <w:p w14:paraId="3907D6F5" w14:textId="1537CF53" w:rsidR="005A4DD3" w:rsidRPr="003C0378" w:rsidRDefault="005A4DD3" w:rsidP="005A4DD3">
      <w:pPr>
        <w:keepNext/>
        <w:ind w:firstLine="0"/>
        <w:rPr>
          <w:rFonts w:cs="Times New Roman"/>
          <w:i/>
          <w:iCs/>
        </w:rPr>
      </w:pPr>
      <w:bookmarkStart w:id="72" w:name="_Toc126051385"/>
      <w:bookmarkStart w:id="73" w:name="_Toc166139860"/>
      <w:bookmarkStart w:id="74" w:name="_Toc170804626"/>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10</w:t>
      </w:r>
      <w:r w:rsidRPr="003C0378">
        <w:rPr>
          <w:rFonts w:cs="Times New Roman"/>
          <w:i/>
          <w:iCs/>
        </w:rPr>
        <w:fldChar w:fldCharType="end"/>
      </w:r>
      <w:r w:rsidRPr="003C0378">
        <w:rPr>
          <w:rFonts w:cs="Times New Roman"/>
          <w:i/>
          <w:iCs/>
        </w:rPr>
        <w:t xml:space="preserve">. </w:t>
      </w:r>
      <w:bookmarkEnd w:id="72"/>
      <w:r w:rsidR="00CE7C54" w:rsidRPr="003C0378">
        <w:rPr>
          <w:rFonts w:cs="Times New Roman"/>
          <w:i/>
          <w:iCs/>
        </w:rPr>
        <w:t xml:space="preserve">Namų ūkių, kuriuos galima įtraukti į </w:t>
      </w:r>
      <w:r w:rsidR="00F6739B">
        <w:rPr>
          <w:rFonts w:cs="Times New Roman"/>
          <w:i/>
          <w:iCs/>
        </w:rPr>
        <w:t>AIEB</w:t>
      </w:r>
      <w:r w:rsidR="00CB585C" w:rsidRPr="00CB585C">
        <w:t xml:space="preserve"> </w:t>
      </w:r>
      <w:r w:rsidR="00CB585C" w:rsidRPr="00CB585C">
        <w:rPr>
          <w:rFonts w:cs="Times New Roman"/>
          <w:i/>
          <w:iCs/>
        </w:rPr>
        <w:t>bei PEB</w:t>
      </w:r>
      <w:r w:rsidR="00CE7C54" w:rsidRPr="003C0378">
        <w:rPr>
          <w:rFonts w:cs="Times New Roman"/>
          <w:i/>
          <w:iCs/>
        </w:rPr>
        <w:t>, elektros suvartojimas</w:t>
      </w:r>
      <w:bookmarkEnd w:id="73"/>
      <w:bookmarkEnd w:id="7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766"/>
      </w:tblGrid>
      <w:tr w:rsidR="005A4DD3" w:rsidRPr="003C0378" w14:paraId="43475459" w14:textId="77777777" w:rsidTr="00E24002">
        <w:trPr>
          <w:trHeight w:val="369"/>
        </w:trPr>
        <w:tc>
          <w:tcPr>
            <w:tcW w:w="5868" w:type="dxa"/>
            <w:shd w:val="clear" w:color="auto" w:fill="auto"/>
            <w:noWrap/>
            <w:vAlign w:val="center"/>
            <w:hideMark/>
          </w:tcPr>
          <w:p w14:paraId="286CC276"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Rodiklis</w:t>
            </w:r>
          </w:p>
        </w:tc>
        <w:tc>
          <w:tcPr>
            <w:tcW w:w="3766" w:type="dxa"/>
            <w:shd w:val="clear" w:color="auto" w:fill="auto"/>
            <w:noWrap/>
            <w:vAlign w:val="center"/>
            <w:hideMark/>
          </w:tcPr>
          <w:p w14:paraId="6F6CFD89"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Rodiklio vertė</w:t>
            </w:r>
          </w:p>
        </w:tc>
      </w:tr>
      <w:tr w:rsidR="005A4DD3" w:rsidRPr="003C0378" w14:paraId="4276B4E6" w14:textId="77777777" w:rsidTr="00E24002">
        <w:trPr>
          <w:trHeight w:val="20"/>
        </w:trPr>
        <w:tc>
          <w:tcPr>
            <w:tcW w:w="5868" w:type="dxa"/>
            <w:shd w:val="clear" w:color="auto" w:fill="auto"/>
            <w:noWrap/>
            <w:vAlign w:val="center"/>
            <w:hideMark/>
          </w:tcPr>
          <w:p w14:paraId="227BC39C" w14:textId="386395DD" w:rsidR="005A4DD3" w:rsidRPr="003C0378" w:rsidRDefault="009621BD"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Energetinį </w:t>
            </w:r>
            <w:r w:rsidR="009541F8">
              <w:rPr>
                <w:rFonts w:eastAsia="Times New Roman" w:cs="Times New Roman"/>
                <w:color w:val="000000"/>
                <w:sz w:val="20"/>
                <w:szCs w:val="20"/>
              </w:rPr>
              <w:t>nepriteklių</w:t>
            </w:r>
            <w:r w:rsidR="005A4DD3" w:rsidRPr="003C0378">
              <w:rPr>
                <w:rFonts w:eastAsia="Times New Roman" w:cs="Times New Roman"/>
                <w:color w:val="000000"/>
                <w:sz w:val="20"/>
                <w:szCs w:val="20"/>
              </w:rPr>
              <w:t xml:space="preserve"> patiriančių namų ūkių skaičius (vnt.)</w:t>
            </w:r>
          </w:p>
        </w:tc>
        <w:tc>
          <w:tcPr>
            <w:tcW w:w="3766" w:type="dxa"/>
            <w:shd w:val="clear" w:color="auto" w:fill="auto"/>
            <w:noWrap/>
            <w:vAlign w:val="center"/>
            <w:hideMark/>
          </w:tcPr>
          <w:p w14:paraId="010BF305" w14:textId="75337738" w:rsidR="005A4DD3" w:rsidRPr="003C0378" w:rsidRDefault="00605308"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150 000–</w:t>
            </w:r>
            <w:r w:rsidR="005A4DD3" w:rsidRPr="003C0378">
              <w:rPr>
                <w:rFonts w:eastAsia="Times New Roman" w:cs="Times New Roman"/>
                <w:color w:val="000000"/>
                <w:sz w:val="20"/>
                <w:szCs w:val="20"/>
              </w:rPr>
              <w:t>200 000</w:t>
            </w:r>
          </w:p>
        </w:tc>
      </w:tr>
      <w:tr w:rsidR="005A4DD3" w:rsidRPr="003C0378" w14:paraId="081BB4AF" w14:textId="77777777" w:rsidTr="007863F6">
        <w:trPr>
          <w:trHeight w:val="20"/>
        </w:trPr>
        <w:tc>
          <w:tcPr>
            <w:tcW w:w="5868" w:type="dxa"/>
            <w:shd w:val="clear" w:color="auto" w:fill="auto"/>
            <w:noWrap/>
            <w:vAlign w:val="center"/>
            <w:hideMark/>
          </w:tcPr>
          <w:p w14:paraId="5F06AA3B" w14:textId="521E113E" w:rsidR="005A4DD3" w:rsidRPr="003C0378" w:rsidRDefault="005A4DD3"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lastRenderedPageBreak/>
              <w:t>Vidutinis elektros energijos suvartojimas per metus (</w:t>
            </w:r>
            <w:r w:rsidR="00091DD0">
              <w:rPr>
                <w:rFonts w:eastAsia="Times New Roman" w:cs="Times New Roman"/>
                <w:color w:val="000000"/>
                <w:sz w:val="20"/>
                <w:szCs w:val="20"/>
              </w:rPr>
              <w:t>k</w:t>
            </w:r>
            <w:r w:rsidR="00843EAE" w:rsidRPr="003C0378">
              <w:rPr>
                <w:rFonts w:eastAsia="Times New Roman" w:cs="Times New Roman"/>
                <w:color w:val="000000"/>
                <w:sz w:val="20"/>
                <w:szCs w:val="20"/>
              </w:rPr>
              <w:t>W</w:t>
            </w:r>
            <w:r w:rsidRPr="003C0378">
              <w:rPr>
                <w:rFonts w:eastAsia="Times New Roman" w:cs="Times New Roman"/>
                <w:color w:val="000000"/>
                <w:sz w:val="20"/>
                <w:szCs w:val="20"/>
              </w:rPr>
              <w:t>h)</w:t>
            </w:r>
          </w:p>
        </w:tc>
        <w:tc>
          <w:tcPr>
            <w:tcW w:w="3766" w:type="dxa"/>
            <w:shd w:val="clear" w:color="auto" w:fill="auto"/>
            <w:noWrap/>
            <w:vAlign w:val="center"/>
            <w:hideMark/>
          </w:tcPr>
          <w:p w14:paraId="1DBD7419" w14:textId="2DE09441"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12</w:t>
            </w:r>
            <w:r w:rsidR="0038211F">
              <w:rPr>
                <w:rFonts w:eastAsia="Times New Roman" w:cs="Times New Roman"/>
                <w:color w:val="000000"/>
                <w:sz w:val="20"/>
                <w:szCs w:val="20"/>
              </w:rPr>
              <w:t>2</w:t>
            </w:r>
            <w:r w:rsidRPr="003C0378">
              <w:rPr>
                <w:rFonts w:eastAsia="Times New Roman" w:cs="Times New Roman"/>
                <w:color w:val="000000"/>
                <w:sz w:val="20"/>
                <w:szCs w:val="20"/>
              </w:rPr>
              <w:t>0</w:t>
            </w:r>
            <w:r w:rsidR="00103D8D" w:rsidRPr="003C0378">
              <w:rPr>
                <w:rFonts w:eastAsia="Times New Roman" w:cs="Times New Roman"/>
                <w:color w:val="000000"/>
                <w:sz w:val="20"/>
                <w:szCs w:val="20"/>
              </w:rPr>
              <w:t>–</w:t>
            </w:r>
            <w:r w:rsidRPr="003C0378">
              <w:rPr>
                <w:rFonts w:eastAsia="Times New Roman" w:cs="Times New Roman"/>
                <w:color w:val="000000"/>
                <w:sz w:val="20"/>
                <w:szCs w:val="20"/>
              </w:rPr>
              <w:t>1440</w:t>
            </w:r>
          </w:p>
        </w:tc>
      </w:tr>
      <w:tr w:rsidR="005A4DD3" w:rsidRPr="003C0378" w14:paraId="0609D5E9" w14:textId="77777777" w:rsidTr="007863F6">
        <w:trPr>
          <w:trHeight w:val="20"/>
        </w:trPr>
        <w:tc>
          <w:tcPr>
            <w:tcW w:w="5868" w:type="dxa"/>
            <w:shd w:val="clear" w:color="auto" w:fill="auto"/>
            <w:noWrap/>
            <w:vAlign w:val="center"/>
            <w:hideMark/>
          </w:tcPr>
          <w:p w14:paraId="29EF49A2" w14:textId="4535A1BE" w:rsidR="005A4DD3" w:rsidRPr="003C0378" w:rsidRDefault="009541F8"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Nepriteklių</w:t>
            </w:r>
            <w:r w:rsidR="005A4DD3" w:rsidRPr="003C0378">
              <w:rPr>
                <w:rFonts w:eastAsia="Times New Roman" w:cs="Times New Roman"/>
                <w:color w:val="000000"/>
                <w:sz w:val="20"/>
                <w:szCs w:val="20"/>
              </w:rPr>
              <w:t xml:space="preserve"> patiriančių namų ūkių elektros energijos paklausa (</w:t>
            </w:r>
            <w:proofErr w:type="spellStart"/>
            <w:r w:rsidR="005A4DD3" w:rsidRPr="003C0378">
              <w:rPr>
                <w:rFonts w:eastAsia="Times New Roman" w:cs="Times New Roman"/>
                <w:color w:val="000000"/>
                <w:sz w:val="20"/>
                <w:szCs w:val="20"/>
              </w:rPr>
              <w:t>GWh</w:t>
            </w:r>
            <w:proofErr w:type="spellEnd"/>
            <w:r w:rsidR="005A4DD3" w:rsidRPr="003C0378">
              <w:rPr>
                <w:rFonts w:eastAsia="Times New Roman" w:cs="Times New Roman"/>
                <w:color w:val="000000"/>
                <w:sz w:val="20"/>
                <w:szCs w:val="20"/>
              </w:rPr>
              <w:t>)</w:t>
            </w:r>
          </w:p>
        </w:tc>
        <w:tc>
          <w:tcPr>
            <w:tcW w:w="3766" w:type="dxa"/>
            <w:shd w:val="clear" w:color="auto" w:fill="auto"/>
            <w:noWrap/>
            <w:vAlign w:val="center"/>
            <w:hideMark/>
          </w:tcPr>
          <w:p w14:paraId="5BE89E32" w14:textId="1BA44D38" w:rsidR="005A4DD3" w:rsidRPr="003C0378" w:rsidRDefault="00D4619C" w:rsidP="000C6260">
            <w:pPr>
              <w:spacing w:after="0"/>
              <w:ind w:firstLine="0"/>
              <w:jc w:val="center"/>
              <w:rPr>
                <w:rFonts w:eastAsia="Times New Roman" w:cs="Times New Roman"/>
                <w:color w:val="000000"/>
                <w:sz w:val="20"/>
                <w:szCs w:val="20"/>
              </w:rPr>
            </w:pPr>
            <w:r>
              <w:rPr>
                <w:rFonts w:eastAsia="Times New Roman" w:cs="Times New Roman"/>
                <w:color w:val="000000"/>
                <w:sz w:val="20"/>
                <w:szCs w:val="20"/>
              </w:rPr>
              <w:t>183</w:t>
            </w:r>
            <w:r w:rsidR="00103D8D" w:rsidRPr="003C0378">
              <w:rPr>
                <w:rFonts w:eastAsia="Times New Roman" w:cs="Times New Roman"/>
                <w:color w:val="000000"/>
                <w:sz w:val="20"/>
                <w:szCs w:val="20"/>
              </w:rPr>
              <w:t>–</w:t>
            </w:r>
            <w:r w:rsidR="005A4DD3" w:rsidRPr="003C0378">
              <w:rPr>
                <w:rFonts w:eastAsia="Times New Roman" w:cs="Times New Roman"/>
                <w:color w:val="000000"/>
                <w:sz w:val="20"/>
                <w:szCs w:val="20"/>
              </w:rPr>
              <w:t>288</w:t>
            </w:r>
          </w:p>
        </w:tc>
      </w:tr>
    </w:tbl>
    <w:p w14:paraId="684B9462" w14:textId="72393D65" w:rsidR="00B55C94" w:rsidRPr="003C0378" w:rsidRDefault="005A4DD3" w:rsidP="006B6964">
      <w:pPr>
        <w:keepNext/>
        <w:spacing w:after="0"/>
        <w:jc w:val="left"/>
        <w:rPr>
          <w:rFonts w:cs="Times New Roman"/>
          <w:sz w:val="20"/>
          <w:szCs w:val="20"/>
        </w:rPr>
      </w:pPr>
      <w:r w:rsidRPr="003C0378">
        <w:rPr>
          <w:rFonts w:cs="Times New Roman"/>
          <w:sz w:val="20"/>
          <w:szCs w:val="20"/>
        </w:rPr>
        <w:t>Šaltinis: sudaryta Vertintojų</w:t>
      </w:r>
      <w:r w:rsidR="00B55C94" w:rsidRPr="003C0378">
        <w:rPr>
          <w:rFonts w:cs="Times New Roman"/>
          <w:sz w:val="20"/>
          <w:szCs w:val="20"/>
        </w:rPr>
        <w:t>.</w:t>
      </w:r>
    </w:p>
    <w:p w14:paraId="29823205" w14:textId="09331B63" w:rsidR="00B55C94" w:rsidRPr="003C0378" w:rsidRDefault="005A4DD3" w:rsidP="006B6964">
      <w:pPr>
        <w:spacing w:line="276" w:lineRule="auto"/>
        <w:rPr>
          <w:b/>
        </w:rPr>
      </w:pPr>
      <w:r w:rsidRPr="003C0378">
        <w:t xml:space="preserve">Apskaičiavus elektros energijos paklausą, </w:t>
      </w:r>
      <w:r w:rsidR="00ED19D5" w:rsidRPr="003C0378">
        <w:t>Vertintojai</w:t>
      </w:r>
      <w:r w:rsidRPr="003C0378">
        <w:t xml:space="preserve"> apskaičiavo investicijų poreikį. </w:t>
      </w:r>
      <w:r w:rsidR="00ED19D5" w:rsidRPr="003C0378">
        <w:t>Vertintojai</w:t>
      </w:r>
      <w:r w:rsidRPr="003C0378">
        <w:t xml:space="preserve"> kaip ir ankstesniuose skyreliuose darė prielaidą, kad</w:t>
      </w:r>
      <w:r w:rsidR="003C0378">
        <w:t xml:space="preserve"> </w:t>
      </w:r>
      <w:r w:rsidRPr="003C0378">
        <w:t xml:space="preserve">1 </w:t>
      </w:r>
      <w:r w:rsidR="00091DD0">
        <w:t>k</w:t>
      </w:r>
      <w:r w:rsidR="00843EAE" w:rsidRPr="003C0378">
        <w:t>W</w:t>
      </w:r>
      <w:r w:rsidRPr="003C0378">
        <w:t xml:space="preserve"> galingumo saulės ir vėjo elektrinės, atitinkamai, pagamina apytiksliai 1050 </w:t>
      </w:r>
      <w:r w:rsidR="00091DD0">
        <w:t>k</w:t>
      </w:r>
      <w:r w:rsidR="00843EAE" w:rsidRPr="003C0378">
        <w:t>W</w:t>
      </w:r>
      <w:r w:rsidRPr="003C0378">
        <w:t xml:space="preserve">h ir 2500 </w:t>
      </w:r>
      <w:r w:rsidR="00091DD0">
        <w:t>k</w:t>
      </w:r>
      <w:r w:rsidR="00843EAE" w:rsidRPr="003C0378">
        <w:t>W</w:t>
      </w:r>
      <w:r w:rsidRPr="003C0378">
        <w:t>h elektros energijos</w:t>
      </w:r>
      <w:r w:rsidR="00F81C7A" w:rsidRPr="003C0378">
        <w:t xml:space="preserve"> per metus</w:t>
      </w:r>
      <w:r w:rsidRPr="003C0378">
        <w:t>,</w:t>
      </w:r>
      <w:r w:rsidR="003C0378">
        <w:t xml:space="preserve"> </w:t>
      </w:r>
      <w:r w:rsidRPr="003C0378">
        <w:t xml:space="preserve">o 1 </w:t>
      </w:r>
      <w:r w:rsidR="00091DD0">
        <w:t>k</w:t>
      </w:r>
      <w:r w:rsidR="00843EAE" w:rsidRPr="003C0378">
        <w:t>W</w:t>
      </w:r>
      <w:r w:rsidRPr="003C0378">
        <w:t xml:space="preserve"> saulės ir vėjo elektrinės pajėgumai, atitinkamai, kainuoja 1552 Eur ir 2218 Eur (įskaitant PVM). </w:t>
      </w:r>
      <w:r w:rsidR="00325311">
        <w:t xml:space="preserve">Daroma prielaida, kad </w:t>
      </w:r>
      <w:r w:rsidRPr="003C0378">
        <w:t>AEI pajėgumai nebus didinami įrengi</w:t>
      </w:r>
      <w:r w:rsidR="00325311">
        <w:t>ant</w:t>
      </w:r>
      <w:r w:rsidRPr="003C0378">
        <w:t xml:space="preserve"> tik vieno tipo elektros </w:t>
      </w:r>
      <w:r w:rsidR="00903B4B">
        <w:t>energijos gamybos technologiją</w:t>
      </w:r>
      <w:r w:rsidRPr="003C0378">
        <w:t>. Atsižvelgiant į tai, žemiau lentelėje yra pateikiami AEI plėtros paklausos skaičiavimai apžvelgiant</w:t>
      </w:r>
      <w:r w:rsidR="009935B6">
        <w:t>,</w:t>
      </w:r>
      <w:r w:rsidRPr="003C0378">
        <w:t xml:space="preserve"> kokia dalis elektros energijos poreikio (</w:t>
      </w:r>
      <w:r w:rsidR="00E0077D">
        <w:t>183</w:t>
      </w:r>
      <w:r w:rsidR="00103D8D" w:rsidRPr="003C0378">
        <w:t>–</w:t>
      </w:r>
      <w:r w:rsidRPr="003C0378">
        <w:t xml:space="preserve">288 </w:t>
      </w:r>
      <w:proofErr w:type="spellStart"/>
      <w:r w:rsidRPr="003C0378">
        <w:t>GWh</w:t>
      </w:r>
      <w:proofErr w:type="spellEnd"/>
      <w:r w:rsidRPr="003C0378">
        <w:t>) b</w:t>
      </w:r>
      <w:r w:rsidR="00903B4B">
        <w:t>ū</w:t>
      </w:r>
      <w:r w:rsidRPr="003C0378">
        <w:t xml:space="preserve">tų patenkinama įrenginėjant skirtingų </w:t>
      </w:r>
      <w:r w:rsidR="00903B4B">
        <w:t>technologijų</w:t>
      </w:r>
      <w:r w:rsidR="00E95143">
        <w:t xml:space="preserve"> </w:t>
      </w:r>
      <w:r w:rsidRPr="003C0378">
        <w:t xml:space="preserve">/ proporcijų AEI pajėgumus. </w:t>
      </w:r>
      <w:r w:rsidRPr="003C0378">
        <w:rPr>
          <w:b/>
        </w:rPr>
        <w:t>Kaip galima matyti lentelėje</w:t>
      </w:r>
      <w:r w:rsidR="00605308" w:rsidRPr="003C0378">
        <w:rPr>
          <w:b/>
        </w:rPr>
        <w:t xml:space="preserve"> žemiau</w:t>
      </w:r>
      <w:r w:rsidRPr="003C0378">
        <w:rPr>
          <w:b/>
        </w:rPr>
        <w:t>, investicijų paklausa varijuoja nuo 0,2</w:t>
      </w:r>
      <w:r w:rsidR="00462FD6" w:rsidRPr="003C0378">
        <w:rPr>
          <w:b/>
        </w:rPr>
        <w:t>1</w:t>
      </w:r>
      <w:r w:rsidRPr="003C0378">
        <w:rPr>
          <w:b/>
        </w:rPr>
        <w:t xml:space="preserve"> mlrd. Eur iki 0,43 mlrd. Eur.</w:t>
      </w:r>
    </w:p>
    <w:p w14:paraId="472A81C1" w14:textId="7D04DD33" w:rsidR="005A4DD3" w:rsidRPr="003C0378" w:rsidRDefault="00510D3C" w:rsidP="005A4DD3">
      <w:pPr>
        <w:keepNext/>
        <w:ind w:firstLine="0"/>
        <w:rPr>
          <w:rFonts w:cs="Times New Roman"/>
          <w:i/>
          <w:iCs/>
        </w:rPr>
      </w:pPr>
      <w:r w:rsidRPr="003C0378">
        <w:t xml:space="preserve"> </w:t>
      </w:r>
      <w:bookmarkStart w:id="75" w:name="_Toc126051386"/>
      <w:bookmarkStart w:id="76" w:name="_Toc166139861"/>
      <w:bookmarkStart w:id="77" w:name="_Toc170804627"/>
      <w:r w:rsidR="005A4DD3" w:rsidRPr="003C0378">
        <w:rPr>
          <w:rFonts w:cs="Times New Roman"/>
          <w:i/>
          <w:iCs/>
        </w:rPr>
        <w:t xml:space="preserve">Lentelė </w:t>
      </w:r>
      <w:r w:rsidR="005A4DD3" w:rsidRPr="003C0378">
        <w:rPr>
          <w:rFonts w:cs="Times New Roman"/>
          <w:i/>
          <w:iCs/>
        </w:rPr>
        <w:fldChar w:fldCharType="begin"/>
      </w:r>
      <w:r w:rsidR="005A4DD3" w:rsidRPr="003C0378">
        <w:rPr>
          <w:rFonts w:cs="Times New Roman"/>
          <w:i/>
          <w:iCs/>
        </w:rPr>
        <w:instrText xml:space="preserve"> SEQ Lentelė \* ARABIC </w:instrText>
      </w:r>
      <w:r w:rsidR="005A4DD3" w:rsidRPr="003C0378">
        <w:rPr>
          <w:rFonts w:cs="Times New Roman"/>
          <w:i/>
          <w:iCs/>
        </w:rPr>
        <w:fldChar w:fldCharType="separate"/>
      </w:r>
      <w:r w:rsidR="00347605">
        <w:rPr>
          <w:rFonts w:cs="Times New Roman"/>
          <w:i/>
          <w:iCs/>
          <w:noProof/>
        </w:rPr>
        <w:t>11</w:t>
      </w:r>
      <w:r w:rsidR="005A4DD3" w:rsidRPr="003C0378">
        <w:rPr>
          <w:rFonts w:cs="Times New Roman"/>
          <w:i/>
          <w:iCs/>
        </w:rPr>
        <w:fldChar w:fldCharType="end"/>
      </w:r>
      <w:r w:rsidR="005A4DD3" w:rsidRPr="003C0378">
        <w:rPr>
          <w:rFonts w:cs="Times New Roman"/>
          <w:i/>
          <w:iCs/>
        </w:rPr>
        <w:t xml:space="preserve">. AEI investicijų paklausos skaičiavimai </w:t>
      </w:r>
      <w:r w:rsidR="008A613D">
        <w:rPr>
          <w:rFonts w:cs="Times New Roman"/>
          <w:i/>
          <w:iCs/>
        </w:rPr>
        <w:t>AIEB</w:t>
      </w:r>
      <w:r w:rsidR="00CB585C" w:rsidRPr="00CB585C">
        <w:t xml:space="preserve"> </w:t>
      </w:r>
      <w:r w:rsidR="00CB585C" w:rsidRPr="00CB585C">
        <w:rPr>
          <w:rFonts w:cs="Times New Roman"/>
          <w:i/>
          <w:iCs/>
        </w:rPr>
        <w:t>bei PEB</w:t>
      </w:r>
      <w:r w:rsidR="005A4DD3" w:rsidRPr="003C0378">
        <w:rPr>
          <w:rFonts w:cs="Times New Roman"/>
          <w:i/>
          <w:iCs/>
        </w:rPr>
        <w:t xml:space="preserve"> tikslinėje grupėje</w:t>
      </w:r>
      <w:bookmarkEnd w:id="75"/>
      <w:bookmarkEnd w:id="76"/>
      <w:bookmarkEnd w:id="77"/>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685"/>
        <w:gridCol w:w="1627"/>
        <w:gridCol w:w="2702"/>
        <w:gridCol w:w="1860"/>
      </w:tblGrid>
      <w:tr w:rsidR="001D7E9E" w:rsidRPr="003C0378" w14:paraId="371D7B72" w14:textId="77777777" w:rsidTr="00E24002">
        <w:trPr>
          <w:trHeight w:val="43"/>
          <w:tblHeader/>
        </w:trPr>
        <w:tc>
          <w:tcPr>
            <w:tcW w:w="1655" w:type="dxa"/>
            <w:shd w:val="clear" w:color="auto" w:fill="auto"/>
            <w:noWrap/>
            <w:vAlign w:val="center"/>
            <w:hideMark/>
          </w:tcPr>
          <w:p w14:paraId="098EDF55"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Vėjo energijos dalis (proc.)</w:t>
            </w:r>
          </w:p>
        </w:tc>
        <w:tc>
          <w:tcPr>
            <w:tcW w:w="1685" w:type="dxa"/>
            <w:shd w:val="clear" w:color="auto" w:fill="auto"/>
            <w:noWrap/>
            <w:vAlign w:val="center"/>
            <w:hideMark/>
          </w:tcPr>
          <w:p w14:paraId="491A851D"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Saulės energijos dalis (proc.)</w:t>
            </w:r>
          </w:p>
        </w:tc>
        <w:tc>
          <w:tcPr>
            <w:tcW w:w="1627" w:type="dxa"/>
            <w:shd w:val="clear" w:color="auto" w:fill="auto"/>
            <w:vAlign w:val="center"/>
            <w:hideMark/>
          </w:tcPr>
          <w:p w14:paraId="19717D15"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Vėjo pajėgumų poreikis (GW)</w:t>
            </w:r>
          </w:p>
        </w:tc>
        <w:tc>
          <w:tcPr>
            <w:tcW w:w="2702" w:type="dxa"/>
            <w:shd w:val="clear" w:color="auto" w:fill="auto"/>
            <w:vAlign w:val="center"/>
            <w:hideMark/>
          </w:tcPr>
          <w:p w14:paraId="31D85669"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Saulės pajėgumų poreikis (GW)</w:t>
            </w:r>
          </w:p>
        </w:tc>
        <w:tc>
          <w:tcPr>
            <w:tcW w:w="1860" w:type="dxa"/>
            <w:shd w:val="clear" w:color="auto" w:fill="auto"/>
            <w:noWrap/>
            <w:vAlign w:val="center"/>
            <w:hideMark/>
          </w:tcPr>
          <w:p w14:paraId="5377D46F" w14:textId="77777777" w:rsidR="005A4DD3" w:rsidRPr="003C0378" w:rsidRDefault="005A4DD3"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Investicijų poreikis (mlrd. Eur)</w:t>
            </w:r>
          </w:p>
        </w:tc>
      </w:tr>
      <w:tr w:rsidR="001D7E9E" w:rsidRPr="003C0378" w14:paraId="68C470E5" w14:textId="77777777" w:rsidTr="00E24002">
        <w:trPr>
          <w:trHeight w:val="43"/>
        </w:trPr>
        <w:tc>
          <w:tcPr>
            <w:tcW w:w="1655" w:type="dxa"/>
            <w:shd w:val="clear" w:color="auto" w:fill="auto"/>
            <w:noWrap/>
            <w:vAlign w:val="center"/>
            <w:hideMark/>
          </w:tcPr>
          <w:p w14:paraId="01158515" w14:textId="27C6804C"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100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319F20BD" w14:textId="4EE54988"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40B7CFA6" w14:textId="48AB5176"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12</w:t>
            </w:r>
          </w:p>
        </w:tc>
        <w:tc>
          <w:tcPr>
            <w:tcW w:w="2702" w:type="dxa"/>
            <w:shd w:val="clear" w:color="auto" w:fill="auto"/>
            <w:vAlign w:val="center"/>
            <w:hideMark/>
          </w:tcPr>
          <w:p w14:paraId="66A5E23D" w14:textId="7676EA25"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03D8D" w:rsidRPr="003C0378">
              <w:rPr>
                <w:rFonts w:cs="Times New Roman"/>
                <w:color w:val="000000"/>
                <w:sz w:val="20"/>
                <w:szCs w:val="20"/>
              </w:rPr>
              <w:t>–</w:t>
            </w:r>
            <w:r w:rsidRPr="003C0378">
              <w:rPr>
                <w:rFonts w:cs="Times New Roman"/>
                <w:color w:val="000000"/>
                <w:sz w:val="20"/>
                <w:szCs w:val="20"/>
              </w:rPr>
              <w:t>0</w:t>
            </w:r>
          </w:p>
        </w:tc>
        <w:tc>
          <w:tcPr>
            <w:tcW w:w="1860" w:type="dxa"/>
            <w:shd w:val="clear" w:color="auto" w:fill="auto"/>
            <w:noWrap/>
            <w:vAlign w:val="center"/>
            <w:hideMark/>
          </w:tcPr>
          <w:p w14:paraId="04E538E6" w14:textId="16503CEE"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26</w:t>
            </w:r>
          </w:p>
        </w:tc>
      </w:tr>
      <w:tr w:rsidR="001D7E9E" w:rsidRPr="003C0378" w14:paraId="2B04AEA6" w14:textId="77777777" w:rsidTr="00E24002">
        <w:trPr>
          <w:trHeight w:val="43"/>
        </w:trPr>
        <w:tc>
          <w:tcPr>
            <w:tcW w:w="1655" w:type="dxa"/>
            <w:shd w:val="clear" w:color="auto" w:fill="auto"/>
            <w:noWrap/>
            <w:vAlign w:val="center"/>
            <w:hideMark/>
          </w:tcPr>
          <w:p w14:paraId="532BFAE0" w14:textId="174006C2"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90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59443C9D" w14:textId="2BB0906D"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29D639B0" w14:textId="33061DE1"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09</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w:t>
            </w:r>
          </w:p>
        </w:tc>
        <w:tc>
          <w:tcPr>
            <w:tcW w:w="2702" w:type="dxa"/>
            <w:shd w:val="clear" w:color="auto" w:fill="auto"/>
            <w:vAlign w:val="center"/>
            <w:hideMark/>
          </w:tcPr>
          <w:p w14:paraId="1A6FE8EF" w14:textId="1B8FC884"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02</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03</w:t>
            </w:r>
          </w:p>
        </w:tc>
        <w:tc>
          <w:tcPr>
            <w:tcW w:w="1860" w:type="dxa"/>
            <w:shd w:val="clear" w:color="auto" w:fill="auto"/>
            <w:noWrap/>
            <w:vAlign w:val="center"/>
            <w:hideMark/>
          </w:tcPr>
          <w:p w14:paraId="5247E40D" w14:textId="4E07FE7B"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23</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27</w:t>
            </w:r>
          </w:p>
        </w:tc>
      </w:tr>
      <w:tr w:rsidR="001D7E9E" w:rsidRPr="003C0378" w14:paraId="3315238D" w14:textId="77777777" w:rsidTr="00E24002">
        <w:trPr>
          <w:trHeight w:val="43"/>
        </w:trPr>
        <w:tc>
          <w:tcPr>
            <w:tcW w:w="1655" w:type="dxa"/>
            <w:shd w:val="clear" w:color="auto" w:fill="auto"/>
            <w:noWrap/>
            <w:vAlign w:val="center"/>
            <w:hideMark/>
          </w:tcPr>
          <w:p w14:paraId="6DACEDAB" w14:textId="610A6436"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80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1E26B162" w14:textId="0A679E0B"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20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4D6FC49B" w14:textId="48B5286F"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08</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09</w:t>
            </w:r>
          </w:p>
        </w:tc>
        <w:tc>
          <w:tcPr>
            <w:tcW w:w="2702" w:type="dxa"/>
            <w:shd w:val="clear" w:color="auto" w:fill="auto"/>
            <w:vAlign w:val="center"/>
            <w:hideMark/>
          </w:tcPr>
          <w:p w14:paraId="53D65D80" w14:textId="0484F373"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05</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05</w:t>
            </w:r>
          </w:p>
        </w:tc>
        <w:tc>
          <w:tcPr>
            <w:tcW w:w="1860" w:type="dxa"/>
            <w:shd w:val="clear" w:color="auto" w:fill="auto"/>
            <w:noWrap/>
            <w:vAlign w:val="center"/>
            <w:hideMark/>
          </w:tcPr>
          <w:p w14:paraId="61CDE69E" w14:textId="64548EA6"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24</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29</w:t>
            </w:r>
          </w:p>
        </w:tc>
      </w:tr>
      <w:tr w:rsidR="001D7E9E" w:rsidRPr="003C0378" w14:paraId="435008B4" w14:textId="77777777" w:rsidTr="00E24002">
        <w:trPr>
          <w:trHeight w:val="43"/>
        </w:trPr>
        <w:tc>
          <w:tcPr>
            <w:tcW w:w="1655" w:type="dxa"/>
            <w:shd w:val="clear" w:color="auto" w:fill="auto"/>
            <w:noWrap/>
            <w:vAlign w:val="center"/>
            <w:hideMark/>
          </w:tcPr>
          <w:p w14:paraId="4D019E21" w14:textId="206955A7"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70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521C43E2" w14:textId="364464AB"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30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21652486" w14:textId="3AA73E8E"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07</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08</w:t>
            </w:r>
          </w:p>
        </w:tc>
        <w:tc>
          <w:tcPr>
            <w:tcW w:w="2702" w:type="dxa"/>
            <w:shd w:val="clear" w:color="auto" w:fill="auto"/>
            <w:vAlign w:val="center"/>
            <w:hideMark/>
          </w:tcPr>
          <w:p w14:paraId="4036DFFA" w14:textId="51507D51"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07</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08</w:t>
            </w:r>
          </w:p>
        </w:tc>
        <w:tc>
          <w:tcPr>
            <w:tcW w:w="1860" w:type="dxa"/>
            <w:shd w:val="clear" w:color="auto" w:fill="auto"/>
            <w:noWrap/>
            <w:vAlign w:val="center"/>
            <w:hideMark/>
          </w:tcPr>
          <w:p w14:paraId="143B559C" w14:textId="33926994"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26</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31</w:t>
            </w:r>
          </w:p>
        </w:tc>
      </w:tr>
      <w:tr w:rsidR="001D7E9E" w:rsidRPr="003C0378" w14:paraId="5D4F61AD" w14:textId="77777777" w:rsidTr="00E24002">
        <w:trPr>
          <w:trHeight w:val="43"/>
        </w:trPr>
        <w:tc>
          <w:tcPr>
            <w:tcW w:w="1655" w:type="dxa"/>
            <w:shd w:val="clear" w:color="auto" w:fill="auto"/>
            <w:noWrap/>
            <w:vAlign w:val="center"/>
            <w:hideMark/>
          </w:tcPr>
          <w:p w14:paraId="706AC2B8" w14:textId="64F2B92A"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60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4ABD0B2C" w14:textId="48545898"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40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51627A6A" w14:textId="150257C3"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06</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07</w:t>
            </w:r>
          </w:p>
        </w:tc>
        <w:tc>
          <w:tcPr>
            <w:tcW w:w="2702" w:type="dxa"/>
            <w:shd w:val="clear" w:color="auto" w:fill="auto"/>
            <w:vAlign w:val="center"/>
            <w:hideMark/>
          </w:tcPr>
          <w:p w14:paraId="49FF0FC5" w14:textId="54F6F9E4"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09</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11</w:t>
            </w:r>
          </w:p>
        </w:tc>
        <w:tc>
          <w:tcPr>
            <w:tcW w:w="1860" w:type="dxa"/>
            <w:shd w:val="clear" w:color="auto" w:fill="auto"/>
            <w:noWrap/>
            <w:vAlign w:val="center"/>
            <w:hideMark/>
          </w:tcPr>
          <w:p w14:paraId="590CDB8C" w14:textId="479A31EA"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27</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32</w:t>
            </w:r>
          </w:p>
        </w:tc>
      </w:tr>
      <w:tr w:rsidR="001D7E9E" w:rsidRPr="003C0378" w14:paraId="2CAA5A73" w14:textId="77777777" w:rsidTr="00E24002">
        <w:trPr>
          <w:trHeight w:val="43"/>
        </w:trPr>
        <w:tc>
          <w:tcPr>
            <w:tcW w:w="1655" w:type="dxa"/>
            <w:shd w:val="clear" w:color="auto" w:fill="auto"/>
            <w:noWrap/>
            <w:vAlign w:val="center"/>
            <w:hideMark/>
          </w:tcPr>
          <w:p w14:paraId="4962FF31" w14:textId="77E9A830"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50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75E4D05E" w14:textId="6E8EEDB9"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50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661A909F" w14:textId="36DC4281"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05</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06</w:t>
            </w:r>
          </w:p>
        </w:tc>
        <w:tc>
          <w:tcPr>
            <w:tcW w:w="2702" w:type="dxa"/>
            <w:shd w:val="clear" w:color="auto" w:fill="auto"/>
            <w:vAlign w:val="center"/>
            <w:hideMark/>
          </w:tcPr>
          <w:p w14:paraId="242B01F3" w14:textId="279EBDD3"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14</w:t>
            </w:r>
          </w:p>
        </w:tc>
        <w:tc>
          <w:tcPr>
            <w:tcW w:w="1860" w:type="dxa"/>
            <w:shd w:val="clear" w:color="auto" w:fill="auto"/>
            <w:noWrap/>
            <w:vAlign w:val="center"/>
            <w:hideMark/>
          </w:tcPr>
          <w:p w14:paraId="20F6871E" w14:textId="62F81F51"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28</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34</w:t>
            </w:r>
          </w:p>
        </w:tc>
      </w:tr>
      <w:tr w:rsidR="001D7E9E" w:rsidRPr="003C0378" w14:paraId="48A442B3" w14:textId="77777777" w:rsidTr="00E24002">
        <w:trPr>
          <w:trHeight w:val="43"/>
        </w:trPr>
        <w:tc>
          <w:tcPr>
            <w:tcW w:w="1655" w:type="dxa"/>
            <w:shd w:val="clear" w:color="auto" w:fill="auto"/>
            <w:noWrap/>
            <w:vAlign w:val="center"/>
            <w:hideMark/>
          </w:tcPr>
          <w:p w14:paraId="1E5CAB5F" w14:textId="266FE748"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40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64271AD3" w14:textId="1604451C"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60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4B3CFD26" w14:textId="2F634BBF"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04</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05</w:t>
            </w:r>
          </w:p>
        </w:tc>
        <w:tc>
          <w:tcPr>
            <w:tcW w:w="2702" w:type="dxa"/>
            <w:shd w:val="clear" w:color="auto" w:fill="auto"/>
            <w:vAlign w:val="center"/>
            <w:hideMark/>
          </w:tcPr>
          <w:p w14:paraId="7DC8753D" w14:textId="14C8706A"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14</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16</w:t>
            </w:r>
          </w:p>
        </w:tc>
        <w:tc>
          <w:tcPr>
            <w:tcW w:w="1860" w:type="dxa"/>
            <w:shd w:val="clear" w:color="auto" w:fill="auto"/>
            <w:noWrap/>
            <w:vAlign w:val="center"/>
            <w:hideMark/>
          </w:tcPr>
          <w:p w14:paraId="0E46AE95" w14:textId="12072097"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36</w:t>
            </w:r>
          </w:p>
        </w:tc>
      </w:tr>
      <w:tr w:rsidR="001D7E9E" w:rsidRPr="003C0378" w14:paraId="6CF7E6C1" w14:textId="77777777" w:rsidTr="00E24002">
        <w:trPr>
          <w:trHeight w:val="43"/>
        </w:trPr>
        <w:tc>
          <w:tcPr>
            <w:tcW w:w="1655" w:type="dxa"/>
            <w:shd w:val="clear" w:color="auto" w:fill="auto"/>
            <w:noWrap/>
            <w:vAlign w:val="center"/>
            <w:hideMark/>
          </w:tcPr>
          <w:p w14:paraId="609FAC2F" w14:textId="5ECE41C0"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30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689D7B23" w14:textId="5CC73325"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70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7C89D56A" w14:textId="7E0FA486"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03</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03</w:t>
            </w:r>
          </w:p>
        </w:tc>
        <w:tc>
          <w:tcPr>
            <w:tcW w:w="2702" w:type="dxa"/>
            <w:shd w:val="clear" w:color="auto" w:fill="auto"/>
            <w:vAlign w:val="center"/>
            <w:hideMark/>
          </w:tcPr>
          <w:p w14:paraId="4ECD2C55" w14:textId="4110DD3A"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16</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19</w:t>
            </w:r>
          </w:p>
        </w:tc>
        <w:tc>
          <w:tcPr>
            <w:tcW w:w="1860" w:type="dxa"/>
            <w:shd w:val="clear" w:color="auto" w:fill="auto"/>
            <w:noWrap/>
            <w:vAlign w:val="center"/>
            <w:hideMark/>
          </w:tcPr>
          <w:p w14:paraId="302A9737" w14:textId="0F7E137C"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37</w:t>
            </w:r>
          </w:p>
        </w:tc>
      </w:tr>
      <w:tr w:rsidR="001D7E9E" w:rsidRPr="003C0378" w14:paraId="664EAD75" w14:textId="77777777" w:rsidTr="00E24002">
        <w:trPr>
          <w:trHeight w:val="43"/>
        </w:trPr>
        <w:tc>
          <w:tcPr>
            <w:tcW w:w="1655" w:type="dxa"/>
            <w:shd w:val="clear" w:color="auto" w:fill="auto"/>
            <w:noWrap/>
            <w:vAlign w:val="center"/>
            <w:hideMark/>
          </w:tcPr>
          <w:p w14:paraId="7D5C68C7" w14:textId="24E5F465"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20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5D2CA56F" w14:textId="62D4F090"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80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14D37901" w14:textId="07963DCF"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02</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02</w:t>
            </w:r>
          </w:p>
        </w:tc>
        <w:tc>
          <w:tcPr>
            <w:tcW w:w="2702" w:type="dxa"/>
            <w:shd w:val="clear" w:color="auto" w:fill="auto"/>
            <w:vAlign w:val="center"/>
            <w:hideMark/>
          </w:tcPr>
          <w:p w14:paraId="0FD5E180" w14:textId="5AF87447"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18</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22</w:t>
            </w:r>
          </w:p>
        </w:tc>
        <w:tc>
          <w:tcPr>
            <w:tcW w:w="1860" w:type="dxa"/>
            <w:shd w:val="clear" w:color="auto" w:fill="auto"/>
            <w:noWrap/>
            <w:vAlign w:val="center"/>
            <w:hideMark/>
          </w:tcPr>
          <w:p w14:paraId="1B389F94" w14:textId="55CA5755"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33</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39</w:t>
            </w:r>
          </w:p>
        </w:tc>
      </w:tr>
      <w:tr w:rsidR="001D7E9E" w:rsidRPr="003C0378" w14:paraId="5C682F56" w14:textId="77777777" w:rsidTr="00E24002">
        <w:trPr>
          <w:trHeight w:val="43"/>
        </w:trPr>
        <w:tc>
          <w:tcPr>
            <w:tcW w:w="1655" w:type="dxa"/>
            <w:shd w:val="clear" w:color="auto" w:fill="auto"/>
            <w:noWrap/>
            <w:vAlign w:val="center"/>
            <w:hideMark/>
          </w:tcPr>
          <w:p w14:paraId="73614049" w14:textId="740C3006"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74EC281A" w14:textId="69C9DC51"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90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22CB69C1" w14:textId="69A590EC"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01</w:t>
            </w:r>
          </w:p>
        </w:tc>
        <w:tc>
          <w:tcPr>
            <w:tcW w:w="2702" w:type="dxa"/>
            <w:shd w:val="clear" w:color="auto" w:fill="auto"/>
            <w:vAlign w:val="center"/>
            <w:hideMark/>
          </w:tcPr>
          <w:p w14:paraId="70A4D1C6" w14:textId="4765E74A"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21</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25</w:t>
            </w:r>
          </w:p>
        </w:tc>
        <w:tc>
          <w:tcPr>
            <w:tcW w:w="1860" w:type="dxa"/>
            <w:shd w:val="clear" w:color="auto" w:fill="auto"/>
            <w:noWrap/>
            <w:vAlign w:val="center"/>
            <w:hideMark/>
          </w:tcPr>
          <w:p w14:paraId="7E108FC3" w14:textId="26E7F8C6"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34</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41</w:t>
            </w:r>
          </w:p>
        </w:tc>
      </w:tr>
      <w:tr w:rsidR="001D7E9E" w:rsidRPr="003C0378" w14:paraId="6B768F05" w14:textId="77777777" w:rsidTr="00E24002">
        <w:trPr>
          <w:trHeight w:val="43"/>
        </w:trPr>
        <w:tc>
          <w:tcPr>
            <w:tcW w:w="1655" w:type="dxa"/>
            <w:shd w:val="clear" w:color="auto" w:fill="auto"/>
            <w:noWrap/>
            <w:vAlign w:val="center"/>
            <w:hideMark/>
          </w:tcPr>
          <w:p w14:paraId="23ECEE0E" w14:textId="64F8B7FC"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0</w:t>
            </w:r>
            <w:r w:rsidR="00B55C94" w:rsidRPr="003C0378">
              <w:rPr>
                <w:rFonts w:eastAsia="Times New Roman" w:cs="Times New Roman"/>
                <w:color w:val="000000"/>
                <w:sz w:val="20"/>
                <w:szCs w:val="20"/>
              </w:rPr>
              <w:t xml:space="preserve"> proc.</w:t>
            </w:r>
          </w:p>
        </w:tc>
        <w:tc>
          <w:tcPr>
            <w:tcW w:w="1685" w:type="dxa"/>
            <w:shd w:val="clear" w:color="auto" w:fill="auto"/>
            <w:noWrap/>
            <w:vAlign w:val="center"/>
            <w:hideMark/>
          </w:tcPr>
          <w:p w14:paraId="53755392" w14:textId="705D3FB1" w:rsidR="005A4DD3" w:rsidRPr="003C0378" w:rsidRDefault="005A4DD3" w:rsidP="000C6260">
            <w:pPr>
              <w:spacing w:after="0"/>
              <w:ind w:firstLine="0"/>
              <w:jc w:val="center"/>
              <w:rPr>
                <w:rFonts w:eastAsia="Times New Roman" w:cs="Times New Roman"/>
                <w:color w:val="000000"/>
                <w:sz w:val="20"/>
                <w:szCs w:val="20"/>
              </w:rPr>
            </w:pPr>
            <w:r w:rsidRPr="003C0378">
              <w:rPr>
                <w:rFonts w:eastAsia="Times New Roman" w:cs="Times New Roman"/>
                <w:color w:val="000000"/>
                <w:sz w:val="20"/>
                <w:szCs w:val="20"/>
              </w:rPr>
              <w:t>100</w:t>
            </w:r>
            <w:r w:rsidR="00B55C94" w:rsidRPr="003C0378">
              <w:rPr>
                <w:rFonts w:eastAsia="Times New Roman" w:cs="Times New Roman"/>
                <w:color w:val="000000"/>
                <w:sz w:val="20"/>
                <w:szCs w:val="20"/>
              </w:rPr>
              <w:t xml:space="preserve"> proc.</w:t>
            </w:r>
          </w:p>
        </w:tc>
        <w:tc>
          <w:tcPr>
            <w:tcW w:w="1627" w:type="dxa"/>
            <w:shd w:val="clear" w:color="auto" w:fill="auto"/>
            <w:vAlign w:val="center"/>
            <w:hideMark/>
          </w:tcPr>
          <w:p w14:paraId="5713E2A0" w14:textId="1CA34220"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03D8D" w:rsidRPr="003C0378">
              <w:rPr>
                <w:rFonts w:cs="Times New Roman"/>
                <w:color w:val="000000"/>
                <w:sz w:val="20"/>
                <w:szCs w:val="20"/>
              </w:rPr>
              <w:t>–</w:t>
            </w:r>
            <w:r w:rsidRPr="003C0378">
              <w:rPr>
                <w:rFonts w:cs="Times New Roman"/>
                <w:color w:val="000000"/>
                <w:sz w:val="20"/>
                <w:szCs w:val="20"/>
              </w:rPr>
              <w:t>0</w:t>
            </w:r>
          </w:p>
        </w:tc>
        <w:tc>
          <w:tcPr>
            <w:tcW w:w="2702" w:type="dxa"/>
            <w:shd w:val="clear" w:color="auto" w:fill="auto"/>
            <w:vAlign w:val="center"/>
            <w:hideMark/>
          </w:tcPr>
          <w:p w14:paraId="30EA051E" w14:textId="4BF22353"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23</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27</w:t>
            </w:r>
          </w:p>
        </w:tc>
        <w:tc>
          <w:tcPr>
            <w:tcW w:w="1860" w:type="dxa"/>
            <w:shd w:val="clear" w:color="auto" w:fill="auto"/>
            <w:noWrap/>
            <w:vAlign w:val="center"/>
            <w:hideMark/>
          </w:tcPr>
          <w:p w14:paraId="1CD32671" w14:textId="345B36E6" w:rsidR="005A4DD3" w:rsidRPr="003C0378" w:rsidRDefault="005A4DD3" w:rsidP="000C6260">
            <w:pPr>
              <w:spacing w:after="0"/>
              <w:ind w:firstLine="0"/>
              <w:jc w:val="center"/>
              <w:rPr>
                <w:rFonts w:eastAsia="Times New Roman" w:cs="Times New Roman"/>
                <w:color w:val="000000"/>
                <w:sz w:val="20"/>
                <w:szCs w:val="20"/>
              </w:rPr>
            </w:pP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35</w:t>
            </w:r>
            <w:r w:rsidR="00103D8D" w:rsidRPr="003C0378">
              <w:rPr>
                <w:rFonts w:cs="Times New Roman"/>
                <w:color w:val="000000"/>
                <w:sz w:val="20"/>
                <w:szCs w:val="20"/>
              </w:rPr>
              <w:t>–</w:t>
            </w:r>
            <w:r w:rsidRPr="003C0378">
              <w:rPr>
                <w:rFonts w:cs="Times New Roman"/>
                <w:color w:val="000000"/>
                <w:sz w:val="20"/>
                <w:szCs w:val="20"/>
              </w:rPr>
              <w:t>0</w:t>
            </w:r>
            <w:r w:rsidR="0016200E" w:rsidRPr="003C0378">
              <w:rPr>
                <w:rFonts w:cs="Times New Roman"/>
                <w:color w:val="000000"/>
                <w:sz w:val="20"/>
                <w:szCs w:val="20"/>
              </w:rPr>
              <w:t>,</w:t>
            </w:r>
            <w:r w:rsidRPr="003C0378">
              <w:rPr>
                <w:rFonts w:cs="Times New Roman"/>
                <w:color w:val="000000"/>
                <w:sz w:val="20"/>
                <w:szCs w:val="20"/>
              </w:rPr>
              <w:t>43</w:t>
            </w:r>
          </w:p>
        </w:tc>
      </w:tr>
    </w:tbl>
    <w:p w14:paraId="6E46453C" w14:textId="15D4DD49" w:rsidR="00B55C94" w:rsidRPr="003C0378" w:rsidRDefault="005A4DD3" w:rsidP="006B6964">
      <w:pPr>
        <w:keepNext/>
        <w:spacing w:after="0"/>
        <w:jc w:val="left"/>
        <w:rPr>
          <w:rFonts w:cs="Times New Roman"/>
          <w:sz w:val="20"/>
          <w:szCs w:val="20"/>
        </w:rPr>
      </w:pPr>
      <w:r w:rsidRPr="003C0378">
        <w:rPr>
          <w:rFonts w:cs="Times New Roman"/>
          <w:sz w:val="20"/>
          <w:szCs w:val="20"/>
        </w:rPr>
        <w:t>Šaltinis: sudaryta Vertintojų</w:t>
      </w:r>
      <w:r w:rsidR="00B55C94" w:rsidRPr="003C0378">
        <w:rPr>
          <w:rFonts w:cs="Times New Roman"/>
          <w:sz w:val="20"/>
          <w:szCs w:val="20"/>
        </w:rPr>
        <w:t>.</w:t>
      </w:r>
    </w:p>
    <w:p w14:paraId="728EDA38" w14:textId="6145FE88" w:rsidR="00462FD6" w:rsidRPr="003C0378" w:rsidRDefault="00462FD6" w:rsidP="00462FD6">
      <w:pPr>
        <w:pStyle w:val="Antrat2"/>
        <w:numPr>
          <w:ilvl w:val="2"/>
          <w:numId w:val="3"/>
        </w:numPr>
        <w:rPr>
          <w:rFonts w:cs="Times New Roman"/>
        </w:rPr>
      </w:pPr>
      <w:bookmarkStart w:id="78" w:name="_Ref125923612"/>
      <w:bookmarkStart w:id="79" w:name="_Ref125923715"/>
      <w:bookmarkStart w:id="80" w:name="_Ref125923997"/>
      <w:bookmarkStart w:id="81" w:name="_Toc126051354"/>
      <w:bookmarkStart w:id="82" w:name="_Toc166139827"/>
      <w:bookmarkStart w:id="83" w:name="_Toc170804589"/>
      <w:r w:rsidRPr="003C0378">
        <w:rPr>
          <w:rFonts w:cs="Times New Roman"/>
        </w:rPr>
        <w:t>AEI investicijų paklausos apibendrinimas</w:t>
      </w:r>
      <w:bookmarkEnd w:id="78"/>
      <w:bookmarkEnd w:id="79"/>
      <w:bookmarkEnd w:id="80"/>
      <w:bookmarkEnd w:id="81"/>
      <w:bookmarkEnd w:id="82"/>
      <w:bookmarkEnd w:id="83"/>
    </w:p>
    <w:p w14:paraId="11757F11" w14:textId="64362812" w:rsidR="00E450E6" w:rsidRPr="003C0378" w:rsidRDefault="003D6BFE" w:rsidP="003D6BFE">
      <w:pPr>
        <w:spacing w:line="276" w:lineRule="auto"/>
        <w:rPr>
          <w:b/>
          <w:bCs/>
        </w:rPr>
      </w:pPr>
      <w:r w:rsidRPr="003C0378">
        <w:t>Apibendrinant galima teigti, kad remiantis strateginių tikslų analiz</w:t>
      </w:r>
      <w:r w:rsidR="00605308" w:rsidRPr="003C0378">
        <w:t>e investicijų paklausa yra intervale</w:t>
      </w:r>
      <w:r w:rsidRPr="003C0378">
        <w:t xml:space="preserve"> nuo </w:t>
      </w:r>
      <w:r w:rsidRPr="003C0378">
        <w:rPr>
          <w:b/>
          <w:bCs/>
        </w:rPr>
        <w:t>2,31 mlrd. Eur iki 4,43 mlrd. Eur iki 2030 m.</w:t>
      </w:r>
      <w:r w:rsidR="005D698A" w:rsidRPr="003C0378">
        <w:rPr>
          <w:b/>
          <w:bCs/>
        </w:rPr>
        <w:t xml:space="preserve"> </w:t>
      </w:r>
      <w:r w:rsidR="005D698A" w:rsidRPr="003C0378">
        <w:t>Tuo tarpu sudėjus visų trijų tikslinių grupių investicijų poreikį,</w:t>
      </w:r>
      <w:r w:rsidR="00642903" w:rsidRPr="003C0378">
        <w:t xml:space="preserve"> investicijų paklausa yra intervale </w:t>
      </w:r>
      <w:r w:rsidR="005D698A" w:rsidRPr="003C0378">
        <w:t xml:space="preserve">nuo </w:t>
      </w:r>
      <w:r w:rsidR="005D698A" w:rsidRPr="003C0378">
        <w:rPr>
          <w:b/>
          <w:bCs/>
        </w:rPr>
        <w:t>5,99 mlrd. Eur iki 11,18 mlrd. Eur.</w:t>
      </w:r>
    </w:p>
    <w:p w14:paraId="55429194" w14:textId="1416A49A" w:rsidR="004A2B2F" w:rsidRPr="003C0378" w:rsidRDefault="00EF383E" w:rsidP="003D6BFE">
      <w:pPr>
        <w:spacing w:line="276" w:lineRule="auto"/>
      </w:pPr>
      <w:r w:rsidRPr="003C0378">
        <w:t>Svarbu pastebėti</w:t>
      </w:r>
      <w:r w:rsidR="00E450E6" w:rsidRPr="003C0378">
        <w:t>, jog verslo tikslinėje grupėje</w:t>
      </w:r>
      <w:r w:rsidR="00E450E6" w:rsidRPr="003C0378">
        <w:rPr>
          <w:b/>
          <w:bCs/>
        </w:rPr>
        <w:t xml:space="preserve"> </w:t>
      </w:r>
      <w:r w:rsidR="00E450E6" w:rsidRPr="003C0378">
        <w:t>įvertinta investicijų paklausa</w:t>
      </w:r>
      <w:r w:rsidRPr="003C0378">
        <w:t>, tikėtina,</w:t>
      </w:r>
      <w:r w:rsidR="00E450E6" w:rsidRPr="003C0378">
        <w:t xml:space="preserve"> yra infliuota ir stipriai paveikta apklausos vykdymo metu vyravusių kainų. Kadangi elektros kainos pradėjo kristi 2023 m. sausio–vasario mėnesiais, tikėtina, kad jeigu apklausa būtų atlikta šiuo metu, paklausa būtų mažesnė. Taip pat svarbu atkreipti dėmesį, kad AEI plėtra yra apribota realių tinklo pralaidumo pajėgumų</w:t>
      </w:r>
      <w:r w:rsidRPr="003C0378">
        <w:t>.</w:t>
      </w:r>
      <w:r w:rsidR="003C0378" w:rsidRPr="006C0B37">
        <w:t xml:space="preserve"> </w:t>
      </w:r>
    </w:p>
    <w:p w14:paraId="4E09E8AF" w14:textId="21C704F7" w:rsidR="005D698A" w:rsidRPr="003C0378" w:rsidRDefault="005D698A" w:rsidP="005D698A">
      <w:pPr>
        <w:keepNext/>
        <w:ind w:firstLine="0"/>
        <w:rPr>
          <w:rFonts w:cs="Times New Roman"/>
          <w:i/>
          <w:iCs/>
        </w:rPr>
      </w:pPr>
      <w:bookmarkStart w:id="84" w:name="_Toc126051387"/>
      <w:bookmarkStart w:id="85" w:name="_Toc166139862"/>
      <w:bookmarkStart w:id="86" w:name="_Toc170804628"/>
      <w:r w:rsidRPr="003C0378">
        <w:rPr>
          <w:rFonts w:cs="Times New Roman"/>
          <w:i/>
          <w:iCs/>
        </w:rPr>
        <w:lastRenderedPageBreak/>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12</w:t>
      </w:r>
      <w:r w:rsidRPr="003C0378">
        <w:rPr>
          <w:rFonts w:cs="Times New Roman"/>
          <w:i/>
          <w:iCs/>
        </w:rPr>
        <w:fldChar w:fldCharType="end"/>
      </w:r>
      <w:r w:rsidRPr="003C0378">
        <w:rPr>
          <w:rFonts w:cs="Times New Roman"/>
          <w:i/>
          <w:iCs/>
        </w:rPr>
        <w:t>. AEI investicijų paklausos skaičiavimų apibendrinimas</w:t>
      </w:r>
      <w:bookmarkEnd w:id="84"/>
      <w:bookmarkEnd w:id="85"/>
      <w:bookmarkEnd w:id="86"/>
    </w:p>
    <w:tbl>
      <w:tblPr>
        <w:tblStyle w:val="Lentelstinklelis"/>
        <w:tblW w:w="9667" w:type="dxa"/>
        <w:tblLook w:val="04A0" w:firstRow="1" w:lastRow="0" w:firstColumn="1" w:lastColumn="0" w:noHBand="0" w:noVBand="1"/>
      </w:tblPr>
      <w:tblGrid>
        <w:gridCol w:w="4469"/>
        <w:gridCol w:w="2553"/>
        <w:gridCol w:w="2645"/>
      </w:tblGrid>
      <w:tr w:rsidR="005D698A" w:rsidRPr="003C0378" w14:paraId="31DE628D" w14:textId="77777777" w:rsidTr="00E24002">
        <w:trPr>
          <w:trHeight w:val="531"/>
        </w:trPr>
        <w:tc>
          <w:tcPr>
            <w:tcW w:w="4469" w:type="dxa"/>
            <w:noWrap/>
            <w:vAlign w:val="center"/>
            <w:hideMark/>
          </w:tcPr>
          <w:p w14:paraId="6E0EB4FC" w14:textId="612D8D3F" w:rsidR="005D698A" w:rsidRPr="003C0378" w:rsidRDefault="005D698A" w:rsidP="005D698A">
            <w:pPr>
              <w:keepNext/>
              <w:spacing w:after="0"/>
              <w:ind w:firstLine="0"/>
              <w:jc w:val="center"/>
              <w:rPr>
                <w:rFonts w:cs="Times New Roman"/>
                <w:b/>
                <w:bCs/>
                <w:sz w:val="20"/>
                <w:szCs w:val="20"/>
                <w:lang w:val="lt-LT"/>
              </w:rPr>
            </w:pPr>
            <w:r w:rsidRPr="003C0378">
              <w:rPr>
                <w:rFonts w:cs="Times New Roman"/>
                <w:b/>
                <w:bCs/>
                <w:sz w:val="20"/>
                <w:szCs w:val="20"/>
                <w:lang w:val="lt-LT"/>
              </w:rPr>
              <w:t>Tikslinė grupė / Paklausos skaičiavimo būdas</w:t>
            </w:r>
          </w:p>
        </w:tc>
        <w:tc>
          <w:tcPr>
            <w:tcW w:w="2553" w:type="dxa"/>
            <w:vAlign w:val="center"/>
            <w:hideMark/>
          </w:tcPr>
          <w:p w14:paraId="45421744" w14:textId="3A4CEFB7" w:rsidR="005D698A" w:rsidRPr="003C0378" w:rsidRDefault="005D698A" w:rsidP="005D698A">
            <w:pPr>
              <w:keepNext/>
              <w:spacing w:after="0"/>
              <w:ind w:firstLine="0"/>
              <w:jc w:val="center"/>
              <w:rPr>
                <w:rFonts w:cs="Times New Roman"/>
                <w:b/>
                <w:bCs/>
                <w:sz w:val="20"/>
                <w:szCs w:val="20"/>
                <w:lang w:val="lt-LT"/>
              </w:rPr>
            </w:pPr>
            <w:r w:rsidRPr="003C0378">
              <w:rPr>
                <w:rFonts w:cs="Times New Roman"/>
                <w:b/>
                <w:bCs/>
                <w:sz w:val="20"/>
                <w:szCs w:val="20"/>
                <w:lang w:val="lt-LT"/>
              </w:rPr>
              <w:t xml:space="preserve">Investicijų paklausa </w:t>
            </w:r>
            <w:r w:rsidR="00103D8D" w:rsidRPr="003C0378">
              <w:rPr>
                <w:rFonts w:cs="Times New Roman"/>
                <w:b/>
                <w:bCs/>
                <w:sz w:val="20"/>
                <w:szCs w:val="20"/>
                <w:lang w:val="lt-LT"/>
              </w:rPr>
              <w:t>–</w:t>
            </w:r>
            <w:r w:rsidRPr="003C0378">
              <w:rPr>
                <w:rFonts w:cs="Times New Roman"/>
                <w:b/>
                <w:bCs/>
                <w:sz w:val="20"/>
                <w:szCs w:val="20"/>
                <w:lang w:val="lt-LT"/>
              </w:rPr>
              <w:t xml:space="preserve"> apatinė riba (mlrd. Eur)</w:t>
            </w:r>
          </w:p>
        </w:tc>
        <w:tc>
          <w:tcPr>
            <w:tcW w:w="2645" w:type="dxa"/>
            <w:vAlign w:val="center"/>
            <w:hideMark/>
          </w:tcPr>
          <w:p w14:paraId="13835EF4" w14:textId="541F114F" w:rsidR="005D698A" w:rsidRPr="003C0378" w:rsidRDefault="005D698A" w:rsidP="005D698A">
            <w:pPr>
              <w:keepNext/>
              <w:spacing w:after="0"/>
              <w:ind w:firstLine="0"/>
              <w:jc w:val="center"/>
              <w:rPr>
                <w:rFonts w:cs="Times New Roman"/>
                <w:b/>
                <w:bCs/>
                <w:sz w:val="20"/>
                <w:szCs w:val="20"/>
                <w:lang w:val="lt-LT"/>
              </w:rPr>
            </w:pPr>
            <w:r w:rsidRPr="003C0378">
              <w:rPr>
                <w:rFonts w:cs="Times New Roman"/>
                <w:b/>
                <w:bCs/>
                <w:sz w:val="20"/>
                <w:szCs w:val="20"/>
                <w:lang w:val="lt-LT"/>
              </w:rPr>
              <w:t xml:space="preserve">Investicijų paklausa </w:t>
            </w:r>
            <w:r w:rsidR="00103D8D" w:rsidRPr="003C0378">
              <w:rPr>
                <w:rFonts w:cs="Times New Roman"/>
                <w:b/>
                <w:bCs/>
                <w:sz w:val="20"/>
                <w:szCs w:val="20"/>
                <w:lang w:val="lt-LT"/>
              </w:rPr>
              <w:t>–</w:t>
            </w:r>
            <w:r w:rsidRPr="003C0378">
              <w:rPr>
                <w:rFonts w:cs="Times New Roman"/>
                <w:b/>
                <w:bCs/>
                <w:sz w:val="20"/>
                <w:szCs w:val="20"/>
                <w:lang w:val="lt-LT"/>
              </w:rPr>
              <w:t xml:space="preserve"> viršutinė riba, mlrd. Eur</w:t>
            </w:r>
          </w:p>
        </w:tc>
      </w:tr>
      <w:tr w:rsidR="005D698A" w:rsidRPr="003C0378" w14:paraId="58E60AFF" w14:textId="77777777" w:rsidTr="00E24002">
        <w:trPr>
          <w:trHeight w:val="21"/>
        </w:trPr>
        <w:tc>
          <w:tcPr>
            <w:tcW w:w="4469" w:type="dxa"/>
            <w:noWrap/>
            <w:vAlign w:val="center"/>
            <w:hideMark/>
          </w:tcPr>
          <w:p w14:paraId="3B777FA2" w14:textId="63E81441" w:rsidR="005D698A" w:rsidRPr="003C0378" w:rsidRDefault="005D698A" w:rsidP="005D698A">
            <w:pPr>
              <w:keepNext/>
              <w:spacing w:after="0"/>
              <w:ind w:firstLine="0"/>
              <w:jc w:val="left"/>
              <w:rPr>
                <w:rFonts w:cs="Times New Roman"/>
                <w:sz w:val="20"/>
                <w:szCs w:val="20"/>
                <w:lang w:val="lt-LT"/>
              </w:rPr>
            </w:pPr>
            <w:r w:rsidRPr="003C0378">
              <w:rPr>
                <w:rFonts w:cs="Times New Roman"/>
                <w:sz w:val="20"/>
                <w:szCs w:val="20"/>
                <w:lang w:val="lt-LT"/>
              </w:rPr>
              <w:t>Verslas</w:t>
            </w:r>
          </w:p>
        </w:tc>
        <w:tc>
          <w:tcPr>
            <w:tcW w:w="2553" w:type="dxa"/>
            <w:noWrap/>
            <w:vAlign w:val="center"/>
            <w:hideMark/>
          </w:tcPr>
          <w:p w14:paraId="72683D78" w14:textId="2BCF66D6" w:rsidR="005D698A" w:rsidRPr="003C0378" w:rsidRDefault="005D698A" w:rsidP="005D698A">
            <w:pPr>
              <w:keepNext/>
              <w:spacing w:after="0"/>
              <w:ind w:firstLine="0"/>
              <w:jc w:val="center"/>
              <w:rPr>
                <w:rFonts w:cs="Times New Roman"/>
                <w:sz w:val="20"/>
                <w:szCs w:val="20"/>
                <w:lang w:val="lt-LT"/>
              </w:rPr>
            </w:pPr>
            <w:r w:rsidRPr="003C0378">
              <w:rPr>
                <w:rFonts w:cs="Times New Roman"/>
                <w:sz w:val="20"/>
                <w:szCs w:val="20"/>
                <w:lang w:val="lt-LT"/>
              </w:rPr>
              <w:t>5,13</w:t>
            </w:r>
          </w:p>
        </w:tc>
        <w:tc>
          <w:tcPr>
            <w:tcW w:w="2645" w:type="dxa"/>
            <w:noWrap/>
            <w:vAlign w:val="center"/>
            <w:hideMark/>
          </w:tcPr>
          <w:p w14:paraId="240B19B5" w14:textId="4150D3C3" w:rsidR="005D698A" w:rsidRPr="003C0378" w:rsidRDefault="005D698A" w:rsidP="005D698A">
            <w:pPr>
              <w:keepNext/>
              <w:spacing w:after="0"/>
              <w:ind w:firstLine="0"/>
              <w:jc w:val="center"/>
              <w:rPr>
                <w:rFonts w:cs="Times New Roman"/>
                <w:sz w:val="20"/>
                <w:szCs w:val="20"/>
                <w:lang w:val="lt-LT"/>
              </w:rPr>
            </w:pPr>
            <w:r w:rsidRPr="003C0378">
              <w:rPr>
                <w:rFonts w:cs="Times New Roman"/>
                <w:sz w:val="20"/>
                <w:szCs w:val="20"/>
                <w:lang w:val="lt-LT"/>
              </w:rPr>
              <w:t>10,32</w:t>
            </w:r>
          </w:p>
        </w:tc>
      </w:tr>
      <w:tr w:rsidR="005D698A" w:rsidRPr="003C0378" w14:paraId="64DCFF14" w14:textId="77777777" w:rsidTr="006C0B37">
        <w:trPr>
          <w:trHeight w:val="21"/>
        </w:trPr>
        <w:tc>
          <w:tcPr>
            <w:tcW w:w="4469" w:type="dxa"/>
            <w:noWrap/>
            <w:vAlign w:val="center"/>
            <w:hideMark/>
          </w:tcPr>
          <w:p w14:paraId="0C40B51A" w14:textId="6E3134F3" w:rsidR="005D698A" w:rsidRPr="003C0378" w:rsidRDefault="003D118F" w:rsidP="005D698A">
            <w:pPr>
              <w:keepNext/>
              <w:spacing w:after="0"/>
              <w:ind w:firstLine="0"/>
              <w:jc w:val="left"/>
              <w:rPr>
                <w:rFonts w:cs="Times New Roman"/>
                <w:sz w:val="20"/>
                <w:szCs w:val="20"/>
                <w:lang w:val="lt-LT"/>
              </w:rPr>
            </w:pPr>
            <w:r w:rsidRPr="003D118F">
              <w:rPr>
                <w:rFonts w:cs="Times New Roman"/>
                <w:sz w:val="20"/>
                <w:szCs w:val="20"/>
              </w:rPr>
              <w:t>VJA</w:t>
            </w:r>
          </w:p>
        </w:tc>
        <w:tc>
          <w:tcPr>
            <w:tcW w:w="2553" w:type="dxa"/>
            <w:noWrap/>
            <w:vAlign w:val="center"/>
            <w:hideMark/>
          </w:tcPr>
          <w:p w14:paraId="29705F78" w14:textId="17BD0C61" w:rsidR="005D698A" w:rsidRPr="003D118F" w:rsidRDefault="005D698A" w:rsidP="005D698A">
            <w:pPr>
              <w:keepNext/>
              <w:spacing w:after="0"/>
              <w:ind w:firstLine="0"/>
              <w:jc w:val="center"/>
              <w:rPr>
                <w:rFonts w:cs="Times New Roman"/>
                <w:sz w:val="20"/>
                <w:szCs w:val="20"/>
                <w:lang w:val="lt-LT"/>
              </w:rPr>
            </w:pPr>
            <w:r w:rsidRPr="003D118F">
              <w:rPr>
                <w:rFonts w:cs="Times New Roman"/>
                <w:sz w:val="20"/>
                <w:szCs w:val="20"/>
                <w:lang w:val="lt-LT"/>
              </w:rPr>
              <w:t>0,26</w:t>
            </w:r>
          </w:p>
        </w:tc>
        <w:tc>
          <w:tcPr>
            <w:tcW w:w="2645" w:type="dxa"/>
            <w:noWrap/>
            <w:vAlign w:val="center"/>
            <w:hideMark/>
          </w:tcPr>
          <w:p w14:paraId="570B3AD6" w14:textId="2A41FF01" w:rsidR="005D698A" w:rsidRPr="003D118F" w:rsidRDefault="005D698A" w:rsidP="005D698A">
            <w:pPr>
              <w:keepNext/>
              <w:spacing w:after="0"/>
              <w:ind w:firstLine="0"/>
              <w:jc w:val="center"/>
              <w:rPr>
                <w:rFonts w:cs="Times New Roman"/>
                <w:sz w:val="20"/>
                <w:szCs w:val="20"/>
                <w:lang w:val="lt-LT"/>
              </w:rPr>
            </w:pPr>
            <w:r w:rsidRPr="003D118F">
              <w:rPr>
                <w:rFonts w:cs="Times New Roman"/>
                <w:sz w:val="20"/>
                <w:szCs w:val="20"/>
                <w:lang w:val="lt-LT"/>
              </w:rPr>
              <w:t>0,43</w:t>
            </w:r>
          </w:p>
        </w:tc>
      </w:tr>
      <w:tr w:rsidR="005D698A" w:rsidRPr="003C0378" w14:paraId="5C771BB9" w14:textId="77777777" w:rsidTr="00E24002">
        <w:trPr>
          <w:trHeight w:val="21"/>
        </w:trPr>
        <w:tc>
          <w:tcPr>
            <w:tcW w:w="4469" w:type="dxa"/>
            <w:noWrap/>
            <w:vAlign w:val="center"/>
            <w:hideMark/>
          </w:tcPr>
          <w:p w14:paraId="0D328C38" w14:textId="3E59A208" w:rsidR="005D698A" w:rsidRPr="003C0378" w:rsidRDefault="008A613D" w:rsidP="005D698A">
            <w:pPr>
              <w:keepNext/>
              <w:spacing w:after="0"/>
              <w:ind w:firstLine="0"/>
              <w:jc w:val="left"/>
              <w:rPr>
                <w:rFonts w:cs="Times New Roman"/>
                <w:sz w:val="20"/>
                <w:szCs w:val="20"/>
                <w:lang w:val="lt-LT"/>
              </w:rPr>
            </w:pPr>
            <w:r>
              <w:rPr>
                <w:rFonts w:cs="Times New Roman"/>
                <w:sz w:val="20"/>
                <w:szCs w:val="20"/>
                <w:lang w:val="lt-LT"/>
              </w:rPr>
              <w:t>AIEB</w:t>
            </w:r>
            <w:r w:rsidR="00CB585C">
              <w:t xml:space="preserve"> </w:t>
            </w:r>
            <w:r w:rsidR="00CB585C" w:rsidRPr="00CB585C">
              <w:rPr>
                <w:rFonts w:cs="Times New Roman"/>
                <w:sz w:val="20"/>
                <w:szCs w:val="20"/>
                <w:lang w:val="lt-LT"/>
              </w:rPr>
              <w:t>bei PEB</w:t>
            </w:r>
          </w:p>
        </w:tc>
        <w:tc>
          <w:tcPr>
            <w:tcW w:w="2553" w:type="dxa"/>
            <w:noWrap/>
            <w:vAlign w:val="center"/>
            <w:hideMark/>
          </w:tcPr>
          <w:p w14:paraId="6739EDAC" w14:textId="03804379" w:rsidR="005D698A" w:rsidRPr="003C0378" w:rsidRDefault="005D698A" w:rsidP="005D698A">
            <w:pPr>
              <w:keepNext/>
              <w:spacing w:after="0"/>
              <w:ind w:firstLine="0"/>
              <w:jc w:val="center"/>
              <w:rPr>
                <w:rFonts w:cs="Times New Roman"/>
                <w:sz w:val="20"/>
                <w:szCs w:val="20"/>
                <w:lang w:val="lt-LT"/>
              </w:rPr>
            </w:pPr>
            <w:r w:rsidRPr="003C0378">
              <w:rPr>
                <w:rFonts w:cs="Times New Roman"/>
                <w:sz w:val="20"/>
                <w:szCs w:val="20"/>
                <w:lang w:val="lt-LT"/>
              </w:rPr>
              <w:t>0,21</w:t>
            </w:r>
          </w:p>
        </w:tc>
        <w:tc>
          <w:tcPr>
            <w:tcW w:w="2645" w:type="dxa"/>
            <w:noWrap/>
            <w:vAlign w:val="center"/>
            <w:hideMark/>
          </w:tcPr>
          <w:p w14:paraId="345FDB91" w14:textId="784282AC" w:rsidR="005D698A" w:rsidRPr="003C0378" w:rsidRDefault="005D698A" w:rsidP="005D698A">
            <w:pPr>
              <w:keepNext/>
              <w:spacing w:after="0"/>
              <w:ind w:firstLine="0"/>
              <w:jc w:val="center"/>
              <w:rPr>
                <w:rFonts w:cs="Times New Roman"/>
                <w:sz w:val="20"/>
                <w:szCs w:val="20"/>
                <w:lang w:val="lt-LT"/>
              </w:rPr>
            </w:pPr>
            <w:r w:rsidRPr="003C0378">
              <w:rPr>
                <w:rFonts w:cs="Times New Roman"/>
                <w:sz w:val="20"/>
                <w:szCs w:val="20"/>
                <w:lang w:val="lt-LT"/>
              </w:rPr>
              <w:t>0,43</w:t>
            </w:r>
          </w:p>
        </w:tc>
      </w:tr>
      <w:tr w:rsidR="005D698A" w:rsidRPr="003C0378" w14:paraId="6E0AEB16" w14:textId="77777777" w:rsidTr="00E24002">
        <w:trPr>
          <w:trHeight w:val="21"/>
        </w:trPr>
        <w:tc>
          <w:tcPr>
            <w:tcW w:w="4469" w:type="dxa"/>
            <w:noWrap/>
            <w:vAlign w:val="center"/>
            <w:hideMark/>
          </w:tcPr>
          <w:p w14:paraId="606F5E13" w14:textId="77777777" w:rsidR="005D698A" w:rsidRPr="003C0378" w:rsidRDefault="005D698A" w:rsidP="005D698A">
            <w:pPr>
              <w:keepNext/>
              <w:spacing w:after="0"/>
              <w:ind w:firstLine="0"/>
              <w:jc w:val="left"/>
              <w:rPr>
                <w:rFonts w:cs="Times New Roman"/>
                <w:b/>
                <w:bCs/>
                <w:sz w:val="20"/>
                <w:szCs w:val="20"/>
                <w:lang w:val="lt-LT"/>
              </w:rPr>
            </w:pPr>
            <w:r w:rsidRPr="003C0378">
              <w:rPr>
                <w:rFonts w:cs="Times New Roman"/>
                <w:b/>
                <w:bCs/>
                <w:sz w:val="20"/>
                <w:szCs w:val="20"/>
                <w:lang w:val="lt-LT"/>
              </w:rPr>
              <w:t>Visos tikslinės grupės</w:t>
            </w:r>
          </w:p>
        </w:tc>
        <w:tc>
          <w:tcPr>
            <w:tcW w:w="2553" w:type="dxa"/>
            <w:noWrap/>
            <w:vAlign w:val="center"/>
            <w:hideMark/>
          </w:tcPr>
          <w:p w14:paraId="2B78DEE3" w14:textId="3D6316A7" w:rsidR="005D698A" w:rsidRPr="00C50254" w:rsidRDefault="005D698A" w:rsidP="005D698A">
            <w:pPr>
              <w:keepNext/>
              <w:spacing w:after="0"/>
              <w:ind w:firstLine="0"/>
              <w:jc w:val="center"/>
              <w:rPr>
                <w:rFonts w:cs="Times New Roman"/>
                <w:b/>
                <w:bCs/>
                <w:sz w:val="20"/>
                <w:szCs w:val="20"/>
                <w:lang w:val="lt-LT"/>
              </w:rPr>
            </w:pPr>
            <w:r w:rsidRPr="00C50254">
              <w:rPr>
                <w:rFonts w:cs="Times New Roman"/>
                <w:b/>
                <w:bCs/>
                <w:sz w:val="20"/>
                <w:szCs w:val="20"/>
                <w:lang w:val="lt-LT"/>
              </w:rPr>
              <w:t>5,99</w:t>
            </w:r>
          </w:p>
        </w:tc>
        <w:tc>
          <w:tcPr>
            <w:tcW w:w="2645" w:type="dxa"/>
            <w:noWrap/>
            <w:vAlign w:val="center"/>
            <w:hideMark/>
          </w:tcPr>
          <w:p w14:paraId="570B7817" w14:textId="5C328721" w:rsidR="005D698A" w:rsidRPr="00C50254" w:rsidRDefault="005D698A" w:rsidP="005D698A">
            <w:pPr>
              <w:keepNext/>
              <w:spacing w:after="0"/>
              <w:ind w:firstLine="0"/>
              <w:jc w:val="center"/>
              <w:rPr>
                <w:rFonts w:cs="Times New Roman"/>
                <w:b/>
                <w:bCs/>
                <w:sz w:val="20"/>
                <w:szCs w:val="20"/>
                <w:lang w:val="lt-LT"/>
              </w:rPr>
            </w:pPr>
            <w:r w:rsidRPr="00C50254">
              <w:rPr>
                <w:rFonts w:cs="Times New Roman"/>
                <w:b/>
                <w:bCs/>
                <w:sz w:val="20"/>
                <w:szCs w:val="20"/>
                <w:lang w:val="lt-LT"/>
              </w:rPr>
              <w:t>11,18</w:t>
            </w:r>
          </w:p>
        </w:tc>
      </w:tr>
      <w:tr w:rsidR="005D698A" w:rsidRPr="003C0378" w14:paraId="6E5C8DBA" w14:textId="77777777" w:rsidTr="00E24002">
        <w:trPr>
          <w:trHeight w:val="21"/>
        </w:trPr>
        <w:tc>
          <w:tcPr>
            <w:tcW w:w="4469" w:type="dxa"/>
            <w:noWrap/>
            <w:vAlign w:val="center"/>
            <w:hideMark/>
          </w:tcPr>
          <w:p w14:paraId="145A9B18" w14:textId="77777777" w:rsidR="005D698A" w:rsidRPr="003C0378" w:rsidRDefault="005D698A" w:rsidP="005D698A">
            <w:pPr>
              <w:keepNext/>
              <w:spacing w:after="0"/>
              <w:ind w:firstLine="0"/>
              <w:jc w:val="left"/>
              <w:rPr>
                <w:rFonts w:cs="Times New Roman"/>
                <w:b/>
                <w:bCs/>
                <w:sz w:val="20"/>
                <w:szCs w:val="20"/>
                <w:lang w:val="lt-LT"/>
              </w:rPr>
            </w:pPr>
            <w:r w:rsidRPr="003C0378">
              <w:rPr>
                <w:rFonts w:cs="Times New Roman"/>
                <w:b/>
                <w:bCs/>
                <w:sz w:val="20"/>
                <w:szCs w:val="20"/>
                <w:lang w:val="lt-LT"/>
              </w:rPr>
              <w:t>Nacionalinė strateginė darbotvarkė</w:t>
            </w:r>
          </w:p>
        </w:tc>
        <w:tc>
          <w:tcPr>
            <w:tcW w:w="2553" w:type="dxa"/>
            <w:noWrap/>
            <w:vAlign w:val="center"/>
            <w:hideMark/>
          </w:tcPr>
          <w:p w14:paraId="72FCAE13" w14:textId="0055A698" w:rsidR="005D698A" w:rsidRPr="003C0378" w:rsidRDefault="005D698A" w:rsidP="005D698A">
            <w:pPr>
              <w:keepNext/>
              <w:spacing w:after="0"/>
              <w:ind w:firstLine="0"/>
              <w:jc w:val="center"/>
              <w:rPr>
                <w:rFonts w:cs="Times New Roman"/>
                <w:b/>
                <w:bCs/>
                <w:sz w:val="20"/>
                <w:szCs w:val="20"/>
                <w:lang w:val="lt-LT"/>
              </w:rPr>
            </w:pPr>
            <w:r w:rsidRPr="003C0378">
              <w:rPr>
                <w:rFonts w:cs="Times New Roman"/>
                <w:b/>
                <w:bCs/>
                <w:sz w:val="20"/>
                <w:szCs w:val="20"/>
                <w:lang w:val="lt-LT"/>
              </w:rPr>
              <w:t>2,31</w:t>
            </w:r>
          </w:p>
        </w:tc>
        <w:tc>
          <w:tcPr>
            <w:tcW w:w="2645" w:type="dxa"/>
            <w:noWrap/>
            <w:vAlign w:val="center"/>
            <w:hideMark/>
          </w:tcPr>
          <w:p w14:paraId="62AEFE3E" w14:textId="158F33D9" w:rsidR="005D698A" w:rsidRPr="003C0378" w:rsidRDefault="005D698A" w:rsidP="005D698A">
            <w:pPr>
              <w:keepNext/>
              <w:spacing w:after="0"/>
              <w:ind w:firstLine="0"/>
              <w:jc w:val="center"/>
              <w:rPr>
                <w:rFonts w:cs="Times New Roman"/>
                <w:b/>
                <w:bCs/>
                <w:sz w:val="20"/>
                <w:szCs w:val="20"/>
                <w:lang w:val="lt-LT"/>
              </w:rPr>
            </w:pPr>
            <w:r w:rsidRPr="003C0378">
              <w:rPr>
                <w:rFonts w:cs="Times New Roman"/>
                <w:b/>
                <w:bCs/>
                <w:sz w:val="20"/>
                <w:szCs w:val="20"/>
                <w:lang w:val="lt-LT"/>
              </w:rPr>
              <w:t>4,43</w:t>
            </w:r>
          </w:p>
        </w:tc>
      </w:tr>
    </w:tbl>
    <w:p w14:paraId="650B0C43" w14:textId="2239F89C" w:rsidR="00B55C94" w:rsidRPr="003C0378" w:rsidRDefault="005D698A" w:rsidP="006B6964">
      <w:pPr>
        <w:keepNext/>
        <w:spacing w:after="0"/>
        <w:jc w:val="left"/>
        <w:rPr>
          <w:rFonts w:cs="Times New Roman"/>
          <w:sz w:val="20"/>
          <w:szCs w:val="20"/>
        </w:rPr>
      </w:pPr>
      <w:r w:rsidRPr="003C0378">
        <w:rPr>
          <w:rFonts w:cs="Times New Roman"/>
          <w:sz w:val="20"/>
          <w:szCs w:val="20"/>
        </w:rPr>
        <w:t>Šaltinis: sudaryta Vertintojų</w:t>
      </w:r>
      <w:r w:rsidR="00B55C94" w:rsidRPr="003C0378">
        <w:rPr>
          <w:rFonts w:cs="Times New Roman"/>
          <w:sz w:val="20"/>
          <w:szCs w:val="20"/>
        </w:rPr>
        <w:t>.</w:t>
      </w:r>
    </w:p>
    <w:p w14:paraId="7C3380EA" w14:textId="4B3331CF" w:rsidR="00C866FA" w:rsidRPr="003C0378" w:rsidRDefault="00C866FA" w:rsidP="00462FD6">
      <w:pPr>
        <w:pStyle w:val="Antrat2"/>
        <w:numPr>
          <w:ilvl w:val="1"/>
          <w:numId w:val="3"/>
        </w:numPr>
        <w:rPr>
          <w:rFonts w:cs="Times New Roman"/>
        </w:rPr>
      </w:pPr>
      <w:r w:rsidRPr="003C0378">
        <w:rPr>
          <w:rFonts w:cs="Times New Roman"/>
        </w:rPr>
        <w:t xml:space="preserve"> </w:t>
      </w:r>
      <w:bookmarkStart w:id="87" w:name="_Toc126051355"/>
      <w:bookmarkStart w:id="88" w:name="_Toc166139828"/>
      <w:bookmarkStart w:id="89" w:name="_Toc170804590"/>
      <w:r w:rsidRPr="003C0378">
        <w:rPr>
          <w:rFonts w:cs="Times New Roman"/>
        </w:rPr>
        <w:t>AEI investicijų pasiūlos vertinimas</w:t>
      </w:r>
      <w:bookmarkEnd w:id="87"/>
      <w:bookmarkEnd w:id="88"/>
      <w:bookmarkEnd w:id="89"/>
    </w:p>
    <w:p w14:paraId="6FB31543" w14:textId="11BA2A1E" w:rsidR="00AD13A1" w:rsidRPr="003C0378" w:rsidRDefault="00DF2ACA" w:rsidP="00B62217">
      <w:r w:rsidRPr="003C0378">
        <w:t xml:space="preserve">AEI elektros gamybai investicijų pasiūla susideda </w:t>
      </w:r>
      <w:r w:rsidR="009C4407" w:rsidRPr="003C0378">
        <w:t xml:space="preserve">daugiausiai </w:t>
      </w:r>
      <w:r w:rsidRPr="003C0378">
        <w:t>iš prieinamų viešųjų šaltinių (kaip antai, 2021–2027 m. IP, Modernizavimo fondas, 2022–2025 m. Klimato kaitos programa ir t.t)</w:t>
      </w:r>
      <w:r w:rsidR="00A84B9E" w:rsidRPr="003C0378">
        <w:t xml:space="preserve">, kurie leidžia pritraukti privatų pareiškėjų </w:t>
      </w:r>
      <w:proofErr w:type="spellStart"/>
      <w:r w:rsidR="00473269">
        <w:t>bendra</w:t>
      </w:r>
      <w:r w:rsidR="00A84B9E" w:rsidRPr="003C0378">
        <w:t>finansavimą</w:t>
      </w:r>
      <w:proofErr w:type="spellEnd"/>
      <w:r w:rsidR="00A84B9E" w:rsidRPr="003C0378">
        <w:t>,</w:t>
      </w:r>
      <w:r w:rsidR="00165EF7" w:rsidRPr="003C0378">
        <w:t xml:space="preserve"> ir</w:t>
      </w:r>
      <w:r w:rsidR="003C0378">
        <w:t xml:space="preserve"> </w:t>
      </w:r>
      <w:r w:rsidR="00A84B9E" w:rsidRPr="003C0378">
        <w:t>finansų įstaigų (tiek tarptautinių, tiek vietinių</w:t>
      </w:r>
      <w:r w:rsidR="009C4407" w:rsidRPr="003C0378">
        <w:t>) finansavim</w:t>
      </w:r>
      <w:r w:rsidR="00473269">
        <w:t xml:space="preserve">ą. </w:t>
      </w:r>
      <w:r w:rsidR="003C0378">
        <w:t xml:space="preserve"> </w:t>
      </w:r>
      <w:r w:rsidR="00A84B9E" w:rsidRPr="003C0378">
        <w:t>Toliau yra pristatomas prieinamas finansavimas pagal kiekvieną finansavimo šaltinį.</w:t>
      </w:r>
      <w:r w:rsidR="00816C04" w:rsidRPr="003C0378">
        <w:t xml:space="preserve"> </w:t>
      </w:r>
    </w:p>
    <w:p w14:paraId="42B588BC" w14:textId="52EFAA49" w:rsidR="0056379A" w:rsidRPr="003C0378" w:rsidRDefault="00165EF7" w:rsidP="00704ECF">
      <w:pPr>
        <w:pStyle w:val="Antrat2"/>
        <w:numPr>
          <w:ilvl w:val="2"/>
          <w:numId w:val="3"/>
        </w:numPr>
        <w:rPr>
          <w:rFonts w:cs="Times New Roman"/>
        </w:rPr>
      </w:pPr>
      <w:bookmarkStart w:id="90" w:name="_Toc166139829"/>
      <w:bookmarkStart w:id="91" w:name="_Toc170804591"/>
      <w:r w:rsidRPr="003C0378">
        <w:rPr>
          <w:rFonts w:cs="Times New Roman"/>
        </w:rPr>
        <w:t>Prieinamas viešųjų šaltinių</w:t>
      </w:r>
      <w:r w:rsidR="00A84B9E" w:rsidRPr="003C0378">
        <w:rPr>
          <w:rFonts w:cs="Times New Roman"/>
        </w:rPr>
        <w:t xml:space="preserve"> ir pareiškėjų ko</w:t>
      </w:r>
      <w:r w:rsidR="003C0378">
        <w:rPr>
          <w:rFonts w:cs="Times New Roman"/>
        </w:rPr>
        <w:t>–</w:t>
      </w:r>
      <w:r w:rsidR="00A84B9E" w:rsidRPr="003C0378">
        <w:rPr>
          <w:rFonts w:cs="Times New Roman"/>
        </w:rPr>
        <w:t>finansavimo lėšų mastas</w:t>
      </w:r>
      <w:bookmarkEnd w:id="90"/>
      <w:bookmarkEnd w:id="91"/>
    </w:p>
    <w:p w14:paraId="52915E1E" w14:textId="708B2706" w:rsidR="001919A6" w:rsidRPr="003C0378" w:rsidRDefault="002F7A6F" w:rsidP="001919A6">
      <w:pPr>
        <w:spacing w:line="276" w:lineRule="auto"/>
        <w:ind w:firstLine="562"/>
      </w:pPr>
      <w:r w:rsidRPr="003C0378">
        <w:t>Žemiau lentelėje yra pateikiamas prieinamas viešųjų šaltinių finansavimas.</w:t>
      </w:r>
      <w:r w:rsidR="00481280" w:rsidRPr="003C0378">
        <w:t xml:space="preserve"> Prieinamas finansavimas AEI gamybos plėtrai apima priemones, kurios finansuojamos daugiausia 2022–2025 m. Klimato kaitos programos, Modernizavimo fondo, EGADP, Teisingos pertvarkos fondo ir 2021–2027 m. IP lėšomis. </w:t>
      </w:r>
      <w:r w:rsidR="00231298" w:rsidRPr="003C0378">
        <w:t>Toliau yra glaustai pristatomas kiekvienas finansavimo šaltinis.</w:t>
      </w:r>
      <w:r w:rsidR="00907925" w:rsidRPr="003C0378">
        <w:t xml:space="preserve"> Prieinamų lėšų kiekis buvo identifikuotas</w:t>
      </w:r>
      <w:r w:rsidR="00EA6148">
        <w:t>,</w:t>
      </w:r>
      <w:r w:rsidR="00907925" w:rsidRPr="003C0378">
        <w:t xml:space="preserve"> atlikus LR </w:t>
      </w:r>
      <w:r w:rsidR="002C5577">
        <w:t>A</w:t>
      </w:r>
      <w:r w:rsidR="00907925" w:rsidRPr="003C0378">
        <w:t xml:space="preserve">plinkos, </w:t>
      </w:r>
      <w:r w:rsidR="002C5577">
        <w:t>E</w:t>
      </w:r>
      <w:r w:rsidR="00907925" w:rsidRPr="003C0378">
        <w:t xml:space="preserve">nergetikos ir </w:t>
      </w:r>
      <w:r w:rsidR="002C5577">
        <w:t>E</w:t>
      </w:r>
      <w:r w:rsidR="00907925" w:rsidRPr="003C0378">
        <w:t>konomikos ir inovacijų ministerijų pažangos priemonių apraš</w:t>
      </w:r>
      <w:r w:rsidR="00AF4406">
        <w:t>ų</w:t>
      </w:r>
      <w:r w:rsidR="00907925" w:rsidRPr="003C0378">
        <w:t>, strateginių dokumentų analizę ir interviu su minėtų ministerijų atstovais.</w:t>
      </w:r>
      <w:r w:rsidR="001919A6" w:rsidRPr="003C0378">
        <w:t xml:space="preserve"> </w:t>
      </w:r>
    </w:p>
    <w:p w14:paraId="076489F8" w14:textId="6CFADF9C" w:rsidR="002F7A6F" w:rsidRPr="003C0378" w:rsidRDefault="002F7A6F" w:rsidP="002F7A6F">
      <w:pPr>
        <w:keepNext/>
        <w:ind w:firstLine="0"/>
        <w:rPr>
          <w:rFonts w:cs="Times New Roman"/>
          <w:i/>
          <w:iCs/>
        </w:rPr>
      </w:pPr>
      <w:bookmarkStart w:id="92" w:name="_Toc166139863"/>
      <w:bookmarkStart w:id="93" w:name="_Toc170804629"/>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13</w:t>
      </w:r>
      <w:r w:rsidRPr="003C0378">
        <w:rPr>
          <w:rFonts w:cs="Times New Roman"/>
          <w:i/>
          <w:iCs/>
        </w:rPr>
        <w:fldChar w:fldCharType="end"/>
      </w:r>
      <w:r w:rsidRPr="003C0378">
        <w:rPr>
          <w:rFonts w:cs="Times New Roman"/>
          <w:i/>
          <w:iCs/>
        </w:rPr>
        <w:t xml:space="preserve">. </w:t>
      </w:r>
      <w:r w:rsidR="00231298" w:rsidRPr="003C0378">
        <w:rPr>
          <w:rFonts w:cs="Times New Roman"/>
          <w:i/>
          <w:iCs/>
        </w:rPr>
        <w:t>Prieinamų</w:t>
      </w:r>
      <w:r w:rsidR="00061871" w:rsidRPr="003C0378">
        <w:rPr>
          <w:rFonts w:cs="Times New Roman"/>
          <w:i/>
          <w:iCs/>
        </w:rPr>
        <w:t xml:space="preserve"> </w:t>
      </w:r>
      <w:r w:rsidR="00231298" w:rsidRPr="003C0378">
        <w:rPr>
          <w:rFonts w:cs="Times New Roman"/>
          <w:i/>
          <w:iCs/>
        </w:rPr>
        <w:t>investicijų</w:t>
      </w:r>
      <w:r w:rsidRPr="003C0378">
        <w:rPr>
          <w:rFonts w:cs="Times New Roman"/>
          <w:i/>
          <w:iCs/>
        </w:rPr>
        <w:t xml:space="preserve"> į AEI </w:t>
      </w:r>
      <w:r w:rsidR="00231298" w:rsidRPr="003C0378">
        <w:rPr>
          <w:rFonts w:cs="Times New Roman"/>
          <w:i/>
          <w:iCs/>
        </w:rPr>
        <w:t xml:space="preserve">(saulės ir vėjo) gamybos pajėgumus </w:t>
      </w:r>
      <w:r w:rsidRPr="003C0378">
        <w:rPr>
          <w:rFonts w:cs="Times New Roman"/>
          <w:i/>
          <w:iCs/>
        </w:rPr>
        <w:t>kiekis (Eur) ir šaltin</w:t>
      </w:r>
      <w:r w:rsidR="00231298" w:rsidRPr="003C0378">
        <w:rPr>
          <w:rFonts w:cs="Times New Roman"/>
          <w:i/>
          <w:iCs/>
        </w:rPr>
        <w:t>iai</w:t>
      </w:r>
      <w:bookmarkEnd w:id="92"/>
      <w:bookmarkEnd w:id="93"/>
    </w:p>
    <w:tbl>
      <w:tblPr>
        <w:tblStyle w:val="Lentelstinklelis"/>
        <w:tblW w:w="0" w:type="auto"/>
        <w:tblLook w:val="04A0" w:firstRow="1" w:lastRow="0" w:firstColumn="1" w:lastColumn="0" w:noHBand="0" w:noVBand="1"/>
      </w:tblPr>
      <w:tblGrid>
        <w:gridCol w:w="4802"/>
        <w:gridCol w:w="4802"/>
      </w:tblGrid>
      <w:tr w:rsidR="002C5F90" w:rsidRPr="003C0378" w14:paraId="1CC80789" w14:textId="77777777" w:rsidTr="00E24002">
        <w:trPr>
          <w:trHeight w:val="478"/>
          <w:tblHeader/>
        </w:trPr>
        <w:tc>
          <w:tcPr>
            <w:tcW w:w="4802" w:type="dxa"/>
          </w:tcPr>
          <w:p w14:paraId="4F7E7FFE" w14:textId="77777777" w:rsidR="002C5F90" w:rsidRPr="003C0378" w:rsidRDefault="002C5F90" w:rsidP="00BB4DC2">
            <w:pPr>
              <w:spacing w:after="0" w:line="276" w:lineRule="auto"/>
              <w:ind w:firstLine="0"/>
              <w:jc w:val="center"/>
              <w:rPr>
                <w:rFonts w:cs="Times New Roman"/>
                <w:b/>
                <w:bCs/>
                <w:sz w:val="20"/>
                <w:szCs w:val="20"/>
                <w:lang w:val="lt-LT"/>
              </w:rPr>
            </w:pPr>
            <w:r w:rsidRPr="003C0378">
              <w:rPr>
                <w:rFonts w:cs="Times New Roman"/>
                <w:b/>
                <w:bCs/>
                <w:sz w:val="20"/>
                <w:szCs w:val="20"/>
                <w:lang w:val="lt-LT"/>
              </w:rPr>
              <w:t>Finansavimo šaltinis</w:t>
            </w:r>
          </w:p>
        </w:tc>
        <w:tc>
          <w:tcPr>
            <w:tcW w:w="4802" w:type="dxa"/>
          </w:tcPr>
          <w:p w14:paraId="43011D26" w14:textId="77777777" w:rsidR="002C5F90" w:rsidRPr="003C0378" w:rsidRDefault="002C5F90" w:rsidP="00BB4DC2">
            <w:pPr>
              <w:spacing w:after="0" w:line="276" w:lineRule="auto"/>
              <w:ind w:firstLine="0"/>
              <w:jc w:val="center"/>
              <w:rPr>
                <w:rFonts w:cs="Times New Roman"/>
                <w:b/>
                <w:bCs/>
                <w:sz w:val="20"/>
                <w:szCs w:val="20"/>
                <w:lang w:val="lt-LT"/>
              </w:rPr>
            </w:pPr>
            <w:r w:rsidRPr="003C0378">
              <w:rPr>
                <w:rFonts w:cs="Times New Roman"/>
                <w:b/>
                <w:bCs/>
                <w:sz w:val="20"/>
                <w:szCs w:val="20"/>
                <w:lang w:val="lt-LT"/>
              </w:rPr>
              <w:t>Numatytų investicijų į AEI (saulės ir vėjo elektrinių pajėgumus) kiekis (Eur)</w:t>
            </w:r>
          </w:p>
        </w:tc>
      </w:tr>
      <w:tr w:rsidR="002C5F90" w:rsidRPr="003C0378" w14:paraId="350AB757" w14:textId="77777777" w:rsidTr="00E24002">
        <w:trPr>
          <w:trHeight w:val="190"/>
        </w:trPr>
        <w:tc>
          <w:tcPr>
            <w:tcW w:w="4802" w:type="dxa"/>
          </w:tcPr>
          <w:p w14:paraId="40D5C63F" w14:textId="77777777" w:rsidR="002C5F90" w:rsidRPr="003C0378" w:rsidRDefault="002C5F90"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2022–2025 m. Klimato kaitos programa</w:t>
            </w:r>
          </w:p>
        </w:tc>
        <w:tc>
          <w:tcPr>
            <w:tcW w:w="4802" w:type="dxa"/>
          </w:tcPr>
          <w:p w14:paraId="6423308F" w14:textId="77777777" w:rsidR="002C5F90" w:rsidRPr="003C0378" w:rsidRDefault="002C5F90" w:rsidP="00BB4DC2">
            <w:pPr>
              <w:spacing w:after="0" w:line="276" w:lineRule="auto"/>
              <w:ind w:firstLine="0"/>
              <w:jc w:val="center"/>
              <w:rPr>
                <w:rFonts w:cs="Times New Roman"/>
                <w:sz w:val="20"/>
                <w:szCs w:val="20"/>
                <w:lang w:val="lt-LT"/>
              </w:rPr>
            </w:pPr>
            <w:r w:rsidRPr="003C0378">
              <w:rPr>
                <w:rFonts w:cs="Times New Roman"/>
                <w:sz w:val="20"/>
                <w:szCs w:val="20"/>
                <w:lang w:val="lt-LT"/>
              </w:rPr>
              <w:t>48 mln.</w:t>
            </w:r>
          </w:p>
        </w:tc>
      </w:tr>
      <w:tr w:rsidR="002C5F90" w:rsidRPr="003C0378" w14:paraId="23F4EA40" w14:textId="77777777" w:rsidTr="00E24002">
        <w:trPr>
          <w:trHeight w:val="14"/>
        </w:trPr>
        <w:tc>
          <w:tcPr>
            <w:tcW w:w="4802" w:type="dxa"/>
          </w:tcPr>
          <w:p w14:paraId="64847444" w14:textId="552D3247" w:rsidR="002C5F90" w:rsidRPr="003C0378" w:rsidRDefault="002C5F90"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Modernizavimo fondas</w:t>
            </w:r>
          </w:p>
        </w:tc>
        <w:tc>
          <w:tcPr>
            <w:tcW w:w="4802" w:type="dxa"/>
          </w:tcPr>
          <w:p w14:paraId="486D4B77" w14:textId="6CC344F3" w:rsidR="002C5F90" w:rsidRPr="003C0378" w:rsidRDefault="00243B6A" w:rsidP="00BB4DC2">
            <w:pPr>
              <w:spacing w:after="0" w:line="276" w:lineRule="auto"/>
              <w:ind w:firstLine="0"/>
              <w:jc w:val="center"/>
              <w:rPr>
                <w:rFonts w:cs="Times New Roman"/>
                <w:sz w:val="20"/>
                <w:szCs w:val="20"/>
                <w:lang w:val="lt-LT"/>
              </w:rPr>
            </w:pPr>
            <w:r w:rsidRPr="003C0378">
              <w:rPr>
                <w:rFonts w:cs="Times New Roman"/>
                <w:sz w:val="20"/>
                <w:szCs w:val="20"/>
                <w:lang w:val="lt-LT"/>
              </w:rPr>
              <w:t>5</w:t>
            </w:r>
            <w:r w:rsidR="002C5F90" w:rsidRPr="003C0378">
              <w:rPr>
                <w:rFonts w:cs="Times New Roman"/>
                <w:sz w:val="20"/>
                <w:szCs w:val="20"/>
                <w:lang w:val="lt-LT"/>
              </w:rPr>
              <w:t>0 mln.</w:t>
            </w:r>
            <w:r w:rsidRPr="003C0378">
              <w:rPr>
                <w:rStyle w:val="Puslapioinaosnuoroda"/>
                <w:rFonts w:cs="Times New Roman"/>
                <w:sz w:val="20"/>
                <w:szCs w:val="20"/>
                <w:lang w:val="lt-LT"/>
              </w:rPr>
              <w:footnoteReference w:id="28"/>
            </w:r>
          </w:p>
        </w:tc>
      </w:tr>
      <w:tr w:rsidR="002C5F90" w:rsidRPr="003C0378" w14:paraId="4C95F79C" w14:textId="77777777" w:rsidTr="00E24002">
        <w:trPr>
          <w:trHeight w:val="14"/>
        </w:trPr>
        <w:tc>
          <w:tcPr>
            <w:tcW w:w="4802" w:type="dxa"/>
          </w:tcPr>
          <w:p w14:paraId="05CB60CF" w14:textId="77777777" w:rsidR="002C5F90" w:rsidRPr="003C0378" w:rsidRDefault="002C5F90"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Teisingos pertvarkos fondas</w:t>
            </w:r>
          </w:p>
        </w:tc>
        <w:tc>
          <w:tcPr>
            <w:tcW w:w="4802" w:type="dxa"/>
          </w:tcPr>
          <w:p w14:paraId="664DAA95" w14:textId="77777777" w:rsidR="002C5F90" w:rsidRPr="003C0378" w:rsidRDefault="002C5F90" w:rsidP="00BB4DC2">
            <w:pPr>
              <w:spacing w:after="0" w:line="276" w:lineRule="auto"/>
              <w:ind w:firstLine="0"/>
              <w:jc w:val="center"/>
              <w:rPr>
                <w:rFonts w:cs="Times New Roman"/>
                <w:sz w:val="20"/>
                <w:szCs w:val="20"/>
                <w:lang w:val="lt-LT"/>
              </w:rPr>
            </w:pPr>
            <w:r w:rsidRPr="003C0378">
              <w:rPr>
                <w:rFonts w:cs="Times New Roman"/>
                <w:sz w:val="20"/>
                <w:szCs w:val="20"/>
                <w:lang w:val="lt-LT"/>
              </w:rPr>
              <w:t>42 mln.</w:t>
            </w:r>
            <w:r w:rsidRPr="003C0378">
              <w:rPr>
                <w:rStyle w:val="Puslapioinaosnuoroda"/>
                <w:rFonts w:cs="Times New Roman"/>
                <w:sz w:val="20"/>
                <w:szCs w:val="20"/>
                <w:lang w:val="lt-LT"/>
              </w:rPr>
              <w:footnoteReference w:id="29"/>
            </w:r>
          </w:p>
        </w:tc>
      </w:tr>
      <w:tr w:rsidR="002C5F90" w:rsidRPr="003C0378" w14:paraId="3264A021" w14:textId="77777777" w:rsidTr="00B62217">
        <w:trPr>
          <w:trHeight w:val="14"/>
        </w:trPr>
        <w:tc>
          <w:tcPr>
            <w:tcW w:w="4802" w:type="dxa"/>
          </w:tcPr>
          <w:p w14:paraId="30490193" w14:textId="77777777" w:rsidR="002C5F90" w:rsidRPr="003C0378" w:rsidRDefault="002C5F90" w:rsidP="00BB4DC2">
            <w:pPr>
              <w:spacing w:after="0" w:line="276" w:lineRule="auto"/>
              <w:ind w:firstLine="0"/>
              <w:rPr>
                <w:rFonts w:cs="Times New Roman"/>
                <w:sz w:val="20"/>
                <w:szCs w:val="20"/>
                <w:lang w:val="lt-LT"/>
              </w:rPr>
            </w:pPr>
            <w:r w:rsidRPr="003C0378">
              <w:rPr>
                <w:rFonts w:cs="Times New Roman"/>
                <w:sz w:val="20"/>
                <w:szCs w:val="20"/>
                <w:lang w:val="lt-LT"/>
              </w:rPr>
              <w:t>Ekonomikos gaivinimo ir atsparumo didinimo planas „Naujos kartos Lietuva“</w:t>
            </w:r>
          </w:p>
        </w:tc>
        <w:tc>
          <w:tcPr>
            <w:tcW w:w="4802" w:type="dxa"/>
          </w:tcPr>
          <w:p w14:paraId="7BCE3F70" w14:textId="70605199" w:rsidR="002C5F90" w:rsidRPr="003C0378" w:rsidRDefault="00180AAD" w:rsidP="00BB4DC2">
            <w:pPr>
              <w:spacing w:after="0" w:line="276" w:lineRule="auto"/>
              <w:ind w:firstLine="0"/>
              <w:jc w:val="center"/>
              <w:rPr>
                <w:rFonts w:cs="Times New Roman"/>
                <w:sz w:val="20"/>
                <w:szCs w:val="20"/>
                <w:lang w:val="lt-LT"/>
              </w:rPr>
            </w:pPr>
            <w:r w:rsidRPr="00AB1D8B">
              <w:rPr>
                <w:rFonts w:cs="Times New Roman"/>
                <w:sz w:val="20"/>
                <w:szCs w:val="20"/>
                <w:lang w:val="lt-LT"/>
              </w:rPr>
              <w:t xml:space="preserve"> </w:t>
            </w:r>
            <w:r w:rsidR="004A3FC1">
              <w:rPr>
                <w:rFonts w:cs="Times New Roman"/>
                <w:sz w:val="20"/>
                <w:szCs w:val="20"/>
                <w:lang w:val="lt-LT"/>
              </w:rPr>
              <w:t xml:space="preserve">645,2 </w:t>
            </w:r>
            <w:r w:rsidR="002C5F90" w:rsidRPr="00AB1D8B">
              <w:rPr>
                <w:rFonts w:cs="Times New Roman"/>
                <w:sz w:val="20"/>
                <w:szCs w:val="20"/>
                <w:lang w:val="lt-LT"/>
              </w:rPr>
              <w:t>mln.</w:t>
            </w:r>
            <w:r w:rsidR="004A3FC1">
              <w:rPr>
                <w:rFonts w:cs="Times New Roman"/>
                <w:sz w:val="20"/>
                <w:szCs w:val="20"/>
                <w:lang w:val="lt-LT"/>
              </w:rPr>
              <w:t xml:space="preserve"> (+229,2 mln. Eur valstybės biudžeto lėšų)</w:t>
            </w:r>
            <w:r w:rsidR="002C5F90" w:rsidRPr="003C0378">
              <w:rPr>
                <w:rFonts w:cs="Times New Roman"/>
                <w:sz w:val="20"/>
                <w:szCs w:val="20"/>
                <w:lang w:val="lt-LT"/>
              </w:rPr>
              <w:t xml:space="preserve"> </w:t>
            </w:r>
          </w:p>
        </w:tc>
      </w:tr>
      <w:tr w:rsidR="002C5F90" w:rsidRPr="003C0378" w14:paraId="79FDE3C5" w14:textId="77777777" w:rsidTr="007863F6">
        <w:trPr>
          <w:trHeight w:val="14"/>
        </w:trPr>
        <w:tc>
          <w:tcPr>
            <w:tcW w:w="4802" w:type="dxa"/>
          </w:tcPr>
          <w:p w14:paraId="57E55CE5" w14:textId="2711CCED" w:rsidR="002C5F90" w:rsidRPr="003C0378" w:rsidRDefault="002C5F90" w:rsidP="00BB4DC2">
            <w:pPr>
              <w:spacing w:after="0" w:line="276" w:lineRule="auto"/>
              <w:ind w:firstLine="0"/>
              <w:rPr>
                <w:rFonts w:cs="Times New Roman"/>
                <w:sz w:val="20"/>
                <w:szCs w:val="20"/>
                <w:lang w:val="lt-LT"/>
              </w:rPr>
            </w:pPr>
            <w:r w:rsidRPr="003C0378">
              <w:rPr>
                <w:rFonts w:cs="Times New Roman"/>
                <w:sz w:val="20"/>
                <w:szCs w:val="20"/>
                <w:lang w:val="lt-LT"/>
              </w:rPr>
              <w:t>2021–2027 m.</w:t>
            </w:r>
            <w:r w:rsidR="001E67C2" w:rsidRPr="003C0378">
              <w:rPr>
                <w:rFonts w:cs="Times New Roman"/>
                <w:sz w:val="20"/>
                <w:szCs w:val="20"/>
                <w:lang w:val="lt-LT"/>
              </w:rPr>
              <w:t xml:space="preserve"> ES fondų</w:t>
            </w:r>
            <w:r w:rsidRPr="003C0378">
              <w:rPr>
                <w:rFonts w:cs="Times New Roman"/>
                <w:sz w:val="20"/>
                <w:szCs w:val="20"/>
                <w:lang w:val="lt-LT"/>
              </w:rPr>
              <w:t xml:space="preserve"> </w:t>
            </w:r>
            <w:r w:rsidR="001E67C2" w:rsidRPr="003C0378">
              <w:rPr>
                <w:rFonts w:cs="Times New Roman"/>
                <w:sz w:val="20"/>
                <w:szCs w:val="20"/>
                <w:lang w:val="lt-LT"/>
              </w:rPr>
              <w:t>investicijų programa (toliau – 2021</w:t>
            </w:r>
          </w:p>
        </w:tc>
        <w:tc>
          <w:tcPr>
            <w:tcW w:w="4802" w:type="dxa"/>
          </w:tcPr>
          <w:p w14:paraId="1529A725" w14:textId="3A27438F" w:rsidR="002C5F90" w:rsidRPr="003C0378" w:rsidRDefault="004A3FC1" w:rsidP="00BB4DC2">
            <w:pPr>
              <w:spacing w:after="0" w:line="276" w:lineRule="auto"/>
              <w:ind w:firstLine="0"/>
              <w:jc w:val="center"/>
              <w:rPr>
                <w:rFonts w:cs="Times New Roman"/>
                <w:sz w:val="20"/>
                <w:szCs w:val="20"/>
                <w:lang w:val="lt-LT"/>
              </w:rPr>
            </w:pPr>
            <w:r>
              <w:rPr>
                <w:rFonts w:cs="Times New Roman"/>
                <w:sz w:val="20"/>
                <w:szCs w:val="20"/>
                <w:lang w:val="lt-LT"/>
              </w:rPr>
              <w:t>161</w:t>
            </w:r>
            <w:r w:rsidR="002C5F90" w:rsidRPr="003C0378">
              <w:rPr>
                <w:rFonts w:cs="Times New Roman"/>
                <w:sz w:val="20"/>
                <w:szCs w:val="20"/>
                <w:lang w:val="lt-LT"/>
              </w:rPr>
              <w:t xml:space="preserve"> mln.</w:t>
            </w:r>
          </w:p>
        </w:tc>
      </w:tr>
      <w:tr w:rsidR="00231298" w:rsidRPr="003C0378" w14:paraId="6F470594" w14:textId="77777777" w:rsidTr="00B62217">
        <w:trPr>
          <w:trHeight w:val="14"/>
        </w:trPr>
        <w:tc>
          <w:tcPr>
            <w:tcW w:w="4802" w:type="dxa"/>
          </w:tcPr>
          <w:p w14:paraId="52FCCEA0" w14:textId="72EBCAA3" w:rsidR="00231298" w:rsidRPr="003C0378" w:rsidRDefault="00231298" w:rsidP="00BB4DC2">
            <w:pPr>
              <w:spacing w:after="0" w:line="276" w:lineRule="auto"/>
              <w:ind w:firstLine="0"/>
              <w:jc w:val="right"/>
              <w:rPr>
                <w:rFonts w:cs="Times New Roman"/>
                <w:b/>
                <w:sz w:val="20"/>
                <w:szCs w:val="20"/>
                <w:lang w:val="lt-LT"/>
              </w:rPr>
            </w:pPr>
            <w:r w:rsidRPr="003C0378">
              <w:rPr>
                <w:rFonts w:cs="Times New Roman"/>
                <w:b/>
                <w:sz w:val="20"/>
                <w:szCs w:val="20"/>
                <w:lang w:val="lt-LT"/>
              </w:rPr>
              <w:t>Iš viso:</w:t>
            </w:r>
          </w:p>
        </w:tc>
        <w:tc>
          <w:tcPr>
            <w:tcW w:w="4802" w:type="dxa"/>
          </w:tcPr>
          <w:p w14:paraId="478FB607" w14:textId="0F578ADC" w:rsidR="00231298" w:rsidRPr="003C0378" w:rsidRDefault="00617043" w:rsidP="00BB4DC2">
            <w:pPr>
              <w:spacing w:after="0" w:line="276" w:lineRule="auto"/>
              <w:ind w:firstLine="0"/>
              <w:jc w:val="center"/>
              <w:rPr>
                <w:rFonts w:cs="Times New Roman"/>
                <w:b/>
                <w:sz w:val="20"/>
                <w:szCs w:val="20"/>
                <w:lang w:val="lt-LT"/>
              </w:rPr>
            </w:pPr>
            <w:r w:rsidRPr="003C0378">
              <w:rPr>
                <w:rFonts w:cs="Times New Roman"/>
                <w:b/>
                <w:sz w:val="20"/>
                <w:szCs w:val="20"/>
                <w:lang w:val="lt-LT"/>
              </w:rPr>
              <w:t xml:space="preserve"> </w:t>
            </w:r>
            <w:r w:rsidR="00D92945">
              <w:rPr>
                <w:rFonts w:cs="Times New Roman"/>
                <w:b/>
                <w:sz w:val="20"/>
                <w:szCs w:val="20"/>
                <w:lang w:val="lt-LT"/>
              </w:rPr>
              <w:t xml:space="preserve">1 175,4 </w:t>
            </w:r>
            <w:r w:rsidRPr="003C0378">
              <w:rPr>
                <w:rFonts w:cs="Times New Roman"/>
                <w:b/>
                <w:sz w:val="20"/>
                <w:szCs w:val="20"/>
                <w:lang w:val="lt-LT"/>
              </w:rPr>
              <w:t>mln. Eur</w:t>
            </w:r>
          </w:p>
        </w:tc>
      </w:tr>
    </w:tbl>
    <w:p w14:paraId="60763F8C" w14:textId="77777777" w:rsidR="00231298" w:rsidRPr="003C0378" w:rsidRDefault="00231298" w:rsidP="00231298">
      <w:pPr>
        <w:keepNext/>
        <w:spacing w:after="0"/>
        <w:jc w:val="left"/>
        <w:rPr>
          <w:rFonts w:cs="Times New Roman"/>
          <w:sz w:val="20"/>
          <w:szCs w:val="20"/>
        </w:rPr>
      </w:pPr>
      <w:r w:rsidRPr="003C0378">
        <w:rPr>
          <w:rFonts w:cs="Times New Roman"/>
          <w:sz w:val="20"/>
          <w:szCs w:val="20"/>
        </w:rPr>
        <w:t>Šaltinis: sudaryta Vertintojų.</w:t>
      </w:r>
    </w:p>
    <w:p w14:paraId="2BC6D335" w14:textId="6767548F" w:rsidR="00231298" w:rsidRPr="006C0B37" w:rsidRDefault="00231298" w:rsidP="00231298">
      <w:pPr>
        <w:spacing w:line="276" w:lineRule="auto"/>
        <w:ind w:firstLine="562"/>
      </w:pPr>
      <w:bookmarkStart w:id="94" w:name="_Toc126051357"/>
      <w:r w:rsidRPr="003C0378">
        <w:t xml:space="preserve">2022 m. </w:t>
      </w:r>
      <w:bookmarkEnd w:id="94"/>
      <w:r w:rsidRPr="003C0378">
        <w:t>LR aplinkos ministro įsakymu</w:t>
      </w:r>
      <w:r w:rsidR="00907925" w:rsidRPr="003C0378">
        <w:rPr>
          <w:rStyle w:val="Puslapioinaosnuoroda"/>
        </w:rPr>
        <w:footnoteReference w:id="30"/>
      </w:r>
      <w:r w:rsidRPr="003C0378">
        <w:t xml:space="preserve"> buvo patvirtinta pažangos priemonė „Didinti klimato kaitos politikos veiksmingumą“, </w:t>
      </w:r>
      <w:r w:rsidR="005D7ED6" w:rsidRPr="003C0378">
        <w:t>kurioje 74</w:t>
      </w:r>
      <w:r w:rsidRPr="003C0378">
        <w:t xml:space="preserve"> mln. </w:t>
      </w:r>
      <w:r w:rsidRPr="00F32108">
        <w:t>2022</w:t>
      </w:r>
      <w:r w:rsidR="003C0378" w:rsidRPr="00F32108">
        <w:t>–</w:t>
      </w:r>
      <w:r w:rsidRPr="00F32108">
        <w:t xml:space="preserve">2025 m. </w:t>
      </w:r>
      <w:bookmarkStart w:id="95" w:name="_Toc126051358"/>
      <w:r w:rsidRPr="00F32108">
        <w:t xml:space="preserve">Klimato kaitos programos </w:t>
      </w:r>
      <w:bookmarkEnd w:id="95"/>
      <w:r w:rsidRPr="003C0378">
        <w:rPr>
          <w:b/>
        </w:rPr>
        <w:t xml:space="preserve">lėšų buvo skirta </w:t>
      </w:r>
      <w:r w:rsidRPr="006C0B37">
        <w:rPr>
          <w:b/>
        </w:rPr>
        <w:t xml:space="preserve">„Atsinaujinančių energijos išteklių </w:t>
      </w:r>
      <w:r w:rsidRPr="003C0378">
        <w:rPr>
          <w:b/>
        </w:rPr>
        <w:t>panaudojimo skatinimo“ veiklai</w:t>
      </w:r>
      <w:r w:rsidRPr="003C0378">
        <w:t xml:space="preserve">. Konkrečiai </w:t>
      </w:r>
      <w:r w:rsidRPr="003C0378">
        <w:rPr>
          <w:b/>
          <w:bCs/>
        </w:rPr>
        <w:t>elektros gamybai iš AEI</w:t>
      </w:r>
      <w:r w:rsidR="003C0378">
        <w:t xml:space="preserve"> </w:t>
      </w:r>
      <w:r w:rsidRPr="003C0378">
        <w:t>veiklos priemonėse skirtingoms tikslinėms grupėms buvo suplanuotos lėšos, kurių bendra suma siekia 48 mln. Eur.</w:t>
      </w:r>
      <w:r w:rsidRPr="006C0B37">
        <w:t xml:space="preserve"> </w:t>
      </w:r>
      <w:r w:rsidRPr="003C0378">
        <w:rPr>
          <w:b/>
          <w:bCs/>
        </w:rPr>
        <w:t>2023 m. pradžioje iš 48 mln. beveik 26 mln. buvo paskirti projektų finansavimui</w:t>
      </w:r>
      <w:r w:rsidRPr="003C0378">
        <w:t xml:space="preserve">, </w:t>
      </w:r>
      <w:r w:rsidRPr="003C0378">
        <w:rPr>
          <w:b/>
          <w:bCs/>
        </w:rPr>
        <w:t>tačiau dar neišmokėti</w:t>
      </w:r>
      <w:r w:rsidRPr="003C0378">
        <w:t xml:space="preserve"> – visi 3 mln. eurų</w:t>
      </w:r>
      <w:r w:rsidR="003C0378">
        <w:t xml:space="preserve"> </w:t>
      </w:r>
      <w:r w:rsidRPr="003C0378">
        <w:t>skirti priemonės „Saulės elektrinės daugiabučiams“ įgyvendinimui nebuvo panaudoti, taip pat iš 20 mln. „Saulės elektrinių įsigijimas fiziniams asmenims (nutolusios saulės elektrinės dalies įsigijimas iš vystytojo elektrinių parke)“ priemonei skirtų lėšų buvo panaudota šiek tiek daugiau kaip pusė (10 mln.</w:t>
      </w:r>
      <w:r w:rsidR="00800D95">
        <w:t xml:space="preserve"> Eur</w:t>
      </w:r>
      <w:r w:rsidRPr="003C0378">
        <w:t>). Visos (25 mln.</w:t>
      </w:r>
      <w:r w:rsidR="00800D95">
        <w:t xml:space="preserve"> Eur</w:t>
      </w:r>
      <w:r w:rsidRPr="003C0378">
        <w:t xml:space="preserve">) priemonės „Atsinaujinančių energijos išteklių (saulės, vėjo) </w:t>
      </w:r>
      <w:r w:rsidRPr="003C0378">
        <w:lastRenderedPageBreak/>
        <w:t>panaudojimas valstybės, savivaldybių, tradicinių religinių bendruomenių, religinių bendrijų ar centrų elektros energijos poreikiams“ lėšos jau yra paskirtos projektų finansavimui</w:t>
      </w:r>
      <w:r w:rsidR="00907925" w:rsidRPr="003C0378">
        <w:t xml:space="preserve">. </w:t>
      </w:r>
    </w:p>
    <w:p w14:paraId="553454B1" w14:textId="1BC72825" w:rsidR="00243B6A" w:rsidRPr="003C0378" w:rsidRDefault="00907925" w:rsidP="006C0B37">
      <w:pPr>
        <w:spacing w:before="0" w:after="160" w:line="276" w:lineRule="auto"/>
        <w:rPr>
          <w:rFonts w:cs="Times New Roman"/>
        </w:rPr>
      </w:pPr>
      <w:r w:rsidRPr="003C0378">
        <w:rPr>
          <w:rFonts w:cs="Times New Roman"/>
          <w:b/>
          <w:bCs/>
          <w:color w:val="000000"/>
          <w:shd w:val="clear" w:color="auto" w:fill="FFFFFF"/>
        </w:rPr>
        <w:t>Modernizavimo fondas</w:t>
      </w:r>
      <w:r w:rsidRPr="003C0378">
        <w:rPr>
          <w:rFonts w:cs="Times New Roman"/>
          <w:color w:val="000000"/>
          <w:shd w:val="clear" w:color="auto" w:fill="FFFFFF"/>
        </w:rPr>
        <w:t xml:space="preserve"> – tai Europos Sąjungos programa, skirta sparčiau pasiekti klimato kaitos tikslus, finansuojant energijos vartojimo efektyvumo, atsinaujinančių energijos išteklių plėtros projektus. </w:t>
      </w:r>
      <w:r w:rsidRPr="003C0378">
        <w:rPr>
          <w:rFonts w:cs="Times New Roman"/>
        </w:rPr>
        <w:t>Modernizavimo fondo lėšomis (10 mln. Eur)</w:t>
      </w:r>
      <w:r w:rsidR="001919A6" w:rsidRPr="003C0378">
        <w:rPr>
          <w:rFonts w:cs="Times New Roman"/>
        </w:rPr>
        <w:t xml:space="preserve"> šiuo metu</w:t>
      </w:r>
      <w:r w:rsidRPr="003C0378">
        <w:rPr>
          <w:rFonts w:cs="Times New Roman"/>
        </w:rPr>
        <w:t xml:space="preserve"> įgyvendinama viena priemonė nukreipta į AEI plėtrą, sie</w:t>
      </w:r>
      <w:r w:rsidR="001919A6" w:rsidRPr="003C0378">
        <w:rPr>
          <w:rFonts w:cs="Times New Roman"/>
        </w:rPr>
        <w:t>kiant skatinti elektros gamybą –</w:t>
      </w:r>
      <w:r w:rsidRPr="003C0378">
        <w:rPr>
          <w:rFonts w:cs="Times New Roman"/>
        </w:rPr>
        <w:t xml:space="preserve"> priemone</w:t>
      </w:r>
      <w:r w:rsidRPr="003F0B4C">
        <w:t xml:space="preserve"> </w:t>
      </w:r>
      <w:r w:rsidRPr="006C0B37">
        <w:rPr>
          <w:b/>
        </w:rPr>
        <w:t>„Atsinaujinančių energijos išteklių panaudojimas pramonės įmonėse, dalyvaujančiose Europos Sąjungos apyvartinių taršos leidimų prekybos sistemoje</w:t>
      </w:r>
      <w:r w:rsidRPr="003C0378">
        <w:rPr>
          <w:rFonts w:cs="Times New Roman"/>
        </w:rPr>
        <w:t xml:space="preserve">“ yra siekiama remti investicijas į </w:t>
      </w:r>
      <w:r w:rsidR="00113552">
        <w:rPr>
          <w:rFonts w:cs="Times New Roman"/>
        </w:rPr>
        <w:t>energijos</w:t>
      </w:r>
      <w:r w:rsidR="00ED534B">
        <w:rPr>
          <w:rFonts w:cs="Times New Roman"/>
        </w:rPr>
        <w:t xml:space="preserve"> </w:t>
      </w:r>
      <w:r w:rsidRPr="003C0378">
        <w:rPr>
          <w:rFonts w:cs="Times New Roman"/>
        </w:rPr>
        <w:t xml:space="preserve">gamybą </w:t>
      </w:r>
      <w:r w:rsidR="001939D1">
        <w:rPr>
          <w:rFonts w:cs="Times New Roman"/>
        </w:rPr>
        <w:t>iš AEI</w:t>
      </w:r>
      <w:r w:rsidRPr="003C0378">
        <w:rPr>
          <w:rFonts w:cs="Times New Roman"/>
        </w:rPr>
        <w:t xml:space="preserve"> ir </w:t>
      </w:r>
      <w:r w:rsidR="001939D1" w:rsidRPr="003C0378">
        <w:rPr>
          <w:rFonts w:cs="Times New Roman"/>
        </w:rPr>
        <w:t>AEI</w:t>
      </w:r>
      <w:r w:rsidRPr="003C0378">
        <w:rPr>
          <w:rFonts w:cs="Times New Roman"/>
        </w:rPr>
        <w:t xml:space="preserve"> naudojimą, įskaitant investicijas į materialųjį turtą (įrenginius ir technologijas), kurį įdiegus mažėja jų veikloje susidarančių šiltnamio efektą sukeliančių dujų emisijos ir užtikrinamas tęstinis aplinkos apsaugos efektas. Priemonės projektų vykdytojams parama yra teikiama negrąžinamosios dotacijos forma. Šiuo metu nėra finansuotų projektų iš šiai priemonei skirtų lėšų, tačiau yra vertinamos paraiškos, kurių bendra vertė siekia daugiau nei 13 mln. eurų.</w:t>
      </w:r>
      <w:r w:rsidR="00243B6A" w:rsidRPr="003C0378">
        <w:rPr>
          <w:rFonts w:cs="Times New Roman"/>
        </w:rPr>
        <w:t xml:space="preserve"> Dar viena </w:t>
      </w:r>
      <w:r w:rsidR="006507E7">
        <w:rPr>
          <w:rFonts w:cs="Times New Roman"/>
        </w:rPr>
        <w:t>patvirtinta</w:t>
      </w:r>
      <w:r w:rsidR="00243B6A" w:rsidRPr="003C0378">
        <w:rPr>
          <w:rFonts w:cs="Times New Roman"/>
        </w:rPr>
        <w:t xml:space="preserve"> priemonė „</w:t>
      </w:r>
      <w:r w:rsidR="00243B6A" w:rsidRPr="003C0378">
        <w:rPr>
          <w:rFonts w:cs="Times New Roman"/>
          <w:bCs/>
        </w:rPr>
        <w:t xml:space="preserve">Centrinės valdžios </w:t>
      </w:r>
      <w:r w:rsidR="00243B6A" w:rsidRPr="00CE6878">
        <w:rPr>
          <w:rFonts w:cs="Times New Roman"/>
          <w:bCs/>
        </w:rPr>
        <w:t>viešųjų pastatų</w:t>
      </w:r>
      <w:r w:rsidR="00243B6A" w:rsidRPr="003C0378">
        <w:rPr>
          <w:rFonts w:cs="Times New Roman"/>
          <w:bCs/>
        </w:rPr>
        <w:t xml:space="preserve"> atnaujinimas didinant energetinį efektyvumą“</w:t>
      </w:r>
      <w:r w:rsidR="006507E7">
        <w:rPr>
          <w:rFonts w:cs="Times New Roman"/>
          <w:bCs/>
        </w:rPr>
        <w:t>,</w:t>
      </w:r>
      <w:r w:rsidR="00243B6A" w:rsidRPr="003C0378">
        <w:rPr>
          <w:rFonts w:cs="Times New Roman"/>
          <w:bCs/>
        </w:rPr>
        <w:t xml:space="preserve"> </w:t>
      </w:r>
      <w:r w:rsidR="00A271E2">
        <w:rPr>
          <w:rFonts w:cs="Times New Roman"/>
          <w:bCs/>
        </w:rPr>
        <w:t xml:space="preserve">pagal kurią </w:t>
      </w:r>
      <w:r w:rsidR="006507E7">
        <w:rPr>
          <w:rFonts w:cs="Times New Roman"/>
          <w:bCs/>
        </w:rPr>
        <w:t>kvietimas</w:t>
      </w:r>
      <w:r w:rsidR="00243B6A" w:rsidRPr="003C0378">
        <w:rPr>
          <w:rFonts w:cs="Times New Roman"/>
          <w:bCs/>
        </w:rPr>
        <w:t xml:space="preserve"> buvo pa</w:t>
      </w:r>
      <w:r w:rsidR="006507E7">
        <w:rPr>
          <w:rFonts w:cs="Times New Roman"/>
          <w:bCs/>
        </w:rPr>
        <w:t>skelbtas 2022 m. gruodžio mėn</w:t>
      </w:r>
      <w:r w:rsidR="00243B6A" w:rsidRPr="003C0378">
        <w:rPr>
          <w:rFonts w:cs="Times New Roman"/>
          <w:bCs/>
        </w:rPr>
        <w:t xml:space="preserve">. </w:t>
      </w:r>
      <w:r w:rsidR="006507E7">
        <w:rPr>
          <w:rFonts w:cs="Times New Roman"/>
          <w:bCs/>
        </w:rPr>
        <w:t>Pagal šią priemonę</w:t>
      </w:r>
      <w:r w:rsidR="00243B6A" w:rsidRPr="003C0378">
        <w:rPr>
          <w:rFonts w:cs="Times New Roman"/>
          <w:bCs/>
        </w:rPr>
        <w:t xml:space="preserve"> teikiamas 40 mln. finansavimas centrin</w:t>
      </w:r>
      <w:r w:rsidR="006D009F">
        <w:rPr>
          <w:rFonts w:cs="Times New Roman"/>
          <w:bCs/>
        </w:rPr>
        <w:t>ės</w:t>
      </w:r>
      <w:r w:rsidR="00243B6A" w:rsidRPr="003C0378">
        <w:rPr>
          <w:rFonts w:cs="Times New Roman"/>
          <w:bCs/>
        </w:rPr>
        <w:t xml:space="preserve"> valdžios </w:t>
      </w:r>
      <w:r w:rsidR="00243B6A" w:rsidRPr="00CE6878">
        <w:rPr>
          <w:rFonts w:cs="Times New Roman"/>
          <w:bCs/>
        </w:rPr>
        <w:t>viešųjų pastatų</w:t>
      </w:r>
      <w:r w:rsidR="00243B6A" w:rsidRPr="003C0378">
        <w:rPr>
          <w:rFonts w:cs="Times New Roman"/>
          <w:bCs/>
        </w:rPr>
        <w:t xml:space="preserve"> </w:t>
      </w:r>
      <w:r w:rsidR="006D009F">
        <w:rPr>
          <w:rFonts w:cs="Times New Roman"/>
          <w:bCs/>
        </w:rPr>
        <w:t>atnaujinim</w:t>
      </w:r>
      <w:r w:rsidR="00EA5186">
        <w:rPr>
          <w:rFonts w:cs="Times New Roman"/>
          <w:bCs/>
        </w:rPr>
        <w:t>o projektams.</w:t>
      </w:r>
      <w:r w:rsidR="00243B6A" w:rsidRPr="003C0378">
        <w:rPr>
          <w:rFonts w:cs="Times New Roman"/>
          <w:bCs/>
        </w:rPr>
        <w:t xml:space="preserve"> Pagal finansavimo sąlygų aprašą, dalis dotacijos lėšų gali būti naudojam</w:t>
      </w:r>
      <w:r w:rsidR="00FD6FC1">
        <w:rPr>
          <w:rFonts w:cs="Times New Roman"/>
          <w:bCs/>
        </w:rPr>
        <w:t>a</w:t>
      </w:r>
      <w:r w:rsidR="00243B6A" w:rsidRPr="003C0378">
        <w:rPr>
          <w:rFonts w:cs="Times New Roman"/>
          <w:bCs/>
        </w:rPr>
        <w:t xml:space="preserve"> elektros gamybos iš AEI </w:t>
      </w:r>
      <w:r w:rsidR="00642903" w:rsidRPr="003C0378">
        <w:rPr>
          <w:rFonts w:cs="Times New Roman"/>
          <w:bCs/>
        </w:rPr>
        <w:t xml:space="preserve">pajėgumų </w:t>
      </w:r>
      <w:r w:rsidR="00EA5186">
        <w:rPr>
          <w:rFonts w:cs="Times New Roman"/>
          <w:bCs/>
        </w:rPr>
        <w:t>įrengimui</w:t>
      </w:r>
      <w:r w:rsidR="00243B6A" w:rsidRPr="003C0378">
        <w:rPr>
          <w:rFonts w:cs="Times New Roman"/>
          <w:bCs/>
        </w:rPr>
        <w:t>. Tad nors ir ne visos priemonės lėšos atiteks AEI plėtrai, šios priemonės lėšos taip pat buvo priskirtos prie prieinamų finansavimo šaltinių</w:t>
      </w:r>
      <w:r w:rsidR="00243B6A" w:rsidRPr="006C0B37">
        <w:t>.</w:t>
      </w:r>
    </w:p>
    <w:p w14:paraId="28B6BEF0" w14:textId="49242E14" w:rsidR="001919A6" w:rsidRPr="003C0378" w:rsidRDefault="001919A6" w:rsidP="001919A6">
      <w:pPr>
        <w:spacing w:before="0" w:after="160" w:line="276" w:lineRule="auto"/>
        <w:rPr>
          <w:rFonts w:eastAsia="Times New Roman" w:cs="Times New Roman"/>
          <w:bCs/>
        </w:rPr>
      </w:pPr>
      <w:r w:rsidRPr="003C0378">
        <w:rPr>
          <w:rFonts w:cs="Times New Roman"/>
          <w:b/>
          <w:bCs/>
        </w:rPr>
        <w:t xml:space="preserve">2021–2027 metų Europos Sąjungos fondų investicijų programos Teisingos pertvarkos fondo </w:t>
      </w:r>
      <w:r w:rsidRPr="003C0378">
        <w:rPr>
          <w:rFonts w:cs="Times New Roman"/>
        </w:rPr>
        <w:t>lėšomis (42,01 mln</w:t>
      </w:r>
      <w:r w:rsidR="00180AAD" w:rsidRPr="003C0378">
        <w:rPr>
          <w:rFonts w:cs="Times New Roman"/>
        </w:rPr>
        <w:t>. Eur) yra remiama</w:t>
      </w:r>
      <w:r w:rsidRPr="003C0378">
        <w:rPr>
          <w:rFonts w:cs="Times New Roman"/>
        </w:rPr>
        <w:t xml:space="preserve"> pažangos priemonės Nr. 05</w:t>
      </w:r>
      <w:r w:rsidR="003C0378">
        <w:rPr>
          <w:rFonts w:cs="Times New Roman"/>
        </w:rPr>
        <w:t>–</w:t>
      </w:r>
      <w:r w:rsidRPr="003C0378">
        <w:rPr>
          <w:rFonts w:cs="Times New Roman"/>
        </w:rPr>
        <w:t>001</w:t>
      </w:r>
      <w:r w:rsidR="003C0378">
        <w:rPr>
          <w:rFonts w:cs="Times New Roman"/>
        </w:rPr>
        <w:t>–</w:t>
      </w:r>
      <w:r w:rsidRPr="003C0378">
        <w:rPr>
          <w:rFonts w:cs="Times New Roman"/>
        </w:rPr>
        <w:t>01</w:t>
      </w:r>
      <w:r w:rsidR="003C0378">
        <w:rPr>
          <w:rFonts w:cs="Times New Roman"/>
        </w:rPr>
        <w:t>–</w:t>
      </w:r>
      <w:r w:rsidRPr="003C0378">
        <w:rPr>
          <w:rFonts w:cs="Times New Roman"/>
        </w:rPr>
        <w:t>04</w:t>
      </w:r>
      <w:r w:rsidR="003C0378">
        <w:rPr>
          <w:rFonts w:cs="Times New Roman"/>
        </w:rPr>
        <w:t>–</w:t>
      </w:r>
      <w:r w:rsidRPr="003C0378">
        <w:rPr>
          <w:rFonts w:cs="Times New Roman"/>
        </w:rPr>
        <w:t>02 „Skatinti įmones pereiti link neutralios klimatui ekonomikos“ veikla „</w:t>
      </w:r>
      <w:r w:rsidRPr="003C0378">
        <w:rPr>
          <w:rFonts w:cs="Times New Roman"/>
          <w:b/>
        </w:rPr>
        <w:t>10.</w:t>
      </w:r>
      <w:r w:rsidRPr="003C0378">
        <w:rPr>
          <w:rFonts w:cs="Times New Roman"/>
        </w:rPr>
        <w:t xml:space="preserve"> </w:t>
      </w:r>
      <w:r w:rsidRPr="003C0378">
        <w:rPr>
          <w:rFonts w:cs="Times New Roman"/>
          <w:b/>
          <w:bCs/>
        </w:rPr>
        <w:t>Alternatyvaus kuro diegimas pramonės įmonėse Kauno, Šiaulių ir Telšių regionuose“.</w:t>
      </w:r>
      <w:r w:rsidRPr="003C0378">
        <w:rPr>
          <w:rFonts w:cs="Times New Roman"/>
        </w:rPr>
        <w:t xml:space="preserve"> Dalis šios priemonės veiklų yra nukreiptos į gamybos procese naudojanči</w:t>
      </w:r>
      <w:r w:rsidR="004D6B1E">
        <w:rPr>
          <w:rFonts w:cs="Times New Roman"/>
        </w:rPr>
        <w:t>ų</w:t>
      </w:r>
      <w:r w:rsidRPr="003C0378">
        <w:rPr>
          <w:rFonts w:cs="Times New Roman"/>
        </w:rPr>
        <w:t xml:space="preserve"> iškastinį kurą</w:t>
      </w:r>
      <w:r w:rsidR="00F40B48">
        <w:rPr>
          <w:rFonts w:cs="Times New Roman"/>
        </w:rPr>
        <w:t xml:space="preserve"> įrenginių</w:t>
      </w:r>
      <w:r w:rsidR="003C0378">
        <w:rPr>
          <w:rFonts w:cs="Times New Roman"/>
        </w:rPr>
        <w:t xml:space="preserve"> </w:t>
      </w:r>
      <w:r w:rsidRPr="003C0378">
        <w:rPr>
          <w:rFonts w:cs="Times New Roman"/>
        </w:rPr>
        <w:t>keitim</w:t>
      </w:r>
      <w:r w:rsidR="00F40B48">
        <w:rPr>
          <w:rFonts w:cs="Times New Roman"/>
        </w:rPr>
        <w:t>ą</w:t>
      </w:r>
      <w:r w:rsidRPr="003C0378">
        <w:rPr>
          <w:rFonts w:cs="Times New Roman"/>
        </w:rPr>
        <w:t xml:space="preserve"> atsinaujinančius energijos išteklius naudojančia įranga ir (ar) įrangą, varoma elektra ir pan.</w:t>
      </w:r>
      <w:r w:rsidRPr="003C0378">
        <w:rPr>
          <w:rFonts w:eastAsia="Times New Roman" w:cs="Times New Roman"/>
          <w:bCs/>
        </w:rPr>
        <w:t xml:space="preserve">, Europos Sąjungos apyvartinių taršos leidimų sistemoje (toliau – ES ATLPS) nedalyvaujančiose pramonės įmonėse, veikiančiose Kauno, Šiaulių ir Telšių regionuose. </w:t>
      </w:r>
    </w:p>
    <w:p w14:paraId="573FA8A4" w14:textId="6720C8E6" w:rsidR="00862210" w:rsidRPr="00F015E8" w:rsidRDefault="00180AAD" w:rsidP="00F015E8">
      <w:pPr>
        <w:widowControl w:val="0"/>
        <w:spacing w:line="276" w:lineRule="auto"/>
        <w:ind w:firstLine="562"/>
        <w:rPr>
          <w:bCs/>
          <w:iCs/>
          <w:lang w:bidi="lt-LT"/>
        </w:rPr>
      </w:pPr>
      <w:r w:rsidRPr="00920BAF">
        <w:rPr>
          <w:rFonts w:cs="Times New Roman"/>
          <w:b/>
          <w:bCs/>
        </w:rPr>
        <w:t xml:space="preserve">Ekonomikos gaivinimo ir atsparumo didinimo plane „Naujos kartos Lietuva“ </w:t>
      </w:r>
      <w:r w:rsidRPr="00920BAF">
        <w:rPr>
          <w:rFonts w:cs="Times New Roman"/>
        </w:rPr>
        <w:t xml:space="preserve">didelis dėmesys skiriamas Žaliosios Lietuvos transformacijos komponentui, kuris numato finansuoti saulės ir vėjo elektrinių įrengimą Lietuvoje. Investicijų pasiūla susideda iš priemonės </w:t>
      </w:r>
      <w:r w:rsidRPr="00920BAF">
        <w:rPr>
          <w:iCs/>
          <w:lang w:bidi="lt-LT"/>
        </w:rPr>
        <w:t xml:space="preserve">„Daugiau šalyje tvariai pagamintos elektros energijos“ įgyvendinimui numatytų lėšų. </w:t>
      </w:r>
      <w:r w:rsidR="00862210" w:rsidRPr="00920BAF">
        <w:rPr>
          <w:bCs/>
          <w:iCs/>
          <w:lang w:bidi="lt-LT"/>
        </w:rPr>
        <w:t>LR energetikos ministerijos pažangos priemonės Nr. 03</w:t>
      </w:r>
      <w:r w:rsidR="003C0378" w:rsidRPr="00920BAF">
        <w:rPr>
          <w:bCs/>
          <w:iCs/>
          <w:lang w:bidi="lt-LT"/>
        </w:rPr>
        <w:t>–</w:t>
      </w:r>
      <w:r w:rsidR="00862210" w:rsidRPr="00920BAF">
        <w:rPr>
          <w:bCs/>
          <w:iCs/>
          <w:lang w:bidi="lt-LT"/>
        </w:rPr>
        <w:t>001</w:t>
      </w:r>
      <w:r w:rsidR="003C0378" w:rsidRPr="00920BAF">
        <w:rPr>
          <w:bCs/>
          <w:iCs/>
          <w:lang w:bidi="lt-LT"/>
        </w:rPr>
        <w:t>–</w:t>
      </w:r>
      <w:r w:rsidR="00862210" w:rsidRPr="00920BAF">
        <w:rPr>
          <w:bCs/>
          <w:iCs/>
          <w:lang w:bidi="lt-LT"/>
        </w:rPr>
        <w:t>06</w:t>
      </w:r>
      <w:r w:rsidR="003C0378" w:rsidRPr="00920BAF">
        <w:rPr>
          <w:bCs/>
          <w:iCs/>
          <w:lang w:bidi="lt-LT"/>
        </w:rPr>
        <w:t>–</w:t>
      </w:r>
      <w:r w:rsidR="00862210" w:rsidRPr="00920BAF">
        <w:rPr>
          <w:bCs/>
          <w:iCs/>
          <w:lang w:bidi="lt-LT"/>
        </w:rPr>
        <w:t>03</w:t>
      </w:r>
      <w:r w:rsidR="003C0378" w:rsidRPr="00920BAF">
        <w:rPr>
          <w:bCs/>
          <w:iCs/>
          <w:lang w:bidi="lt-LT"/>
        </w:rPr>
        <w:t>–</w:t>
      </w:r>
      <w:r w:rsidR="00862210" w:rsidRPr="00920BAF">
        <w:rPr>
          <w:bCs/>
          <w:iCs/>
          <w:lang w:bidi="lt-LT"/>
        </w:rPr>
        <w:t>02</w:t>
      </w:r>
      <w:r w:rsidR="00862210" w:rsidRPr="00920BAF">
        <w:rPr>
          <w:bCs/>
          <w:i/>
          <w:iCs/>
          <w:lang w:bidi="lt-LT"/>
        </w:rPr>
        <w:t xml:space="preserve"> </w:t>
      </w:r>
      <w:r w:rsidR="00862210" w:rsidRPr="00920BAF">
        <w:rPr>
          <w:bCs/>
          <w:iCs/>
          <w:lang w:bidi="lt-LT"/>
        </w:rPr>
        <w:t xml:space="preserve">„Didinti atsinaujinančių energijos išteklių dalį, užtikrinant atsinaujinančių išteklių integraciją į elektros tinklus“ pagrindimo aprašu ir veiklos „4. Gamintojų </w:t>
      </w:r>
      <w:r w:rsidR="00E64A15" w:rsidRPr="00E64A15">
        <w:rPr>
          <w:bCs/>
          <w:iCs/>
          <w:lang w:bidi="lt-LT"/>
        </w:rPr>
        <w:t xml:space="preserve">ir gaminančių vartotojų </w:t>
      </w:r>
      <w:r w:rsidR="00862210" w:rsidRPr="00920BAF">
        <w:rPr>
          <w:bCs/>
          <w:iCs/>
          <w:lang w:bidi="lt-LT"/>
        </w:rPr>
        <w:t xml:space="preserve">investicijos į naujų AEI naudojančių elektros energijos gamybos pajėgumų sukūrimą“ finansinėmis projekcijos, prieinamų investicijų suma siekia </w:t>
      </w:r>
      <w:r w:rsidR="00A22661">
        <w:rPr>
          <w:bCs/>
          <w:iCs/>
          <w:lang w:bidi="lt-LT"/>
        </w:rPr>
        <w:t>96</w:t>
      </w:r>
      <w:r w:rsidR="00FD3AE5">
        <w:rPr>
          <w:bCs/>
          <w:iCs/>
          <w:lang w:bidi="lt-LT"/>
        </w:rPr>
        <w:t>,2</w:t>
      </w:r>
      <w:r w:rsidR="00B64556" w:rsidRPr="00920BAF">
        <w:rPr>
          <w:bCs/>
          <w:iCs/>
          <w:lang w:bidi="lt-LT"/>
        </w:rPr>
        <w:t xml:space="preserve"> </w:t>
      </w:r>
      <w:r w:rsidR="00862210" w:rsidRPr="00920BAF">
        <w:rPr>
          <w:bCs/>
          <w:iCs/>
          <w:lang w:bidi="lt-LT"/>
        </w:rPr>
        <w:t>mln. Eur</w:t>
      </w:r>
      <w:r w:rsidR="00B64556" w:rsidRPr="00920BAF">
        <w:rPr>
          <w:bCs/>
          <w:iCs/>
          <w:lang w:bidi="lt-LT"/>
        </w:rPr>
        <w:t>.</w:t>
      </w:r>
      <w:r w:rsidR="003B5983" w:rsidRPr="00920BAF">
        <w:rPr>
          <w:bCs/>
          <w:iCs/>
          <w:lang w:bidi="lt-LT"/>
        </w:rPr>
        <w:t xml:space="preserve"> </w:t>
      </w:r>
      <w:r w:rsidR="002C02C1" w:rsidRPr="00920BAF">
        <w:rPr>
          <w:bCs/>
          <w:iCs/>
          <w:lang w:bidi="lt-LT"/>
        </w:rPr>
        <w:t xml:space="preserve">Papildomai, remiantis EM pateikta informacija, su </w:t>
      </w:r>
      <w:r w:rsidR="00A60564" w:rsidRPr="00920BAF">
        <w:rPr>
          <w:bCs/>
          <w:iCs/>
          <w:lang w:bidi="lt-LT"/>
        </w:rPr>
        <w:t>Ekonomikos gaivinimo ir atsparumo didinimo plano „Naujos kartos Lietuva“</w:t>
      </w:r>
      <w:r w:rsidR="002C02C1" w:rsidRPr="00920BAF">
        <w:rPr>
          <w:bCs/>
          <w:iCs/>
          <w:lang w:bidi="lt-LT"/>
        </w:rPr>
        <w:t xml:space="preserve"> atnaujinimu 2023–2024 m. investicijų pasiūla išsiplėtė </w:t>
      </w:r>
      <w:r w:rsidR="00BB0E18" w:rsidRPr="00920BAF">
        <w:rPr>
          <w:bCs/>
          <w:iCs/>
          <w:lang w:bidi="lt-LT"/>
        </w:rPr>
        <w:t xml:space="preserve">papildomais </w:t>
      </w:r>
      <w:r w:rsidR="002C02C1" w:rsidRPr="00920BAF">
        <w:rPr>
          <w:bCs/>
          <w:iCs/>
          <w:lang w:bidi="lt-LT"/>
        </w:rPr>
        <w:t xml:space="preserve">549 mln. </w:t>
      </w:r>
      <w:r w:rsidR="00BB0E18" w:rsidRPr="00920BAF">
        <w:rPr>
          <w:bCs/>
          <w:iCs/>
          <w:lang w:bidi="lt-LT"/>
        </w:rPr>
        <w:t>Eur, kurie skirti</w:t>
      </w:r>
      <w:r w:rsidR="002C02C1" w:rsidRPr="00920BAF">
        <w:rPr>
          <w:bCs/>
          <w:iCs/>
          <w:lang w:bidi="lt-LT"/>
        </w:rPr>
        <w:t xml:space="preserve"> </w:t>
      </w:r>
      <w:r w:rsidR="00BB0E18" w:rsidRPr="00920BAF">
        <w:rPr>
          <w:bCs/>
          <w:iCs/>
          <w:lang w:bidi="lt-LT"/>
        </w:rPr>
        <w:t xml:space="preserve">naujai </w:t>
      </w:r>
      <w:r w:rsidR="00BB0E18" w:rsidRPr="005027CE">
        <w:rPr>
          <w:rFonts w:cs="Times New Roman"/>
          <w:bCs/>
          <w:iCs/>
          <w:sz w:val="24"/>
          <w:szCs w:val="24"/>
          <w:lang w:bidi="lt-LT"/>
        </w:rPr>
        <w:t xml:space="preserve">įgyvendinamai </w:t>
      </w:r>
      <w:r w:rsidR="002C02C1" w:rsidRPr="005027CE">
        <w:rPr>
          <w:rFonts w:cs="Times New Roman"/>
          <w:bCs/>
          <w:iCs/>
          <w:sz w:val="24"/>
          <w:szCs w:val="24"/>
          <w:lang w:bidi="lt-LT"/>
        </w:rPr>
        <w:t>priemonei „</w:t>
      </w:r>
      <w:r w:rsidR="005027CE" w:rsidRPr="005027CE">
        <w:rPr>
          <w:rStyle w:val="cf01"/>
          <w:rFonts w:ascii="Times New Roman" w:hAnsi="Times New Roman" w:cs="Times New Roman"/>
          <w:sz w:val="24"/>
          <w:szCs w:val="24"/>
        </w:rPr>
        <w:t>Privačiųjų ir juridinių asmenų investicijos į elektros energijos iš AEI gamybos įrenginius</w:t>
      </w:r>
      <w:r w:rsidR="002C02C1" w:rsidRPr="00E24002">
        <w:rPr>
          <w:rFonts w:cs="Times New Roman"/>
          <w:bCs/>
          <w:iCs/>
          <w:sz w:val="24"/>
          <w:szCs w:val="24"/>
          <w:lang w:bidi="lt-LT"/>
        </w:rPr>
        <w:t>“</w:t>
      </w:r>
      <w:r w:rsidR="009E3781" w:rsidRPr="00E24002">
        <w:rPr>
          <w:rFonts w:cs="Times New Roman"/>
          <w:bCs/>
          <w:iCs/>
          <w:sz w:val="24"/>
          <w:szCs w:val="24"/>
          <w:lang w:bidi="lt-LT"/>
        </w:rPr>
        <w:t xml:space="preserve"> </w:t>
      </w:r>
      <w:r w:rsidR="009E3781" w:rsidRPr="005027CE">
        <w:rPr>
          <w:rFonts w:cs="Times New Roman"/>
          <w:bCs/>
          <w:iCs/>
          <w:sz w:val="24"/>
          <w:szCs w:val="24"/>
          <w:lang w:bidi="lt-LT"/>
        </w:rPr>
        <w:t xml:space="preserve">(šios priemonės apimtyje papildomai </w:t>
      </w:r>
      <w:r w:rsidR="00025C21" w:rsidRPr="005027CE">
        <w:rPr>
          <w:rFonts w:cs="Times New Roman"/>
          <w:bCs/>
          <w:iCs/>
          <w:sz w:val="24"/>
          <w:szCs w:val="24"/>
          <w:lang w:bidi="lt-LT"/>
        </w:rPr>
        <w:t>22,5</w:t>
      </w:r>
      <w:r w:rsidR="00811959" w:rsidRPr="005027CE">
        <w:rPr>
          <w:rFonts w:cs="Times New Roman"/>
          <w:bCs/>
          <w:iCs/>
          <w:sz w:val="24"/>
          <w:szCs w:val="24"/>
          <w:lang w:bidi="lt-LT"/>
        </w:rPr>
        <w:t>6</w:t>
      </w:r>
      <w:r w:rsidR="00025C21" w:rsidRPr="005027CE">
        <w:rPr>
          <w:rFonts w:cs="Times New Roman"/>
          <w:bCs/>
          <w:iCs/>
          <w:sz w:val="24"/>
          <w:szCs w:val="24"/>
          <w:lang w:bidi="lt-LT"/>
        </w:rPr>
        <w:t xml:space="preserve"> mln. Eur</w:t>
      </w:r>
      <w:r w:rsidR="009D2D39" w:rsidRPr="005027CE">
        <w:rPr>
          <w:rFonts w:cs="Times New Roman"/>
          <w:bCs/>
          <w:iCs/>
          <w:sz w:val="24"/>
          <w:szCs w:val="24"/>
          <w:lang w:bidi="lt-LT"/>
        </w:rPr>
        <w:t xml:space="preserve"> valstybės biudžeto</w:t>
      </w:r>
      <w:r w:rsidR="00025C21" w:rsidRPr="005027CE">
        <w:rPr>
          <w:rFonts w:cs="Times New Roman"/>
          <w:bCs/>
          <w:iCs/>
          <w:sz w:val="24"/>
          <w:szCs w:val="24"/>
          <w:lang w:bidi="lt-LT"/>
        </w:rPr>
        <w:t xml:space="preserve"> </w:t>
      </w:r>
      <w:r w:rsidR="009D2D39" w:rsidRPr="005027CE">
        <w:rPr>
          <w:rFonts w:cs="Times New Roman"/>
          <w:bCs/>
          <w:iCs/>
          <w:sz w:val="24"/>
          <w:szCs w:val="24"/>
          <w:lang w:bidi="lt-LT"/>
        </w:rPr>
        <w:t xml:space="preserve">(toliau – </w:t>
      </w:r>
      <w:r w:rsidR="00434AF2" w:rsidRPr="005027CE">
        <w:rPr>
          <w:rFonts w:cs="Times New Roman"/>
          <w:bCs/>
          <w:iCs/>
          <w:sz w:val="24"/>
          <w:szCs w:val="24"/>
          <w:lang w:bidi="lt-LT"/>
        </w:rPr>
        <w:t>VB</w:t>
      </w:r>
      <w:r w:rsidR="009D2D39" w:rsidRPr="005027CE">
        <w:rPr>
          <w:rFonts w:cs="Times New Roman"/>
          <w:bCs/>
          <w:iCs/>
          <w:sz w:val="24"/>
          <w:szCs w:val="24"/>
          <w:lang w:bidi="lt-LT"/>
        </w:rPr>
        <w:t>)</w:t>
      </w:r>
      <w:r w:rsidR="00434AF2" w:rsidRPr="005027CE">
        <w:rPr>
          <w:rFonts w:cs="Times New Roman"/>
          <w:bCs/>
          <w:iCs/>
          <w:sz w:val="24"/>
          <w:szCs w:val="24"/>
          <w:lang w:bidi="lt-LT"/>
        </w:rPr>
        <w:t xml:space="preserve"> lėšų </w:t>
      </w:r>
      <w:r w:rsidR="00666CC0" w:rsidRPr="005027CE">
        <w:rPr>
          <w:rFonts w:cs="Times New Roman"/>
          <w:bCs/>
          <w:iCs/>
          <w:sz w:val="24"/>
          <w:szCs w:val="24"/>
          <w:lang w:bidi="lt-LT"/>
        </w:rPr>
        <w:t>numatyta netinkamam</w:t>
      </w:r>
      <w:r w:rsidR="00666CC0">
        <w:rPr>
          <w:bCs/>
          <w:iCs/>
          <w:lang w:bidi="lt-LT"/>
        </w:rPr>
        <w:t xml:space="preserve"> pridėtinės vertės mokesčiui</w:t>
      </w:r>
      <w:r w:rsidR="00666CC0" w:rsidRPr="00666CC0">
        <w:rPr>
          <w:bCs/>
          <w:iCs/>
          <w:lang w:bidi="lt-LT"/>
        </w:rPr>
        <w:t xml:space="preserve"> apmokėti</w:t>
      </w:r>
      <w:r w:rsidR="009E3781">
        <w:rPr>
          <w:bCs/>
          <w:iCs/>
          <w:lang w:bidi="lt-LT"/>
        </w:rPr>
        <w:t>)</w:t>
      </w:r>
      <w:r w:rsidR="00BB0E18" w:rsidRPr="00920BAF">
        <w:rPr>
          <w:bCs/>
          <w:iCs/>
          <w:lang w:bidi="lt-LT"/>
        </w:rPr>
        <w:t>.</w:t>
      </w:r>
      <w:r w:rsidR="000100AC" w:rsidRPr="000100AC">
        <w:rPr>
          <w:bCs/>
          <w:iCs/>
          <w:lang w:bidi="lt-LT"/>
        </w:rPr>
        <w:t xml:space="preserve"> </w:t>
      </w:r>
      <w:r w:rsidR="000100AC">
        <w:rPr>
          <w:bCs/>
          <w:iCs/>
          <w:lang w:bidi="lt-LT"/>
        </w:rPr>
        <w:t>Taip pat</w:t>
      </w:r>
      <w:r w:rsidR="00EB0F0A">
        <w:rPr>
          <w:bCs/>
          <w:iCs/>
          <w:lang w:bidi="lt-LT"/>
        </w:rPr>
        <w:t>,</w:t>
      </w:r>
      <w:r w:rsidR="000100AC">
        <w:rPr>
          <w:bCs/>
          <w:iCs/>
          <w:lang w:bidi="lt-LT"/>
        </w:rPr>
        <w:t xml:space="preserve"> pagal minėtos LR energetikos ministerijos pažangos priemonės 10 veiklą „Atsinaujinančių </w:t>
      </w:r>
      <w:r w:rsidR="000100AC" w:rsidRPr="00E92E26">
        <w:rPr>
          <w:bCs/>
          <w:iCs/>
          <w:lang w:bidi="lt-LT"/>
        </w:rPr>
        <w:t>išteklių energijos bendrijų ir piliečių energetikos bendrijų, siekiančių mažinti energetinį nepriteklių, investicijos į elektros energijos iš AEI gamybos įrenginius</w:t>
      </w:r>
      <w:r w:rsidR="000100AC">
        <w:rPr>
          <w:bCs/>
          <w:iCs/>
          <w:lang w:bidi="lt-LT"/>
        </w:rPr>
        <w:t>“</w:t>
      </w:r>
      <w:r w:rsidR="000100AC" w:rsidRPr="00442908">
        <w:t xml:space="preserve"> </w:t>
      </w:r>
      <w:r w:rsidR="000100AC">
        <w:t xml:space="preserve">įgyvendinamai </w:t>
      </w:r>
      <w:r w:rsidR="000100AC" w:rsidRPr="00442908">
        <w:rPr>
          <w:bCs/>
          <w:iCs/>
          <w:lang w:bidi="lt-LT"/>
        </w:rPr>
        <w:t>skatinamajai finansinei priemonei „Paskolos energetikos bendrijoms“</w:t>
      </w:r>
      <w:r w:rsidR="000100AC">
        <w:rPr>
          <w:bCs/>
          <w:iCs/>
          <w:lang w:bidi="lt-LT"/>
        </w:rPr>
        <w:t xml:space="preserve"> skirta 206,64 mln. Eur VB lėšų.</w:t>
      </w:r>
    </w:p>
    <w:p w14:paraId="7F3EA375" w14:textId="52EBFE79" w:rsidR="005D7ED6" w:rsidRPr="003C0378" w:rsidRDefault="001E67C2" w:rsidP="00F015E8">
      <w:pPr>
        <w:widowControl w:val="0"/>
        <w:spacing w:line="276" w:lineRule="auto"/>
        <w:ind w:firstLine="852"/>
        <w:rPr>
          <w:bCs/>
          <w:iCs/>
          <w:lang w:bidi="lt-LT"/>
        </w:rPr>
      </w:pPr>
      <w:r w:rsidRPr="006C0B37">
        <w:rPr>
          <w:b/>
        </w:rPr>
        <w:t xml:space="preserve">2021–2027 m. </w:t>
      </w:r>
      <w:r w:rsidRPr="003C0378">
        <w:rPr>
          <w:rFonts w:cs="Times New Roman"/>
          <w:b/>
        </w:rPr>
        <w:t xml:space="preserve">ES fondų investicijų programoje </w:t>
      </w:r>
      <w:r w:rsidRPr="003C0378">
        <w:rPr>
          <w:rFonts w:cs="Times New Roman"/>
        </w:rPr>
        <w:t>(toliau – 2021–2027 IP) į elektros gamybos iš</w:t>
      </w:r>
      <w:bookmarkStart w:id="96" w:name="_Hlk125748141"/>
      <w:r w:rsidRPr="00F015E8">
        <w:rPr>
          <w:b/>
          <w:sz w:val="20"/>
        </w:rPr>
        <w:t xml:space="preserve"> </w:t>
      </w:r>
      <w:r w:rsidRPr="003C0378">
        <w:rPr>
          <w:rFonts w:cs="Times New Roman"/>
        </w:rPr>
        <w:t>AEI plėtrą yra nukreiptas 2–o prioriteto „Žalesnė Lietuva“ 2.2 uždavin</w:t>
      </w:r>
      <w:r w:rsidR="0005424F">
        <w:rPr>
          <w:rFonts w:cs="Times New Roman"/>
        </w:rPr>
        <w:t>ys</w:t>
      </w:r>
      <w:r w:rsidRPr="003C0378">
        <w:rPr>
          <w:rFonts w:cs="Times New Roman"/>
        </w:rPr>
        <w:t xml:space="preserve"> „</w:t>
      </w:r>
      <w:r w:rsidRPr="003C0378">
        <w:rPr>
          <w:rFonts w:cs="Times New Roman"/>
          <w:iCs/>
          <w:lang w:bidi="lt-LT"/>
        </w:rPr>
        <w:t xml:space="preserve">Skatinti atsinaujinančiąją energiją pagal Direktyvą (ES) 2018/2001, įskaitant joje nustatytus tvarumo kriterijus“. </w:t>
      </w:r>
      <w:r w:rsidRPr="003C0378">
        <w:rPr>
          <w:b/>
          <w:bCs/>
          <w:iCs/>
          <w:lang w:bidi="lt-LT"/>
        </w:rPr>
        <w:t xml:space="preserve">Remiantis </w:t>
      </w:r>
      <w:r w:rsidR="0005424F">
        <w:rPr>
          <w:b/>
          <w:bCs/>
          <w:iCs/>
          <w:lang w:bidi="lt-LT"/>
        </w:rPr>
        <w:t xml:space="preserve">po </w:t>
      </w:r>
      <w:r w:rsidRPr="003C0378">
        <w:rPr>
          <w:b/>
          <w:bCs/>
          <w:iCs/>
          <w:lang w:bidi="lt-LT"/>
        </w:rPr>
        <w:t>ši</w:t>
      </w:r>
      <w:r w:rsidR="0005424F">
        <w:rPr>
          <w:b/>
          <w:bCs/>
          <w:iCs/>
          <w:lang w:bidi="lt-LT"/>
        </w:rPr>
        <w:t>u</w:t>
      </w:r>
      <w:r w:rsidRPr="003C0378">
        <w:rPr>
          <w:b/>
          <w:bCs/>
          <w:iCs/>
          <w:lang w:bidi="lt-LT"/>
        </w:rPr>
        <w:t>o uždavini</w:t>
      </w:r>
      <w:r w:rsidR="0005424F">
        <w:rPr>
          <w:b/>
          <w:bCs/>
          <w:iCs/>
          <w:lang w:bidi="lt-LT"/>
        </w:rPr>
        <w:t>u</w:t>
      </w:r>
      <w:r w:rsidRPr="003C0378">
        <w:rPr>
          <w:b/>
          <w:bCs/>
          <w:iCs/>
          <w:lang w:bidi="lt-LT"/>
        </w:rPr>
        <w:t xml:space="preserve"> suplanuotomis veiklomis ir</w:t>
      </w:r>
      <w:r w:rsidR="005D7ED6" w:rsidRPr="003C0378">
        <w:rPr>
          <w:b/>
          <w:bCs/>
          <w:iCs/>
          <w:lang w:bidi="lt-LT"/>
        </w:rPr>
        <w:t xml:space="preserve"> LR energetikos ministerijos pažangos priemonės </w:t>
      </w:r>
      <w:r w:rsidR="005D7ED6" w:rsidRPr="00F015E8">
        <w:t>Nr. 03</w:t>
      </w:r>
      <w:r w:rsidR="003C0378" w:rsidRPr="00F015E8">
        <w:t>–</w:t>
      </w:r>
      <w:r w:rsidR="005D7ED6" w:rsidRPr="00F015E8">
        <w:t>001</w:t>
      </w:r>
      <w:r w:rsidR="003C0378" w:rsidRPr="00F015E8">
        <w:t>–</w:t>
      </w:r>
      <w:r w:rsidR="005D7ED6" w:rsidRPr="00F015E8">
        <w:t>06</w:t>
      </w:r>
      <w:r w:rsidR="003C0378" w:rsidRPr="00F015E8">
        <w:t>–</w:t>
      </w:r>
      <w:r w:rsidR="005D7ED6" w:rsidRPr="00F015E8">
        <w:t>03</w:t>
      </w:r>
      <w:r w:rsidR="003C0378" w:rsidRPr="00F015E8">
        <w:t>–</w:t>
      </w:r>
      <w:r w:rsidR="005D7ED6" w:rsidRPr="00F015E8">
        <w:t>02</w:t>
      </w:r>
      <w:r w:rsidR="005D7ED6" w:rsidRPr="00F015E8">
        <w:rPr>
          <w:i/>
        </w:rPr>
        <w:t xml:space="preserve"> </w:t>
      </w:r>
      <w:r w:rsidR="005D7ED6" w:rsidRPr="00F015E8">
        <w:t xml:space="preserve">„Didinti atsinaujinančių energijos išteklių dalį, užtikrinant atsinaujinančių išteklių integraciją į elektros </w:t>
      </w:r>
      <w:r w:rsidR="005D7ED6" w:rsidRPr="00F015E8">
        <w:lastRenderedPageBreak/>
        <w:t>tinklus“ pagrindimo aprašu</w:t>
      </w:r>
      <w:r w:rsidR="00CB03DE" w:rsidRPr="00090AE1">
        <w:rPr>
          <w:iCs/>
          <w:lang w:bidi="lt-LT"/>
        </w:rPr>
        <w:t xml:space="preserve"> ir veiklos</w:t>
      </w:r>
      <w:r w:rsidR="00CB03DE">
        <w:rPr>
          <w:b/>
          <w:bCs/>
          <w:iCs/>
          <w:lang w:bidi="lt-LT"/>
        </w:rPr>
        <w:t xml:space="preserve"> </w:t>
      </w:r>
      <w:r w:rsidR="00CB03DE" w:rsidRPr="00090AE1">
        <w:rPr>
          <w:iCs/>
          <w:lang w:bidi="lt-LT"/>
        </w:rPr>
        <w:t>„3. Gaminančių vartotojų investicijos į naujų AEI naudojančių elektros energijos gamybos pajėgumų sukūrimą“</w:t>
      </w:r>
      <w:r w:rsidR="00CB03DE">
        <w:rPr>
          <w:iCs/>
          <w:lang w:bidi="lt-LT"/>
        </w:rPr>
        <w:t xml:space="preserve"> finansinėmis projekcijomis</w:t>
      </w:r>
      <w:r w:rsidR="005D7ED6" w:rsidRPr="006C0B37">
        <w:t xml:space="preserve">, į AEI plėtrą </w:t>
      </w:r>
      <w:r w:rsidR="00B1147B">
        <w:rPr>
          <w:bCs/>
          <w:iCs/>
          <w:lang w:bidi="lt-LT"/>
        </w:rPr>
        <w:t>numatyta</w:t>
      </w:r>
      <w:r w:rsidR="005D7ED6" w:rsidRPr="00F015E8">
        <w:t xml:space="preserve"> </w:t>
      </w:r>
      <w:r w:rsidR="0005424F" w:rsidRPr="00C9652A">
        <w:rPr>
          <w:iCs/>
          <w:lang w:bidi="lt-LT"/>
        </w:rPr>
        <w:t xml:space="preserve">investuoti </w:t>
      </w:r>
      <w:r w:rsidR="00862210" w:rsidRPr="00C9652A">
        <w:rPr>
          <w:iCs/>
          <w:lang w:bidi="lt-LT"/>
        </w:rPr>
        <w:t>638</w:t>
      </w:r>
      <w:r w:rsidR="00862210" w:rsidRPr="003C0378">
        <w:rPr>
          <w:bCs/>
          <w:iCs/>
          <w:lang w:bidi="lt-LT"/>
        </w:rPr>
        <w:t>,78</w:t>
      </w:r>
      <w:r w:rsidR="00862210" w:rsidRPr="006C0B37">
        <w:t xml:space="preserve"> mln. Eu</w:t>
      </w:r>
      <w:r w:rsidR="00B64556">
        <w:rPr>
          <w:bCs/>
          <w:iCs/>
          <w:lang w:bidi="lt-LT"/>
        </w:rPr>
        <w:t xml:space="preserve">r dotacijų forma. </w:t>
      </w:r>
    </w:p>
    <w:p w14:paraId="01920B1B" w14:textId="5ACC7D96" w:rsidR="00B55C94" w:rsidRPr="003C0378" w:rsidRDefault="00321DBF" w:rsidP="00B62217">
      <w:pPr>
        <w:spacing w:line="276" w:lineRule="auto"/>
        <w:ind w:firstLine="562"/>
        <w:rPr>
          <w:rFonts w:cs="Times New Roman"/>
          <w:sz w:val="20"/>
          <w:szCs w:val="20"/>
        </w:rPr>
      </w:pPr>
      <w:r w:rsidRPr="003C0378">
        <w:t>Svarbu pastebėti, jog finansavimas elektros gamybai iš AEI galimas ir iš kitų fondų, kuriuose lėšos yra suplanuotos bendrai inovacijoms, klimato kaitos švelninimui (kaip antai,</w:t>
      </w:r>
      <w:r w:rsidRPr="003C0378">
        <w:rPr>
          <w:rFonts w:cs="Times New Roman"/>
          <w:sz w:val="18"/>
          <w:szCs w:val="18"/>
        </w:rPr>
        <w:t xml:space="preserve"> </w:t>
      </w:r>
      <w:r w:rsidRPr="003C0378">
        <w:t xml:space="preserve">LIFE integruotasis projektas „Energijos efektyvumo didinimas Lietuvoje“, </w:t>
      </w:r>
      <w:proofErr w:type="spellStart"/>
      <w:r w:rsidRPr="003C0378">
        <w:t>R</w:t>
      </w:r>
      <w:r w:rsidR="00F015E8">
        <w:t>e</w:t>
      </w:r>
      <w:r w:rsidRPr="003C0378">
        <w:t>PowerEU</w:t>
      </w:r>
      <w:proofErr w:type="spellEnd"/>
      <w:r w:rsidRPr="003C0378">
        <w:t>, Europos horizontas, Inovacijų skatinimo fondas). Vis dėlto, remiantis interviu metu surinktos medžiagos analize, dauguma minėtų fondų lėšų yra vis dar planavimo fazėje ir, atitinkamai, nėra aišku, ar minėtų fondų investicijos bus faktiškai prieinamos ir panaudotos AEI plėtrai.</w:t>
      </w:r>
    </w:p>
    <w:p w14:paraId="29D93147" w14:textId="7F196322" w:rsidR="00617043" w:rsidRPr="003C0378" w:rsidRDefault="009C4407">
      <w:pPr>
        <w:pStyle w:val="Antrat2"/>
        <w:numPr>
          <w:ilvl w:val="2"/>
          <w:numId w:val="3"/>
        </w:numPr>
      </w:pPr>
      <w:bookmarkStart w:id="97" w:name="_Toc166139830"/>
      <w:bookmarkStart w:id="98" w:name="_Toc170804592"/>
      <w:r w:rsidRPr="003C0378">
        <w:rPr>
          <w:rFonts w:cs="Times New Roman"/>
        </w:rPr>
        <w:t>Prieinamas finansų įstaigų finansavimo mastas</w:t>
      </w:r>
      <w:bookmarkEnd w:id="97"/>
      <w:bookmarkEnd w:id="98"/>
    </w:p>
    <w:p w14:paraId="1C19863B" w14:textId="38B81AE7" w:rsidR="009C4407" w:rsidRPr="003C0378" w:rsidRDefault="009C4407" w:rsidP="009C4407">
      <w:pPr>
        <w:widowControl w:val="0"/>
        <w:spacing w:line="276" w:lineRule="auto"/>
        <w:ind w:firstLine="562"/>
        <w:rPr>
          <w:rFonts w:cs="Times New Roman"/>
        </w:rPr>
      </w:pPr>
      <w:r w:rsidRPr="003C0378">
        <w:rPr>
          <w:rFonts w:cs="Times New Roman"/>
        </w:rPr>
        <w:t xml:space="preserve">Kaip anksčiau minėta, finansų įstaigų finansavimas apima tiek tarptautinių (Europos rekonstrukcijos ir plėtros bankas, Europos investicijų bankas, Šiaurės investicijų bankas, Europos Tarybos vystymo bankas ir t.t), tiek vietinių finansų įstaigų (tame tarpe ir nacionalinių plėtros įstaigų) prieinamą finansavimą gamybos </w:t>
      </w:r>
      <w:r w:rsidR="0029072F">
        <w:rPr>
          <w:rFonts w:cs="Times New Roman"/>
        </w:rPr>
        <w:t xml:space="preserve">iš </w:t>
      </w:r>
      <w:r w:rsidR="0029072F" w:rsidRPr="003C0378">
        <w:rPr>
          <w:rFonts w:cs="Times New Roman"/>
        </w:rPr>
        <w:t xml:space="preserve">AEI </w:t>
      </w:r>
      <w:r w:rsidR="0029072F">
        <w:rPr>
          <w:rFonts w:cs="Times New Roman"/>
        </w:rPr>
        <w:t xml:space="preserve">pajėgumų </w:t>
      </w:r>
      <w:r w:rsidRPr="003C0378">
        <w:rPr>
          <w:rFonts w:cs="Times New Roman"/>
        </w:rPr>
        <w:t>plėtrai. Remiantis anksčiau atliktų Energijos efektyvumo didinimo ūkio subjektams ir Atsinaujinančių energijos išteklių plėtros vertinimu, tarptautinės finansinės institucijos suteikia tiesioginį skolinimą tik itin dideliems projektams (minimaliai nuo 5 mln. EUR). Tad dėl šios priežasties yra abejotina, kad minėtos finansų instit</w:t>
      </w:r>
      <w:r w:rsidR="00061871" w:rsidRPr="003C0378">
        <w:rPr>
          <w:rFonts w:cs="Times New Roman"/>
        </w:rPr>
        <w:t>ucijos tiesiogiai prisidės prie elektros gamybos iš AEI plėtros</w:t>
      </w:r>
      <w:r w:rsidRPr="003C0378">
        <w:rPr>
          <w:rFonts w:cs="Times New Roman"/>
        </w:rPr>
        <w:t>. Atsižvelgiant į tai, toliau yra pristatoma</w:t>
      </w:r>
      <w:r w:rsidR="00D910FF">
        <w:rPr>
          <w:rFonts w:cs="Times New Roman"/>
        </w:rPr>
        <w:t>s</w:t>
      </w:r>
      <w:r w:rsidRPr="003C0378">
        <w:rPr>
          <w:rFonts w:cs="Times New Roman"/>
        </w:rPr>
        <w:t xml:space="preserve"> ir analizuojama</w:t>
      </w:r>
      <w:r w:rsidR="00D910FF">
        <w:rPr>
          <w:rFonts w:cs="Times New Roman"/>
        </w:rPr>
        <w:t>s</w:t>
      </w:r>
      <w:r w:rsidRPr="003C0378">
        <w:rPr>
          <w:rFonts w:cs="Times New Roman"/>
        </w:rPr>
        <w:t xml:space="preserve"> tik Lietuvoje veikiančių finansų įstaigų prieinamas finansavimas. </w:t>
      </w:r>
    </w:p>
    <w:p w14:paraId="5F61814A" w14:textId="2462404F" w:rsidR="009C4407" w:rsidRPr="003C0378" w:rsidRDefault="00061871" w:rsidP="00872DBB">
      <w:pPr>
        <w:spacing w:line="276" w:lineRule="auto"/>
      </w:pPr>
      <w:r w:rsidRPr="003C0378">
        <w:t>Komercinių bankų finansavimas energetikos sektoriui buvo apskaičiuotas remiantis prielaidomis dėl bendro finansų įstaigų portfelio augimo prognozių. Apačioje yra pateikiamas paskolų ne finansų įmonėms portfelio esama situacija ir prognozė 2023–2030 m. laikotarpiu.</w:t>
      </w:r>
      <w:r w:rsidR="00B62217" w:rsidRPr="003C0378">
        <w:t xml:space="preserve"> </w:t>
      </w:r>
    </w:p>
    <w:p w14:paraId="34927894" w14:textId="57FEA456" w:rsidR="00061871" w:rsidRPr="003C0378" w:rsidRDefault="00061871" w:rsidP="00061871">
      <w:pPr>
        <w:keepNext/>
        <w:ind w:firstLine="0"/>
        <w:rPr>
          <w:rFonts w:cs="Times New Roman"/>
          <w:i/>
          <w:iCs/>
        </w:rPr>
      </w:pPr>
      <w:bookmarkStart w:id="99" w:name="_Toc126051392"/>
      <w:bookmarkStart w:id="100" w:name="_Toc166139864"/>
      <w:bookmarkStart w:id="101" w:name="_Toc170804630"/>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14</w:t>
      </w:r>
      <w:r w:rsidRPr="003C0378">
        <w:rPr>
          <w:rFonts w:cs="Times New Roman"/>
          <w:i/>
          <w:iCs/>
        </w:rPr>
        <w:fldChar w:fldCharType="end"/>
      </w:r>
      <w:bookmarkEnd w:id="99"/>
      <w:r w:rsidRPr="003C0378">
        <w:rPr>
          <w:rFonts w:cs="Times New Roman"/>
          <w:i/>
          <w:iCs/>
        </w:rPr>
        <w:t>. Finansų įstaigų paskolų portfelio esama situacija ir prognozė</w:t>
      </w:r>
      <w:bookmarkEnd w:id="100"/>
      <w:bookmarkEnd w:id="101"/>
      <w:r w:rsidRPr="003C0378">
        <w:rPr>
          <w:rFonts w:cs="Times New Roman"/>
          <w:i/>
          <w:iCs/>
        </w:rPr>
        <w:t xml:space="preserve"> </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805"/>
        <w:gridCol w:w="2461"/>
        <w:gridCol w:w="1643"/>
        <w:gridCol w:w="1641"/>
      </w:tblGrid>
      <w:tr w:rsidR="00F015E8" w:rsidRPr="003C0378" w14:paraId="00AF4308" w14:textId="77777777" w:rsidTr="00E24002">
        <w:trPr>
          <w:trHeight w:val="13"/>
          <w:tblHeader/>
        </w:trPr>
        <w:tc>
          <w:tcPr>
            <w:tcW w:w="1963" w:type="dxa"/>
            <w:shd w:val="clear" w:color="auto" w:fill="auto"/>
            <w:noWrap/>
            <w:vAlign w:val="center"/>
            <w:hideMark/>
          </w:tcPr>
          <w:bookmarkEnd w:id="96"/>
          <w:p w14:paraId="22FE3040" w14:textId="77777777" w:rsidR="00F015E8" w:rsidRPr="003C0378" w:rsidRDefault="00F015E8" w:rsidP="00CC1409">
            <w:pPr>
              <w:spacing w:after="0"/>
              <w:ind w:firstLine="0"/>
              <w:jc w:val="center"/>
              <w:rPr>
                <w:rFonts w:eastAsia="Times New Roman" w:cs="Times New Roman"/>
                <w:b/>
                <w:sz w:val="20"/>
                <w:szCs w:val="20"/>
                <w:lang w:eastAsia="lt-LT"/>
              </w:rPr>
            </w:pPr>
            <w:r w:rsidRPr="003C0378">
              <w:rPr>
                <w:rFonts w:eastAsia="Times New Roman" w:cs="Times New Roman"/>
                <w:b/>
                <w:sz w:val="20"/>
                <w:szCs w:val="20"/>
                <w:lang w:eastAsia="lt-LT"/>
              </w:rPr>
              <w:t>Analizės objektas</w:t>
            </w:r>
          </w:p>
        </w:tc>
        <w:tc>
          <w:tcPr>
            <w:tcW w:w="1805" w:type="dxa"/>
            <w:shd w:val="clear" w:color="auto" w:fill="auto"/>
            <w:noWrap/>
            <w:vAlign w:val="center"/>
            <w:hideMark/>
          </w:tcPr>
          <w:p w14:paraId="0C8DDD59" w14:textId="77777777" w:rsidR="00F015E8" w:rsidRPr="003C0378" w:rsidRDefault="00F015E8" w:rsidP="00CC1409">
            <w:pPr>
              <w:spacing w:after="0"/>
              <w:ind w:firstLine="0"/>
              <w:jc w:val="center"/>
              <w:rPr>
                <w:rFonts w:eastAsia="Times New Roman" w:cs="Times New Roman"/>
                <w:b/>
                <w:color w:val="000000"/>
                <w:sz w:val="20"/>
                <w:szCs w:val="20"/>
                <w:lang w:eastAsia="lt-LT"/>
              </w:rPr>
            </w:pPr>
            <w:r w:rsidRPr="003C0378">
              <w:rPr>
                <w:rFonts w:eastAsia="Times New Roman" w:cs="Times New Roman"/>
                <w:b/>
                <w:color w:val="000000"/>
                <w:sz w:val="20"/>
                <w:szCs w:val="20"/>
                <w:lang w:eastAsia="lt-LT"/>
              </w:rPr>
              <w:t>Metai</w:t>
            </w:r>
          </w:p>
        </w:tc>
        <w:tc>
          <w:tcPr>
            <w:tcW w:w="2461" w:type="dxa"/>
            <w:shd w:val="clear" w:color="auto" w:fill="auto"/>
            <w:vAlign w:val="center"/>
            <w:hideMark/>
          </w:tcPr>
          <w:p w14:paraId="3971477F" w14:textId="77777777" w:rsidR="00F015E8" w:rsidRPr="003C0378" w:rsidRDefault="00F015E8" w:rsidP="00CC1409">
            <w:pPr>
              <w:spacing w:after="0"/>
              <w:ind w:firstLine="0"/>
              <w:jc w:val="center"/>
              <w:rPr>
                <w:rFonts w:eastAsia="Times New Roman" w:cs="Times New Roman"/>
                <w:b/>
                <w:color w:val="000000"/>
                <w:sz w:val="20"/>
                <w:szCs w:val="20"/>
                <w:lang w:eastAsia="lt-LT"/>
              </w:rPr>
            </w:pPr>
            <w:r w:rsidRPr="003C0378">
              <w:rPr>
                <w:rFonts w:eastAsia="Times New Roman" w:cs="Times New Roman"/>
                <w:b/>
                <w:color w:val="000000"/>
                <w:sz w:val="20"/>
                <w:szCs w:val="20"/>
                <w:lang w:eastAsia="lt-LT"/>
              </w:rPr>
              <w:t>Paskolų portfelis ne finansų įmonėms, mln. Eur</w:t>
            </w:r>
          </w:p>
        </w:tc>
        <w:tc>
          <w:tcPr>
            <w:tcW w:w="1640" w:type="dxa"/>
          </w:tcPr>
          <w:p w14:paraId="49D09466" w14:textId="77777777" w:rsidR="00F015E8" w:rsidRPr="003C0378" w:rsidRDefault="00F015E8" w:rsidP="00CC1409">
            <w:pPr>
              <w:spacing w:after="0"/>
              <w:ind w:firstLine="0"/>
              <w:jc w:val="center"/>
              <w:rPr>
                <w:rFonts w:eastAsia="Times New Roman" w:cs="Times New Roman"/>
                <w:b/>
                <w:color w:val="000000"/>
                <w:sz w:val="20"/>
                <w:szCs w:val="20"/>
                <w:lang w:eastAsia="lt-LT"/>
              </w:rPr>
            </w:pPr>
            <w:r w:rsidRPr="003C0378">
              <w:rPr>
                <w:rFonts w:eastAsia="Times New Roman" w:cs="Times New Roman"/>
                <w:b/>
                <w:color w:val="000000"/>
                <w:sz w:val="20"/>
                <w:szCs w:val="20"/>
                <w:lang w:eastAsia="lt-LT"/>
              </w:rPr>
              <w:t>Naujų paskolų srautas</w:t>
            </w:r>
            <w:r w:rsidRPr="003C0378">
              <w:rPr>
                <w:rStyle w:val="Puslapioinaosnuoroda"/>
                <w:rFonts w:eastAsia="Times New Roman" w:cs="Times New Roman"/>
                <w:b/>
                <w:color w:val="000000"/>
                <w:sz w:val="20"/>
                <w:szCs w:val="20"/>
                <w:lang w:eastAsia="lt-LT"/>
              </w:rPr>
              <w:footnoteReference w:id="31"/>
            </w:r>
            <w:r w:rsidRPr="003C0378">
              <w:rPr>
                <w:rFonts w:eastAsia="Times New Roman" w:cs="Times New Roman"/>
                <w:b/>
                <w:color w:val="000000"/>
                <w:sz w:val="20"/>
                <w:szCs w:val="20"/>
                <w:lang w:eastAsia="lt-LT"/>
              </w:rPr>
              <w:t xml:space="preserve"> (mln. Eur)</w:t>
            </w:r>
          </w:p>
        </w:tc>
        <w:tc>
          <w:tcPr>
            <w:tcW w:w="1641" w:type="dxa"/>
          </w:tcPr>
          <w:p w14:paraId="61D9EEE9" w14:textId="77777777" w:rsidR="00F015E8" w:rsidRPr="003C0378" w:rsidRDefault="00F015E8" w:rsidP="00CC1409">
            <w:pPr>
              <w:spacing w:after="0"/>
              <w:ind w:firstLine="0"/>
              <w:jc w:val="center"/>
              <w:rPr>
                <w:rFonts w:eastAsia="Times New Roman" w:cs="Times New Roman"/>
                <w:b/>
                <w:color w:val="000000"/>
                <w:sz w:val="20"/>
                <w:szCs w:val="20"/>
                <w:lang w:eastAsia="lt-LT"/>
              </w:rPr>
            </w:pPr>
            <w:r w:rsidRPr="003C0378">
              <w:rPr>
                <w:rFonts w:eastAsia="Times New Roman" w:cs="Times New Roman"/>
                <w:b/>
                <w:color w:val="000000"/>
                <w:sz w:val="20"/>
                <w:szCs w:val="20"/>
                <w:lang w:eastAsia="lt-LT"/>
              </w:rPr>
              <w:t>Naujų paskolų investicijoms į AEI srautas (mln. Eur)</w:t>
            </w:r>
          </w:p>
        </w:tc>
      </w:tr>
      <w:tr w:rsidR="00F015E8" w:rsidRPr="003C0378" w14:paraId="16B9FEFD" w14:textId="77777777" w:rsidTr="00E24002">
        <w:trPr>
          <w:trHeight w:val="13"/>
        </w:trPr>
        <w:tc>
          <w:tcPr>
            <w:tcW w:w="1963" w:type="dxa"/>
            <w:vMerge w:val="restart"/>
            <w:shd w:val="clear" w:color="auto" w:fill="auto"/>
            <w:noWrap/>
            <w:vAlign w:val="center"/>
            <w:hideMark/>
          </w:tcPr>
          <w:p w14:paraId="5EAB29F9"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Esama situacija</w:t>
            </w:r>
          </w:p>
        </w:tc>
        <w:tc>
          <w:tcPr>
            <w:tcW w:w="1805" w:type="dxa"/>
            <w:shd w:val="clear" w:color="auto" w:fill="auto"/>
            <w:noWrap/>
            <w:vAlign w:val="bottom"/>
            <w:hideMark/>
          </w:tcPr>
          <w:p w14:paraId="67762BC5"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2017</w:t>
            </w:r>
          </w:p>
        </w:tc>
        <w:tc>
          <w:tcPr>
            <w:tcW w:w="2461" w:type="dxa"/>
            <w:shd w:val="clear" w:color="auto" w:fill="auto"/>
            <w:noWrap/>
            <w:vAlign w:val="bottom"/>
            <w:hideMark/>
          </w:tcPr>
          <w:p w14:paraId="3B7A029A"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8344</w:t>
            </w:r>
          </w:p>
        </w:tc>
        <w:tc>
          <w:tcPr>
            <w:tcW w:w="1640" w:type="dxa"/>
          </w:tcPr>
          <w:p w14:paraId="52C2A636" w14:textId="77777777" w:rsidR="00F015E8" w:rsidRPr="003C0378" w:rsidRDefault="00F015E8" w:rsidP="00CC1409">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1641" w:type="dxa"/>
          </w:tcPr>
          <w:p w14:paraId="106F3E69" w14:textId="77777777" w:rsidR="00F015E8" w:rsidRPr="003C0378" w:rsidRDefault="00F015E8" w:rsidP="00CC1409">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r>
      <w:tr w:rsidR="00F015E8" w:rsidRPr="003C0378" w14:paraId="6AE2A87C" w14:textId="77777777" w:rsidTr="00E24002">
        <w:trPr>
          <w:trHeight w:val="13"/>
        </w:trPr>
        <w:tc>
          <w:tcPr>
            <w:tcW w:w="1963" w:type="dxa"/>
            <w:vMerge/>
            <w:vAlign w:val="center"/>
            <w:hideMark/>
          </w:tcPr>
          <w:p w14:paraId="7877F644" w14:textId="77777777" w:rsidR="00F015E8" w:rsidRPr="003C0378" w:rsidRDefault="00F015E8" w:rsidP="00CC1409">
            <w:pPr>
              <w:spacing w:after="0"/>
              <w:ind w:firstLine="0"/>
              <w:jc w:val="center"/>
              <w:rPr>
                <w:rFonts w:eastAsia="Times New Roman" w:cs="Times New Roman"/>
                <w:color w:val="000000"/>
                <w:sz w:val="20"/>
                <w:szCs w:val="20"/>
                <w:lang w:eastAsia="lt-LT"/>
              </w:rPr>
            </w:pPr>
          </w:p>
        </w:tc>
        <w:tc>
          <w:tcPr>
            <w:tcW w:w="1805" w:type="dxa"/>
            <w:shd w:val="clear" w:color="auto" w:fill="auto"/>
            <w:noWrap/>
            <w:vAlign w:val="bottom"/>
            <w:hideMark/>
          </w:tcPr>
          <w:p w14:paraId="2D2F7E0C"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2018</w:t>
            </w:r>
          </w:p>
        </w:tc>
        <w:tc>
          <w:tcPr>
            <w:tcW w:w="2461" w:type="dxa"/>
            <w:shd w:val="clear" w:color="auto" w:fill="auto"/>
            <w:noWrap/>
            <w:vAlign w:val="bottom"/>
            <w:hideMark/>
          </w:tcPr>
          <w:p w14:paraId="12036934"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8710</w:t>
            </w:r>
          </w:p>
        </w:tc>
        <w:tc>
          <w:tcPr>
            <w:tcW w:w="1640" w:type="dxa"/>
            <w:vAlign w:val="bottom"/>
          </w:tcPr>
          <w:p w14:paraId="27E7B760"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366</w:t>
            </w:r>
          </w:p>
        </w:tc>
        <w:tc>
          <w:tcPr>
            <w:tcW w:w="1641" w:type="dxa"/>
          </w:tcPr>
          <w:p w14:paraId="7F729C49" w14:textId="77777777" w:rsidR="00F015E8" w:rsidRPr="003C0378" w:rsidRDefault="00F015E8" w:rsidP="00CC1409">
            <w:pPr>
              <w:spacing w:after="0"/>
              <w:ind w:firstLine="0"/>
              <w:jc w:val="center"/>
              <w:rPr>
                <w:rFonts w:cs="Times New Roman"/>
                <w:color w:val="000000"/>
                <w:sz w:val="20"/>
                <w:szCs w:val="20"/>
              </w:rPr>
            </w:pPr>
            <w:r>
              <w:rPr>
                <w:rFonts w:eastAsia="Times New Roman" w:cs="Times New Roman"/>
                <w:color w:val="000000"/>
                <w:sz w:val="20"/>
                <w:szCs w:val="20"/>
                <w:lang w:eastAsia="lt-LT"/>
              </w:rPr>
              <w:t>–</w:t>
            </w:r>
          </w:p>
        </w:tc>
      </w:tr>
      <w:tr w:rsidR="00F015E8" w:rsidRPr="003C0378" w14:paraId="15C255EF" w14:textId="77777777" w:rsidTr="00E24002">
        <w:trPr>
          <w:trHeight w:val="13"/>
        </w:trPr>
        <w:tc>
          <w:tcPr>
            <w:tcW w:w="1963" w:type="dxa"/>
            <w:vMerge/>
            <w:vAlign w:val="center"/>
            <w:hideMark/>
          </w:tcPr>
          <w:p w14:paraId="14668294" w14:textId="77777777" w:rsidR="00F015E8" w:rsidRPr="003C0378" w:rsidRDefault="00F015E8" w:rsidP="00CC1409">
            <w:pPr>
              <w:spacing w:after="0"/>
              <w:ind w:firstLine="0"/>
              <w:jc w:val="center"/>
              <w:rPr>
                <w:rFonts w:eastAsia="Times New Roman" w:cs="Times New Roman"/>
                <w:color w:val="000000"/>
                <w:sz w:val="20"/>
                <w:szCs w:val="20"/>
                <w:lang w:eastAsia="lt-LT"/>
              </w:rPr>
            </w:pPr>
          </w:p>
        </w:tc>
        <w:tc>
          <w:tcPr>
            <w:tcW w:w="1805" w:type="dxa"/>
            <w:shd w:val="clear" w:color="auto" w:fill="auto"/>
            <w:noWrap/>
            <w:vAlign w:val="bottom"/>
            <w:hideMark/>
          </w:tcPr>
          <w:p w14:paraId="3BAC200A"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2019</w:t>
            </w:r>
          </w:p>
        </w:tc>
        <w:tc>
          <w:tcPr>
            <w:tcW w:w="2461" w:type="dxa"/>
            <w:shd w:val="clear" w:color="auto" w:fill="auto"/>
            <w:noWrap/>
            <w:vAlign w:val="bottom"/>
            <w:hideMark/>
          </w:tcPr>
          <w:p w14:paraId="5555E2EB"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8665</w:t>
            </w:r>
          </w:p>
        </w:tc>
        <w:tc>
          <w:tcPr>
            <w:tcW w:w="1640" w:type="dxa"/>
            <w:vAlign w:val="bottom"/>
          </w:tcPr>
          <w:p w14:paraId="5AEF2F8E" w14:textId="77777777" w:rsidR="00F015E8" w:rsidRPr="003C0378" w:rsidRDefault="00F015E8" w:rsidP="00CC1409">
            <w:pPr>
              <w:spacing w:after="0"/>
              <w:ind w:firstLine="0"/>
              <w:jc w:val="center"/>
              <w:rPr>
                <w:rFonts w:eastAsia="Times New Roman" w:cs="Times New Roman"/>
                <w:color w:val="000000"/>
                <w:sz w:val="20"/>
                <w:szCs w:val="20"/>
                <w:lang w:eastAsia="lt-LT"/>
              </w:rPr>
            </w:pPr>
            <w:r>
              <w:rPr>
                <w:rFonts w:cs="Times New Roman"/>
                <w:color w:val="000000"/>
                <w:sz w:val="20"/>
                <w:szCs w:val="20"/>
              </w:rPr>
              <w:t>–</w:t>
            </w:r>
            <w:r w:rsidRPr="003C0378">
              <w:rPr>
                <w:rFonts w:cs="Times New Roman"/>
                <w:color w:val="000000"/>
                <w:sz w:val="20"/>
                <w:szCs w:val="20"/>
              </w:rPr>
              <w:t>45</w:t>
            </w:r>
          </w:p>
        </w:tc>
        <w:tc>
          <w:tcPr>
            <w:tcW w:w="1641" w:type="dxa"/>
          </w:tcPr>
          <w:p w14:paraId="250040CA" w14:textId="77777777" w:rsidR="00F015E8" w:rsidRPr="003C0378" w:rsidRDefault="00F015E8" w:rsidP="00CC1409">
            <w:pPr>
              <w:spacing w:after="0"/>
              <w:ind w:firstLine="0"/>
              <w:jc w:val="center"/>
              <w:rPr>
                <w:rFonts w:cs="Times New Roman"/>
                <w:color w:val="000000"/>
                <w:sz w:val="20"/>
                <w:szCs w:val="20"/>
              </w:rPr>
            </w:pPr>
            <w:r>
              <w:rPr>
                <w:rFonts w:eastAsia="Times New Roman" w:cs="Times New Roman"/>
                <w:color w:val="000000"/>
                <w:sz w:val="20"/>
                <w:szCs w:val="20"/>
                <w:lang w:eastAsia="lt-LT"/>
              </w:rPr>
              <w:t>–</w:t>
            </w:r>
          </w:p>
        </w:tc>
      </w:tr>
      <w:tr w:rsidR="00F015E8" w:rsidRPr="003C0378" w14:paraId="7FBC91A8" w14:textId="77777777" w:rsidTr="00E24002">
        <w:trPr>
          <w:trHeight w:val="13"/>
        </w:trPr>
        <w:tc>
          <w:tcPr>
            <w:tcW w:w="1963" w:type="dxa"/>
            <w:vMerge/>
            <w:vAlign w:val="center"/>
            <w:hideMark/>
          </w:tcPr>
          <w:p w14:paraId="5B676F6A" w14:textId="77777777" w:rsidR="00F015E8" w:rsidRPr="003C0378" w:rsidRDefault="00F015E8" w:rsidP="00CC1409">
            <w:pPr>
              <w:spacing w:after="0"/>
              <w:ind w:firstLine="0"/>
              <w:jc w:val="center"/>
              <w:rPr>
                <w:rFonts w:eastAsia="Times New Roman" w:cs="Times New Roman"/>
                <w:color w:val="000000"/>
                <w:sz w:val="20"/>
                <w:szCs w:val="20"/>
                <w:lang w:eastAsia="lt-LT"/>
              </w:rPr>
            </w:pPr>
          </w:p>
        </w:tc>
        <w:tc>
          <w:tcPr>
            <w:tcW w:w="1805" w:type="dxa"/>
            <w:shd w:val="clear" w:color="auto" w:fill="auto"/>
            <w:noWrap/>
            <w:vAlign w:val="bottom"/>
            <w:hideMark/>
          </w:tcPr>
          <w:p w14:paraId="2A2A1B30"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2020</w:t>
            </w:r>
          </w:p>
        </w:tc>
        <w:tc>
          <w:tcPr>
            <w:tcW w:w="2461" w:type="dxa"/>
            <w:shd w:val="clear" w:color="auto" w:fill="auto"/>
            <w:noWrap/>
            <w:vAlign w:val="bottom"/>
            <w:hideMark/>
          </w:tcPr>
          <w:p w14:paraId="2C61C692"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7980</w:t>
            </w:r>
          </w:p>
        </w:tc>
        <w:tc>
          <w:tcPr>
            <w:tcW w:w="1640" w:type="dxa"/>
            <w:vAlign w:val="bottom"/>
          </w:tcPr>
          <w:p w14:paraId="3E0BA97A" w14:textId="77777777" w:rsidR="00F015E8" w:rsidRPr="003C0378" w:rsidRDefault="00F015E8" w:rsidP="00CC1409">
            <w:pPr>
              <w:spacing w:after="0"/>
              <w:ind w:firstLine="0"/>
              <w:jc w:val="center"/>
              <w:rPr>
                <w:rFonts w:eastAsia="Times New Roman" w:cs="Times New Roman"/>
                <w:color w:val="000000"/>
                <w:sz w:val="20"/>
                <w:szCs w:val="20"/>
                <w:lang w:eastAsia="lt-LT"/>
              </w:rPr>
            </w:pPr>
            <w:r>
              <w:rPr>
                <w:rFonts w:cs="Times New Roman"/>
                <w:color w:val="000000"/>
                <w:sz w:val="20"/>
                <w:szCs w:val="20"/>
              </w:rPr>
              <w:t>–</w:t>
            </w:r>
            <w:r w:rsidRPr="003C0378">
              <w:rPr>
                <w:rFonts w:cs="Times New Roman"/>
                <w:color w:val="000000"/>
                <w:sz w:val="20"/>
                <w:szCs w:val="20"/>
              </w:rPr>
              <w:t>704</w:t>
            </w:r>
          </w:p>
        </w:tc>
        <w:tc>
          <w:tcPr>
            <w:tcW w:w="1641" w:type="dxa"/>
          </w:tcPr>
          <w:p w14:paraId="60719060" w14:textId="77777777" w:rsidR="00F015E8" w:rsidRPr="003C0378" w:rsidRDefault="00F015E8" w:rsidP="00CC1409">
            <w:pPr>
              <w:spacing w:after="0"/>
              <w:ind w:firstLine="0"/>
              <w:jc w:val="center"/>
              <w:rPr>
                <w:rFonts w:cs="Times New Roman"/>
                <w:color w:val="000000"/>
                <w:sz w:val="20"/>
                <w:szCs w:val="20"/>
              </w:rPr>
            </w:pPr>
            <w:r>
              <w:rPr>
                <w:rFonts w:eastAsia="Times New Roman" w:cs="Times New Roman"/>
                <w:color w:val="000000"/>
                <w:sz w:val="20"/>
                <w:szCs w:val="20"/>
                <w:lang w:eastAsia="lt-LT"/>
              </w:rPr>
              <w:t>–</w:t>
            </w:r>
          </w:p>
        </w:tc>
      </w:tr>
      <w:tr w:rsidR="00F015E8" w:rsidRPr="003C0378" w14:paraId="36CD6B52" w14:textId="77777777" w:rsidTr="00E24002">
        <w:trPr>
          <w:trHeight w:val="13"/>
        </w:trPr>
        <w:tc>
          <w:tcPr>
            <w:tcW w:w="1963" w:type="dxa"/>
            <w:vMerge/>
            <w:vAlign w:val="center"/>
            <w:hideMark/>
          </w:tcPr>
          <w:p w14:paraId="002CD19F" w14:textId="77777777" w:rsidR="00F015E8" w:rsidRPr="003C0378" w:rsidRDefault="00F015E8" w:rsidP="00CC1409">
            <w:pPr>
              <w:spacing w:after="0"/>
              <w:ind w:firstLine="0"/>
              <w:jc w:val="center"/>
              <w:rPr>
                <w:rFonts w:eastAsia="Times New Roman" w:cs="Times New Roman"/>
                <w:color w:val="000000"/>
                <w:sz w:val="20"/>
                <w:szCs w:val="20"/>
                <w:lang w:eastAsia="lt-LT"/>
              </w:rPr>
            </w:pPr>
          </w:p>
        </w:tc>
        <w:tc>
          <w:tcPr>
            <w:tcW w:w="1805" w:type="dxa"/>
            <w:shd w:val="clear" w:color="auto" w:fill="auto"/>
            <w:noWrap/>
            <w:vAlign w:val="bottom"/>
            <w:hideMark/>
          </w:tcPr>
          <w:p w14:paraId="52727057"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2021</w:t>
            </w:r>
          </w:p>
        </w:tc>
        <w:tc>
          <w:tcPr>
            <w:tcW w:w="2461" w:type="dxa"/>
            <w:shd w:val="clear" w:color="auto" w:fill="auto"/>
            <w:noWrap/>
            <w:vAlign w:val="bottom"/>
            <w:hideMark/>
          </w:tcPr>
          <w:p w14:paraId="0B4CA090"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7980</w:t>
            </w:r>
          </w:p>
        </w:tc>
        <w:tc>
          <w:tcPr>
            <w:tcW w:w="1640" w:type="dxa"/>
            <w:vAlign w:val="bottom"/>
          </w:tcPr>
          <w:p w14:paraId="15B865D8"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20</w:t>
            </w:r>
          </w:p>
        </w:tc>
        <w:tc>
          <w:tcPr>
            <w:tcW w:w="1641" w:type="dxa"/>
          </w:tcPr>
          <w:p w14:paraId="5E27C56A" w14:textId="77777777" w:rsidR="00F015E8" w:rsidRPr="003C0378" w:rsidRDefault="00F015E8" w:rsidP="00CC1409">
            <w:pPr>
              <w:spacing w:after="0"/>
              <w:ind w:firstLine="0"/>
              <w:jc w:val="center"/>
              <w:rPr>
                <w:rFonts w:cs="Times New Roman"/>
                <w:color w:val="000000"/>
                <w:sz w:val="20"/>
                <w:szCs w:val="20"/>
              </w:rPr>
            </w:pPr>
            <w:r>
              <w:rPr>
                <w:rFonts w:eastAsia="Times New Roman" w:cs="Times New Roman"/>
                <w:color w:val="000000"/>
                <w:sz w:val="20"/>
                <w:szCs w:val="20"/>
                <w:lang w:eastAsia="lt-LT"/>
              </w:rPr>
              <w:t>–</w:t>
            </w:r>
          </w:p>
        </w:tc>
      </w:tr>
      <w:tr w:rsidR="00F015E8" w:rsidRPr="003C0378" w14:paraId="5F9B11DF" w14:textId="77777777" w:rsidTr="00E24002">
        <w:trPr>
          <w:trHeight w:val="13"/>
        </w:trPr>
        <w:tc>
          <w:tcPr>
            <w:tcW w:w="1963" w:type="dxa"/>
            <w:vMerge/>
            <w:vAlign w:val="center"/>
            <w:hideMark/>
          </w:tcPr>
          <w:p w14:paraId="019AED47" w14:textId="77777777" w:rsidR="00F015E8" w:rsidRPr="003C0378" w:rsidRDefault="00F015E8" w:rsidP="00CC1409">
            <w:pPr>
              <w:spacing w:after="0"/>
              <w:ind w:firstLine="0"/>
              <w:jc w:val="center"/>
              <w:rPr>
                <w:rFonts w:eastAsia="Times New Roman" w:cs="Times New Roman"/>
                <w:color w:val="000000"/>
                <w:sz w:val="20"/>
                <w:szCs w:val="20"/>
                <w:lang w:eastAsia="lt-LT"/>
              </w:rPr>
            </w:pPr>
          </w:p>
        </w:tc>
        <w:tc>
          <w:tcPr>
            <w:tcW w:w="1805" w:type="dxa"/>
            <w:shd w:val="clear" w:color="auto" w:fill="auto"/>
            <w:noWrap/>
            <w:vAlign w:val="bottom"/>
            <w:hideMark/>
          </w:tcPr>
          <w:p w14:paraId="2F8D7105"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2022</w:t>
            </w:r>
          </w:p>
        </w:tc>
        <w:tc>
          <w:tcPr>
            <w:tcW w:w="2461" w:type="dxa"/>
            <w:shd w:val="clear" w:color="auto" w:fill="auto"/>
            <w:noWrap/>
            <w:vAlign w:val="bottom"/>
            <w:hideMark/>
          </w:tcPr>
          <w:p w14:paraId="60359772"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9814</w:t>
            </w:r>
          </w:p>
        </w:tc>
        <w:tc>
          <w:tcPr>
            <w:tcW w:w="1640" w:type="dxa"/>
            <w:vAlign w:val="bottom"/>
          </w:tcPr>
          <w:p w14:paraId="02FFD276"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1834</w:t>
            </w:r>
          </w:p>
        </w:tc>
        <w:tc>
          <w:tcPr>
            <w:tcW w:w="1641" w:type="dxa"/>
          </w:tcPr>
          <w:p w14:paraId="2B39B32A" w14:textId="77777777" w:rsidR="00F015E8" w:rsidRPr="003C0378" w:rsidRDefault="00F015E8" w:rsidP="00CC1409">
            <w:pPr>
              <w:spacing w:after="0"/>
              <w:ind w:firstLine="0"/>
              <w:jc w:val="center"/>
              <w:rPr>
                <w:rFonts w:cs="Times New Roman"/>
                <w:color w:val="000000"/>
                <w:sz w:val="20"/>
                <w:szCs w:val="20"/>
              </w:rPr>
            </w:pPr>
            <w:r>
              <w:rPr>
                <w:rFonts w:eastAsia="Times New Roman" w:cs="Times New Roman"/>
                <w:color w:val="000000"/>
                <w:sz w:val="20"/>
                <w:szCs w:val="20"/>
                <w:lang w:eastAsia="lt-LT"/>
              </w:rPr>
              <w:t>–</w:t>
            </w:r>
          </w:p>
        </w:tc>
      </w:tr>
      <w:tr w:rsidR="00F015E8" w:rsidRPr="003C0378" w14:paraId="770F2CE7" w14:textId="77777777" w:rsidTr="00E24002">
        <w:trPr>
          <w:trHeight w:val="13"/>
        </w:trPr>
        <w:tc>
          <w:tcPr>
            <w:tcW w:w="1963" w:type="dxa"/>
            <w:vMerge w:val="restart"/>
            <w:shd w:val="clear" w:color="auto" w:fill="auto"/>
            <w:vAlign w:val="center"/>
            <w:hideMark/>
          </w:tcPr>
          <w:p w14:paraId="5B099105"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Prognozė</w:t>
            </w:r>
          </w:p>
        </w:tc>
        <w:tc>
          <w:tcPr>
            <w:tcW w:w="1805" w:type="dxa"/>
            <w:shd w:val="clear" w:color="auto" w:fill="auto"/>
            <w:noWrap/>
            <w:vAlign w:val="bottom"/>
            <w:hideMark/>
          </w:tcPr>
          <w:p w14:paraId="190D5412"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2023</w:t>
            </w:r>
          </w:p>
        </w:tc>
        <w:tc>
          <w:tcPr>
            <w:tcW w:w="2461" w:type="dxa"/>
            <w:shd w:val="clear" w:color="auto" w:fill="auto"/>
            <w:noWrap/>
            <w:vAlign w:val="bottom"/>
            <w:hideMark/>
          </w:tcPr>
          <w:p w14:paraId="2F5EF58E"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10186</w:t>
            </w:r>
          </w:p>
        </w:tc>
        <w:tc>
          <w:tcPr>
            <w:tcW w:w="1640" w:type="dxa"/>
            <w:vAlign w:val="bottom"/>
          </w:tcPr>
          <w:p w14:paraId="68FF1935"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372</w:t>
            </w:r>
          </w:p>
        </w:tc>
        <w:tc>
          <w:tcPr>
            <w:tcW w:w="1641" w:type="dxa"/>
          </w:tcPr>
          <w:p w14:paraId="1D76F12E"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11,17</w:t>
            </w:r>
            <w:r>
              <w:rPr>
                <w:sz w:val="20"/>
                <w:szCs w:val="20"/>
              </w:rPr>
              <w:t>–</w:t>
            </w:r>
            <w:r w:rsidRPr="003C0378">
              <w:rPr>
                <w:sz w:val="20"/>
                <w:szCs w:val="20"/>
              </w:rPr>
              <w:t>18,62</w:t>
            </w:r>
          </w:p>
        </w:tc>
      </w:tr>
      <w:tr w:rsidR="00F015E8" w:rsidRPr="003C0378" w14:paraId="386ED136" w14:textId="77777777" w:rsidTr="00E24002">
        <w:trPr>
          <w:trHeight w:val="13"/>
        </w:trPr>
        <w:tc>
          <w:tcPr>
            <w:tcW w:w="1963" w:type="dxa"/>
            <w:vMerge/>
            <w:vAlign w:val="center"/>
            <w:hideMark/>
          </w:tcPr>
          <w:p w14:paraId="1C3A86CB"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hideMark/>
          </w:tcPr>
          <w:p w14:paraId="0C51CA61"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2024</w:t>
            </w:r>
          </w:p>
        </w:tc>
        <w:tc>
          <w:tcPr>
            <w:tcW w:w="2461" w:type="dxa"/>
            <w:shd w:val="clear" w:color="auto" w:fill="auto"/>
            <w:noWrap/>
            <w:vAlign w:val="bottom"/>
            <w:hideMark/>
          </w:tcPr>
          <w:p w14:paraId="38CD9A4B"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10572</w:t>
            </w:r>
          </w:p>
        </w:tc>
        <w:tc>
          <w:tcPr>
            <w:tcW w:w="1640" w:type="dxa"/>
            <w:vAlign w:val="bottom"/>
          </w:tcPr>
          <w:p w14:paraId="42A50BC8"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386</w:t>
            </w:r>
          </w:p>
        </w:tc>
        <w:tc>
          <w:tcPr>
            <w:tcW w:w="1641" w:type="dxa"/>
          </w:tcPr>
          <w:p w14:paraId="50C1DE02"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11,59</w:t>
            </w:r>
            <w:r>
              <w:rPr>
                <w:sz w:val="20"/>
                <w:szCs w:val="20"/>
              </w:rPr>
              <w:t>–</w:t>
            </w:r>
            <w:r w:rsidRPr="003C0378">
              <w:rPr>
                <w:sz w:val="20"/>
                <w:szCs w:val="20"/>
              </w:rPr>
              <w:t>19,32</w:t>
            </w:r>
          </w:p>
        </w:tc>
      </w:tr>
      <w:tr w:rsidR="00F015E8" w:rsidRPr="003C0378" w14:paraId="57365BFB" w14:textId="77777777" w:rsidTr="00E24002">
        <w:trPr>
          <w:trHeight w:val="13"/>
        </w:trPr>
        <w:tc>
          <w:tcPr>
            <w:tcW w:w="1963" w:type="dxa"/>
            <w:vMerge/>
            <w:vAlign w:val="center"/>
            <w:hideMark/>
          </w:tcPr>
          <w:p w14:paraId="0E5CE055"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hideMark/>
          </w:tcPr>
          <w:p w14:paraId="1C16DCF2"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2025</w:t>
            </w:r>
          </w:p>
        </w:tc>
        <w:tc>
          <w:tcPr>
            <w:tcW w:w="2461" w:type="dxa"/>
            <w:shd w:val="clear" w:color="auto" w:fill="auto"/>
            <w:noWrap/>
            <w:vAlign w:val="bottom"/>
            <w:hideMark/>
          </w:tcPr>
          <w:p w14:paraId="3426EF01"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10973</w:t>
            </w:r>
          </w:p>
        </w:tc>
        <w:tc>
          <w:tcPr>
            <w:tcW w:w="1640" w:type="dxa"/>
            <w:vAlign w:val="bottom"/>
          </w:tcPr>
          <w:p w14:paraId="54ABD0F4"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401</w:t>
            </w:r>
          </w:p>
        </w:tc>
        <w:tc>
          <w:tcPr>
            <w:tcW w:w="1641" w:type="dxa"/>
          </w:tcPr>
          <w:p w14:paraId="5E7C0771"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12,03</w:t>
            </w:r>
            <w:r>
              <w:rPr>
                <w:sz w:val="20"/>
                <w:szCs w:val="20"/>
              </w:rPr>
              <w:t>–</w:t>
            </w:r>
            <w:r w:rsidRPr="003C0378">
              <w:rPr>
                <w:sz w:val="20"/>
                <w:szCs w:val="20"/>
              </w:rPr>
              <w:t>20,06</w:t>
            </w:r>
          </w:p>
        </w:tc>
      </w:tr>
      <w:tr w:rsidR="00F015E8" w:rsidRPr="003C0378" w14:paraId="067F8A32" w14:textId="77777777" w:rsidTr="00E24002">
        <w:trPr>
          <w:trHeight w:val="13"/>
        </w:trPr>
        <w:tc>
          <w:tcPr>
            <w:tcW w:w="1963" w:type="dxa"/>
            <w:vMerge/>
            <w:vAlign w:val="center"/>
            <w:hideMark/>
          </w:tcPr>
          <w:p w14:paraId="5B739588"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hideMark/>
          </w:tcPr>
          <w:p w14:paraId="7C3C6B14"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2026</w:t>
            </w:r>
          </w:p>
        </w:tc>
        <w:tc>
          <w:tcPr>
            <w:tcW w:w="2461" w:type="dxa"/>
            <w:shd w:val="clear" w:color="auto" w:fill="auto"/>
            <w:noWrap/>
            <w:vAlign w:val="bottom"/>
            <w:hideMark/>
          </w:tcPr>
          <w:p w14:paraId="34E4D4F4"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11389</w:t>
            </w:r>
          </w:p>
        </w:tc>
        <w:tc>
          <w:tcPr>
            <w:tcW w:w="1640" w:type="dxa"/>
            <w:vAlign w:val="bottom"/>
          </w:tcPr>
          <w:p w14:paraId="49CA63B1"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416</w:t>
            </w:r>
          </w:p>
        </w:tc>
        <w:tc>
          <w:tcPr>
            <w:tcW w:w="1641" w:type="dxa"/>
          </w:tcPr>
          <w:p w14:paraId="745F48FA"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12,49</w:t>
            </w:r>
            <w:r>
              <w:rPr>
                <w:sz w:val="20"/>
                <w:szCs w:val="20"/>
              </w:rPr>
              <w:t>–</w:t>
            </w:r>
            <w:r w:rsidRPr="003C0378">
              <w:rPr>
                <w:sz w:val="20"/>
                <w:szCs w:val="20"/>
              </w:rPr>
              <w:t>20,82</w:t>
            </w:r>
          </w:p>
        </w:tc>
      </w:tr>
      <w:tr w:rsidR="00F015E8" w:rsidRPr="003C0378" w14:paraId="057A07CE" w14:textId="77777777" w:rsidTr="00E24002">
        <w:trPr>
          <w:trHeight w:val="13"/>
        </w:trPr>
        <w:tc>
          <w:tcPr>
            <w:tcW w:w="1963" w:type="dxa"/>
            <w:vMerge/>
            <w:vAlign w:val="center"/>
            <w:hideMark/>
          </w:tcPr>
          <w:p w14:paraId="65E55EE1"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hideMark/>
          </w:tcPr>
          <w:p w14:paraId="2B75B8DA"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2027</w:t>
            </w:r>
          </w:p>
        </w:tc>
        <w:tc>
          <w:tcPr>
            <w:tcW w:w="2461" w:type="dxa"/>
            <w:shd w:val="clear" w:color="auto" w:fill="auto"/>
            <w:noWrap/>
            <w:vAlign w:val="bottom"/>
            <w:hideMark/>
          </w:tcPr>
          <w:p w14:paraId="5E41583D"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11820</w:t>
            </w:r>
          </w:p>
        </w:tc>
        <w:tc>
          <w:tcPr>
            <w:tcW w:w="1640" w:type="dxa"/>
            <w:vAlign w:val="bottom"/>
          </w:tcPr>
          <w:p w14:paraId="0BE2FC39"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cs="Times New Roman"/>
                <w:color w:val="000000"/>
                <w:sz w:val="20"/>
                <w:szCs w:val="20"/>
              </w:rPr>
              <w:t>432</w:t>
            </w:r>
          </w:p>
        </w:tc>
        <w:tc>
          <w:tcPr>
            <w:tcW w:w="1641" w:type="dxa"/>
          </w:tcPr>
          <w:p w14:paraId="1DF2C4F1"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12,97</w:t>
            </w:r>
            <w:r>
              <w:rPr>
                <w:sz w:val="20"/>
                <w:szCs w:val="20"/>
              </w:rPr>
              <w:t>–</w:t>
            </w:r>
            <w:r w:rsidRPr="003C0378">
              <w:rPr>
                <w:sz w:val="20"/>
                <w:szCs w:val="20"/>
              </w:rPr>
              <w:t>21,61</w:t>
            </w:r>
          </w:p>
        </w:tc>
      </w:tr>
      <w:tr w:rsidR="00F015E8" w:rsidRPr="003C0378" w14:paraId="5375FBB8" w14:textId="77777777" w:rsidTr="00E24002">
        <w:trPr>
          <w:trHeight w:val="13"/>
        </w:trPr>
        <w:tc>
          <w:tcPr>
            <w:tcW w:w="1963" w:type="dxa"/>
            <w:vMerge/>
            <w:vAlign w:val="center"/>
          </w:tcPr>
          <w:p w14:paraId="358A0A6E"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tcPr>
          <w:p w14:paraId="0BBEF854"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2028</w:t>
            </w:r>
          </w:p>
        </w:tc>
        <w:tc>
          <w:tcPr>
            <w:tcW w:w="2461" w:type="dxa"/>
            <w:shd w:val="clear" w:color="auto" w:fill="auto"/>
            <w:noWrap/>
          </w:tcPr>
          <w:p w14:paraId="3849643D"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sz w:val="20"/>
                <w:szCs w:val="20"/>
              </w:rPr>
              <w:t>12268</w:t>
            </w:r>
          </w:p>
        </w:tc>
        <w:tc>
          <w:tcPr>
            <w:tcW w:w="1640" w:type="dxa"/>
            <w:vAlign w:val="bottom"/>
          </w:tcPr>
          <w:p w14:paraId="72975B10" w14:textId="77777777" w:rsidR="00F015E8" w:rsidRPr="003C0378" w:rsidRDefault="00F015E8" w:rsidP="00CC1409">
            <w:pPr>
              <w:spacing w:after="0"/>
              <w:ind w:firstLine="0"/>
              <w:jc w:val="center"/>
              <w:rPr>
                <w:rFonts w:cs="Times New Roman"/>
                <w:sz w:val="20"/>
                <w:szCs w:val="20"/>
              </w:rPr>
            </w:pPr>
            <w:r w:rsidRPr="003C0378">
              <w:rPr>
                <w:rFonts w:cs="Times New Roman"/>
                <w:color w:val="000000"/>
                <w:sz w:val="20"/>
                <w:szCs w:val="20"/>
              </w:rPr>
              <w:t>449</w:t>
            </w:r>
          </w:p>
        </w:tc>
        <w:tc>
          <w:tcPr>
            <w:tcW w:w="1641" w:type="dxa"/>
          </w:tcPr>
          <w:p w14:paraId="338D6C06"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13,46</w:t>
            </w:r>
            <w:r>
              <w:rPr>
                <w:sz w:val="20"/>
                <w:szCs w:val="20"/>
              </w:rPr>
              <w:t>–</w:t>
            </w:r>
            <w:r w:rsidRPr="003C0378">
              <w:rPr>
                <w:sz w:val="20"/>
                <w:szCs w:val="20"/>
              </w:rPr>
              <w:t>22,43</w:t>
            </w:r>
          </w:p>
        </w:tc>
      </w:tr>
      <w:tr w:rsidR="00F015E8" w:rsidRPr="003C0378" w14:paraId="30AF0452" w14:textId="77777777" w:rsidTr="00E24002">
        <w:trPr>
          <w:trHeight w:val="13"/>
        </w:trPr>
        <w:tc>
          <w:tcPr>
            <w:tcW w:w="1963" w:type="dxa"/>
            <w:vMerge/>
            <w:vAlign w:val="center"/>
          </w:tcPr>
          <w:p w14:paraId="70469E01"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tcPr>
          <w:p w14:paraId="6028763C"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2029</w:t>
            </w:r>
          </w:p>
        </w:tc>
        <w:tc>
          <w:tcPr>
            <w:tcW w:w="2461" w:type="dxa"/>
            <w:shd w:val="clear" w:color="auto" w:fill="auto"/>
            <w:noWrap/>
          </w:tcPr>
          <w:p w14:paraId="0B4CCEF7"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sz w:val="20"/>
                <w:szCs w:val="20"/>
              </w:rPr>
              <w:t>12733</w:t>
            </w:r>
          </w:p>
        </w:tc>
        <w:tc>
          <w:tcPr>
            <w:tcW w:w="1640" w:type="dxa"/>
            <w:vAlign w:val="bottom"/>
          </w:tcPr>
          <w:p w14:paraId="1CAC942D" w14:textId="77777777" w:rsidR="00F015E8" w:rsidRPr="003C0378" w:rsidRDefault="00F015E8" w:rsidP="00CC1409">
            <w:pPr>
              <w:spacing w:after="0"/>
              <w:ind w:firstLine="0"/>
              <w:jc w:val="center"/>
              <w:rPr>
                <w:rFonts w:cs="Times New Roman"/>
                <w:sz w:val="20"/>
                <w:szCs w:val="20"/>
              </w:rPr>
            </w:pPr>
            <w:r w:rsidRPr="003C0378">
              <w:rPr>
                <w:rFonts w:cs="Times New Roman"/>
                <w:color w:val="000000"/>
                <w:sz w:val="20"/>
                <w:szCs w:val="20"/>
              </w:rPr>
              <w:t>466</w:t>
            </w:r>
          </w:p>
        </w:tc>
        <w:tc>
          <w:tcPr>
            <w:tcW w:w="1641" w:type="dxa"/>
          </w:tcPr>
          <w:p w14:paraId="23BD4FE7"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13,97</w:t>
            </w:r>
            <w:r>
              <w:rPr>
                <w:sz w:val="20"/>
                <w:szCs w:val="20"/>
              </w:rPr>
              <w:t>–</w:t>
            </w:r>
            <w:r w:rsidRPr="003C0378">
              <w:rPr>
                <w:sz w:val="20"/>
                <w:szCs w:val="20"/>
              </w:rPr>
              <w:t>23,28</w:t>
            </w:r>
          </w:p>
        </w:tc>
      </w:tr>
      <w:tr w:rsidR="00F015E8" w:rsidRPr="003C0378" w14:paraId="69E0C607" w14:textId="77777777" w:rsidTr="00E24002">
        <w:trPr>
          <w:trHeight w:val="13"/>
        </w:trPr>
        <w:tc>
          <w:tcPr>
            <w:tcW w:w="1963" w:type="dxa"/>
            <w:vMerge/>
            <w:vAlign w:val="center"/>
          </w:tcPr>
          <w:p w14:paraId="4545887E" w14:textId="77777777" w:rsidR="00F015E8" w:rsidRPr="003C0378" w:rsidRDefault="00F015E8" w:rsidP="00CC1409">
            <w:pPr>
              <w:spacing w:after="0"/>
              <w:ind w:firstLine="0"/>
              <w:jc w:val="left"/>
              <w:rPr>
                <w:rFonts w:eastAsia="Times New Roman" w:cs="Times New Roman"/>
                <w:color w:val="000000"/>
                <w:sz w:val="20"/>
                <w:szCs w:val="20"/>
                <w:lang w:eastAsia="lt-LT"/>
              </w:rPr>
            </w:pPr>
          </w:p>
        </w:tc>
        <w:tc>
          <w:tcPr>
            <w:tcW w:w="1805" w:type="dxa"/>
            <w:shd w:val="clear" w:color="auto" w:fill="auto"/>
            <w:noWrap/>
            <w:vAlign w:val="bottom"/>
          </w:tcPr>
          <w:p w14:paraId="17922749"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rFonts w:eastAsia="Times New Roman" w:cs="Times New Roman"/>
                <w:color w:val="000000"/>
                <w:sz w:val="20"/>
                <w:szCs w:val="20"/>
                <w:lang w:eastAsia="lt-LT"/>
              </w:rPr>
              <w:t>2030</w:t>
            </w:r>
          </w:p>
        </w:tc>
        <w:tc>
          <w:tcPr>
            <w:tcW w:w="2461" w:type="dxa"/>
            <w:shd w:val="clear" w:color="auto" w:fill="auto"/>
            <w:noWrap/>
          </w:tcPr>
          <w:p w14:paraId="5CF9E95E" w14:textId="77777777" w:rsidR="00F015E8" w:rsidRPr="003C0378" w:rsidRDefault="00F015E8" w:rsidP="00CC1409">
            <w:pPr>
              <w:spacing w:after="0"/>
              <w:ind w:firstLine="0"/>
              <w:jc w:val="center"/>
              <w:rPr>
                <w:rFonts w:eastAsia="Times New Roman" w:cs="Times New Roman"/>
                <w:color w:val="000000"/>
                <w:sz w:val="20"/>
                <w:szCs w:val="20"/>
                <w:lang w:eastAsia="lt-LT"/>
              </w:rPr>
            </w:pPr>
            <w:r w:rsidRPr="003C0378">
              <w:rPr>
                <w:sz w:val="20"/>
                <w:szCs w:val="20"/>
              </w:rPr>
              <w:t>13216</w:t>
            </w:r>
          </w:p>
        </w:tc>
        <w:tc>
          <w:tcPr>
            <w:tcW w:w="1640" w:type="dxa"/>
            <w:vAlign w:val="bottom"/>
          </w:tcPr>
          <w:p w14:paraId="7A7AB0C8" w14:textId="77777777" w:rsidR="00F015E8" w:rsidRPr="003C0378" w:rsidRDefault="00F015E8" w:rsidP="00CC1409">
            <w:pPr>
              <w:spacing w:after="0"/>
              <w:ind w:firstLine="0"/>
              <w:jc w:val="center"/>
              <w:rPr>
                <w:rFonts w:cs="Times New Roman"/>
                <w:sz w:val="20"/>
                <w:szCs w:val="20"/>
              </w:rPr>
            </w:pPr>
            <w:r w:rsidRPr="003C0378">
              <w:rPr>
                <w:rFonts w:cs="Times New Roman"/>
                <w:color w:val="000000"/>
                <w:sz w:val="20"/>
                <w:szCs w:val="20"/>
              </w:rPr>
              <w:t>483</w:t>
            </w:r>
          </w:p>
        </w:tc>
        <w:tc>
          <w:tcPr>
            <w:tcW w:w="1641" w:type="dxa"/>
          </w:tcPr>
          <w:p w14:paraId="4FDCEF9A" w14:textId="77777777" w:rsidR="00F015E8" w:rsidRPr="003C0378" w:rsidRDefault="00F015E8" w:rsidP="00CC1409">
            <w:pPr>
              <w:spacing w:after="0"/>
              <w:ind w:firstLine="0"/>
              <w:jc w:val="center"/>
              <w:rPr>
                <w:rFonts w:cs="Times New Roman"/>
                <w:color w:val="000000"/>
                <w:sz w:val="20"/>
                <w:szCs w:val="20"/>
              </w:rPr>
            </w:pPr>
            <w:r w:rsidRPr="003C0378">
              <w:rPr>
                <w:sz w:val="20"/>
                <w:szCs w:val="20"/>
              </w:rPr>
              <w:t>14,5</w:t>
            </w:r>
            <w:r>
              <w:rPr>
                <w:sz w:val="20"/>
                <w:szCs w:val="20"/>
              </w:rPr>
              <w:t>–</w:t>
            </w:r>
            <w:r w:rsidRPr="003C0378">
              <w:rPr>
                <w:sz w:val="20"/>
                <w:szCs w:val="20"/>
              </w:rPr>
              <w:t>24,16</w:t>
            </w:r>
          </w:p>
        </w:tc>
      </w:tr>
      <w:tr w:rsidR="00F015E8" w:rsidRPr="003C0378" w14:paraId="36B6F5CC" w14:textId="77777777" w:rsidTr="00E24002">
        <w:trPr>
          <w:trHeight w:val="13"/>
        </w:trPr>
        <w:tc>
          <w:tcPr>
            <w:tcW w:w="7872" w:type="dxa"/>
            <w:gridSpan w:val="4"/>
            <w:vAlign w:val="center"/>
          </w:tcPr>
          <w:p w14:paraId="6F19E7A3" w14:textId="77777777" w:rsidR="00F015E8" w:rsidRPr="003C0378" w:rsidRDefault="00F015E8" w:rsidP="00CC1409">
            <w:pPr>
              <w:spacing w:after="0"/>
              <w:ind w:firstLine="0"/>
              <w:jc w:val="center"/>
              <w:rPr>
                <w:rFonts w:cs="Times New Roman"/>
                <w:b/>
                <w:color w:val="000000"/>
                <w:sz w:val="20"/>
                <w:szCs w:val="20"/>
              </w:rPr>
            </w:pPr>
            <w:r w:rsidRPr="003C0378">
              <w:rPr>
                <w:rFonts w:cs="Times New Roman"/>
                <w:b/>
                <w:color w:val="000000"/>
                <w:sz w:val="20"/>
                <w:szCs w:val="20"/>
              </w:rPr>
              <w:t>Naujai išduotų paskolų investicijoms į AEI projektus vertė (mln. Eur)</w:t>
            </w:r>
          </w:p>
        </w:tc>
        <w:tc>
          <w:tcPr>
            <w:tcW w:w="1641" w:type="dxa"/>
          </w:tcPr>
          <w:p w14:paraId="4FD84409" w14:textId="77777777" w:rsidR="00F015E8" w:rsidRPr="003C0378" w:rsidRDefault="00F015E8" w:rsidP="00CC1409">
            <w:pPr>
              <w:spacing w:after="0"/>
              <w:ind w:firstLine="0"/>
              <w:jc w:val="center"/>
              <w:rPr>
                <w:rFonts w:cs="Times New Roman"/>
                <w:b/>
                <w:color w:val="000000"/>
                <w:sz w:val="20"/>
                <w:szCs w:val="20"/>
              </w:rPr>
            </w:pPr>
            <w:r w:rsidRPr="003C0378">
              <w:rPr>
                <w:rFonts w:cs="Times New Roman"/>
                <w:b/>
                <w:color w:val="000000"/>
                <w:sz w:val="20"/>
                <w:szCs w:val="20"/>
              </w:rPr>
              <w:t>102,18–170,3</w:t>
            </w:r>
          </w:p>
        </w:tc>
      </w:tr>
    </w:tbl>
    <w:p w14:paraId="3B216EB7" w14:textId="25438FB6" w:rsidR="00061871" w:rsidRPr="003C0378" w:rsidRDefault="00061871" w:rsidP="00B62217">
      <w:pPr>
        <w:keepNext/>
        <w:spacing w:after="0"/>
        <w:jc w:val="left"/>
        <w:rPr>
          <w:rFonts w:cs="Times New Roman"/>
          <w:sz w:val="20"/>
          <w:szCs w:val="20"/>
        </w:rPr>
      </w:pPr>
      <w:r w:rsidRPr="003C0378">
        <w:rPr>
          <w:rFonts w:cs="Times New Roman"/>
          <w:sz w:val="20"/>
          <w:szCs w:val="20"/>
        </w:rPr>
        <w:lastRenderedPageBreak/>
        <w:t xml:space="preserve">Šaltinis: sudaryta Vertintojų, remiantis Lietuvos banko duomenimis ir vertintojų prognozėmis. </w:t>
      </w:r>
    </w:p>
    <w:p w14:paraId="7EF63B04" w14:textId="0E20FF55" w:rsidR="00ED7B49" w:rsidRPr="003C0378" w:rsidRDefault="00B62217" w:rsidP="00ED7B49">
      <w:pPr>
        <w:spacing w:line="276" w:lineRule="auto"/>
      </w:pPr>
      <w:r w:rsidRPr="003C0378">
        <w:t>Kaip galima matyti lentelėje, vidutinis paskolų portfelio kasmetinis augimas 2017–2022 m. laikotarpiu siekė 3,79 proc</w:t>
      </w:r>
      <w:r w:rsidR="00872DBB" w:rsidRPr="003C0378">
        <w:t>. Atsižvelgiant į šį augimo lygį</w:t>
      </w:r>
      <w:r w:rsidRPr="003C0378">
        <w:t>, vertintojai padarė prielaidą, kad toks augimo tempas išsilaikys ir 2023–2030 m. laikotarpiu, ir, atitinkamai, apskaičiavo paskolų portfelio prognozę 2023–2030 m. laikotarpiu.</w:t>
      </w:r>
      <w:r w:rsidR="00872DBB" w:rsidRPr="003C0378">
        <w:t xml:space="preserve"> Interviu metu su finansų įstaigų atstovais taip pat paaiškėjo, kad šiuo metu rinkoje egzistuojančios INVEGA garantinės priemonės bankams yra priimtinos ir patrauklios, o taip pat ženkliai prisideda prie galimybių didinti kredito apimtis verslo subjektams, kurie gali susidurti su nepakankamo užstato problemomis ir kurie nori gauti finansavimą AEI plėtrai. Atsižvelgiant į tai, kad INVEGA garantinės priemonės yra patrauklios finansų įstaigoms bei tai, kad garantinės priemonės tiesiogiai neformuoja finansavimo pasiūlos, o tik leidžia užtikrinti jau prieinamo finansavimo prieinamumą verslo subjektams, Vertintojai atskirai neanalizavo</w:t>
      </w:r>
      <w:r w:rsidR="00AD13A1" w:rsidRPr="003C0378">
        <w:t xml:space="preserve"> netiesiogiai įgyvendinamų</w:t>
      </w:r>
      <w:r w:rsidR="00872DBB" w:rsidRPr="003C0378">
        <w:t xml:space="preserve"> INVEGA priemo</w:t>
      </w:r>
      <w:r w:rsidR="00AD13A1" w:rsidRPr="003C0378">
        <w:t xml:space="preserve">nių finansavimo pasiūlos prieinamumo, kadangi šių priemonių finansavimo pasiūla tiesiogiai atsispindi paskolų portfelio analizėje. </w:t>
      </w:r>
    </w:p>
    <w:p w14:paraId="0B8FACD2" w14:textId="3CDF2169" w:rsidR="00AB673E" w:rsidRPr="003C0378" w:rsidRDefault="00413185" w:rsidP="00AD13A1">
      <w:pPr>
        <w:spacing w:line="276" w:lineRule="auto"/>
      </w:pPr>
      <w:r w:rsidRPr="003C0378">
        <w:t xml:space="preserve">Ankstesniuose vertinimuose buvo daroma prielaida, kad </w:t>
      </w:r>
      <w:r w:rsidR="00ED7B49" w:rsidRPr="003C0378">
        <w:t xml:space="preserve">tik maždaug 5 proc. paskolų portfelio bus nukreipta energetinėms investicijoms. Vis dėlto, remiantis atliktais interviu su finansų įstaigų atstovais, finansų įstaigos atsižvelgdamos į ES „žaliąjį kursą“ ir paspartėjusią „žaliąja transformaciją“ ekonomikoje </w:t>
      </w:r>
      <w:r w:rsidR="009D5D87" w:rsidRPr="003C0378">
        <w:t>nori ir planuoja, kad „žaliosios investicijos“ ateityje sudarys vis didesnę portfelio dalį. Atsižvelgiant į tai, vertintojai padarė prielaidą, kad paskolų, nukreiptų į energetines investicijas, dalis gali varijuoti nuo 6 proc. iki 10 proc. nuo viso portfelio vertės. Taip pat svarbu atkreipti dėmesį į tai, kad ne visos energetinės investicijos yra elektros gamybos iš AEI investicijos. Energetinės investicijos taip pat gali apimti investicijas į šilumos siurblių įsigijimą, pastatų / patalpų apšiltinimą, energijos kaupiklius ir pan. Atsižvelgiant į tai, vertintojai padarė prielaidą, kad bent pusė energetinių investicijų sudarys investicijos į AEI elek</w:t>
      </w:r>
      <w:r w:rsidR="002F5760" w:rsidRPr="003C0378">
        <w:t>tros gamybos įrenginius. Taigi</w:t>
      </w:r>
      <w:r w:rsidR="009D5D87" w:rsidRPr="003C0378">
        <w:t>, naujų paskolų investicijos į elektr</w:t>
      </w:r>
      <w:r w:rsidR="00002F46" w:rsidRPr="003C0378">
        <w:t>os gamybą iš AEI sudarys apie 3–</w:t>
      </w:r>
      <w:r w:rsidR="009D5D87" w:rsidRPr="003C0378">
        <w:t>5 proc. nuo viso paskolų portfelio vertės, o tai, ati</w:t>
      </w:r>
      <w:r w:rsidR="00AB673E" w:rsidRPr="003C0378">
        <w:t xml:space="preserve">tinkamai, </w:t>
      </w:r>
      <w:r w:rsidR="00AB673E" w:rsidRPr="003C0378">
        <w:rPr>
          <w:b/>
        </w:rPr>
        <w:t>indikuoja, kad 2023–</w:t>
      </w:r>
      <w:r w:rsidR="009D5D87" w:rsidRPr="003C0378">
        <w:rPr>
          <w:b/>
        </w:rPr>
        <w:t xml:space="preserve">2030 m. laikotarpiu </w:t>
      </w:r>
      <w:r w:rsidR="00AB673E" w:rsidRPr="003C0378">
        <w:rPr>
          <w:b/>
        </w:rPr>
        <w:t>naujai išduotų paskolų investicijoms į AEI projektus vertė sieks 102,18–170,3 mln. Eur.</w:t>
      </w:r>
    </w:p>
    <w:p w14:paraId="6D49BEF3" w14:textId="58EE2F9D" w:rsidR="00337D0A" w:rsidRPr="003C0378" w:rsidRDefault="00AD13A1" w:rsidP="00AB673E">
      <w:pPr>
        <w:pStyle w:val="Antrat2"/>
        <w:numPr>
          <w:ilvl w:val="2"/>
          <w:numId w:val="3"/>
        </w:numPr>
        <w:rPr>
          <w:rFonts w:cs="Times New Roman"/>
        </w:rPr>
      </w:pPr>
      <w:bookmarkStart w:id="102" w:name="_Ref125924021"/>
      <w:bookmarkStart w:id="103" w:name="_Toc126051362"/>
      <w:bookmarkStart w:id="104" w:name="_Toc166139831"/>
      <w:bookmarkStart w:id="105" w:name="_Toc170804593"/>
      <w:bookmarkStart w:id="106" w:name="_Hlk125747266"/>
      <w:r w:rsidRPr="003C0378">
        <w:rPr>
          <w:rFonts w:cs="Times New Roman"/>
        </w:rPr>
        <w:t>Prieinamų lėšų elektros gamybos</w:t>
      </w:r>
      <w:r w:rsidR="00ED7B49" w:rsidRPr="003C0378">
        <w:rPr>
          <w:rFonts w:cs="Times New Roman"/>
        </w:rPr>
        <w:t xml:space="preserve"> iš </w:t>
      </w:r>
      <w:r w:rsidR="008D7B1B" w:rsidRPr="003C0378">
        <w:rPr>
          <w:rFonts w:cs="Times New Roman"/>
        </w:rPr>
        <w:t xml:space="preserve">AEI plėtrai </w:t>
      </w:r>
      <w:bookmarkEnd w:id="102"/>
      <w:r w:rsidR="00ED7B49" w:rsidRPr="003C0378">
        <w:rPr>
          <w:rFonts w:cs="Times New Roman"/>
        </w:rPr>
        <w:t>apibendrinimas</w:t>
      </w:r>
      <w:bookmarkEnd w:id="103"/>
      <w:bookmarkEnd w:id="104"/>
      <w:bookmarkEnd w:id="105"/>
    </w:p>
    <w:bookmarkEnd w:id="106"/>
    <w:p w14:paraId="1273D381" w14:textId="0ED954FF" w:rsidR="00526D04" w:rsidRPr="003C0378" w:rsidRDefault="00390B9E" w:rsidP="00F744C9">
      <w:pPr>
        <w:spacing w:after="0" w:line="276" w:lineRule="auto"/>
        <w:ind w:firstLine="561"/>
        <w:rPr>
          <w:rFonts w:cs="Times New Roman"/>
        </w:rPr>
      </w:pPr>
      <w:r w:rsidRPr="003C0378">
        <w:rPr>
          <w:rFonts w:cs="Times New Roman"/>
        </w:rPr>
        <w:t>Žemiau lentelėje yra pateikiamas prieinamų lėšų AEI plėtrai apibendrinimas pagal kiekvieną tikslinę grupę</w:t>
      </w:r>
      <w:r w:rsidR="005B17F7" w:rsidRPr="003C0378">
        <w:rPr>
          <w:rFonts w:cs="Times New Roman"/>
        </w:rPr>
        <w:t xml:space="preserve"> ir finansavimo šaltinį. Kaip galima matyti lentelėje, didžiausias finansavimo prieinamumas yra verslo tikslinėje grupėje. Tuo tarpu kitose tikslinėse grupėse investicijų poreikis yra ženkliai mažesnis ir </w:t>
      </w:r>
      <w:r w:rsidR="00096C2C" w:rsidRPr="003C0378">
        <w:rPr>
          <w:rFonts w:cs="Times New Roman"/>
        </w:rPr>
        <w:t xml:space="preserve">iš esmės visiškai </w:t>
      </w:r>
      <w:r w:rsidR="005B17F7" w:rsidRPr="003C0378">
        <w:rPr>
          <w:rFonts w:cs="Times New Roman"/>
        </w:rPr>
        <w:t>priklausomas viešųjų investicijų šaltinių.</w:t>
      </w:r>
    </w:p>
    <w:p w14:paraId="103B4B0C" w14:textId="08391618" w:rsidR="00526D04" w:rsidRPr="003C0378" w:rsidRDefault="00526D04" w:rsidP="00526D04">
      <w:pPr>
        <w:keepNext/>
        <w:ind w:firstLine="0"/>
        <w:rPr>
          <w:rFonts w:cs="Times New Roman"/>
          <w:i/>
          <w:iCs/>
        </w:rPr>
      </w:pPr>
      <w:bookmarkStart w:id="107" w:name="_Toc126051393"/>
      <w:bookmarkStart w:id="108" w:name="_Toc166139865"/>
      <w:bookmarkStart w:id="109" w:name="_Toc170804631"/>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15</w:t>
      </w:r>
      <w:r w:rsidRPr="003C0378">
        <w:rPr>
          <w:rFonts w:cs="Times New Roman"/>
          <w:i/>
          <w:iCs/>
        </w:rPr>
        <w:fldChar w:fldCharType="end"/>
      </w:r>
      <w:r w:rsidRPr="003C0378">
        <w:rPr>
          <w:rFonts w:cs="Times New Roman"/>
          <w:i/>
          <w:iCs/>
        </w:rPr>
        <w:t xml:space="preserve">. AEI investicijų </w:t>
      </w:r>
      <w:r w:rsidR="000F5989" w:rsidRPr="003C0378">
        <w:rPr>
          <w:rFonts w:cs="Times New Roman"/>
          <w:i/>
          <w:iCs/>
        </w:rPr>
        <w:t>pasiūlos apibendrinimas</w:t>
      </w:r>
      <w:bookmarkEnd w:id="107"/>
      <w:bookmarkEnd w:id="108"/>
      <w:bookmarkEnd w:id="109"/>
    </w:p>
    <w:tbl>
      <w:tblPr>
        <w:tblStyle w:val="Lentelstinklelis"/>
        <w:tblW w:w="9631" w:type="dxa"/>
        <w:tblLayout w:type="fixed"/>
        <w:tblLook w:val="04A0" w:firstRow="1" w:lastRow="0" w:firstColumn="1" w:lastColumn="0" w:noHBand="0" w:noVBand="1"/>
      </w:tblPr>
      <w:tblGrid>
        <w:gridCol w:w="2605"/>
        <w:gridCol w:w="7002"/>
        <w:gridCol w:w="24"/>
      </w:tblGrid>
      <w:tr w:rsidR="00AD13A1" w:rsidRPr="003C0378" w14:paraId="7DBF7290" w14:textId="77777777" w:rsidTr="00E24002">
        <w:trPr>
          <w:trHeight w:val="478"/>
          <w:tblHeader/>
        </w:trPr>
        <w:tc>
          <w:tcPr>
            <w:tcW w:w="2605" w:type="dxa"/>
          </w:tcPr>
          <w:p w14:paraId="563F2CF3" w14:textId="77777777" w:rsidR="00AD13A1" w:rsidRPr="003C0378" w:rsidRDefault="00AD13A1" w:rsidP="00BB4DC2">
            <w:pPr>
              <w:spacing w:after="0" w:line="276" w:lineRule="auto"/>
              <w:ind w:firstLine="0"/>
              <w:jc w:val="center"/>
              <w:rPr>
                <w:rFonts w:cs="Times New Roman"/>
                <w:b/>
                <w:bCs/>
                <w:sz w:val="20"/>
                <w:szCs w:val="20"/>
                <w:lang w:val="lt-LT"/>
              </w:rPr>
            </w:pPr>
            <w:r w:rsidRPr="003C0378">
              <w:rPr>
                <w:rFonts w:cs="Times New Roman"/>
                <w:b/>
                <w:bCs/>
                <w:sz w:val="20"/>
                <w:szCs w:val="20"/>
                <w:lang w:val="lt-LT"/>
              </w:rPr>
              <w:t>Finansavimo šaltinis</w:t>
            </w:r>
          </w:p>
        </w:tc>
        <w:tc>
          <w:tcPr>
            <w:tcW w:w="7026" w:type="dxa"/>
            <w:gridSpan w:val="2"/>
          </w:tcPr>
          <w:p w14:paraId="50AC5180" w14:textId="77777777" w:rsidR="00AD13A1" w:rsidRPr="003C0378" w:rsidRDefault="00AD13A1" w:rsidP="00BB4DC2">
            <w:pPr>
              <w:spacing w:after="0" w:line="276" w:lineRule="auto"/>
              <w:ind w:firstLine="0"/>
              <w:jc w:val="center"/>
              <w:rPr>
                <w:rFonts w:cs="Times New Roman"/>
                <w:b/>
                <w:bCs/>
                <w:sz w:val="20"/>
                <w:szCs w:val="20"/>
                <w:lang w:val="lt-LT"/>
              </w:rPr>
            </w:pPr>
            <w:r w:rsidRPr="003C0378">
              <w:rPr>
                <w:rFonts w:cs="Times New Roman"/>
                <w:b/>
                <w:bCs/>
                <w:sz w:val="20"/>
                <w:szCs w:val="20"/>
                <w:lang w:val="lt-LT"/>
              </w:rPr>
              <w:t>Numatytų investicijų į AEI (saulės ir vėjo elektrinių pajėgumus) kiekis (Eur)</w:t>
            </w:r>
          </w:p>
        </w:tc>
      </w:tr>
      <w:tr w:rsidR="00AD13A1" w:rsidRPr="003C0378" w14:paraId="2F46C6AB" w14:textId="77777777" w:rsidTr="00E24002">
        <w:trPr>
          <w:trHeight w:val="118"/>
        </w:trPr>
        <w:tc>
          <w:tcPr>
            <w:tcW w:w="2605" w:type="dxa"/>
          </w:tcPr>
          <w:p w14:paraId="349B0110" w14:textId="77777777" w:rsidR="00AD13A1" w:rsidRPr="003C0378" w:rsidRDefault="00AD13A1"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2022–2025 m. Klimato kaitos programa</w:t>
            </w:r>
          </w:p>
        </w:tc>
        <w:tc>
          <w:tcPr>
            <w:tcW w:w="7026" w:type="dxa"/>
            <w:gridSpan w:val="2"/>
          </w:tcPr>
          <w:p w14:paraId="39849B4E" w14:textId="77777777" w:rsidR="00AD13A1" w:rsidRPr="003C0378" w:rsidRDefault="00AD13A1" w:rsidP="00BB4DC2">
            <w:pPr>
              <w:spacing w:after="0" w:line="276" w:lineRule="auto"/>
              <w:ind w:firstLine="0"/>
              <w:jc w:val="center"/>
              <w:rPr>
                <w:rFonts w:cs="Times New Roman"/>
                <w:sz w:val="20"/>
                <w:szCs w:val="20"/>
                <w:lang w:val="lt-LT"/>
              </w:rPr>
            </w:pPr>
            <w:r w:rsidRPr="003C0378">
              <w:rPr>
                <w:rFonts w:cs="Times New Roman"/>
                <w:sz w:val="20"/>
                <w:szCs w:val="20"/>
                <w:lang w:val="lt-LT"/>
              </w:rPr>
              <w:t>48 mln.</w:t>
            </w:r>
          </w:p>
        </w:tc>
      </w:tr>
      <w:tr w:rsidR="00AD13A1" w:rsidRPr="003C0378" w14:paraId="09B03F66" w14:textId="77777777" w:rsidTr="00E24002">
        <w:trPr>
          <w:gridAfter w:val="1"/>
          <w:wAfter w:w="24" w:type="dxa"/>
          <w:trHeight w:val="14"/>
        </w:trPr>
        <w:tc>
          <w:tcPr>
            <w:tcW w:w="2605" w:type="dxa"/>
          </w:tcPr>
          <w:p w14:paraId="494064F6" w14:textId="77777777" w:rsidR="00AD13A1" w:rsidRPr="003C0378" w:rsidRDefault="00AD13A1"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Modernizavimo fondas</w:t>
            </w:r>
          </w:p>
        </w:tc>
        <w:tc>
          <w:tcPr>
            <w:tcW w:w="7002" w:type="dxa"/>
          </w:tcPr>
          <w:p w14:paraId="466E1F36" w14:textId="5E4090EC" w:rsidR="00AD13A1" w:rsidRPr="003C0378" w:rsidRDefault="00B64556" w:rsidP="00BB4DC2">
            <w:pPr>
              <w:spacing w:after="0" w:line="276" w:lineRule="auto"/>
              <w:ind w:firstLine="0"/>
              <w:jc w:val="center"/>
              <w:rPr>
                <w:rFonts w:cs="Times New Roman"/>
                <w:sz w:val="20"/>
                <w:szCs w:val="20"/>
                <w:lang w:val="lt-LT"/>
              </w:rPr>
            </w:pPr>
            <w:r>
              <w:rPr>
                <w:rFonts w:cs="Times New Roman"/>
                <w:sz w:val="20"/>
                <w:szCs w:val="20"/>
              </w:rPr>
              <w:t>50</w:t>
            </w:r>
            <w:r w:rsidR="00AD13A1" w:rsidRPr="003C0378">
              <w:rPr>
                <w:rFonts w:cs="Times New Roman"/>
                <w:sz w:val="20"/>
                <w:szCs w:val="20"/>
                <w:lang w:val="lt-LT"/>
              </w:rPr>
              <w:t xml:space="preserve"> mln.</w:t>
            </w:r>
          </w:p>
        </w:tc>
      </w:tr>
      <w:tr w:rsidR="00AD13A1" w:rsidRPr="003C0378" w14:paraId="498E677D" w14:textId="77777777" w:rsidTr="00E24002">
        <w:trPr>
          <w:trHeight w:val="14"/>
        </w:trPr>
        <w:tc>
          <w:tcPr>
            <w:tcW w:w="2605" w:type="dxa"/>
          </w:tcPr>
          <w:p w14:paraId="497CEB4B" w14:textId="77777777" w:rsidR="00AD13A1" w:rsidRPr="003C0378" w:rsidRDefault="00AD13A1" w:rsidP="00BB4DC2">
            <w:pPr>
              <w:spacing w:after="0" w:line="276" w:lineRule="auto"/>
              <w:ind w:firstLine="0"/>
              <w:rPr>
                <w:rFonts w:cs="Times New Roman"/>
                <w:sz w:val="20"/>
                <w:szCs w:val="20"/>
                <w:lang w:val="lt-LT"/>
              </w:rPr>
            </w:pPr>
            <w:r w:rsidRPr="003C0378">
              <w:rPr>
                <w:rFonts w:eastAsia="Times New Roman" w:cs="Times New Roman"/>
                <w:color w:val="000000"/>
                <w:sz w:val="20"/>
                <w:szCs w:val="20"/>
                <w:lang w:val="lt-LT"/>
              </w:rPr>
              <w:t>Teisingos pertvarkos fondas</w:t>
            </w:r>
          </w:p>
        </w:tc>
        <w:tc>
          <w:tcPr>
            <w:tcW w:w="7026" w:type="dxa"/>
            <w:gridSpan w:val="2"/>
          </w:tcPr>
          <w:p w14:paraId="585B81C6" w14:textId="77777777" w:rsidR="00AD13A1" w:rsidRPr="003C0378" w:rsidRDefault="00AD13A1" w:rsidP="00BB4DC2">
            <w:pPr>
              <w:spacing w:after="0" w:line="276" w:lineRule="auto"/>
              <w:ind w:firstLine="0"/>
              <w:jc w:val="center"/>
              <w:rPr>
                <w:rFonts w:cs="Times New Roman"/>
                <w:sz w:val="20"/>
                <w:szCs w:val="20"/>
                <w:lang w:val="lt-LT"/>
              </w:rPr>
            </w:pPr>
            <w:r w:rsidRPr="003C0378">
              <w:rPr>
                <w:rFonts w:cs="Times New Roman"/>
                <w:sz w:val="20"/>
                <w:szCs w:val="20"/>
                <w:lang w:val="lt-LT"/>
              </w:rPr>
              <w:t>42 mln.</w:t>
            </w:r>
            <w:r w:rsidRPr="003C0378">
              <w:rPr>
                <w:rStyle w:val="Puslapioinaosnuoroda"/>
                <w:rFonts w:cs="Times New Roman"/>
                <w:sz w:val="20"/>
                <w:szCs w:val="20"/>
                <w:lang w:val="lt-LT"/>
              </w:rPr>
              <w:footnoteReference w:id="32"/>
            </w:r>
          </w:p>
        </w:tc>
      </w:tr>
      <w:tr w:rsidR="00B004D6" w:rsidRPr="003C0378" w14:paraId="02A68932" w14:textId="77777777" w:rsidTr="00C9652A">
        <w:trPr>
          <w:gridAfter w:val="1"/>
          <w:wAfter w:w="24" w:type="dxa"/>
          <w:trHeight w:val="14"/>
        </w:trPr>
        <w:tc>
          <w:tcPr>
            <w:tcW w:w="2605" w:type="dxa"/>
          </w:tcPr>
          <w:p w14:paraId="1D31B9CA" w14:textId="77777777" w:rsidR="00B004D6" w:rsidRPr="006C0B37" w:rsidRDefault="00B004D6" w:rsidP="006C0B37">
            <w:pPr>
              <w:spacing w:after="0" w:line="276" w:lineRule="auto"/>
              <w:ind w:firstLine="0"/>
              <w:rPr>
                <w:sz w:val="20"/>
                <w:lang w:val="lt-LT"/>
              </w:rPr>
            </w:pPr>
            <w:r w:rsidRPr="003C0378">
              <w:rPr>
                <w:rFonts w:cs="Times New Roman"/>
                <w:sz w:val="20"/>
                <w:szCs w:val="20"/>
                <w:lang w:val="lt-LT"/>
              </w:rPr>
              <w:t>Ekonomikos gaivinimo ir atsparumo didinimo planas „Naujos kartos Lietuva“</w:t>
            </w:r>
            <w:r w:rsidR="003B5983">
              <w:rPr>
                <w:rFonts w:cs="Times New Roman"/>
                <w:sz w:val="20"/>
                <w:szCs w:val="20"/>
                <w:lang w:val="lt-LT"/>
              </w:rPr>
              <w:t xml:space="preserve"> priemonei </w:t>
            </w:r>
            <w:r w:rsidR="003B5983" w:rsidRPr="003B5983">
              <w:rPr>
                <w:rFonts w:cs="Times New Roman"/>
                <w:sz w:val="20"/>
                <w:szCs w:val="20"/>
                <w:lang w:val="lt-LT"/>
              </w:rPr>
              <w:t xml:space="preserve">Nr. 03–001–06–03–02 „Didinti atsinaujinančių energijos išteklių dalį, užtikrinant atsinaujinančių išteklių </w:t>
            </w:r>
            <w:r w:rsidR="003B5983" w:rsidRPr="003B5983">
              <w:rPr>
                <w:rFonts w:cs="Times New Roman"/>
                <w:sz w:val="20"/>
                <w:szCs w:val="20"/>
                <w:lang w:val="lt-LT"/>
              </w:rPr>
              <w:lastRenderedPageBreak/>
              <w:t>integraciją į elektros tinklus“</w:t>
            </w:r>
            <w:r w:rsidR="003B5983">
              <w:rPr>
                <w:rFonts w:cs="Times New Roman"/>
                <w:sz w:val="20"/>
                <w:szCs w:val="20"/>
                <w:lang w:val="lt-LT"/>
              </w:rPr>
              <w:t xml:space="preserve"> įgyvendinti</w:t>
            </w:r>
          </w:p>
        </w:tc>
        <w:tc>
          <w:tcPr>
            <w:tcW w:w="7002" w:type="dxa"/>
          </w:tcPr>
          <w:p w14:paraId="17B12A0A" w14:textId="6FC817E3" w:rsidR="00B004D6" w:rsidRPr="00C9652A" w:rsidRDefault="00AC7BD6" w:rsidP="006C0B37">
            <w:pPr>
              <w:spacing w:after="0" w:line="276" w:lineRule="auto"/>
              <w:ind w:firstLine="0"/>
              <w:jc w:val="center"/>
              <w:rPr>
                <w:sz w:val="20"/>
              </w:rPr>
            </w:pPr>
            <w:r>
              <w:rPr>
                <w:rFonts w:cs="Times New Roman"/>
                <w:sz w:val="20"/>
                <w:szCs w:val="20"/>
              </w:rPr>
              <w:lastRenderedPageBreak/>
              <w:t>645,2</w:t>
            </w:r>
            <w:r w:rsidR="00B64556">
              <w:rPr>
                <w:rFonts w:cs="Times New Roman"/>
                <w:sz w:val="20"/>
                <w:szCs w:val="20"/>
              </w:rPr>
              <w:t xml:space="preserve"> </w:t>
            </w:r>
            <w:proofErr w:type="spellStart"/>
            <w:r w:rsidR="00B64556">
              <w:rPr>
                <w:rFonts w:cs="Times New Roman"/>
                <w:sz w:val="20"/>
                <w:szCs w:val="20"/>
              </w:rPr>
              <w:t>mln</w:t>
            </w:r>
            <w:proofErr w:type="spellEnd"/>
            <w:r w:rsidR="00B64556">
              <w:rPr>
                <w:rFonts w:cs="Times New Roman"/>
                <w:sz w:val="20"/>
                <w:szCs w:val="20"/>
              </w:rPr>
              <w:t xml:space="preserve">. </w:t>
            </w:r>
          </w:p>
        </w:tc>
      </w:tr>
      <w:tr w:rsidR="00BD6A76" w:rsidRPr="003C0378" w14:paraId="71DB256D" w14:textId="77777777" w:rsidTr="00C9652A">
        <w:trPr>
          <w:gridAfter w:val="1"/>
          <w:wAfter w:w="24" w:type="dxa"/>
          <w:trHeight w:val="14"/>
        </w:trPr>
        <w:tc>
          <w:tcPr>
            <w:tcW w:w="2605" w:type="dxa"/>
          </w:tcPr>
          <w:p w14:paraId="09C95A49" w14:textId="772A8343" w:rsidR="00BD6A76" w:rsidRPr="007863F6" w:rsidRDefault="00BD6A76" w:rsidP="006C0B37">
            <w:pPr>
              <w:spacing w:after="0" w:line="276" w:lineRule="auto"/>
              <w:ind w:firstLine="0"/>
              <w:rPr>
                <w:rFonts w:cs="Times New Roman"/>
                <w:sz w:val="20"/>
                <w:szCs w:val="20"/>
                <w:lang w:val="lt-LT"/>
              </w:rPr>
            </w:pPr>
            <w:r w:rsidRPr="007863F6">
              <w:rPr>
                <w:rFonts w:cs="Times New Roman"/>
                <w:sz w:val="20"/>
                <w:szCs w:val="20"/>
                <w:lang w:val="lt-LT"/>
              </w:rPr>
              <w:t xml:space="preserve">VB </w:t>
            </w:r>
            <w:r w:rsidRPr="00C25724">
              <w:rPr>
                <w:rFonts w:cs="Times New Roman"/>
                <w:sz w:val="20"/>
                <w:szCs w:val="20"/>
                <w:lang w:val="lt-LT"/>
              </w:rPr>
              <w:t>l</w:t>
            </w:r>
            <w:r w:rsidR="00606079" w:rsidRPr="00C25724">
              <w:rPr>
                <w:rFonts w:cs="Times New Roman"/>
                <w:sz w:val="20"/>
                <w:szCs w:val="20"/>
                <w:lang w:val="lt-LT"/>
              </w:rPr>
              <w:t>ėšos</w:t>
            </w:r>
            <w:r w:rsidR="00606079" w:rsidRPr="007863F6">
              <w:rPr>
                <w:rFonts w:cs="Times New Roman"/>
                <w:sz w:val="20"/>
                <w:szCs w:val="20"/>
                <w:lang w:val="lt-LT"/>
              </w:rPr>
              <w:t xml:space="preserve"> </w:t>
            </w:r>
            <w:r w:rsidR="00606079" w:rsidRPr="003C0378">
              <w:rPr>
                <w:rFonts w:cs="Times New Roman"/>
                <w:sz w:val="20"/>
                <w:szCs w:val="20"/>
                <w:lang w:val="lt-LT"/>
              </w:rPr>
              <w:t>Ekonomikos gaivinimo ir atsparumo didinimo plan</w:t>
            </w:r>
            <w:r w:rsidR="00606079">
              <w:rPr>
                <w:rFonts w:cs="Times New Roman"/>
                <w:sz w:val="20"/>
                <w:szCs w:val="20"/>
                <w:lang w:val="lt-LT"/>
              </w:rPr>
              <w:t>o</w:t>
            </w:r>
            <w:r w:rsidR="00606079" w:rsidRPr="003C0378">
              <w:rPr>
                <w:rFonts w:cs="Times New Roman"/>
                <w:sz w:val="20"/>
                <w:szCs w:val="20"/>
                <w:lang w:val="lt-LT"/>
              </w:rPr>
              <w:t xml:space="preserve"> „Naujos kartos </w:t>
            </w:r>
            <w:r w:rsidR="00DC712F" w:rsidRPr="003C0378">
              <w:rPr>
                <w:rFonts w:cs="Times New Roman"/>
                <w:sz w:val="20"/>
                <w:szCs w:val="20"/>
                <w:lang w:val="lt-LT"/>
              </w:rPr>
              <w:t>Lietuva</w:t>
            </w:r>
            <w:r w:rsidR="00DC712F">
              <w:rPr>
                <w:rFonts w:cs="Times New Roman"/>
                <w:sz w:val="20"/>
                <w:szCs w:val="20"/>
                <w:lang w:val="lt-LT"/>
              </w:rPr>
              <w:t>“ priemonei</w:t>
            </w:r>
            <w:r w:rsidR="00606079">
              <w:rPr>
                <w:rFonts w:cs="Times New Roman"/>
                <w:sz w:val="20"/>
                <w:szCs w:val="20"/>
                <w:lang w:val="lt-LT"/>
              </w:rPr>
              <w:t xml:space="preserve"> </w:t>
            </w:r>
            <w:r w:rsidR="00606079" w:rsidRPr="003B5983">
              <w:rPr>
                <w:rFonts w:cs="Times New Roman"/>
                <w:sz w:val="20"/>
                <w:szCs w:val="20"/>
                <w:lang w:val="lt-LT"/>
              </w:rPr>
              <w:t>Nr. 03–001–06–03–02 „Didinti atsinaujinančių energijos išteklių dalį, užtikrinant atsinaujinančių išteklių integraciją į elektros tinklus“</w:t>
            </w:r>
            <w:r w:rsidR="00606079">
              <w:rPr>
                <w:rFonts w:cs="Times New Roman"/>
                <w:sz w:val="20"/>
                <w:szCs w:val="20"/>
                <w:lang w:val="lt-LT"/>
              </w:rPr>
              <w:t xml:space="preserve"> įgyvendinti</w:t>
            </w:r>
          </w:p>
        </w:tc>
        <w:tc>
          <w:tcPr>
            <w:tcW w:w="7002" w:type="dxa"/>
          </w:tcPr>
          <w:p w14:paraId="0C99583F" w14:textId="153FF4A9" w:rsidR="00BD6A76" w:rsidRDefault="00CC766D" w:rsidP="006C0B37">
            <w:pPr>
              <w:spacing w:after="0" w:line="276" w:lineRule="auto"/>
              <w:ind w:firstLine="0"/>
              <w:jc w:val="center"/>
              <w:rPr>
                <w:rFonts w:cs="Times New Roman"/>
                <w:sz w:val="20"/>
                <w:szCs w:val="20"/>
              </w:rPr>
            </w:pPr>
            <w:r>
              <w:rPr>
                <w:rFonts w:cs="Times New Roman"/>
                <w:sz w:val="20"/>
                <w:szCs w:val="20"/>
              </w:rPr>
              <w:t xml:space="preserve">229,2 </w:t>
            </w:r>
            <w:proofErr w:type="spellStart"/>
            <w:r>
              <w:rPr>
                <w:rFonts w:cs="Times New Roman"/>
                <w:sz w:val="20"/>
                <w:szCs w:val="20"/>
              </w:rPr>
              <w:t>mln</w:t>
            </w:r>
            <w:proofErr w:type="spellEnd"/>
            <w:r>
              <w:rPr>
                <w:rFonts w:cs="Times New Roman"/>
                <w:sz w:val="20"/>
                <w:szCs w:val="20"/>
              </w:rPr>
              <w:t>.</w:t>
            </w:r>
          </w:p>
        </w:tc>
      </w:tr>
      <w:tr w:rsidR="00B004D6" w:rsidRPr="003C0378" w14:paraId="55C14C97" w14:textId="77777777" w:rsidTr="007863F6">
        <w:trPr>
          <w:gridAfter w:val="1"/>
          <w:wAfter w:w="24" w:type="dxa"/>
          <w:trHeight w:val="14"/>
        </w:trPr>
        <w:tc>
          <w:tcPr>
            <w:tcW w:w="2605" w:type="dxa"/>
          </w:tcPr>
          <w:p w14:paraId="3D62DA77" w14:textId="77777777" w:rsidR="00B004D6" w:rsidRPr="003C0378" w:rsidRDefault="00B004D6" w:rsidP="006C0B37">
            <w:pPr>
              <w:spacing w:after="0" w:line="276" w:lineRule="auto"/>
              <w:ind w:firstLine="0"/>
              <w:rPr>
                <w:rFonts w:cs="Times New Roman"/>
                <w:sz w:val="20"/>
                <w:szCs w:val="20"/>
                <w:lang w:val="lt-LT"/>
              </w:rPr>
            </w:pPr>
            <w:r w:rsidRPr="003C0378">
              <w:rPr>
                <w:rFonts w:cs="Times New Roman"/>
                <w:sz w:val="20"/>
                <w:szCs w:val="20"/>
                <w:lang w:val="lt-LT"/>
              </w:rPr>
              <w:t>2021–2027 m. ES fondų investicijų programa (toliau – 2021</w:t>
            </w:r>
            <w:r w:rsidR="003B5983">
              <w:rPr>
                <w:rFonts w:cs="Times New Roman"/>
                <w:sz w:val="20"/>
                <w:szCs w:val="20"/>
                <w:lang w:val="lt-LT"/>
              </w:rPr>
              <w:t xml:space="preserve"> priemonei </w:t>
            </w:r>
            <w:r w:rsidR="003B5983" w:rsidRPr="003B5983">
              <w:rPr>
                <w:rFonts w:cs="Times New Roman"/>
                <w:sz w:val="20"/>
                <w:szCs w:val="20"/>
                <w:lang w:val="lt-LT"/>
              </w:rPr>
              <w:t>Nr. 03–001–06–03–02 „Didinti atsinaujinančių energijos išteklių dalį, užtikrinant atsinaujinančių išteklių integraciją į elektros tinklus“</w:t>
            </w:r>
            <w:r w:rsidR="003B5983">
              <w:rPr>
                <w:rFonts w:cs="Times New Roman"/>
                <w:sz w:val="20"/>
                <w:szCs w:val="20"/>
                <w:lang w:val="lt-LT"/>
              </w:rPr>
              <w:t xml:space="preserve"> įgyvendinti“</w:t>
            </w:r>
          </w:p>
        </w:tc>
        <w:tc>
          <w:tcPr>
            <w:tcW w:w="7002" w:type="dxa"/>
          </w:tcPr>
          <w:p w14:paraId="67063220" w14:textId="189F49C6" w:rsidR="00B004D6" w:rsidRDefault="00B004D6" w:rsidP="006C0B37">
            <w:pPr>
              <w:spacing w:after="0" w:line="276" w:lineRule="auto"/>
              <w:ind w:firstLine="0"/>
              <w:jc w:val="center"/>
              <w:rPr>
                <w:rFonts w:cs="Times New Roman"/>
                <w:sz w:val="20"/>
                <w:szCs w:val="20"/>
                <w:lang w:val="lt-LT"/>
              </w:rPr>
            </w:pPr>
            <w:r w:rsidRPr="003C0378">
              <w:rPr>
                <w:rFonts w:cs="Times New Roman"/>
                <w:sz w:val="20"/>
                <w:szCs w:val="20"/>
                <w:lang w:val="lt-LT"/>
              </w:rPr>
              <w:t>638,78 mln.</w:t>
            </w:r>
          </w:p>
          <w:p w14:paraId="1463DA7B" w14:textId="77544300" w:rsidR="00B64556" w:rsidRPr="003C0378" w:rsidRDefault="00B64556" w:rsidP="00C9652A">
            <w:pPr>
              <w:spacing w:after="0" w:line="276" w:lineRule="auto"/>
              <w:ind w:firstLine="0"/>
              <w:rPr>
                <w:rFonts w:cs="Times New Roman"/>
                <w:sz w:val="20"/>
                <w:szCs w:val="20"/>
                <w:lang w:val="lt-LT"/>
              </w:rPr>
            </w:pPr>
          </w:p>
        </w:tc>
      </w:tr>
      <w:tr w:rsidR="00B004D6" w:rsidRPr="003C0378" w14:paraId="2A8FD028" w14:textId="77777777" w:rsidTr="00E24002">
        <w:trPr>
          <w:gridAfter w:val="1"/>
          <w:wAfter w:w="24" w:type="dxa"/>
          <w:trHeight w:val="14"/>
        </w:trPr>
        <w:tc>
          <w:tcPr>
            <w:tcW w:w="2605" w:type="dxa"/>
          </w:tcPr>
          <w:p w14:paraId="57AE5B96" w14:textId="77777777" w:rsidR="00B004D6" w:rsidRPr="003C0378" w:rsidRDefault="00B004D6" w:rsidP="006C0B37">
            <w:pPr>
              <w:spacing w:after="0" w:line="276" w:lineRule="auto"/>
              <w:ind w:firstLine="0"/>
              <w:jc w:val="left"/>
              <w:rPr>
                <w:rFonts w:cs="Times New Roman"/>
                <w:sz w:val="20"/>
                <w:szCs w:val="20"/>
                <w:lang w:val="lt-LT"/>
              </w:rPr>
            </w:pPr>
            <w:r w:rsidRPr="003C0378">
              <w:rPr>
                <w:rFonts w:cs="Times New Roman"/>
                <w:sz w:val="20"/>
                <w:szCs w:val="20"/>
                <w:lang w:val="lt-LT"/>
              </w:rPr>
              <w:t>Finansų įstaigos</w:t>
            </w:r>
          </w:p>
        </w:tc>
        <w:tc>
          <w:tcPr>
            <w:tcW w:w="7002" w:type="dxa"/>
          </w:tcPr>
          <w:p w14:paraId="56FC5D30" w14:textId="77777777" w:rsidR="00B004D6" w:rsidRPr="003C0378" w:rsidRDefault="00B004D6" w:rsidP="006C0B37">
            <w:pPr>
              <w:spacing w:after="0" w:line="276" w:lineRule="auto"/>
              <w:ind w:firstLine="0"/>
              <w:jc w:val="center"/>
              <w:rPr>
                <w:rFonts w:cs="Times New Roman"/>
                <w:sz w:val="20"/>
                <w:szCs w:val="20"/>
                <w:lang w:val="lt-LT"/>
              </w:rPr>
            </w:pPr>
            <w:r w:rsidRPr="003C0378">
              <w:rPr>
                <w:rFonts w:cs="Times New Roman"/>
                <w:sz w:val="20"/>
                <w:szCs w:val="20"/>
                <w:lang w:val="lt-LT"/>
              </w:rPr>
              <w:t>102,18–170,30 mln.</w:t>
            </w:r>
          </w:p>
        </w:tc>
      </w:tr>
      <w:tr w:rsidR="00B004D6" w:rsidRPr="003C0378" w14:paraId="5F678D94" w14:textId="77777777" w:rsidTr="00C9652A">
        <w:trPr>
          <w:gridAfter w:val="1"/>
          <w:wAfter w:w="24" w:type="dxa"/>
          <w:trHeight w:val="14"/>
        </w:trPr>
        <w:tc>
          <w:tcPr>
            <w:tcW w:w="2605" w:type="dxa"/>
          </w:tcPr>
          <w:p w14:paraId="3E597B7A" w14:textId="77777777" w:rsidR="00B004D6" w:rsidRPr="006C0B37" w:rsidRDefault="00B004D6" w:rsidP="006C0B37">
            <w:pPr>
              <w:spacing w:after="0" w:line="276" w:lineRule="auto"/>
              <w:ind w:firstLine="0"/>
              <w:jc w:val="right"/>
              <w:rPr>
                <w:b/>
                <w:sz w:val="20"/>
                <w:lang w:val="lt-LT"/>
              </w:rPr>
            </w:pPr>
            <w:r w:rsidRPr="003C0378">
              <w:rPr>
                <w:rFonts w:cs="Times New Roman"/>
                <w:b/>
                <w:sz w:val="20"/>
                <w:szCs w:val="20"/>
                <w:lang w:val="lt-LT"/>
              </w:rPr>
              <w:t>Iš viso:</w:t>
            </w:r>
          </w:p>
        </w:tc>
        <w:tc>
          <w:tcPr>
            <w:tcW w:w="7002" w:type="dxa"/>
          </w:tcPr>
          <w:p w14:paraId="09E2DDE7" w14:textId="7A2AB2A1" w:rsidR="00B004D6" w:rsidRPr="006C0B37" w:rsidRDefault="00C05CA2" w:rsidP="006C0B37">
            <w:pPr>
              <w:spacing w:after="0" w:line="276" w:lineRule="auto"/>
              <w:ind w:firstLine="0"/>
              <w:jc w:val="center"/>
              <w:rPr>
                <w:b/>
                <w:sz w:val="20"/>
                <w:lang w:val="lt-LT"/>
              </w:rPr>
            </w:pPr>
            <w:r>
              <w:rPr>
                <w:rFonts w:cs="Times New Roman"/>
                <w:b/>
                <w:sz w:val="20"/>
                <w:szCs w:val="20"/>
                <w:lang w:val="lt-LT"/>
              </w:rPr>
              <w:t>1 277,58</w:t>
            </w:r>
            <w:r w:rsidR="00B004D6" w:rsidRPr="003C0378">
              <w:rPr>
                <w:rFonts w:cs="Times New Roman"/>
                <w:b/>
                <w:sz w:val="20"/>
                <w:szCs w:val="20"/>
                <w:lang w:val="lt-LT"/>
              </w:rPr>
              <w:t>–</w:t>
            </w:r>
            <w:r>
              <w:rPr>
                <w:rFonts w:cs="Times New Roman"/>
                <w:b/>
                <w:sz w:val="20"/>
                <w:szCs w:val="20"/>
                <w:lang w:val="lt-LT"/>
              </w:rPr>
              <w:t>1 345,7</w:t>
            </w:r>
            <w:r w:rsidR="00B004D6" w:rsidRPr="003C0378">
              <w:rPr>
                <w:rFonts w:cs="Times New Roman"/>
                <w:b/>
                <w:sz w:val="20"/>
                <w:szCs w:val="20"/>
                <w:lang w:val="lt-LT"/>
              </w:rPr>
              <w:t xml:space="preserve"> mln. Eur</w:t>
            </w:r>
          </w:p>
        </w:tc>
      </w:tr>
    </w:tbl>
    <w:p w14:paraId="06EBC98D" w14:textId="4F98428E" w:rsidR="00B55C94" w:rsidRPr="003C0378" w:rsidRDefault="00526D04" w:rsidP="006B6964">
      <w:pPr>
        <w:keepNext/>
        <w:spacing w:after="0"/>
        <w:jc w:val="left"/>
        <w:rPr>
          <w:rFonts w:cs="Times New Roman"/>
          <w:sz w:val="20"/>
          <w:szCs w:val="20"/>
        </w:rPr>
      </w:pPr>
      <w:r w:rsidRPr="003C0378">
        <w:rPr>
          <w:rFonts w:cs="Times New Roman"/>
          <w:sz w:val="20"/>
          <w:szCs w:val="20"/>
        </w:rPr>
        <w:t>Šaltinis: sudaryta Vertintojų</w:t>
      </w:r>
      <w:r w:rsidR="00B55C94" w:rsidRPr="003C0378">
        <w:rPr>
          <w:rFonts w:cs="Times New Roman"/>
          <w:sz w:val="20"/>
          <w:szCs w:val="20"/>
        </w:rPr>
        <w:t>.</w:t>
      </w:r>
    </w:p>
    <w:p w14:paraId="15AED56B" w14:textId="1AEB342F" w:rsidR="001A4FD1" w:rsidRPr="003C0378" w:rsidRDefault="0056379A" w:rsidP="00AB673E">
      <w:pPr>
        <w:pStyle w:val="Antrat2"/>
        <w:numPr>
          <w:ilvl w:val="1"/>
          <w:numId w:val="3"/>
        </w:numPr>
        <w:rPr>
          <w:rFonts w:cs="Times New Roman"/>
        </w:rPr>
      </w:pPr>
      <w:bookmarkStart w:id="110" w:name="_Toc126051363"/>
      <w:bookmarkStart w:id="111" w:name="_Toc166139832"/>
      <w:bookmarkStart w:id="112" w:name="_Toc170804594"/>
      <w:r w:rsidRPr="003C0378">
        <w:rPr>
          <w:rFonts w:cs="Times New Roman"/>
        </w:rPr>
        <w:t>AEI investicijų trūkumo vertinimas</w:t>
      </w:r>
      <w:bookmarkEnd w:id="110"/>
      <w:bookmarkEnd w:id="111"/>
      <w:bookmarkEnd w:id="112"/>
    </w:p>
    <w:p w14:paraId="2301A14D" w14:textId="0F496CA5" w:rsidR="005D28A3" w:rsidRPr="003C0378" w:rsidRDefault="005B17F7" w:rsidP="0016408C">
      <w:pPr>
        <w:spacing w:line="276" w:lineRule="auto"/>
        <w:ind w:firstLine="562"/>
        <w:rPr>
          <w:rFonts w:cs="Times New Roman"/>
        </w:rPr>
      </w:pPr>
      <w:r w:rsidRPr="003C0378">
        <w:rPr>
          <w:rFonts w:cs="Times New Roman"/>
        </w:rPr>
        <w:t xml:space="preserve">Siekiant įvertinti AEI investicijų pasiūlos paklausos balansą, </w:t>
      </w:r>
      <w:r w:rsidR="00ED19D5" w:rsidRPr="003C0378">
        <w:rPr>
          <w:rFonts w:cs="Times New Roman"/>
        </w:rPr>
        <w:t>Vertintojai</w:t>
      </w:r>
      <w:r w:rsidRPr="003C0378">
        <w:rPr>
          <w:rFonts w:cs="Times New Roman"/>
        </w:rPr>
        <w:t xml:space="preserve"> palygino </w:t>
      </w:r>
      <w:r w:rsidR="00EB58F9" w:rsidRPr="003C0378">
        <w:rPr>
          <w:rFonts w:cs="Times New Roman"/>
        </w:rPr>
        <w:fldChar w:fldCharType="begin"/>
      </w:r>
      <w:r w:rsidR="00EB58F9" w:rsidRPr="003C0378">
        <w:rPr>
          <w:rFonts w:cs="Times New Roman"/>
        </w:rPr>
        <w:instrText xml:space="preserve"> REF _Ref125923997 \r \h </w:instrText>
      </w:r>
      <w:r w:rsidR="00EB58F9" w:rsidRPr="003C0378">
        <w:rPr>
          <w:rFonts w:cs="Times New Roman"/>
        </w:rPr>
      </w:r>
      <w:r w:rsidR="00EB58F9" w:rsidRPr="003C0378">
        <w:rPr>
          <w:rFonts w:cs="Times New Roman"/>
        </w:rPr>
        <w:fldChar w:fldCharType="separate"/>
      </w:r>
      <w:r w:rsidR="00347605">
        <w:rPr>
          <w:rFonts w:cs="Times New Roman"/>
        </w:rPr>
        <w:t>2.1.3</w:t>
      </w:r>
      <w:r w:rsidR="00EB58F9" w:rsidRPr="003C0378">
        <w:rPr>
          <w:rFonts w:cs="Times New Roman"/>
        </w:rPr>
        <w:fldChar w:fldCharType="end"/>
      </w:r>
      <w:r w:rsidRPr="003C0378">
        <w:rPr>
          <w:rFonts w:cs="Times New Roman"/>
        </w:rPr>
        <w:t xml:space="preserve"> skyrelyje paskaičiuotų</w:t>
      </w:r>
      <w:r w:rsidR="002D2EC2" w:rsidRPr="003C0378">
        <w:rPr>
          <w:rFonts w:cs="Times New Roman"/>
        </w:rPr>
        <w:t xml:space="preserve"> AEI </w:t>
      </w:r>
      <w:r w:rsidRPr="003C0378">
        <w:rPr>
          <w:rFonts w:cs="Times New Roman"/>
        </w:rPr>
        <w:t>investicijų</w:t>
      </w:r>
      <w:r w:rsidR="002D2EC2" w:rsidRPr="003C0378">
        <w:rPr>
          <w:rFonts w:cs="Times New Roman"/>
        </w:rPr>
        <w:t xml:space="preserve"> paklaus</w:t>
      </w:r>
      <w:r w:rsidR="004740EF" w:rsidRPr="003C0378">
        <w:rPr>
          <w:rFonts w:cs="Times New Roman"/>
        </w:rPr>
        <w:t xml:space="preserve">ą </w:t>
      </w:r>
      <w:r w:rsidRPr="003C0378">
        <w:rPr>
          <w:rFonts w:cs="Times New Roman"/>
        </w:rPr>
        <w:t>su</w:t>
      </w:r>
      <w:r w:rsidR="00EB58F9" w:rsidRPr="003C0378">
        <w:rPr>
          <w:rFonts w:cs="Times New Roman"/>
        </w:rPr>
        <w:t xml:space="preserve"> </w:t>
      </w:r>
      <w:r w:rsidR="00627A64" w:rsidRPr="003C0378">
        <w:rPr>
          <w:rFonts w:cs="Times New Roman"/>
        </w:rPr>
        <w:t>2.2.3</w:t>
      </w:r>
      <w:r w:rsidRPr="003C0378">
        <w:rPr>
          <w:rFonts w:cs="Times New Roman"/>
        </w:rPr>
        <w:t xml:space="preserve"> skyrelyje paskaičiuot</w:t>
      </w:r>
      <w:r w:rsidR="002D2EC2" w:rsidRPr="003C0378">
        <w:rPr>
          <w:rFonts w:cs="Times New Roman"/>
        </w:rPr>
        <w:t>a AEI</w:t>
      </w:r>
      <w:r w:rsidRPr="003C0378">
        <w:rPr>
          <w:rFonts w:cs="Times New Roman"/>
        </w:rPr>
        <w:t xml:space="preserve"> investicijų pasiūla</w:t>
      </w:r>
      <w:r w:rsidR="00096C2C" w:rsidRPr="003C0378">
        <w:rPr>
          <w:rFonts w:cs="Times New Roman"/>
        </w:rPr>
        <w:t xml:space="preserve">. </w:t>
      </w:r>
      <w:r w:rsidR="00210A02" w:rsidRPr="003C0378">
        <w:rPr>
          <w:rFonts w:cs="Times New Roman"/>
        </w:rPr>
        <w:t>Kaip galima matyti žemiau esančio</w:t>
      </w:r>
      <w:r w:rsidR="00750B69" w:rsidRPr="003C0378">
        <w:rPr>
          <w:rFonts w:cs="Times New Roman"/>
        </w:rPr>
        <w:t>je</w:t>
      </w:r>
      <w:r w:rsidR="00210A02" w:rsidRPr="003C0378">
        <w:rPr>
          <w:rFonts w:cs="Times New Roman"/>
        </w:rPr>
        <w:t xml:space="preserve"> lentelė</w:t>
      </w:r>
      <w:r w:rsidR="00750B69" w:rsidRPr="003C0378">
        <w:rPr>
          <w:rFonts w:cs="Times New Roman"/>
        </w:rPr>
        <w:t>je</w:t>
      </w:r>
      <w:r w:rsidR="00210A02" w:rsidRPr="003C0378">
        <w:rPr>
          <w:rFonts w:cs="Times New Roman"/>
        </w:rPr>
        <w:t xml:space="preserve">, AEI </w:t>
      </w:r>
      <w:r w:rsidR="004740EF" w:rsidRPr="003C0378">
        <w:rPr>
          <w:rFonts w:cs="Times New Roman"/>
        </w:rPr>
        <w:t>investicijų paklausa ženkliai viršija AEI investicijų pasiūl</w:t>
      </w:r>
      <w:r w:rsidR="00EB58F9" w:rsidRPr="003C0378">
        <w:rPr>
          <w:rFonts w:cs="Times New Roman"/>
        </w:rPr>
        <w:t>ą</w:t>
      </w:r>
      <w:r w:rsidR="0016408C" w:rsidRPr="003C0378">
        <w:rPr>
          <w:rFonts w:cs="Times New Roman"/>
        </w:rPr>
        <w:t xml:space="preserve"> – invest</w:t>
      </w:r>
      <w:r w:rsidR="0017736C" w:rsidRPr="003C0378">
        <w:rPr>
          <w:rFonts w:cs="Times New Roman"/>
        </w:rPr>
        <w:t>icijų trūkumas varijuoja nu</w:t>
      </w:r>
      <w:r w:rsidR="0017736C" w:rsidRPr="00103E24">
        <w:rPr>
          <w:rFonts w:cs="Times New Roman"/>
        </w:rPr>
        <w:t xml:space="preserve">o </w:t>
      </w:r>
      <w:r w:rsidR="00661A93" w:rsidRPr="00103E24">
        <w:rPr>
          <w:rFonts w:cs="Times New Roman"/>
        </w:rPr>
        <w:t>0,</w:t>
      </w:r>
      <w:r w:rsidR="00D711A7">
        <w:rPr>
          <w:rFonts w:cs="Times New Roman"/>
        </w:rPr>
        <w:t>96</w:t>
      </w:r>
      <w:r w:rsidR="0017736C" w:rsidRPr="00103E24">
        <w:rPr>
          <w:rFonts w:cs="Times New Roman"/>
        </w:rPr>
        <w:t xml:space="preserve"> iki </w:t>
      </w:r>
      <w:r w:rsidR="00A162FB" w:rsidRPr="00103E24">
        <w:rPr>
          <w:rFonts w:cs="Times New Roman"/>
        </w:rPr>
        <w:t>9,</w:t>
      </w:r>
      <w:r w:rsidR="00D711A7">
        <w:rPr>
          <w:rFonts w:cs="Times New Roman"/>
        </w:rPr>
        <w:t>9</w:t>
      </w:r>
      <w:r w:rsidR="0017736C" w:rsidRPr="00103E24">
        <w:rPr>
          <w:rFonts w:cs="Times New Roman"/>
        </w:rPr>
        <w:t xml:space="preserve"> </w:t>
      </w:r>
      <w:r w:rsidR="0017736C" w:rsidRPr="003C0378">
        <w:rPr>
          <w:rFonts w:cs="Times New Roman"/>
        </w:rPr>
        <w:t>mlrd. Eur, priklausomai nuo investicijų paklausos skaičiavimo būdo.</w:t>
      </w:r>
    </w:p>
    <w:p w14:paraId="552072FB" w14:textId="5359EAC8" w:rsidR="00210A02" w:rsidRPr="003C0378" w:rsidRDefault="00210A02" w:rsidP="0016408C">
      <w:pPr>
        <w:spacing w:after="0"/>
        <w:ind w:firstLine="0"/>
        <w:jc w:val="left"/>
        <w:rPr>
          <w:rFonts w:cs="Times New Roman"/>
        </w:rPr>
      </w:pPr>
      <w:bookmarkStart w:id="113" w:name="_Toc126051394"/>
      <w:bookmarkStart w:id="114" w:name="_Toc166139866"/>
      <w:bookmarkStart w:id="115" w:name="_Toc170804632"/>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16</w:t>
      </w:r>
      <w:r w:rsidRPr="003C0378">
        <w:rPr>
          <w:rFonts w:cs="Times New Roman"/>
          <w:i/>
          <w:iCs/>
        </w:rPr>
        <w:fldChar w:fldCharType="end"/>
      </w:r>
      <w:r w:rsidRPr="003C0378">
        <w:rPr>
          <w:rFonts w:cs="Times New Roman"/>
          <w:i/>
          <w:iCs/>
        </w:rPr>
        <w:t>. AEI investicijų paklausos</w:t>
      </w:r>
      <w:r w:rsidR="00103D8D" w:rsidRPr="003C0378">
        <w:rPr>
          <w:rFonts w:cs="Times New Roman"/>
          <w:i/>
          <w:iCs/>
        </w:rPr>
        <w:t>–</w:t>
      </w:r>
      <w:r w:rsidRPr="003C0378">
        <w:rPr>
          <w:rFonts w:cs="Times New Roman"/>
          <w:i/>
          <w:iCs/>
        </w:rPr>
        <w:t>pasiūlos palyginimas</w:t>
      </w:r>
      <w:bookmarkEnd w:id="113"/>
      <w:bookmarkEnd w:id="114"/>
      <w:bookmarkEnd w:id="115"/>
    </w:p>
    <w:p w14:paraId="735929EE" w14:textId="77777777" w:rsidR="00627A64" w:rsidRPr="003C0378" w:rsidRDefault="00627A64" w:rsidP="002A3247">
      <w:pPr>
        <w:spacing w:after="0"/>
        <w:ind w:firstLine="562"/>
        <w:jc w:val="left"/>
        <w:rPr>
          <w:rFonts w:cs="Times New Roman"/>
          <w:sz w:val="20"/>
          <w:szCs w:val="20"/>
        </w:rPr>
      </w:pPr>
    </w:p>
    <w:tbl>
      <w:tblPr>
        <w:tblW w:w="95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1426"/>
        <w:gridCol w:w="1857"/>
        <w:gridCol w:w="1767"/>
        <w:gridCol w:w="8"/>
      </w:tblGrid>
      <w:tr w:rsidR="00C96D5F" w:rsidRPr="003C0378" w14:paraId="53F51711" w14:textId="77777777" w:rsidTr="00E24002">
        <w:trPr>
          <w:gridAfter w:val="1"/>
          <w:wAfter w:w="20" w:type="dxa"/>
          <w:trHeight w:val="849"/>
          <w:tblHeader/>
        </w:trPr>
        <w:tc>
          <w:tcPr>
            <w:tcW w:w="4462" w:type="dxa"/>
            <w:shd w:val="clear" w:color="auto" w:fill="auto"/>
            <w:noWrap/>
            <w:vAlign w:val="center"/>
            <w:hideMark/>
          </w:tcPr>
          <w:p w14:paraId="1DC1D04E" w14:textId="19FCBDE9" w:rsidR="00B004D6" w:rsidRPr="003F0B4C" w:rsidRDefault="00B004D6" w:rsidP="00BB4DC2">
            <w:pPr>
              <w:spacing w:after="0"/>
              <w:ind w:firstLine="0"/>
              <w:jc w:val="center"/>
              <w:rPr>
                <w:b/>
                <w:color w:val="000000"/>
                <w:sz w:val="20"/>
              </w:rPr>
            </w:pPr>
            <w:r w:rsidRPr="003C0378">
              <w:rPr>
                <w:rFonts w:eastAsia="Times New Roman" w:cs="Times New Roman"/>
                <w:b/>
                <w:bCs/>
                <w:color w:val="000000"/>
                <w:sz w:val="20"/>
                <w:szCs w:val="20"/>
                <w:lang w:eastAsia="lt-LT"/>
              </w:rPr>
              <w:t>Paklausos skaičiavimo būdas</w:t>
            </w:r>
          </w:p>
        </w:tc>
        <w:tc>
          <w:tcPr>
            <w:tcW w:w="1426" w:type="dxa"/>
            <w:shd w:val="clear" w:color="auto" w:fill="auto"/>
            <w:vAlign w:val="center"/>
            <w:hideMark/>
          </w:tcPr>
          <w:p w14:paraId="2F61147B" w14:textId="77777777" w:rsidR="00B004D6" w:rsidRPr="006C0B37" w:rsidRDefault="00B004D6" w:rsidP="00BB4DC2">
            <w:pPr>
              <w:spacing w:after="0"/>
              <w:ind w:firstLine="0"/>
              <w:jc w:val="center"/>
              <w:rPr>
                <w:b/>
                <w:color w:val="000000"/>
                <w:sz w:val="20"/>
              </w:rPr>
            </w:pPr>
            <w:r w:rsidRPr="003C0378">
              <w:rPr>
                <w:rFonts w:eastAsia="Times New Roman" w:cs="Times New Roman"/>
                <w:b/>
                <w:bCs/>
                <w:color w:val="000000"/>
                <w:sz w:val="20"/>
                <w:szCs w:val="20"/>
                <w:lang w:eastAsia="lt-LT"/>
              </w:rPr>
              <w:t>Investicijų</w:t>
            </w:r>
            <w:r w:rsidRPr="006C0B37">
              <w:rPr>
                <w:b/>
                <w:color w:val="000000"/>
                <w:sz w:val="20"/>
              </w:rPr>
              <w:t xml:space="preserve"> paklausa</w:t>
            </w:r>
            <w:r>
              <w:rPr>
                <w:rFonts w:eastAsia="Times New Roman" w:cs="Times New Roman"/>
                <w:b/>
                <w:bCs/>
                <w:color w:val="000000"/>
                <w:sz w:val="20"/>
                <w:szCs w:val="20"/>
                <w:lang w:eastAsia="lt-LT"/>
              </w:rPr>
              <w:t xml:space="preserve"> </w:t>
            </w:r>
            <w:r w:rsidRPr="003C0378">
              <w:rPr>
                <w:rFonts w:eastAsia="Times New Roman" w:cs="Times New Roman"/>
                <w:b/>
                <w:bCs/>
                <w:color w:val="000000"/>
                <w:sz w:val="20"/>
                <w:szCs w:val="20"/>
                <w:lang w:eastAsia="lt-LT"/>
              </w:rPr>
              <w:t>(mlrd</w:t>
            </w:r>
            <w:r w:rsidRPr="006C0B37">
              <w:rPr>
                <w:b/>
                <w:color w:val="000000"/>
                <w:sz w:val="20"/>
              </w:rPr>
              <w:t>. Eur)</w:t>
            </w:r>
          </w:p>
        </w:tc>
        <w:tc>
          <w:tcPr>
            <w:tcW w:w="1857" w:type="dxa"/>
            <w:shd w:val="clear" w:color="auto" w:fill="auto"/>
            <w:vAlign w:val="center"/>
            <w:hideMark/>
          </w:tcPr>
          <w:p w14:paraId="3A5B8BD9" w14:textId="77777777" w:rsidR="00B004D6" w:rsidRPr="006C0B37" w:rsidRDefault="00B004D6" w:rsidP="00BB4DC2">
            <w:pPr>
              <w:spacing w:after="0"/>
              <w:ind w:firstLine="0"/>
              <w:jc w:val="center"/>
              <w:rPr>
                <w:b/>
                <w:color w:val="000000"/>
                <w:sz w:val="20"/>
              </w:rPr>
            </w:pPr>
            <w:r w:rsidRPr="003C0378">
              <w:rPr>
                <w:rFonts w:eastAsia="Times New Roman" w:cs="Times New Roman"/>
                <w:b/>
                <w:bCs/>
                <w:color w:val="000000"/>
                <w:sz w:val="20"/>
                <w:szCs w:val="20"/>
                <w:lang w:eastAsia="lt-LT"/>
              </w:rPr>
              <w:t>Investicijų pasiūla (mlrd.</w:t>
            </w:r>
            <w:r w:rsidRPr="006C0B37">
              <w:rPr>
                <w:b/>
                <w:color w:val="000000"/>
                <w:sz w:val="20"/>
              </w:rPr>
              <w:t xml:space="preserve"> Eur)</w:t>
            </w:r>
          </w:p>
        </w:tc>
        <w:tc>
          <w:tcPr>
            <w:tcW w:w="1775" w:type="dxa"/>
            <w:shd w:val="clear" w:color="auto" w:fill="auto"/>
            <w:vAlign w:val="center"/>
            <w:hideMark/>
          </w:tcPr>
          <w:p w14:paraId="6510E383" w14:textId="77777777" w:rsidR="00B004D6" w:rsidRPr="006C0B37" w:rsidRDefault="00B004D6" w:rsidP="00BB4DC2">
            <w:pPr>
              <w:spacing w:after="0"/>
              <w:ind w:firstLine="0"/>
              <w:jc w:val="center"/>
              <w:rPr>
                <w:b/>
                <w:color w:val="000000"/>
                <w:sz w:val="20"/>
              </w:rPr>
            </w:pPr>
            <w:r w:rsidRPr="003C0378">
              <w:rPr>
                <w:rFonts w:eastAsia="Times New Roman" w:cs="Times New Roman"/>
                <w:b/>
                <w:bCs/>
                <w:color w:val="000000"/>
                <w:sz w:val="20"/>
                <w:szCs w:val="20"/>
                <w:lang w:eastAsia="lt-LT"/>
              </w:rPr>
              <w:t>Investicijų trūkumas (mlrd.</w:t>
            </w:r>
            <w:r w:rsidRPr="006C0B37">
              <w:rPr>
                <w:b/>
                <w:color w:val="000000"/>
                <w:sz w:val="20"/>
              </w:rPr>
              <w:t xml:space="preserve"> Eur)</w:t>
            </w:r>
          </w:p>
        </w:tc>
      </w:tr>
      <w:tr w:rsidR="00C96D5F" w:rsidRPr="003C0378" w14:paraId="4E0B134B" w14:textId="77777777" w:rsidTr="00167E01">
        <w:trPr>
          <w:trHeight w:val="342"/>
        </w:trPr>
        <w:tc>
          <w:tcPr>
            <w:tcW w:w="4462" w:type="dxa"/>
            <w:shd w:val="clear" w:color="auto" w:fill="auto"/>
            <w:vAlign w:val="center"/>
            <w:hideMark/>
          </w:tcPr>
          <w:p w14:paraId="18CC7965" w14:textId="77777777" w:rsidR="00B004D6" w:rsidRPr="006C0B37" w:rsidRDefault="00B004D6" w:rsidP="006C0B37">
            <w:pPr>
              <w:spacing w:after="0"/>
              <w:ind w:firstLine="0"/>
              <w:jc w:val="left"/>
              <w:rPr>
                <w:color w:val="000000"/>
                <w:sz w:val="20"/>
              </w:rPr>
            </w:pPr>
            <w:r w:rsidRPr="003C0378">
              <w:rPr>
                <w:rFonts w:eastAsia="Times New Roman" w:cs="Times New Roman"/>
                <w:bCs/>
                <w:color w:val="000000"/>
                <w:sz w:val="20"/>
                <w:szCs w:val="20"/>
                <w:lang w:eastAsia="lt-LT"/>
              </w:rPr>
              <w:t>Tikslinių grupių poreikiais grįsti skaičiavimai</w:t>
            </w:r>
          </w:p>
        </w:tc>
        <w:tc>
          <w:tcPr>
            <w:tcW w:w="1426" w:type="dxa"/>
            <w:shd w:val="clear" w:color="auto" w:fill="auto"/>
            <w:noWrap/>
            <w:vAlign w:val="center"/>
            <w:hideMark/>
          </w:tcPr>
          <w:p w14:paraId="7759CE29" w14:textId="77777777" w:rsidR="00B004D6" w:rsidRPr="00F523BD" w:rsidRDefault="00B004D6" w:rsidP="00BB4DC2">
            <w:pPr>
              <w:spacing w:after="0"/>
              <w:ind w:firstLine="0"/>
              <w:jc w:val="center"/>
              <w:rPr>
                <w:color w:val="000000"/>
                <w:sz w:val="20"/>
              </w:rPr>
            </w:pPr>
            <w:r w:rsidRPr="00F523BD">
              <w:rPr>
                <w:rFonts w:eastAsia="Times New Roman" w:cs="Times New Roman"/>
                <w:bCs/>
                <w:color w:val="000000"/>
                <w:sz w:val="20"/>
                <w:szCs w:val="20"/>
                <w:lang w:eastAsia="lt-LT"/>
              </w:rPr>
              <w:t>5,99 – 11,18</w:t>
            </w:r>
          </w:p>
        </w:tc>
        <w:tc>
          <w:tcPr>
            <w:tcW w:w="1857" w:type="dxa"/>
            <w:vMerge w:val="restart"/>
            <w:shd w:val="clear" w:color="auto" w:fill="auto"/>
            <w:noWrap/>
            <w:vAlign w:val="center"/>
            <w:hideMark/>
          </w:tcPr>
          <w:p w14:paraId="4B46FD1F" w14:textId="3CA72BC3" w:rsidR="00B004D6" w:rsidRPr="00F523BD" w:rsidRDefault="000C3C1E" w:rsidP="00BB4DC2">
            <w:pPr>
              <w:spacing w:after="0"/>
              <w:ind w:firstLine="0"/>
              <w:jc w:val="center"/>
              <w:rPr>
                <w:color w:val="000000"/>
                <w:sz w:val="20"/>
              </w:rPr>
            </w:pPr>
            <w:r w:rsidRPr="00F523BD">
              <w:rPr>
                <w:rFonts w:eastAsia="Times New Roman" w:cs="Times New Roman"/>
                <w:color w:val="000000"/>
                <w:sz w:val="20"/>
                <w:szCs w:val="20"/>
                <w:lang w:eastAsia="lt-LT"/>
              </w:rPr>
              <w:t>1,</w:t>
            </w:r>
            <w:r w:rsidR="00344764">
              <w:rPr>
                <w:rFonts w:eastAsia="Times New Roman" w:cs="Times New Roman"/>
                <w:color w:val="000000"/>
                <w:sz w:val="20"/>
                <w:szCs w:val="20"/>
                <w:lang w:eastAsia="lt-LT"/>
              </w:rPr>
              <w:t>28</w:t>
            </w:r>
            <w:r w:rsidR="00B004D6" w:rsidRPr="00F523BD">
              <w:rPr>
                <w:rFonts w:eastAsia="Times New Roman" w:cs="Times New Roman"/>
                <w:color w:val="000000"/>
                <w:sz w:val="20"/>
                <w:szCs w:val="20"/>
                <w:lang w:eastAsia="lt-LT"/>
              </w:rPr>
              <w:t xml:space="preserve"> – 1,</w:t>
            </w:r>
            <w:r w:rsidR="00344764">
              <w:rPr>
                <w:rFonts w:eastAsia="Times New Roman" w:cs="Times New Roman"/>
                <w:color w:val="000000"/>
                <w:sz w:val="20"/>
                <w:szCs w:val="20"/>
                <w:lang w:eastAsia="lt-LT"/>
              </w:rPr>
              <w:t>35</w:t>
            </w:r>
          </w:p>
        </w:tc>
        <w:tc>
          <w:tcPr>
            <w:tcW w:w="1775" w:type="dxa"/>
            <w:gridSpan w:val="2"/>
            <w:shd w:val="clear" w:color="auto" w:fill="auto"/>
            <w:noWrap/>
            <w:vAlign w:val="center"/>
            <w:hideMark/>
          </w:tcPr>
          <w:p w14:paraId="7D695C69" w14:textId="62317A73" w:rsidR="00B004D6" w:rsidRPr="00F523BD" w:rsidRDefault="00B004D6" w:rsidP="00BB4DC2">
            <w:pPr>
              <w:spacing w:after="0"/>
              <w:ind w:firstLine="0"/>
              <w:jc w:val="center"/>
              <w:rPr>
                <w:color w:val="000000"/>
                <w:sz w:val="20"/>
              </w:rPr>
            </w:pPr>
            <w:r w:rsidRPr="00F523BD">
              <w:rPr>
                <w:rFonts w:eastAsia="Times New Roman" w:cs="Times New Roman"/>
                <w:color w:val="000000"/>
                <w:sz w:val="20"/>
                <w:szCs w:val="20"/>
                <w:lang w:eastAsia="lt-LT"/>
              </w:rPr>
              <w:t>4,</w:t>
            </w:r>
            <w:r w:rsidR="00344764">
              <w:rPr>
                <w:rFonts w:eastAsia="Times New Roman" w:cs="Times New Roman"/>
                <w:color w:val="000000"/>
                <w:sz w:val="20"/>
                <w:szCs w:val="20"/>
                <w:lang w:val="en-US" w:eastAsia="lt-LT"/>
              </w:rPr>
              <w:t>64</w:t>
            </w:r>
            <w:r w:rsidRPr="00F523BD">
              <w:rPr>
                <w:rFonts w:eastAsia="Times New Roman" w:cs="Times New Roman"/>
                <w:color w:val="000000"/>
                <w:sz w:val="20"/>
                <w:szCs w:val="20"/>
                <w:lang w:eastAsia="lt-LT"/>
              </w:rPr>
              <w:t>–</w:t>
            </w:r>
            <w:r w:rsidR="007054B9" w:rsidRPr="00F523BD">
              <w:rPr>
                <w:rFonts w:eastAsia="Times New Roman" w:cs="Times New Roman"/>
                <w:color w:val="000000"/>
                <w:sz w:val="20"/>
                <w:szCs w:val="20"/>
                <w:lang w:eastAsia="lt-LT"/>
              </w:rPr>
              <w:t>9,</w:t>
            </w:r>
            <w:r w:rsidR="00344764">
              <w:rPr>
                <w:rFonts w:eastAsia="Times New Roman" w:cs="Times New Roman"/>
                <w:color w:val="000000"/>
                <w:sz w:val="20"/>
                <w:szCs w:val="20"/>
                <w:lang w:eastAsia="lt-LT"/>
              </w:rPr>
              <w:t>9</w:t>
            </w:r>
          </w:p>
        </w:tc>
      </w:tr>
      <w:tr w:rsidR="00C96D5F" w:rsidRPr="003C0378" w14:paraId="1FF17A93" w14:textId="77777777" w:rsidTr="00167E01">
        <w:trPr>
          <w:trHeight w:val="571"/>
        </w:trPr>
        <w:tc>
          <w:tcPr>
            <w:tcW w:w="4462" w:type="dxa"/>
            <w:shd w:val="clear" w:color="auto" w:fill="auto"/>
            <w:vAlign w:val="center"/>
            <w:hideMark/>
          </w:tcPr>
          <w:p w14:paraId="267C1D70" w14:textId="77777777" w:rsidR="00B004D6" w:rsidRPr="006C0B37" w:rsidRDefault="00B004D6" w:rsidP="00BB4DC2">
            <w:pPr>
              <w:spacing w:after="0"/>
              <w:ind w:firstLine="0"/>
              <w:jc w:val="left"/>
              <w:rPr>
                <w:color w:val="000000"/>
                <w:sz w:val="20"/>
              </w:rPr>
            </w:pPr>
            <w:r w:rsidRPr="003C0378">
              <w:rPr>
                <w:rFonts w:eastAsia="Times New Roman" w:cs="Times New Roman"/>
                <w:bCs/>
                <w:color w:val="000000"/>
                <w:sz w:val="20"/>
                <w:szCs w:val="20"/>
                <w:lang w:eastAsia="lt-LT"/>
              </w:rPr>
              <w:t>Nacionalinės strateginės darbotvarkės tikslais grįsti skaičiavimai</w:t>
            </w:r>
          </w:p>
        </w:tc>
        <w:tc>
          <w:tcPr>
            <w:tcW w:w="1426" w:type="dxa"/>
            <w:shd w:val="clear" w:color="auto" w:fill="auto"/>
            <w:noWrap/>
            <w:vAlign w:val="center"/>
            <w:hideMark/>
          </w:tcPr>
          <w:p w14:paraId="0282235E" w14:textId="77777777" w:rsidR="00B004D6" w:rsidRPr="00F523BD" w:rsidRDefault="00B004D6" w:rsidP="00BB4DC2">
            <w:pPr>
              <w:spacing w:after="0"/>
              <w:ind w:firstLine="0"/>
              <w:jc w:val="center"/>
              <w:rPr>
                <w:color w:val="000000"/>
                <w:sz w:val="20"/>
              </w:rPr>
            </w:pPr>
            <w:r w:rsidRPr="00F523BD">
              <w:rPr>
                <w:color w:val="000000"/>
                <w:sz w:val="20"/>
              </w:rPr>
              <w:t>2</w:t>
            </w:r>
            <w:r w:rsidRPr="00F523BD">
              <w:rPr>
                <w:rFonts w:eastAsia="Times New Roman" w:cs="Times New Roman"/>
                <w:bCs/>
                <w:color w:val="000000"/>
                <w:sz w:val="20"/>
                <w:szCs w:val="20"/>
                <w:lang w:eastAsia="lt-LT"/>
              </w:rPr>
              <w:t>,31–4,43</w:t>
            </w:r>
          </w:p>
        </w:tc>
        <w:tc>
          <w:tcPr>
            <w:tcW w:w="1857" w:type="dxa"/>
            <w:vMerge/>
            <w:vAlign w:val="center"/>
            <w:hideMark/>
          </w:tcPr>
          <w:p w14:paraId="559370D0" w14:textId="77777777" w:rsidR="00B004D6" w:rsidRPr="00F523BD" w:rsidRDefault="00B004D6" w:rsidP="006C0B37">
            <w:pPr>
              <w:spacing w:after="0"/>
              <w:ind w:firstLine="0"/>
              <w:jc w:val="left"/>
              <w:rPr>
                <w:color w:val="000000"/>
                <w:sz w:val="20"/>
              </w:rPr>
            </w:pPr>
          </w:p>
        </w:tc>
        <w:tc>
          <w:tcPr>
            <w:tcW w:w="1775" w:type="dxa"/>
            <w:gridSpan w:val="2"/>
            <w:shd w:val="clear" w:color="auto" w:fill="auto"/>
            <w:noWrap/>
            <w:vAlign w:val="center"/>
            <w:hideMark/>
          </w:tcPr>
          <w:p w14:paraId="145BC717" w14:textId="51399FE1" w:rsidR="00B004D6" w:rsidRPr="00F523BD" w:rsidRDefault="001F671C" w:rsidP="006C0B37">
            <w:pPr>
              <w:spacing w:after="0"/>
              <w:ind w:firstLine="0"/>
              <w:jc w:val="center"/>
              <w:rPr>
                <w:color w:val="000000"/>
                <w:sz w:val="20"/>
              </w:rPr>
            </w:pPr>
            <w:r w:rsidRPr="00F523BD">
              <w:rPr>
                <w:rFonts w:eastAsia="Times New Roman" w:cs="Times New Roman"/>
                <w:color w:val="000000"/>
                <w:sz w:val="20"/>
                <w:szCs w:val="20"/>
                <w:lang w:eastAsia="lt-LT"/>
              </w:rPr>
              <w:t>0,</w:t>
            </w:r>
            <w:r w:rsidR="00344764">
              <w:rPr>
                <w:rFonts w:eastAsia="Times New Roman" w:cs="Times New Roman"/>
                <w:color w:val="000000"/>
                <w:sz w:val="20"/>
                <w:szCs w:val="20"/>
                <w:lang w:eastAsia="lt-LT"/>
              </w:rPr>
              <w:t>96</w:t>
            </w:r>
            <w:r w:rsidR="00B004D6" w:rsidRPr="00F523BD">
              <w:rPr>
                <w:rFonts w:eastAsia="Times New Roman" w:cs="Times New Roman"/>
                <w:color w:val="000000"/>
                <w:sz w:val="20"/>
                <w:szCs w:val="20"/>
                <w:lang w:eastAsia="lt-LT"/>
              </w:rPr>
              <w:t>–</w:t>
            </w:r>
            <w:r w:rsidR="00344764">
              <w:rPr>
                <w:rFonts w:eastAsia="Times New Roman" w:cs="Times New Roman"/>
                <w:color w:val="000000"/>
                <w:sz w:val="20"/>
                <w:szCs w:val="20"/>
                <w:lang w:eastAsia="lt-LT"/>
              </w:rPr>
              <w:t>3,15</w:t>
            </w:r>
          </w:p>
        </w:tc>
      </w:tr>
    </w:tbl>
    <w:p w14:paraId="5C826E3A" w14:textId="07FD0090" w:rsidR="00B55C94" w:rsidRPr="003C0378" w:rsidRDefault="00210A02" w:rsidP="006C0B37">
      <w:pPr>
        <w:spacing w:after="0"/>
        <w:ind w:firstLine="562"/>
        <w:jc w:val="left"/>
        <w:rPr>
          <w:rFonts w:cs="Times New Roman"/>
          <w:sz w:val="20"/>
          <w:szCs w:val="20"/>
        </w:rPr>
      </w:pPr>
      <w:r w:rsidRPr="003C0378">
        <w:rPr>
          <w:rFonts w:cs="Times New Roman"/>
          <w:sz w:val="20"/>
          <w:szCs w:val="20"/>
        </w:rPr>
        <w:t>Šaltinis: sudaryta Vertintojų</w:t>
      </w:r>
      <w:r w:rsidR="00B55C94" w:rsidRPr="003C0378">
        <w:rPr>
          <w:rFonts w:cs="Times New Roman"/>
          <w:sz w:val="20"/>
          <w:szCs w:val="20"/>
        </w:rPr>
        <w:t>.</w:t>
      </w:r>
    </w:p>
    <w:p w14:paraId="196C7D79" w14:textId="23EE1B13" w:rsidR="00F40433" w:rsidRPr="003C0378" w:rsidRDefault="00466360" w:rsidP="001F0B9A">
      <w:pPr>
        <w:spacing w:line="276" w:lineRule="auto"/>
        <w:ind w:firstLine="562"/>
        <w:rPr>
          <w:rFonts w:cs="Times New Roman"/>
        </w:rPr>
      </w:pPr>
      <w:r>
        <w:rPr>
          <w:rFonts w:cs="Times New Roman"/>
        </w:rPr>
        <w:t>T</w:t>
      </w:r>
      <w:r w:rsidR="0016408C" w:rsidRPr="003C0378">
        <w:rPr>
          <w:rFonts w:cs="Times New Roman"/>
        </w:rPr>
        <w:t xml:space="preserve">olesniuose </w:t>
      </w:r>
      <w:r>
        <w:rPr>
          <w:rFonts w:cs="Times New Roman"/>
        </w:rPr>
        <w:t>po</w:t>
      </w:r>
      <w:r w:rsidR="0016408C" w:rsidRPr="003C0378">
        <w:rPr>
          <w:rFonts w:cs="Times New Roman"/>
        </w:rPr>
        <w:t>skyriuose yra pristatoma</w:t>
      </w:r>
      <w:r w:rsidR="003C0378">
        <w:rPr>
          <w:rFonts w:cs="Times New Roman"/>
        </w:rPr>
        <w:t xml:space="preserve"> </w:t>
      </w:r>
      <w:r w:rsidR="001F0B9A" w:rsidRPr="003C0378">
        <w:rPr>
          <w:rFonts w:cs="Times New Roman"/>
        </w:rPr>
        <w:t xml:space="preserve">papildomų lėšų </w:t>
      </w:r>
      <w:r w:rsidR="0016408C" w:rsidRPr="003C0378">
        <w:rPr>
          <w:rFonts w:cs="Times New Roman"/>
        </w:rPr>
        <w:t xml:space="preserve">panaudojimo ir investavimo į AEI pajėgumų didinimą strategija. </w:t>
      </w:r>
    </w:p>
    <w:p w14:paraId="29BE02B5" w14:textId="77777777" w:rsidR="00724402" w:rsidRDefault="00724402" w:rsidP="00D06292">
      <w:pPr>
        <w:spacing w:line="276" w:lineRule="auto"/>
        <w:ind w:firstLine="0"/>
        <w:rPr>
          <w:rFonts w:cs="Times New Roman"/>
        </w:rPr>
      </w:pPr>
    </w:p>
    <w:p w14:paraId="728248D0" w14:textId="77777777" w:rsidR="00724402" w:rsidRDefault="00724402" w:rsidP="0016408C">
      <w:pPr>
        <w:spacing w:line="276" w:lineRule="auto"/>
        <w:ind w:firstLine="562"/>
        <w:rPr>
          <w:rFonts w:cs="Times New Roman"/>
        </w:rPr>
      </w:pPr>
    </w:p>
    <w:p w14:paraId="549ABF86" w14:textId="77777777" w:rsidR="00724402" w:rsidRDefault="00724402" w:rsidP="0016408C">
      <w:pPr>
        <w:spacing w:line="276" w:lineRule="auto"/>
        <w:ind w:firstLine="562"/>
        <w:rPr>
          <w:rFonts w:cs="Times New Roman"/>
        </w:rPr>
      </w:pPr>
    </w:p>
    <w:p w14:paraId="072A8A47" w14:textId="77777777" w:rsidR="00724402" w:rsidRDefault="00724402" w:rsidP="0016408C">
      <w:pPr>
        <w:spacing w:line="276" w:lineRule="auto"/>
        <w:ind w:firstLine="562"/>
        <w:rPr>
          <w:rFonts w:cs="Times New Roman"/>
        </w:rPr>
      </w:pPr>
    </w:p>
    <w:p w14:paraId="69840B88" w14:textId="3941BF81" w:rsidR="000832B1" w:rsidRPr="003C0378" w:rsidRDefault="0056379A" w:rsidP="005C2C96">
      <w:pPr>
        <w:pStyle w:val="Antrat1"/>
        <w:numPr>
          <w:ilvl w:val="0"/>
          <w:numId w:val="3"/>
        </w:numPr>
        <w:rPr>
          <w:rFonts w:cs="Times New Roman"/>
        </w:rPr>
      </w:pPr>
      <w:bookmarkStart w:id="116" w:name="_Toc126051364"/>
      <w:bookmarkStart w:id="117" w:name="_Ref135381819"/>
      <w:bookmarkStart w:id="118" w:name="_Ref135381835"/>
      <w:bookmarkStart w:id="119" w:name="_Toc166139833"/>
      <w:bookmarkStart w:id="120" w:name="_Toc170804595"/>
      <w:r w:rsidRPr="003C0378">
        <w:rPr>
          <w:rFonts w:cs="Times New Roman"/>
        </w:rPr>
        <w:lastRenderedPageBreak/>
        <w:t>Jautrumo analizė</w:t>
      </w:r>
      <w:bookmarkEnd w:id="116"/>
      <w:bookmarkEnd w:id="117"/>
      <w:bookmarkEnd w:id="118"/>
      <w:bookmarkEnd w:id="119"/>
      <w:bookmarkEnd w:id="120"/>
    </w:p>
    <w:p w14:paraId="3AE1687D" w14:textId="5738374B" w:rsidR="005C2C96" w:rsidRPr="003C0378" w:rsidRDefault="005C2C96" w:rsidP="005C2C96">
      <w:pPr>
        <w:spacing w:line="276" w:lineRule="auto"/>
        <w:ind w:firstLine="284"/>
      </w:pPr>
      <w:r w:rsidRPr="003C0378">
        <w:t xml:space="preserve">Pagrindinė sąlyga siekiant įvertinti, ar </w:t>
      </w:r>
      <w:r w:rsidR="00AC0572" w:rsidRPr="003C0378">
        <w:t xml:space="preserve">verta projektus įgyvendinti </w:t>
      </w:r>
      <w:r w:rsidR="00913D38">
        <w:t xml:space="preserve">taikant </w:t>
      </w:r>
      <w:r w:rsidR="00AC0572" w:rsidRPr="003C0378">
        <w:t>FP</w:t>
      </w:r>
      <w:r w:rsidR="00913D38">
        <w:t>,</w:t>
      </w:r>
      <w:r w:rsidR="00AC0572" w:rsidRPr="003C0378">
        <w:t xml:space="preserve"> yra projektų </w:t>
      </w:r>
      <w:r w:rsidR="005E1D37">
        <w:t xml:space="preserve">finansinis </w:t>
      </w:r>
      <w:r w:rsidR="00AC0572" w:rsidRPr="003C0378">
        <w:t xml:space="preserve">atsiperkamumas / gyvybingumas. Tik jeigu projektas generuoja konkrečias </w:t>
      </w:r>
      <w:r w:rsidR="005E1D37">
        <w:t>finansines</w:t>
      </w:r>
      <w:r w:rsidR="00AC0572" w:rsidRPr="003C0378">
        <w:t xml:space="preserve"> naudas (kaip antai, ekonominius sutaupymus, papildomas pajamas ir pan.) ir taip yra užtikrinamas lėšų </w:t>
      </w:r>
      <w:proofErr w:type="spellStart"/>
      <w:r w:rsidR="00AC0572" w:rsidRPr="003C0378">
        <w:t>sugrįžtamumas</w:t>
      </w:r>
      <w:proofErr w:type="spellEnd"/>
      <w:r w:rsidR="00AC0572" w:rsidRPr="003C0378">
        <w:t xml:space="preserve"> per adekvatų laikotarpį</w:t>
      </w:r>
      <w:r w:rsidR="00AE5503">
        <w:t>,</w:t>
      </w:r>
      <w:r w:rsidR="00AC0572" w:rsidRPr="003C0378">
        <w:t xml:space="preserve"> verta svarstyti FP </w:t>
      </w:r>
      <w:r w:rsidR="00AE5503">
        <w:t>taiky</w:t>
      </w:r>
      <w:r w:rsidR="00DC55CE">
        <w:t>m</w:t>
      </w:r>
      <w:r w:rsidR="00AC0572" w:rsidRPr="003C0378">
        <w:t xml:space="preserve">ą. Kitu atveju, projektus </w:t>
      </w:r>
      <w:r w:rsidR="00DC55CE">
        <w:t>tikslinga</w:t>
      </w:r>
      <w:r w:rsidR="00AC0572" w:rsidRPr="003C0378">
        <w:t xml:space="preserve"> įgyvendinti dotacijų būdu</w:t>
      </w:r>
      <w:r w:rsidR="00EA5DA0">
        <w:t xml:space="preserve"> arba derinti su dotacijomis</w:t>
      </w:r>
      <w:r w:rsidR="00AC0572" w:rsidRPr="003C0378">
        <w:t>.</w:t>
      </w:r>
    </w:p>
    <w:p w14:paraId="47C7BCEA" w14:textId="4A29742D" w:rsidR="005C2C96" w:rsidRPr="003C0378" w:rsidRDefault="00AC0572" w:rsidP="00AC0572">
      <w:pPr>
        <w:spacing w:line="276" w:lineRule="auto"/>
        <w:ind w:firstLine="284"/>
      </w:pPr>
      <w:r w:rsidRPr="003C0378">
        <w:t>Tad s</w:t>
      </w:r>
      <w:r w:rsidR="005C2C96" w:rsidRPr="003C0378">
        <w:t>iekiant išsiaiškinti, ar</w:t>
      </w:r>
      <w:r w:rsidRPr="003C0378">
        <w:t xml:space="preserve"> AEI projektai </w:t>
      </w:r>
      <w:r w:rsidR="005E1D37">
        <w:t xml:space="preserve">yra finansiškai </w:t>
      </w:r>
      <w:r w:rsidR="005E1D37" w:rsidRPr="000C3C1E">
        <w:t>gyvybingi</w:t>
      </w:r>
      <w:r w:rsidRPr="000C3C1E">
        <w:t xml:space="preserve"> per adekvatų laikotarpį</w:t>
      </w:r>
      <w:r w:rsidRPr="003C0378">
        <w:t xml:space="preserve">, </w:t>
      </w:r>
      <w:r w:rsidR="005C2C96" w:rsidRPr="003C0378">
        <w:t>Vertintojai atliko investicijų jautrumo analizę. Jautrumo analizė buvo atlikta tik saulės elektrinių įrengimui. Toks sprendimas pagrįst</w:t>
      </w:r>
      <w:r w:rsidR="00642903" w:rsidRPr="003C0378">
        <w:t>as tuo, kad dauguma subjektų instaliuos</w:t>
      </w:r>
      <w:r w:rsidR="005C2C96" w:rsidRPr="003C0378">
        <w:t xml:space="preserve"> saulės elektrinių pajėgumus bei tai, kad vėjo elektrinių atsiperkamumas yra spartesnis nei saulės elektrinių</w:t>
      </w:r>
      <w:r w:rsidR="005C2C96" w:rsidRPr="003C0378">
        <w:rPr>
          <w:rStyle w:val="Puslapioinaosnuoroda"/>
        </w:rPr>
        <w:footnoteReference w:id="33"/>
      </w:r>
      <w:r w:rsidR="005C2C96" w:rsidRPr="003C0378">
        <w:t>. Tad saulės jėgainių jautrumo analizės rezultatai iš esmės analogiškai taikytini ir vėjo jėgainių atveju.</w:t>
      </w:r>
    </w:p>
    <w:p w14:paraId="54A73499" w14:textId="41EBAD93" w:rsidR="005C2C96" w:rsidRPr="003C0378" w:rsidRDefault="005C2C96" w:rsidP="005C2C96">
      <w:pPr>
        <w:spacing w:line="276" w:lineRule="auto"/>
        <w:ind w:firstLine="284"/>
      </w:pPr>
      <w:r w:rsidRPr="003C0378">
        <w:t>Jautrumo analizės sudarymo tikslais, adekvatus paskolos</w:t>
      </w:r>
      <w:r w:rsidR="00561795" w:rsidRPr="003C0378">
        <w:t xml:space="preserve"> / projekto </w:t>
      </w:r>
      <w:r w:rsidR="00044C62">
        <w:t xml:space="preserve">finansinio </w:t>
      </w:r>
      <w:r w:rsidR="00561795" w:rsidRPr="003C0378">
        <w:t>atsipirkimo</w:t>
      </w:r>
      <w:r w:rsidRPr="003C0378">
        <w:t xml:space="preserve"> terminas buvo identifikuotas </w:t>
      </w:r>
      <w:r w:rsidR="009177FF">
        <w:t>V</w:t>
      </w:r>
      <w:r w:rsidRPr="003C0378">
        <w:t>ertintojų atlikto interviu su ekspertais metu. Ekspertų nuomone, paskolų verslo subjektams atveju adekvatus paskolos terminas yra 1</w:t>
      </w:r>
      <w:r w:rsidR="00A45674">
        <w:t>0</w:t>
      </w:r>
      <w:r w:rsidR="00EA79B2">
        <w:t>–15</w:t>
      </w:r>
      <w:r w:rsidRPr="003C0378">
        <w:t xml:space="preserve"> metų.</w:t>
      </w:r>
      <w:r w:rsidR="00A45674" w:rsidRPr="00A45674">
        <w:t xml:space="preserve"> </w:t>
      </w:r>
      <w:r w:rsidRPr="003C0378">
        <w:t xml:space="preserve">Tuo tarpu paskolų viešiesiems subjektams (pavyzdžiui, savivaldybėms, centrinės valdžios pastatų valdytojams ir </w:t>
      </w:r>
      <w:r w:rsidR="007345F9">
        <w:t>kitiems VJA</w:t>
      </w:r>
      <w:r w:rsidRPr="003C0378">
        <w:t xml:space="preserve">) atveju adekvatus paskolos terminas yra 15 metų. </w:t>
      </w:r>
      <w:r w:rsidRPr="003C0378">
        <w:rPr>
          <w:b/>
          <w:bCs/>
        </w:rPr>
        <w:t>Taigi, nustatytas paskolos terminas ir, atitinkamai, adekvatus atsipirkimo laikotarpis verslo subjektams buvo 1</w:t>
      </w:r>
      <w:r w:rsidR="00A45674">
        <w:rPr>
          <w:b/>
          <w:bCs/>
        </w:rPr>
        <w:t>0</w:t>
      </w:r>
      <w:r w:rsidR="00EA79B2">
        <w:rPr>
          <w:b/>
          <w:bCs/>
        </w:rPr>
        <w:t>–15</w:t>
      </w:r>
      <w:r w:rsidRPr="003C0378">
        <w:rPr>
          <w:b/>
          <w:bCs/>
        </w:rPr>
        <w:t xml:space="preserve"> metų, tuo tarpu viešiesiems subjektams – 15 metų.</w:t>
      </w:r>
    </w:p>
    <w:p w14:paraId="2D99B863" w14:textId="77777777" w:rsidR="005C2C96" w:rsidRPr="003C0378" w:rsidRDefault="005C2C96" w:rsidP="005C2C96">
      <w:pPr>
        <w:spacing w:line="276" w:lineRule="auto"/>
        <w:ind w:firstLine="284"/>
      </w:pPr>
      <w:r w:rsidRPr="003C0378">
        <w:t>Kitos prielaidos, naudotos jautrumo analizėje, buvo taip pat grindžiamos interviu metu surinkta informacija arba atlikus išsamią antrinių šaltinių analizę ir pristatomos toliau.</w:t>
      </w:r>
    </w:p>
    <w:p w14:paraId="7D436988" w14:textId="77777777" w:rsidR="005C2C96" w:rsidRPr="003C0378" w:rsidRDefault="005C2C96" w:rsidP="005C2C96">
      <w:pPr>
        <w:pStyle w:val="Antrat3"/>
      </w:pPr>
      <w:bookmarkStart w:id="121" w:name="_Toc126051365"/>
      <w:bookmarkStart w:id="122" w:name="_Toc166139834"/>
      <w:bookmarkStart w:id="123" w:name="_Toc170804596"/>
      <w:r w:rsidRPr="003C0378">
        <w:t>Pagrindinės jautrumo analizės prielaidos</w:t>
      </w:r>
      <w:bookmarkEnd w:id="121"/>
      <w:bookmarkEnd w:id="122"/>
      <w:bookmarkEnd w:id="123"/>
    </w:p>
    <w:p w14:paraId="1E346FC2" w14:textId="5846BD60" w:rsidR="005C2C96" w:rsidRPr="003C0378" w:rsidRDefault="005C2C96" w:rsidP="005C2C96">
      <w:pPr>
        <w:spacing w:line="276" w:lineRule="auto"/>
        <w:ind w:firstLine="284"/>
      </w:pPr>
      <w:r w:rsidRPr="003C0378">
        <w:rPr>
          <w:b/>
          <w:bCs/>
        </w:rPr>
        <w:t>Elektros kainos.</w:t>
      </w:r>
      <w:r w:rsidRPr="003C0378">
        <w:t xml:space="preserve"> Vienas iš svarbiausių veiksnių, turinčių įtaką AEI investicijų atsiperkamumui, yra elektros kainos. Vertintojai nusprendė padaryti prielaidą, kad bazinė kaina jautrumo analizėje siekia 0,28 Eur/kWh. Ši kaina atitinka VERT patvirtiną „standartinį“ vienos laiko zonos tarifą po valstybės kompensacijos </w:t>
      </w:r>
      <w:r w:rsidRPr="006C0B37">
        <w:t>2023 m. pirmam pusme</w:t>
      </w:r>
      <w:r w:rsidRPr="003C0378">
        <w:t>čiui. Atliekant jautrumo analizę verslo subjekt</w:t>
      </w:r>
      <w:r w:rsidR="00642903" w:rsidRPr="003C0378">
        <w:t>ams, į kainą nebuvo įtrauktas</w:t>
      </w:r>
      <w:r w:rsidRPr="003C0378">
        <w:t xml:space="preserve"> PVM tarifas, kadangi daroma prielaida, kad dauguma verslo subjektų, įsirengsiančių AEI pajėgumus,</w:t>
      </w:r>
      <w:r w:rsidR="003C0378">
        <w:t xml:space="preserve"> </w:t>
      </w:r>
      <w:r w:rsidRPr="003C0378">
        <w:t>yra PVM mokėtojai ir, atitinkamai, gali susigrąžinti PVM.</w:t>
      </w:r>
      <w:r w:rsidR="000C3C1E">
        <w:t xml:space="preserve"> Atsižvelgiant į tai, </w:t>
      </w:r>
      <w:r w:rsidR="009177FF">
        <w:t>V</w:t>
      </w:r>
      <w:r w:rsidRPr="003C0378">
        <w:t>ertintojai padarė prielaidą, kad</w:t>
      </w:r>
      <w:r w:rsidR="000C3C1E">
        <w:t xml:space="preserve"> </w:t>
      </w:r>
      <w:r w:rsidR="009F6BA8">
        <w:t xml:space="preserve">verslo tikslinėje grupėje </w:t>
      </w:r>
      <w:r w:rsidRPr="003C0378">
        <w:t>elektros kaina sieks 0,23 Eur/kWh</w:t>
      </w:r>
      <w:r w:rsidR="009F6BA8">
        <w:t>.</w:t>
      </w:r>
      <w:r w:rsidR="002D433E" w:rsidRPr="002D433E">
        <w:t xml:space="preserve"> </w:t>
      </w:r>
      <w:r w:rsidR="002D433E" w:rsidRPr="003C0378">
        <w:t xml:space="preserve">Vis dėlto, siekiant įvertinti kaip keistųsi elektrinių atsiperkamumas keičiantis elektros kainoms, Vertintojai sukūrė </w:t>
      </w:r>
      <w:r w:rsidR="002D433E">
        <w:t>1</w:t>
      </w:r>
      <w:r w:rsidR="001145F0">
        <w:t>3</w:t>
      </w:r>
      <w:r w:rsidR="002D433E" w:rsidRPr="003C0378">
        <w:t xml:space="preserve"> alternatyvi</w:t>
      </w:r>
      <w:r w:rsidR="002D433E">
        <w:t>ų</w:t>
      </w:r>
      <w:r w:rsidR="002D433E" w:rsidRPr="003C0378">
        <w:t xml:space="preserve"> scenarij</w:t>
      </w:r>
      <w:r w:rsidR="002D433E">
        <w:t>ų</w:t>
      </w:r>
      <w:r w:rsidR="002D433E" w:rsidRPr="003C0378">
        <w:t xml:space="preserve">, kuriuose buvo daroma prielaida, kad metinė kainų </w:t>
      </w:r>
      <w:r w:rsidR="000C3C1E">
        <w:t>elektros kaina</w:t>
      </w:r>
      <w:r w:rsidR="002D433E" w:rsidRPr="003C0378">
        <w:t xml:space="preserve"> sieks</w:t>
      </w:r>
      <w:r w:rsidRPr="003C0378">
        <w:t xml:space="preserve"> </w:t>
      </w:r>
      <w:r w:rsidR="002D433E">
        <w:t>4, 8, 12, 16, 20, 24, 28, 32, 36, 40, 44, 48, 52 centus už kWh.</w:t>
      </w:r>
    </w:p>
    <w:p w14:paraId="7C7EC9B7" w14:textId="096EB227" w:rsidR="00C52D01" w:rsidRPr="003C0378" w:rsidRDefault="005C2C96" w:rsidP="00C52D01">
      <w:pPr>
        <w:spacing w:line="276" w:lineRule="auto"/>
        <w:ind w:firstLine="284"/>
      </w:pPr>
      <w:r w:rsidRPr="003C0378">
        <w:rPr>
          <w:b/>
          <w:bCs/>
        </w:rPr>
        <w:t xml:space="preserve">Elektrinių įrengimo kainos. </w:t>
      </w:r>
      <w:r w:rsidRPr="003C0378">
        <w:t xml:space="preserve">Elektrinės įrengimo kaina buvo sudaryta remiantis EM pateiktais duomenimis. EM nurodė, kad jų derybose su EK dėl ir 2021–2027 m. </w:t>
      </w:r>
      <w:r w:rsidR="00AC0572" w:rsidRPr="003C0378">
        <w:t>IP</w:t>
      </w:r>
      <w:r w:rsidRPr="003C0378">
        <w:t xml:space="preserve"> lėšų 1 </w:t>
      </w:r>
      <w:r w:rsidR="00091DD0">
        <w:t>k</w:t>
      </w:r>
      <w:r w:rsidRPr="003C0378">
        <w:t>W saulės elektrinės kaina siekia 1157 Eur (1400 Eur įskaitant PVM)</w:t>
      </w:r>
      <w:r w:rsidRPr="003C0378">
        <w:rPr>
          <w:rStyle w:val="Puslapioinaosnuoroda"/>
        </w:rPr>
        <w:footnoteReference w:id="34"/>
      </w:r>
      <w:r w:rsidRPr="003C0378">
        <w:t>. Atsižvelgiant į tai, kad 2023 m. kainų infliacija sieks 8,4 proc., o 2024 m. – 2,3 proc.</w:t>
      </w:r>
      <w:r w:rsidRPr="003C0378">
        <w:rPr>
          <w:rStyle w:val="Puslapioinaosnuoroda"/>
        </w:rPr>
        <w:footnoteReference w:id="35"/>
      </w:r>
      <w:r w:rsidRPr="003C0378">
        <w:t>, Vertintojai apskaičiavo, kad ilguoju laikotarpiu galima tikėtis, kad 1 kW kainuos 1552 Eur įskaitant PVM. Kadangi verslo subjektai gali susigrąžinti PVM, tai jiems 1 kW įrengimo sąnaudos buvo nustatytos 1 283 Eur.</w:t>
      </w:r>
      <w:r w:rsidR="00F9683B" w:rsidRPr="003C0378">
        <w:t xml:space="preserve"> Vis dėlto, svarbu atkreipti dėmesį į tai, kad reali įrenginių kaina gali būti kitokia nei Vertintojų parinkta. Viena vertus, elektrinės kaina stipriai yra veikiama masto ekonomijos veiksnių – kuo didesnė ir galingesnė elektrinė, tuo mažesnė vieno instaliuojamo kW kaina. </w:t>
      </w:r>
      <w:r w:rsidR="00C52D01" w:rsidRPr="003C0378">
        <w:t>Kita vertus, sa</w:t>
      </w:r>
      <w:r w:rsidR="00F9683B" w:rsidRPr="003C0378">
        <w:t>ulės elektrinės pajungimas į tinklą irgi kainuoja. Remiantis ankstesniais vertinimais, kaina gali varijuoti nuo 100 iki 1600 Eu</w:t>
      </w:r>
      <w:r w:rsidR="00C52D01" w:rsidRPr="003C0378">
        <w:t xml:space="preserve">r, </w:t>
      </w:r>
      <w:r w:rsidR="00C52D01" w:rsidRPr="003C0378">
        <w:lastRenderedPageBreak/>
        <w:t xml:space="preserve">priklausomai nuo AEI elektrinės atstumo iki tinklo. Elektrinės pajungimo prie tinklo išlaidos atsiranda tik tuomet, kai yra būtina tinklo plėtra ir (ar) galios didinimas, nepriklausomai nuo pačios elektrinės galingumo. Šios išlaidos yra susijusios su papildomų kabelių tiesimu, elektros stulpų statymu, įvado didinimo, jeigu toks poreikis yra būtinas ir t.t. Vis dėlto, skaičiavimo paprastumo tikslais, Vertintojai nusprendė padaryti prielaidą, kad dabartinis pasirinktas įkainis leidžia atspindėti vidutinę </w:t>
      </w:r>
      <w:r w:rsidR="00C52D01" w:rsidRPr="000C3C1E">
        <w:t>visuminę 1 kW</w:t>
      </w:r>
      <w:r w:rsidR="00C52D01" w:rsidRPr="003C0378">
        <w:t xml:space="preserve"> įrengimo, įtraukiant visus aukščiau minimus veiksniu</w:t>
      </w:r>
      <w:r w:rsidR="00E433C7">
        <w:t>s</w:t>
      </w:r>
      <w:r w:rsidR="00C52D01" w:rsidRPr="003C0378">
        <w:t xml:space="preserve">, kainą, o tai atitinkamai leidžia korektiškai apskaičiuoti projektų atsiperkamumą. </w:t>
      </w:r>
    </w:p>
    <w:p w14:paraId="6CF90072" w14:textId="45E7E83E" w:rsidR="005C2C96" w:rsidRPr="003C0378" w:rsidRDefault="005C2C96" w:rsidP="005C2C96">
      <w:pPr>
        <w:spacing w:line="276" w:lineRule="auto"/>
        <w:ind w:firstLine="284"/>
      </w:pPr>
      <w:r w:rsidRPr="003C0378">
        <w:rPr>
          <w:b/>
          <w:bCs/>
        </w:rPr>
        <w:t xml:space="preserve">Įrengiamų pajėgumų kiekis. </w:t>
      </w:r>
      <w:r w:rsidRPr="003C0378">
        <w:t xml:space="preserve">Siekiant identifikuoti, koks galėtų būti įrengtinų pajėgumų kiekis atskirose tikslinėse grupėse, Vertintojai rėmėsi interviu metu surinkta medžiaga bei apklausos duomenimis. Verslo tikslinėje grupėje įrengtinų pajėgumų poreikis buvo apskaičiuotas remiantis anketinių apklausų rezultatais. Labai mažų ir mažų įmonių atveju buvo paskaičiuota, kad įmonė vidutiniškai įsirenginės 24 kW pajėgumų, o vidutinių ir didelių įmonių atveju – 670 kW pajėgumų. </w:t>
      </w:r>
      <w:r w:rsidR="00AC0572" w:rsidRPr="003C0378">
        <w:t>Apklausoje buvo daroma prielaida, kad respondentų instaliuotinų pajėgumų atspindi tą poreikį, kuris patenkina metinį jų elektros suvartoj</w:t>
      </w:r>
      <w:r w:rsidR="00F9683B" w:rsidRPr="003C0378">
        <w:t>i</w:t>
      </w:r>
      <w:r w:rsidR="00AC0572" w:rsidRPr="003C0378">
        <w:t>mą.</w:t>
      </w:r>
      <w:r w:rsidR="007368CE">
        <w:t xml:space="preserve"> Jautrumo analizėje verslo tikslinės grupės atveju pasirinkta taikyti 24 kW pajėgumus.</w:t>
      </w:r>
    </w:p>
    <w:p w14:paraId="27930296" w14:textId="76B53C29" w:rsidR="005C2C96" w:rsidRPr="003C0378" w:rsidRDefault="00CD749F" w:rsidP="005C2C96">
      <w:pPr>
        <w:spacing w:line="276" w:lineRule="auto"/>
        <w:ind w:firstLine="284"/>
      </w:pPr>
      <w:r w:rsidRPr="00F62A76">
        <w:t>VJA</w:t>
      </w:r>
      <w:r w:rsidR="005C2C96" w:rsidRPr="00F62A76">
        <w:t xml:space="preserve"> tikslinės grupės atveju buvo su</w:t>
      </w:r>
      <w:r w:rsidR="00FE0E3E" w:rsidRPr="00F62A76">
        <w:t>dėtinga</w:t>
      </w:r>
      <w:r w:rsidR="005C2C96" w:rsidRPr="00F62A76">
        <w:t xml:space="preserve"> identifikuoti vidutinį įrengtinų pajėgumų kiekį dėl to, kad šioje tikslinėje grupėje skirtingi valdytojai valdo skirtingo dydžio NT objektus. Atsižvelgiant į tai, Vertintojai apskaičiavo vidutinį vieno pastato dydį ir jo elektros energijos metinį poreikį (18 235 kWh). Padalinus elektros energijos metinį poreikį iš 1 kW generuojamų metinių elektros energijos pajėgumų (1050) Vertintojai apskaičiavo, kad vieno vidutinio pastato elektros energijos poreikių tenkinimui reikia 17,3 kW pajėgumų. Šis pajėgumų poreikis skaičiavimo patogumo tikslais buvo suapvalintas iki 18 kW. </w:t>
      </w:r>
    </w:p>
    <w:p w14:paraId="4DD700FE" w14:textId="1559A8EC" w:rsidR="005C2C96" w:rsidRPr="003C0378" w:rsidRDefault="00F6739B" w:rsidP="005C2C96">
      <w:pPr>
        <w:spacing w:line="276" w:lineRule="auto"/>
        <w:ind w:firstLine="284"/>
      </w:pPr>
      <w:r>
        <w:t>AIEB</w:t>
      </w:r>
      <w:r w:rsidR="00AC0572" w:rsidRPr="003C0378">
        <w:t xml:space="preserve"> </w:t>
      </w:r>
      <w:r w:rsidR="00CB585C" w:rsidRPr="00CB585C">
        <w:t xml:space="preserve">bei PEB </w:t>
      </w:r>
      <w:r w:rsidR="005C2C96" w:rsidRPr="003C0378">
        <w:t>tikslinės grupės atveju, Vertintojai rėmėsi interviu metu</w:t>
      </w:r>
      <w:r w:rsidR="00617E11" w:rsidRPr="003C0378">
        <w:t xml:space="preserve"> su LEA</w:t>
      </w:r>
      <w:r w:rsidR="00F9683B" w:rsidRPr="003C0378">
        <w:t xml:space="preserve"> ir VIPA</w:t>
      </w:r>
      <w:r w:rsidR="00617E11" w:rsidRPr="003C0378">
        <w:t xml:space="preserve"> atstovais</w:t>
      </w:r>
      <w:r w:rsidR="005C2C96" w:rsidRPr="003C0378">
        <w:t xml:space="preserve"> surinkta informacija ir, atitinkamai, padarė prielaidą, kad vidutinės įrengtinos saulės jėgainės pajėgumas bus 4 MW.</w:t>
      </w:r>
      <w:r w:rsidR="003C0378">
        <w:t xml:space="preserve"> </w:t>
      </w:r>
      <w:r w:rsidR="00617E11" w:rsidRPr="003C0378">
        <w:t>Svarbu pastebėti, kad skirtingose savivaldybėse bus kuriama skirtingo dydžio</w:t>
      </w:r>
      <w:r>
        <w:t xml:space="preserve"> AIEB</w:t>
      </w:r>
      <w:r w:rsidR="00CB585C" w:rsidRPr="00CB585C">
        <w:t xml:space="preserve"> bei PEB</w:t>
      </w:r>
      <w:r w:rsidR="00617E11" w:rsidRPr="003C0378">
        <w:t xml:space="preserve">, priklausomai nuo tos savivaldybės poreikių ir energetinį </w:t>
      </w:r>
      <w:r w:rsidR="009541F8">
        <w:t>nepriteklių</w:t>
      </w:r>
      <w:r w:rsidR="00617E11" w:rsidRPr="003C0378">
        <w:t xml:space="preserve"> patiriančių asmenų skaičiaus. Vis dėlto, kad ir kiek pajėgumų bus suplanuota statyti, atsiperkamumo analizės rezultatams tai didžiulio poveikio neturėtų turėti, kadangi atsiperkamumui darantys įtaka pagrindiniai veiksniai yra elektros kainos, palūkanų normos, elektrinės degradacijos lygis. Atsižvelgiant į tai ir neturint geresnės alternatyvos, Vertintojai nusprendė</w:t>
      </w:r>
      <w:r w:rsidR="00F9683B" w:rsidRPr="003C0378">
        <w:t xml:space="preserve"> pasilikti</w:t>
      </w:r>
      <w:r w:rsidR="00617E11" w:rsidRPr="003C0378">
        <w:t xml:space="preserve"> prie 4 MW </w:t>
      </w:r>
      <w:r w:rsidR="00F9683B" w:rsidRPr="003C0378">
        <w:t>prielaidos.</w:t>
      </w:r>
    </w:p>
    <w:p w14:paraId="4C4DFB92" w14:textId="77777777" w:rsidR="005C2C96" w:rsidRPr="003C0378" w:rsidRDefault="005C2C96" w:rsidP="005C2C96">
      <w:pPr>
        <w:spacing w:line="276" w:lineRule="auto"/>
        <w:ind w:firstLine="284"/>
      </w:pPr>
      <w:r w:rsidRPr="003C0378">
        <w:rPr>
          <w:b/>
          <w:bCs/>
        </w:rPr>
        <w:t xml:space="preserve">Elektrinių eksploatacijos laikas. </w:t>
      </w:r>
      <w:r w:rsidRPr="003C0378">
        <w:t>Danijos energetikos tarnybos kaupiami duomenys indikuoja, kad maksimalus saulės elektrinių eksploatacijos laikas siekia 30 metų</w:t>
      </w:r>
      <w:r w:rsidRPr="003C0378">
        <w:rPr>
          <w:rStyle w:val="Puslapioinaosnuoroda"/>
        </w:rPr>
        <w:footnoteReference w:id="36"/>
      </w:r>
      <w:r w:rsidRPr="003C0378">
        <w:t>. Tą patį patvirtina ir EM internetiniame puslapyje pateikiama informacija</w:t>
      </w:r>
      <w:r w:rsidRPr="003C0378">
        <w:rPr>
          <w:rStyle w:val="Puslapioinaosnuoroda"/>
        </w:rPr>
        <w:footnoteReference w:id="37"/>
      </w:r>
      <w:r w:rsidRPr="003C0378">
        <w:t>. Tuo tarpu kiti informacijos šaltiniai</w:t>
      </w:r>
      <w:r w:rsidRPr="003C0378">
        <w:rPr>
          <w:rStyle w:val="Puslapioinaosnuoroda"/>
        </w:rPr>
        <w:footnoteReference w:id="38"/>
      </w:r>
      <w:r w:rsidRPr="003C0378">
        <w:t xml:space="preserve"> indikuoja, kad eksploatacijos laikas gali siekti ir 25 metus bei tai, kad dauguma gamintojų suteikia 25 metų garantiją saulės moduliams. Vertintojai nusprendė remtis konservatyvesniais paskaičiavimais ir padarė prielaidą, kad saulės elektrinių eksploatacijos laikotarpis siekia 25 metus.</w:t>
      </w:r>
    </w:p>
    <w:p w14:paraId="66B8EE12" w14:textId="5DBC21AA" w:rsidR="005C2C96" w:rsidRPr="003C0378" w:rsidRDefault="005C2C96" w:rsidP="005C2C96">
      <w:pPr>
        <w:spacing w:line="276" w:lineRule="auto"/>
        <w:ind w:firstLine="284"/>
      </w:pPr>
      <w:r w:rsidRPr="003C0378">
        <w:rPr>
          <w:b/>
          <w:bCs/>
        </w:rPr>
        <w:t xml:space="preserve">1 kW pagaminamos elektros kiekis. </w:t>
      </w:r>
      <w:r w:rsidRPr="003C0378">
        <w:t>Remiantis viešai prieinamais duomenis</w:t>
      </w:r>
      <w:r w:rsidRPr="003C0378">
        <w:rPr>
          <w:rStyle w:val="Puslapioinaosnuoroda"/>
        </w:rPr>
        <w:footnoteReference w:id="39"/>
      </w:r>
      <w:r w:rsidRPr="003C0378">
        <w:t>, 1 kW pajėgumo saulės modulis per metus vidutiniškai pagamina 1000–1100 kWh elektros energijos. Atsižvelgiant į šį intervalą, Vertintojai padarė prielaidą, kad 1 kW pajėgumo saulės elektrinė pagamina 1050 kWh elektros energijos per metus. Vis dėlto, nors elektrinė sugeba generuoti tokius pajėgumus, tikėtina, kad gaminantis vartotojas nesugebės visos pagamintos energijos panaudoti savo reikmėms</w:t>
      </w:r>
      <w:r w:rsidR="000D0242" w:rsidRPr="003C0378">
        <w:t xml:space="preserve"> dėl įvairių technologinių praradimų (kaip antai, </w:t>
      </w:r>
      <w:proofErr w:type="spellStart"/>
      <w:r w:rsidR="000D0242" w:rsidRPr="003C0378">
        <w:t>inverterio</w:t>
      </w:r>
      <w:proofErr w:type="spellEnd"/>
      <w:r w:rsidR="000D0242" w:rsidRPr="003C0378">
        <w:t xml:space="preserve"> ir kabelio pirmų metų nuostolių). Vertintojai padarė pesimistinę prielaidą, kad šie praradimai sieks iki 5 proc. Tad</w:t>
      </w:r>
      <w:r w:rsidRPr="003C0378">
        <w:t xml:space="preserve"> </w:t>
      </w:r>
      <w:r w:rsidR="004B43C9">
        <w:t xml:space="preserve">naudos gavėjai </w:t>
      </w:r>
      <w:r w:rsidRPr="003C0378">
        <w:t xml:space="preserve">savo naudai galės panaudoti 95 proc. pagamintos elektros energijos. </w:t>
      </w:r>
    </w:p>
    <w:p w14:paraId="5F92272B" w14:textId="77777777" w:rsidR="005C2C96" w:rsidRPr="003C0378" w:rsidRDefault="005C2C96" w:rsidP="005C2C96">
      <w:pPr>
        <w:spacing w:line="276" w:lineRule="auto"/>
        <w:ind w:firstLine="284"/>
      </w:pPr>
      <w:r w:rsidRPr="003C0378">
        <w:rPr>
          <w:b/>
          <w:bCs/>
        </w:rPr>
        <w:lastRenderedPageBreak/>
        <w:t xml:space="preserve">Degradacijos lygis. </w:t>
      </w:r>
      <w:r w:rsidRPr="003C0378">
        <w:t>Saulės elektrinės degradacija apibrėžia kasmetinį saulės elektrinės nudėvėjimą. Kasmetinis elektrinės nudėvėjimas indikuoja tai, kad kiekvienais metais saulės elektrinė pagamina vis mažiau ir mažiau elektros. Remiantis viešais prieinamais šaltiniais</w:t>
      </w:r>
      <w:r w:rsidRPr="003C0378">
        <w:rPr>
          <w:rStyle w:val="Puslapioinaosnuoroda"/>
        </w:rPr>
        <w:footnoteReference w:id="40"/>
      </w:r>
      <w:r w:rsidRPr="003C0378">
        <w:t>, Vertintojai padarė prielaidą, kad saulės elektrinės įrengtų pajėgumų kasmetinis degradacijos lygis siekia 0,5 proc.</w:t>
      </w:r>
    </w:p>
    <w:p w14:paraId="04F5756A" w14:textId="019C8D22" w:rsidR="005C2C96" w:rsidRPr="003C0378" w:rsidRDefault="005C2C96" w:rsidP="005C2C96">
      <w:pPr>
        <w:spacing w:line="276" w:lineRule="auto"/>
        <w:ind w:firstLine="284"/>
      </w:pPr>
      <w:r w:rsidRPr="003C0378">
        <w:rPr>
          <w:b/>
          <w:bCs/>
        </w:rPr>
        <w:t xml:space="preserve">Aptarnavimo / </w:t>
      </w:r>
      <w:r w:rsidR="003D4A81">
        <w:rPr>
          <w:b/>
          <w:bCs/>
        </w:rPr>
        <w:t>eks</w:t>
      </w:r>
      <w:r w:rsidR="004068A3">
        <w:rPr>
          <w:b/>
          <w:bCs/>
        </w:rPr>
        <w:t>p</w:t>
      </w:r>
      <w:r w:rsidR="003D4A81">
        <w:rPr>
          <w:b/>
          <w:bCs/>
        </w:rPr>
        <w:t>loatavimo</w:t>
      </w:r>
      <w:r w:rsidRPr="003C0378">
        <w:rPr>
          <w:b/>
          <w:bCs/>
        </w:rPr>
        <w:t xml:space="preserve"> kaštai.</w:t>
      </w:r>
      <w:r w:rsidRPr="003C0378">
        <w:t xml:space="preserve"> Saulės elektrinių valdytojai kiekvienais metais patiria elektrinės išlaikymo kaštus dėl poreikio inspektuoti, nuvalyti ir atlikti kitus darbus, susijusius su elektrinės eksploatacija. Remiantis Danijos energetikos tarnybos kaupiamais duomenimis, kasmetinis 1 kW pajėgumo išlaikymas siekia 13,6 Eur. Šį įvertį Vertintojai ir naudojo jautrumo analizės skaičiavimuose.</w:t>
      </w:r>
    </w:p>
    <w:p w14:paraId="57A62059" w14:textId="22BB2C3B" w:rsidR="005C2C96" w:rsidRPr="003C0378" w:rsidRDefault="005C2C96" w:rsidP="005C2C96">
      <w:pPr>
        <w:spacing w:line="276" w:lineRule="auto"/>
        <w:ind w:firstLine="284"/>
      </w:pPr>
      <w:r w:rsidRPr="003C0378">
        <w:rPr>
          <w:b/>
          <w:bCs/>
        </w:rPr>
        <w:t xml:space="preserve">Infliacijos lygis. </w:t>
      </w:r>
      <w:r w:rsidRPr="003C0378">
        <w:t xml:space="preserve">Infliacija tiesiogiai veikia aptarnavimo / </w:t>
      </w:r>
      <w:r w:rsidR="003D4A81">
        <w:t>eksploatavimo</w:t>
      </w:r>
      <w:r w:rsidRPr="003C0378">
        <w:t xml:space="preserve"> kaštus. Remiantis ekspertiniu vertinimu, Vertintojai padarė prielaidą, kad vidutinis metinis infliacijos lygis per visą elektrinės eksploatacijos lygį sieks 3 proc. Kitaip tariant, Vertintojai padarė prielaidą, kad elektrinės aptarnavimo / išlaikymo kaštai kasmet padidės po 3 proc.</w:t>
      </w:r>
    </w:p>
    <w:p w14:paraId="3B77845F" w14:textId="07AECC8A" w:rsidR="00AC125B" w:rsidRPr="003C0378" w:rsidRDefault="005C2C96" w:rsidP="005C2C96">
      <w:pPr>
        <w:spacing w:line="276" w:lineRule="auto"/>
        <w:ind w:firstLine="284"/>
      </w:pPr>
      <w:r w:rsidRPr="003C0378">
        <w:rPr>
          <w:b/>
          <w:bCs/>
        </w:rPr>
        <w:t xml:space="preserve">Paskolos palūkanų norma. </w:t>
      </w:r>
      <w:r w:rsidRPr="003C0378">
        <w:t>Palūkanų norma turi tiesioginį poveikį elektrinių atsiperkamumui. Palūk</w:t>
      </w:r>
      <w:r w:rsidR="00811313" w:rsidRPr="003C0378">
        <w:t>anų</w:t>
      </w:r>
      <w:r w:rsidRPr="003C0378">
        <w:t xml:space="preserve"> mokėjimai didina saulės elektrinės pagaminamos elektros savikainą ir atitinkamai ilgina atsiperkamumo laikotarpį. Bazinio scenarijaus atveju Vertintojai padarė prielaidą, kad imamai paskolai metinės palūkanos sieks </w:t>
      </w:r>
      <w:r w:rsidR="00C2187B">
        <w:t>6</w:t>
      </w:r>
      <w:r w:rsidRPr="003C0378">
        <w:t xml:space="preserve"> proc. </w:t>
      </w:r>
      <w:r w:rsidR="00C2187B">
        <w:t>Šis metinės palūkanų normos paskolai dydis buvo pasirinktas atsižvelgiant į vertintojų atliktą</w:t>
      </w:r>
      <w:r w:rsidR="002E379B">
        <w:t xml:space="preserve"> kredito įstaigų (toliau – </w:t>
      </w:r>
      <w:r w:rsidR="00C2187B" w:rsidRPr="00C2187B">
        <w:t xml:space="preserve"> KĮ</w:t>
      </w:r>
      <w:r w:rsidR="002E379B">
        <w:t>)</w:t>
      </w:r>
      <w:r w:rsidR="00C2187B" w:rsidRPr="00C2187B">
        <w:t xml:space="preserve"> </w:t>
      </w:r>
      <w:r w:rsidR="00AC125B">
        <w:t xml:space="preserve">siūlomų </w:t>
      </w:r>
      <w:r w:rsidR="00C2187B" w:rsidRPr="00C2187B">
        <w:t>produktų analiz</w:t>
      </w:r>
      <w:r w:rsidR="00C2187B">
        <w:t>ę, kurios metu</w:t>
      </w:r>
      <w:r w:rsidR="00C2187B" w:rsidRPr="00C2187B">
        <w:t xml:space="preserve"> nustatyta, </w:t>
      </w:r>
      <w:r w:rsidR="00C2187B">
        <w:t>jog</w:t>
      </w:r>
      <w:r w:rsidR="00C2187B" w:rsidRPr="00C2187B">
        <w:t xml:space="preserve"> </w:t>
      </w:r>
      <w:r w:rsidR="00C2187B">
        <w:t xml:space="preserve">dabartinėmis aplinkybėmis iš </w:t>
      </w:r>
      <w:r w:rsidR="00C2187B" w:rsidRPr="00C2187B">
        <w:t xml:space="preserve">KĮ </w:t>
      </w:r>
      <w:r w:rsidR="00C2187B">
        <w:t>galima gauti paskolą už</w:t>
      </w:r>
      <w:r w:rsidR="00C2187B" w:rsidRPr="00C2187B">
        <w:t xml:space="preserve"> maždaug</w:t>
      </w:r>
      <w:r w:rsidR="00C2187B">
        <w:t xml:space="preserve"> </w:t>
      </w:r>
      <w:r w:rsidR="00C2187B" w:rsidRPr="00C2187B">
        <w:t>6 proc.</w:t>
      </w:r>
      <w:r w:rsidR="00C2187B">
        <w:t xml:space="preserve"> metinę palūkanų normą, kadangi teikiamos paskolos marža siekia iki 3 proc., tačiau vertinimo metu 3 mėn. EURIBOR siekė kiek daugiau negu 3 proc. </w:t>
      </w:r>
      <w:r w:rsidRPr="003C0378">
        <w:t xml:space="preserve">Vis dėlto, siekiant įvertinti kaip keistųsi elektrinių atsiperkamumas keičiantis palūkanų normoms, Vertintojai sukūrė 6 alternatyvius scenarijus, kuriuose buvo daroma prielaida, kad metinė palūkanų norma sieks </w:t>
      </w:r>
      <w:r w:rsidR="002D433E">
        <w:t>3</w:t>
      </w:r>
      <w:r w:rsidRPr="003C0378">
        <w:t xml:space="preserve"> proc., </w:t>
      </w:r>
      <w:r w:rsidR="002D433E">
        <w:t>4</w:t>
      </w:r>
      <w:r w:rsidRPr="003C0378">
        <w:t xml:space="preserve"> proc., </w:t>
      </w:r>
      <w:r w:rsidR="002D433E">
        <w:t>5</w:t>
      </w:r>
      <w:r w:rsidRPr="003C0378">
        <w:t xml:space="preserve"> proc., </w:t>
      </w:r>
      <w:r w:rsidR="002D433E">
        <w:t>7</w:t>
      </w:r>
      <w:r w:rsidRPr="003C0378">
        <w:t xml:space="preserve"> proc., </w:t>
      </w:r>
      <w:r w:rsidR="002D433E">
        <w:t>8</w:t>
      </w:r>
      <w:r w:rsidRPr="003C0378">
        <w:t xml:space="preserve"> proc. ar </w:t>
      </w:r>
      <w:r w:rsidR="002D433E">
        <w:t>9</w:t>
      </w:r>
      <w:r w:rsidRPr="003C0378">
        <w:t xml:space="preserve"> proc.</w:t>
      </w:r>
    </w:p>
    <w:p w14:paraId="2C57B7DF" w14:textId="576AF285" w:rsidR="005C2C96" w:rsidRPr="003C0378" w:rsidRDefault="001B25A1" w:rsidP="003D7A9D">
      <w:pPr>
        <w:spacing w:line="276" w:lineRule="auto"/>
        <w:ind w:firstLine="284"/>
      </w:pPr>
      <w:proofErr w:type="spellStart"/>
      <w:r>
        <w:rPr>
          <w:b/>
          <w:bCs/>
        </w:rPr>
        <w:t>Bendra</w:t>
      </w:r>
      <w:r w:rsidR="005C2C96" w:rsidRPr="003C0378">
        <w:rPr>
          <w:b/>
          <w:bCs/>
        </w:rPr>
        <w:t>finansavimo</w:t>
      </w:r>
      <w:proofErr w:type="spellEnd"/>
      <w:r w:rsidR="005C2C96" w:rsidRPr="003C0378">
        <w:rPr>
          <w:b/>
          <w:bCs/>
        </w:rPr>
        <w:t xml:space="preserve"> dalis. </w:t>
      </w:r>
      <w:r w:rsidR="005C2C96" w:rsidRPr="003C0378">
        <w:t xml:space="preserve">Verslo tikslinės grupės atveju buvo daroma prielaida, kad paskolos nebus teikiamos visai projekto vertei. Atsižvelgiant į ankstesnę paskolinių priemonių įgyvendinimo patirtį, Vertintojai padarė prielaidą, kad privataus </w:t>
      </w:r>
      <w:proofErr w:type="spellStart"/>
      <w:r>
        <w:t>bendra</w:t>
      </w:r>
      <w:r w:rsidR="005C2C96" w:rsidRPr="003C0378">
        <w:t>finansavimo</w:t>
      </w:r>
      <w:proofErr w:type="spellEnd"/>
      <w:r w:rsidR="005C2C96" w:rsidRPr="003C0378">
        <w:t xml:space="preserve"> dalis verslo subjektams galėtų siekti 25 proc. </w:t>
      </w:r>
      <w:r w:rsidR="005C2C96" w:rsidRPr="00CE6878">
        <w:t>Viešųjų subjektų</w:t>
      </w:r>
      <w:r w:rsidR="005C2C96" w:rsidRPr="003C0378">
        <w:t xml:space="preserve"> atveju Vertintojai darė prielaidą, kad projekto įgyvendintojams nuosavomis lėšomis nereikės prisidėti ir atitinkamai </w:t>
      </w:r>
      <w:proofErr w:type="spellStart"/>
      <w:r>
        <w:t>bendra</w:t>
      </w:r>
      <w:r w:rsidR="005C2C96" w:rsidRPr="003C0378">
        <w:t>finansavimo</w:t>
      </w:r>
      <w:proofErr w:type="spellEnd"/>
      <w:r w:rsidR="005C2C96" w:rsidRPr="003C0378">
        <w:t xml:space="preserve"> dalis sieks 0 proc. projekto vertės.</w:t>
      </w:r>
    </w:p>
    <w:p w14:paraId="3C359F8F" w14:textId="7A7D1A1B" w:rsidR="005C2C96" w:rsidRPr="003C0378" w:rsidRDefault="005C2C96" w:rsidP="005C2C96">
      <w:pPr>
        <w:spacing w:line="276" w:lineRule="auto"/>
        <w:ind w:firstLine="284"/>
      </w:pPr>
      <w:r w:rsidRPr="003C0378">
        <w:rPr>
          <w:b/>
          <w:bCs/>
        </w:rPr>
        <w:t xml:space="preserve">Nuosavo kapitalo palūkanų norma. </w:t>
      </w:r>
      <w:r w:rsidRPr="003C0378">
        <w:t>Nuosavo kapitalo palūkanų norma atspindi alternatyviuosius projekto įgyvendintojo kaštus. Pavyzdžiui, jeigu yra nusprendžiama įgyvendinti projektą ir jam yra naudojamos nuosavos lėšos, tai tokiu atveju projekto įgyvendintojas praranda palūkanas arba uždirbtiną pelną iš alternatyvaus nuosavų lėšų panaudojimo galimybės. Vertintojai darė prielaidą, kad nuosavo kapitalo palūkanų norma</w:t>
      </w:r>
      <w:r w:rsidR="002D433E">
        <w:t xml:space="preserve"> verslo tikslinei grupei</w:t>
      </w:r>
      <w:r w:rsidRPr="003C0378">
        <w:t xml:space="preserve"> gali siekti </w:t>
      </w:r>
      <w:r w:rsidR="002D433E">
        <w:t>8</w:t>
      </w:r>
      <w:r w:rsidRPr="003C0378">
        <w:t xml:space="preserve"> proc. Vis dėlto, siekiant įvertinti kaip keistųsi elektrinių atsiperkamumas keičiantis nuosavo kapitalo palūkanų normoms, Vertintojai sukūrė 6 alternatyvius scenarijus, kuriuose buvo analizuojama kaip keistųsi elektrinių atsiperkamumas mažėjant / didėjant nuosavo kapitalo palūkanų normai. </w:t>
      </w:r>
    </w:p>
    <w:p w14:paraId="7036F79B" w14:textId="21D1E15D" w:rsidR="005C2C96" w:rsidRPr="00B9791B" w:rsidRDefault="005C2C96" w:rsidP="005C2C96">
      <w:pPr>
        <w:pStyle w:val="Antrat2"/>
        <w:numPr>
          <w:ilvl w:val="1"/>
          <w:numId w:val="3"/>
        </w:numPr>
        <w:ind w:left="709" w:hanging="425"/>
        <w:rPr>
          <w:rFonts w:cs="Times New Roman"/>
        </w:rPr>
      </w:pPr>
      <w:bookmarkStart w:id="124" w:name="_Toc126051366"/>
      <w:bookmarkStart w:id="125" w:name="_Toc166139835"/>
      <w:bookmarkStart w:id="126" w:name="_Toc170804597"/>
      <w:r w:rsidRPr="00A415B4">
        <w:rPr>
          <w:rFonts w:cs="Times New Roman"/>
        </w:rPr>
        <w:t xml:space="preserve">Jautrumo </w:t>
      </w:r>
      <w:r w:rsidRPr="00B9791B">
        <w:rPr>
          <w:rFonts w:cs="Times New Roman"/>
        </w:rPr>
        <w:t xml:space="preserve">analizė </w:t>
      </w:r>
      <w:r w:rsidR="00F3261B" w:rsidRPr="00B9791B">
        <w:rPr>
          <w:rFonts w:cs="Times New Roman"/>
        </w:rPr>
        <w:t>VJA</w:t>
      </w:r>
      <w:r w:rsidRPr="00B9791B">
        <w:rPr>
          <w:rFonts w:cs="Times New Roman"/>
        </w:rPr>
        <w:t xml:space="preserve"> tikslinėje grupėje</w:t>
      </w:r>
      <w:bookmarkEnd w:id="124"/>
      <w:bookmarkEnd w:id="125"/>
      <w:bookmarkEnd w:id="126"/>
    </w:p>
    <w:p w14:paraId="07C5DA2A" w14:textId="63EDC9CA" w:rsidR="005C2C96" w:rsidRPr="00B9791B" w:rsidRDefault="005C2C96" w:rsidP="005C2C96">
      <w:pPr>
        <w:keepNext/>
        <w:ind w:firstLine="562"/>
        <w:rPr>
          <w:rFonts w:cs="Times New Roman"/>
        </w:rPr>
      </w:pPr>
      <w:r w:rsidRPr="00B9791B">
        <w:rPr>
          <w:rFonts w:cs="Times New Roman"/>
        </w:rPr>
        <w:t xml:space="preserve">Žemiau lentelėje yra pateikiamos visos pritaikytos prielaidos atliekant jautrumo analizę </w:t>
      </w:r>
      <w:r w:rsidR="00CD749F" w:rsidRPr="00B9791B">
        <w:rPr>
          <w:rFonts w:cs="Times New Roman"/>
        </w:rPr>
        <w:t>VJA</w:t>
      </w:r>
      <w:r w:rsidRPr="00B9791B">
        <w:rPr>
          <w:rFonts w:cs="Times New Roman"/>
        </w:rPr>
        <w:t xml:space="preserve"> tikslinėje grupėje.</w:t>
      </w:r>
    </w:p>
    <w:p w14:paraId="4C4F439D" w14:textId="1D78D9BC" w:rsidR="005C2C96" w:rsidRPr="00B9791B" w:rsidRDefault="005C2C96" w:rsidP="005C2C96">
      <w:pPr>
        <w:keepNext/>
        <w:spacing w:after="0"/>
        <w:ind w:firstLine="0"/>
        <w:jc w:val="left"/>
        <w:rPr>
          <w:rFonts w:cs="Times New Roman"/>
        </w:rPr>
      </w:pPr>
      <w:bookmarkStart w:id="127" w:name="_Toc126051396"/>
      <w:bookmarkStart w:id="128" w:name="_Toc166139867"/>
      <w:bookmarkStart w:id="129" w:name="_Toc170804633"/>
      <w:r w:rsidRPr="00B9791B">
        <w:rPr>
          <w:rFonts w:cs="Times New Roman"/>
          <w:i/>
          <w:iCs/>
        </w:rPr>
        <w:t xml:space="preserve">Lentelė </w:t>
      </w:r>
      <w:r w:rsidRPr="00B9791B">
        <w:rPr>
          <w:rFonts w:cs="Times New Roman"/>
          <w:i/>
          <w:iCs/>
        </w:rPr>
        <w:fldChar w:fldCharType="begin"/>
      </w:r>
      <w:r w:rsidRPr="00B9791B">
        <w:rPr>
          <w:rFonts w:cs="Times New Roman"/>
          <w:i/>
          <w:iCs/>
        </w:rPr>
        <w:instrText xml:space="preserve"> SEQ Lentelė \* ARABIC </w:instrText>
      </w:r>
      <w:r w:rsidRPr="00B9791B">
        <w:rPr>
          <w:rFonts w:cs="Times New Roman"/>
          <w:i/>
          <w:iCs/>
        </w:rPr>
        <w:fldChar w:fldCharType="separate"/>
      </w:r>
      <w:r w:rsidR="00347605">
        <w:rPr>
          <w:rFonts w:cs="Times New Roman"/>
          <w:i/>
          <w:iCs/>
          <w:noProof/>
        </w:rPr>
        <w:t>17</w:t>
      </w:r>
      <w:r w:rsidRPr="00B9791B">
        <w:rPr>
          <w:rFonts w:cs="Times New Roman"/>
          <w:i/>
          <w:iCs/>
        </w:rPr>
        <w:fldChar w:fldCharType="end"/>
      </w:r>
      <w:r w:rsidRPr="00B9791B">
        <w:rPr>
          <w:rFonts w:cs="Times New Roman"/>
          <w:i/>
          <w:iCs/>
        </w:rPr>
        <w:t xml:space="preserve">. Jautrumo analizės prielaidos – </w:t>
      </w:r>
      <w:r w:rsidR="00CD749F" w:rsidRPr="00B9791B">
        <w:rPr>
          <w:rFonts w:cs="Times New Roman"/>
          <w:i/>
          <w:iCs/>
        </w:rPr>
        <w:t>VJA</w:t>
      </w:r>
      <w:r w:rsidRPr="00B9791B">
        <w:rPr>
          <w:rFonts w:cs="Times New Roman"/>
          <w:i/>
          <w:iCs/>
        </w:rPr>
        <w:t xml:space="preserve"> tikslinė grupė</w:t>
      </w:r>
      <w:bookmarkEnd w:id="127"/>
      <w:bookmarkEnd w:id="128"/>
      <w:bookmarkEnd w:id="129"/>
    </w:p>
    <w:tbl>
      <w:tblPr>
        <w:tblStyle w:val="Lentelstinklelis"/>
        <w:tblW w:w="9512" w:type="dxa"/>
        <w:tblLook w:val="04A0" w:firstRow="1" w:lastRow="0" w:firstColumn="1" w:lastColumn="0" w:noHBand="0" w:noVBand="1"/>
      </w:tblPr>
      <w:tblGrid>
        <w:gridCol w:w="8453"/>
        <w:gridCol w:w="1059"/>
      </w:tblGrid>
      <w:tr w:rsidR="005C2C96" w:rsidRPr="00C4190C" w14:paraId="6BDF025E" w14:textId="77777777" w:rsidTr="00E24002">
        <w:trPr>
          <w:trHeight w:val="20"/>
          <w:tblHeader/>
        </w:trPr>
        <w:tc>
          <w:tcPr>
            <w:tcW w:w="8453" w:type="dxa"/>
            <w:vAlign w:val="center"/>
          </w:tcPr>
          <w:p w14:paraId="17E1CD62" w14:textId="77777777" w:rsidR="005C2C96" w:rsidRPr="00A415B4" w:rsidRDefault="005C2C96" w:rsidP="00561795">
            <w:pPr>
              <w:spacing w:after="0"/>
              <w:ind w:firstLine="0"/>
              <w:jc w:val="center"/>
              <w:rPr>
                <w:rFonts w:cs="Times New Roman"/>
                <w:b/>
                <w:bCs/>
                <w:sz w:val="20"/>
                <w:szCs w:val="20"/>
                <w:lang w:val="lt-LT"/>
              </w:rPr>
            </w:pPr>
            <w:r w:rsidRPr="00A415B4">
              <w:rPr>
                <w:rFonts w:cs="Times New Roman"/>
                <w:b/>
                <w:bCs/>
                <w:sz w:val="20"/>
                <w:szCs w:val="20"/>
                <w:lang w:val="lt-LT"/>
              </w:rPr>
              <w:t>Prielaida</w:t>
            </w:r>
          </w:p>
        </w:tc>
        <w:tc>
          <w:tcPr>
            <w:tcW w:w="1059" w:type="dxa"/>
          </w:tcPr>
          <w:p w14:paraId="4C90D8EE" w14:textId="77777777" w:rsidR="005C2C96" w:rsidRPr="00A415B4" w:rsidRDefault="005C2C96" w:rsidP="00561795">
            <w:pPr>
              <w:spacing w:after="0"/>
              <w:ind w:firstLine="0"/>
              <w:rPr>
                <w:rFonts w:cs="Times New Roman"/>
                <w:b/>
                <w:bCs/>
                <w:sz w:val="20"/>
                <w:szCs w:val="20"/>
                <w:lang w:val="lt-LT"/>
              </w:rPr>
            </w:pPr>
            <w:r w:rsidRPr="00A415B4">
              <w:rPr>
                <w:rFonts w:cs="Times New Roman"/>
                <w:b/>
                <w:bCs/>
                <w:sz w:val="20"/>
                <w:szCs w:val="20"/>
                <w:lang w:val="lt-LT"/>
              </w:rPr>
              <w:t>Reikšmė</w:t>
            </w:r>
          </w:p>
        </w:tc>
      </w:tr>
      <w:tr w:rsidR="005C2C96" w:rsidRPr="00C4190C" w14:paraId="4AE7FF8D" w14:textId="77777777" w:rsidTr="00E24002">
        <w:trPr>
          <w:trHeight w:val="20"/>
        </w:trPr>
        <w:tc>
          <w:tcPr>
            <w:tcW w:w="9512" w:type="dxa"/>
            <w:gridSpan w:val="2"/>
          </w:tcPr>
          <w:p w14:paraId="656ABD2B" w14:textId="77777777" w:rsidR="005C2C96" w:rsidRPr="00A415B4" w:rsidRDefault="005C2C96" w:rsidP="00561795">
            <w:pPr>
              <w:spacing w:after="0"/>
              <w:ind w:firstLine="0"/>
              <w:rPr>
                <w:rFonts w:cs="Times New Roman"/>
                <w:b/>
                <w:bCs/>
                <w:sz w:val="20"/>
                <w:szCs w:val="20"/>
                <w:lang w:val="lt-LT"/>
              </w:rPr>
            </w:pPr>
            <w:r w:rsidRPr="00A415B4">
              <w:rPr>
                <w:rFonts w:cs="Times New Roman"/>
                <w:b/>
                <w:bCs/>
                <w:sz w:val="20"/>
                <w:szCs w:val="20"/>
                <w:lang w:val="lt-LT"/>
              </w:rPr>
              <w:t>Elektrinės įrengimo kaštai</w:t>
            </w:r>
          </w:p>
        </w:tc>
      </w:tr>
      <w:tr w:rsidR="005C2C96" w:rsidRPr="00C4190C" w14:paraId="71118FE9" w14:textId="77777777" w:rsidTr="00E24002">
        <w:trPr>
          <w:trHeight w:val="20"/>
        </w:trPr>
        <w:tc>
          <w:tcPr>
            <w:tcW w:w="8453" w:type="dxa"/>
          </w:tcPr>
          <w:p w14:paraId="41439166"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Įrengiami pajėgumai (kW)</w:t>
            </w:r>
          </w:p>
        </w:tc>
        <w:tc>
          <w:tcPr>
            <w:tcW w:w="1059" w:type="dxa"/>
          </w:tcPr>
          <w:p w14:paraId="582DD357"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18</w:t>
            </w:r>
          </w:p>
        </w:tc>
      </w:tr>
      <w:tr w:rsidR="005C2C96" w:rsidRPr="00C4190C" w14:paraId="2469BE80" w14:textId="77777777" w:rsidTr="00E24002">
        <w:trPr>
          <w:trHeight w:val="20"/>
        </w:trPr>
        <w:tc>
          <w:tcPr>
            <w:tcW w:w="8453" w:type="dxa"/>
          </w:tcPr>
          <w:p w14:paraId="49CADFA5"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lastRenderedPageBreak/>
              <w:t>Pajėgumų įkainiai (Eur/kW)</w:t>
            </w:r>
          </w:p>
        </w:tc>
        <w:tc>
          <w:tcPr>
            <w:tcW w:w="1059" w:type="dxa"/>
          </w:tcPr>
          <w:p w14:paraId="06F29C7B"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1552</w:t>
            </w:r>
          </w:p>
        </w:tc>
      </w:tr>
      <w:tr w:rsidR="005C2C96" w:rsidRPr="00C4190C" w14:paraId="5BCBD005" w14:textId="77777777" w:rsidTr="00E24002">
        <w:trPr>
          <w:trHeight w:val="20"/>
        </w:trPr>
        <w:tc>
          <w:tcPr>
            <w:tcW w:w="8453" w:type="dxa"/>
          </w:tcPr>
          <w:p w14:paraId="07BE0799"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Pajėgumų eksploatacijos laikotarpis (metai)</w:t>
            </w:r>
          </w:p>
        </w:tc>
        <w:tc>
          <w:tcPr>
            <w:tcW w:w="1059" w:type="dxa"/>
          </w:tcPr>
          <w:p w14:paraId="20363CEB"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25</w:t>
            </w:r>
          </w:p>
        </w:tc>
      </w:tr>
      <w:tr w:rsidR="005C2C96" w:rsidRPr="00C4190C" w14:paraId="34174D84" w14:textId="77777777" w:rsidTr="00E24002">
        <w:trPr>
          <w:trHeight w:val="20"/>
        </w:trPr>
        <w:tc>
          <w:tcPr>
            <w:tcW w:w="9512" w:type="dxa"/>
            <w:gridSpan w:val="2"/>
          </w:tcPr>
          <w:p w14:paraId="34F8490D" w14:textId="77777777" w:rsidR="005C2C96" w:rsidRPr="00A415B4" w:rsidRDefault="005C2C96" w:rsidP="00561795">
            <w:pPr>
              <w:spacing w:after="0"/>
              <w:ind w:firstLine="0"/>
              <w:rPr>
                <w:rFonts w:cs="Times New Roman"/>
                <w:b/>
                <w:bCs/>
                <w:sz w:val="20"/>
                <w:szCs w:val="20"/>
                <w:lang w:val="lt-LT"/>
              </w:rPr>
            </w:pPr>
            <w:r w:rsidRPr="00A415B4">
              <w:rPr>
                <w:rFonts w:cs="Times New Roman"/>
                <w:b/>
                <w:bCs/>
                <w:sz w:val="20"/>
                <w:szCs w:val="20"/>
                <w:lang w:val="lt-LT"/>
              </w:rPr>
              <w:t>Elektrinės pajėgumai ir kitos prielaidos</w:t>
            </w:r>
          </w:p>
        </w:tc>
      </w:tr>
      <w:tr w:rsidR="005C2C96" w:rsidRPr="00C4190C" w14:paraId="59F16889" w14:textId="77777777" w:rsidTr="00E24002">
        <w:trPr>
          <w:trHeight w:val="20"/>
        </w:trPr>
        <w:tc>
          <w:tcPr>
            <w:tcW w:w="8453" w:type="dxa"/>
          </w:tcPr>
          <w:p w14:paraId="7D0599F7"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Naujai įrengto 1 kW pajėgumo pagaminamas metinis kWh kiekis (kWh/kW)</w:t>
            </w:r>
          </w:p>
        </w:tc>
        <w:tc>
          <w:tcPr>
            <w:tcW w:w="1059" w:type="dxa"/>
          </w:tcPr>
          <w:p w14:paraId="5AF090D7"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1050</w:t>
            </w:r>
          </w:p>
        </w:tc>
      </w:tr>
      <w:tr w:rsidR="005C2C96" w:rsidRPr="00C4190C" w14:paraId="611AC72B" w14:textId="77777777" w:rsidTr="00E24002">
        <w:trPr>
          <w:trHeight w:val="20"/>
        </w:trPr>
        <w:tc>
          <w:tcPr>
            <w:tcW w:w="8453" w:type="dxa"/>
          </w:tcPr>
          <w:p w14:paraId="1D444735"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Naujai įrengto 1 kW pajėgumo pagaminamo kWh kiekio efektyvumo koeficientas (proc.)</w:t>
            </w:r>
          </w:p>
        </w:tc>
        <w:tc>
          <w:tcPr>
            <w:tcW w:w="1059" w:type="dxa"/>
          </w:tcPr>
          <w:p w14:paraId="5F6C8442" w14:textId="6B8353CB"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95</w:t>
            </w:r>
          </w:p>
        </w:tc>
      </w:tr>
      <w:tr w:rsidR="005C2C96" w:rsidRPr="00C4190C" w14:paraId="1DD64679" w14:textId="77777777" w:rsidTr="00E24002">
        <w:trPr>
          <w:trHeight w:val="20"/>
        </w:trPr>
        <w:tc>
          <w:tcPr>
            <w:tcW w:w="8453" w:type="dxa"/>
          </w:tcPr>
          <w:p w14:paraId="5B57ABBD"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Naujai įrengto 1 kW pajėgumo pagaminamas faktinis kWh kiekis (kWh/kW)</w:t>
            </w:r>
          </w:p>
        </w:tc>
        <w:tc>
          <w:tcPr>
            <w:tcW w:w="1059" w:type="dxa"/>
          </w:tcPr>
          <w:p w14:paraId="4D6459CF" w14:textId="28327BB9"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998</w:t>
            </w:r>
          </w:p>
        </w:tc>
      </w:tr>
      <w:tr w:rsidR="005C2C96" w:rsidRPr="00C4190C" w14:paraId="4B9721AD" w14:textId="77777777" w:rsidTr="00E24002">
        <w:trPr>
          <w:trHeight w:val="20"/>
        </w:trPr>
        <w:tc>
          <w:tcPr>
            <w:tcW w:w="8453" w:type="dxa"/>
          </w:tcPr>
          <w:p w14:paraId="405A557E"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Įrengto 1 kW (elektrinės) aptarnavimo kaštai per metus (Eur/kW)</w:t>
            </w:r>
          </w:p>
        </w:tc>
        <w:tc>
          <w:tcPr>
            <w:tcW w:w="1059" w:type="dxa"/>
          </w:tcPr>
          <w:p w14:paraId="648E8BD4"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13,6</w:t>
            </w:r>
          </w:p>
        </w:tc>
      </w:tr>
      <w:tr w:rsidR="005C2C96" w:rsidRPr="00C4190C" w14:paraId="6728E337" w14:textId="77777777" w:rsidTr="00E24002">
        <w:trPr>
          <w:trHeight w:val="20"/>
        </w:trPr>
        <w:tc>
          <w:tcPr>
            <w:tcW w:w="8453" w:type="dxa"/>
          </w:tcPr>
          <w:p w14:paraId="7FF3C5A2"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Elektrinės degradacijos lygis per metus (proc.)</w:t>
            </w:r>
          </w:p>
        </w:tc>
        <w:tc>
          <w:tcPr>
            <w:tcW w:w="1059" w:type="dxa"/>
          </w:tcPr>
          <w:p w14:paraId="45F1C53F"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0,5</w:t>
            </w:r>
          </w:p>
        </w:tc>
      </w:tr>
      <w:tr w:rsidR="005C2C96" w:rsidRPr="00C4190C" w14:paraId="61C02A82" w14:textId="77777777" w:rsidTr="00E24002">
        <w:trPr>
          <w:trHeight w:val="20"/>
        </w:trPr>
        <w:tc>
          <w:tcPr>
            <w:tcW w:w="8453" w:type="dxa"/>
          </w:tcPr>
          <w:p w14:paraId="26A1B350"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Infliacijos metinis lygis (proc.)</w:t>
            </w:r>
          </w:p>
        </w:tc>
        <w:tc>
          <w:tcPr>
            <w:tcW w:w="1059" w:type="dxa"/>
          </w:tcPr>
          <w:p w14:paraId="2468C0FB"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3</w:t>
            </w:r>
          </w:p>
        </w:tc>
      </w:tr>
      <w:tr w:rsidR="005C2C96" w:rsidRPr="00C4190C" w14:paraId="6514ACDA" w14:textId="77777777" w:rsidTr="00E24002">
        <w:trPr>
          <w:trHeight w:val="20"/>
        </w:trPr>
        <w:tc>
          <w:tcPr>
            <w:tcW w:w="8453" w:type="dxa"/>
          </w:tcPr>
          <w:p w14:paraId="242BA873"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Elektros kainų infliacijos metinis lygis (proc.)</w:t>
            </w:r>
          </w:p>
        </w:tc>
        <w:tc>
          <w:tcPr>
            <w:tcW w:w="1059" w:type="dxa"/>
          </w:tcPr>
          <w:p w14:paraId="39EA1AD8"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0</w:t>
            </w:r>
          </w:p>
        </w:tc>
      </w:tr>
      <w:tr w:rsidR="005C2C96" w:rsidRPr="00C4190C" w14:paraId="77E1EE09" w14:textId="77777777" w:rsidTr="00E24002">
        <w:trPr>
          <w:trHeight w:val="20"/>
        </w:trPr>
        <w:tc>
          <w:tcPr>
            <w:tcW w:w="8453" w:type="dxa"/>
          </w:tcPr>
          <w:p w14:paraId="653825F9"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Vartojamos elektros kaina (Eur/kWh)</w:t>
            </w:r>
          </w:p>
        </w:tc>
        <w:tc>
          <w:tcPr>
            <w:tcW w:w="1059" w:type="dxa"/>
          </w:tcPr>
          <w:p w14:paraId="3615A82F" w14:textId="7624AE26"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0,28</w:t>
            </w:r>
          </w:p>
        </w:tc>
      </w:tr>
      <w:tr w:rsidR="005C2C96" w:rsidRPr="00C4190C" w14:paraId="0CD6870A" w14:textId="77777777" w:rsidTr="00E24002">
        <w:trPr>
          <w:trHeight w:val="20"/>
        </w:trPr>
        <w:tc>
          <w:tcPr>
            <w:tcW w:w="9512" w:type="dxa"/>
            <w:gridSpan w:val="2"/>
          </w:tcPr>
          <w:p w14:paraId="3175BCBE" w14:textId="77777777" w:rsidR="005C2C96" w:rsidRPr="00A415B4" w:rsidRDefault="005C2C96" w:rsidP="00561795">
            <w:pPr>
              <w:spacing w:after="0"/>
              <w:ind w:firstLine="0"/>
              <w:rPr>
                <w:rFonts w:cs="Times New Roman"/>
                <w:b/>
                <w:bCs/>
                <w:sz w:val="20"/>
                <w:szCs w:val="20"/>
                <w:lang w:val="lt-LT"/>
              </w:rPr>
            </w:pPr>
            <w:r w:rsidRPr="00A415B4">
              <w:rPr>
                <w:rFonts w:cs="Times New Roman"/>
                <w:b/>
                <w:bCs/>
                <w:sz w:val="20"/>
                <w:szCs w:val="20"/>
                <w:lang w:val="lt-LT"/>
              </w:rPr>
              <w:t>Paskolos sąlygų prielaidos</w:t>
            </w:r>
          </w:p>
        </w:tc>
      </w:tr>
      <w:tr w:rsidR="005C2C96" w:rsidRPr="00C4190C" w14:paraId="75D65D6F" w14:textId="77777777" w:rsidTr="00E24002">
        <w:trPr>
          <w:trHeight w:val="20"/>
        </w:trPr>
        <w:tc>
          <w:tcPr>
            <w:tcW w:w="8453" w:type="dxa"/>
          </w:tcPr>
          <w:p w14:paraId="1D073F16"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Ko–finansavimo dalis (proc.)</w:t>
            </w:r>
          </w:p>
        </w:tc>
        <w:tc>
          <w:tcPr>
            <w:tcW w:w="1059" w:type="dxa"/>
          </w:tcPr>
          <w:p w14:paraId="3A0BE82A"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0</w:t>
            </w:r>
          </w:p>
        </w:tc>
      </w:tr>
      <w:tr w:rsidR="005C2C96" w:rsidRPr="00C4190C" w14:paraId="0EE94A96" w14:textId="77777777" w:rsidTr="00E24002">
        <w:trPr>
          <w:trHeight w:val="20"/>
        </w:trPr>
        <w:tc>
          <w:tcPr>
            <w:tcW w:w="8453" w:type="dxa"/>
          </w:tcPr>
          <w:p w14:paraId="3BCB64C9"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Metinė palūkanų norma imamai paskolai (proc.)</w:t>
            </w:r>
          </w:p>
        </w:tc>
        <w:tc>
          <w:tcPr>
            <w:tcW w:w="1059" w:type="dxa"/>
          </w:tcPr>
          <w:p w14:paraId="04E6376F" w14:textId="51278A82" w:rsidR="005C2C96" w:rsidRPr="00A415B4" w:rsidRDefault="00C2187B" w:rsidP="00561795">
            <w:pPr>
              <w:spacing w:after="0"/>
              <w:ind w:firstLine="0"/>
              <w:rPr>
                <w:rFonts w:cs="Times New Roman"/>
                <w:sz w:val="20"/>
                <w:szCs w:val="20"/>
                <w:lang w:val="lt-LT"/>
              </w:rPr>
            </w:pPr>
            <w:r w:rsidRPr="007916CC">
              <w:rPr>
                <w:rFonts w:cs="Times New Roman"/>
                <w:sz w:val="20"/>
                <w:szCs w:val="20"/>
                <w:lang w:val="lt-LT"/>
              </w:rPr>
              <w:t>6</w:t>
            </w:r>
          </w:p>
        </w:tc>
      </w:tr>
      <w:tr w:rsidR="005C2C96" w:rsidRPr="00C4190C" w14:paraId="0B14F6C7" w14:textId="77777777" w:rsidTr="00E24002">
        <w:trPr>
          <w:trHeight w:val="20"/>
        </w:trPr>
        <w:tc>
          <w:tcPr>
            <w:tcW w:w="8453" w:type="dxa"/>
          </w:tcPr>
          <w:p w14:paraId="26DF04E1"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Metinė palūkanų norma nuosavam kapitalui (proc.)</w:t>
            </w:r>
          </w:p>
        </w:tc>
        <w:tc>
          <w:tcPr>
            <w:tcW w:w="1059" w:type="dxa"/>
          </w:tcPr>
          <w:p w14:paraId="54CB01E8" w14:textId="489922E6" w:rsidR="005C2C96" w:rsidRPr="00A415B4" w:rsidRDefault="00C2187B" w:rsidP="00561795">
            <w:pPr>
              <w:spacing w:after="0"/>
              <w:ind w:firstLine="0"/>
              <w:rPr>
                <w:rFonts w:cs="Times New Roman"/>
                <w:sz w:val="20"/>
                <w:szCs w:val="20"/>
                <w:lang w:val="lt-LT"/>
              </w:rPr>
            </w:pPr>
            <w:r w:rsidRPr="00A415B4">
              <w:rPr>
                <w:rFonts w:cs="Times New Roman"/>
                <w:sz w:val="20"/>
                <w:szCs w:val="20"/>
                <w:lang w:val="lt-LT"/>
              </w:rPr>
              <w:t>0</w:t>
            </w:r>
          </w:p>
        </w:tc>
      </w:tr>
      <w:tr w:rsidR="005C2C96" w:rsidRPr="00A415B4" w14:paraId="21092F73" w14:textId="77777777" w:rsidTr="00E24002">
        <w:trPr>
          <w:trHeight w:val="20"/>
        </w:trPr>
        <w:tc>
          <w:tcPr>
            <w:tcW w:w="8453" w:type="dxa"/>
          </w:tcPr>
          <w:p w14:paraId="3E4BED6F"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Paskolos laikotarpis (metai)</w:t>
            </w:r>
          </w:p>
        </w:tc>
        <w:tc>
          <w:tcPr>
            <w:tcW w:w="1059" w:type="dxa"/>
          </w:tcPr>
          <w:p w14:paraId="01E09D8F" w14:textId="77777777" w:rsidR="005C2C96" w:rsidRPr="00A415B4" w:rsidRDefault="005C2C96" w:rsidP="00561795">
            <w:pPr>
              <w:spacing w:after="0"/>
              <w:ind w:firstLine="0"/>
              <w:rPr>
                <w:rFonts w:cs="Times New Roman"/>
                <w:sz w:val="20"/>
                <w:szCs w:val="20"/>
                <w:lang w:val="lt-LT"/>
              </w:rPr>
            </w:pPr>
            <w:r w:rsidRPr="00A415B4">
              <w:rPr>
                <w:rFonts w:cs="Times New Roman"/>
                <w:sz w:val="20"/>
                <w:szCs w:val="20"/>
                <w:lang w:val="lt-LT"/>
              </w:rPr>
              <w:t>15</w:t>
            </w:r>
          </w:p>
        </w:tc>
      </w:tr>
    </w:tbl>
    <w:p w14:paraId="63693A8D" w14:textId="79144786" w:rsidR="00181B90" w:rsidRPr="003F6828" w:rsidRDefault="005C2C96" w:rsidP="003F6828">
      <w:pPr>
        <w:keepNext/>
        <w:ind w:firstLine="562"/>
        <w:jc w:val="left"/>
        <w:rPr>
          <w:rFonts w:cs="Times New Roman"/>
          <w:sz w:val="20"/>
          <w:szCs w:val="20"/>
        </w:rPr>
      </w:pPr>
      <w:r w:rsidRPr="00A415B4">
        <w:rPr>
          <w:rFonts w:cs="Times New Roman"/>
          <w:sz w:val="20"/>
          <w:szCs w:val="20"/>
        </w:rPr>
        <w:t>Šaltinis: sudaryta Vertintojų.</w:t>
      </w:r>
    </w:p>
    <w:p w14:paraId="1AB1064E" w14:textId="6814E7CD" w:rsidR="004A70BB" w:rsidRPr="00181B90" w:rsidRDefault="00181B90" w:rsidP="00F510E3">
      <w:pPr>
        <w:ind w:firstLine="0"/>
        <w:rPr>
          <w:i/>
          <w:iCs/>
        </w:rPr>
      </w:pPr>
      <w:r w:rsidRPr="00181B90">
        <w:rPr>
          <w:noProof/>
          <w:lang w:eastAsia="lt-LT"/>
        </w:rPr>
        <w:drawing>
          <wp:anchor distT="0" distB="0" distL="114300" distR="114300" simplePos="0" relativeHeight="251658240" behindDoc="1" locked="0" layoutInCell="1" allowOverlap="1" wp14:anchorId="1B87E0B0" wp14:editId="444B4C84">
            <wp:simplePos x="0" y="0"/>
            <wp:positionH relativeFrom="margin">
              <wp:posOffset>-50165</wp:posOffset>
            </wp:positionH>
            <wp:positionV relativeFrom="paragraph">
              <wp:posOffset>1464945</wp:posOffset>
            </wp:positionV>
            <wp:extent cx="6120130" cy="2884170"/>
            <wp:effectExtent l="0" t="0" r="0" b="8890"/>
            <wp:wrapTight wrapText="bothSides">
              <wp:wrapPolygon edited="0">
                <wp:start x="0" y="0"/>
                <wp:lineTo x="0" y="21521"/>
                <wp:lineTo x="21531" y="21521"/>
                <wp:lineTo x="21531" y="0"/>
                <wp:lineTo x="0" y="0"/>
              </wp:wrapPolygon>
            </wp:wrapTight>
            <wp:docPr id="107654847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48475" name=""/>
                    <pic:cNvPicPr/>
                  </pic:nvPicPr>
                  <pic:blipFill>
                    <a:blip r:embed="rId17">
                      <a:extLst>
                        <a:ext uri="{28A0092B-C50C-407E-A947-70E740481C1C}">
                          <a14:useLocalDpi xmlns:a14="http://schemas.microsoft.com/office/drawing/2010/main" val="0"/>
                        </a:ext>
                      </a:extLst>
                    </a:blip>
                    <a:stretch>
                      <a:fillRect/>
                    </a:stretch>
                  </pic:blipFill>
                  <pic:spPr>
                    <a:xfrm>
                      <a:off x="0" y="0"/>
                      <a:ext cx="6120130" cy="2884170"/>
                    </a:xfrm>
                    <a:prstGeom prst="rect">
                      <a:avLst/>
                    </a:prstGeom>
                  </pic:spPr>
                </pic:pic>
              </a:graphicData>
            </a:graphic>
            <wp14:sizeRelH relativeFrom="page">
              <wp14:pctWidth>0</wp14:pctWidth>
            </wp14:sizeRelH>
            <wp14:sizeRelV relativeFrom="page">
              <wp14:pctHeight>0</wp14:pctHeight>
            </wp14:sizeRelV>
          </wp:anchor>
        </w:drawing>
      </w:r>
      <w:r w:rsidR="005C2C96" w:rsidRPr="00181B90">
        <w:t>Žemiau yra pateiktas kumuliatyvinių kaštų–naudų grafikas, kuris atspindi finansinius elektrinės įrengimo srautus. Kaip galima matyti grafike, nuliniais arba elektrinės įrenginėjimo metais yra patiriami tik nuostoliai susiję su elektrinės įrengimo darbais. Kai elektrinė pradeda veikti pirmais metais, galima pamatyti, kad elektrinė pradeda generuoti naudas, kurios atsveria kasmetinius elektrinės išlaikymo kaštus ir pa</w:t>
      </w:r>
      <w:r w:rsidR="00811313" w:rsidRPr="00181B90">
        <w:t xml:space="preserve">lūkanų </w:t>
      </w:r>
      <w:r w:rsidR="005C2C96" w:rsidRPr="00181B90">
        <w:t xml:space="preserve">mokėjimus ir, atitinkamai, mažina kumuliatyvinius kaštus. Kaip taip pat galima matyti grafike, praėjus maždaug </w:t>
      </w:r>
      <w:r w:rsidR="002F594C" w:rsidRPr="00181B90">
        <w:t>8,5</w:t>
      </w:r>
      <w:r w:rsidR="005C2C96" w:rsidRPr="00181B90">
        <w:t xml:space="preserve"> met</w:t>
      </w:r>
      <w:r w:rsidR="002F594C" w:rsidRPr="00181B90">
        <w:t>ų</w:t>
      </w:r>
      <w:r w:rsidR="005C2C96" w:rsidRPr="00181B90">
        <w:t xml:space="preserve"> nuo elektrinės įrengimo elektrinės naudos viršija kaštus. Taigi, </w:t>
      </w:r>
      <w:r w:rsidR="001406B6" w:rsidRPr="00181B90">
        <w:t xml:space="preserve">investicijų į </w:t>
      </w:r>
      <w:r w:rsidR="005C2C96" w:rsidRPr="00181B90">
        <w:t>elektrin</w:t>
      </w:r>
      <w:r w:rsidR="001406B6" w:rsidRPr="00181B90">
        <w:t>e</w:t>
      </w:r>
      <w:r w:rsidR="005C2C96" w:rsidRPr="00181B90">
        <w:t xml:space="preserve">s </w:t>
      </w:r>
      <w:r w:rsidR="001406B6" w:rsidRPr="00181B90">
        <w:t>finansinio</w:t>
      </w:r>
      <w:r w:rsidR="005C2C96" w:rsidRPr="00181B90">
        <w:t xml:space="preserve"> atsipirkimo laikotarpis siekia </w:t>
      </w:r>
      <w:r w:rsidR="002F594C" w:rsidRPr="00181B90">
        <w:t>8,5</w:t>
      </w:r>
      <w:r w:rsidR="005C2C96" w:rsidRPr="00181B90">
        <w:t xml:space="preserve"> metus. Per visą elektrinės eksploatacijos laikotarpį (25 metus), visi elektrinės eksploatavimo kaštai siekia </w:t>
      </w:r>
      <w:r w:rsidR="002F594C" w:rsidRPr="00181B90">
        <w:t>51</w:t>
      </w:r>
      <w:r w:rsidR="005C2C96" w:rsidRPr="00181B90">
        <w:t>,</w:t>
      </w:r>
      <w:r w:rsidR="002F594C" w:rsidRPr="00181B90">
        <w:t>36</w:t>
      </w:r>
      <w:r w:rsidR="005C2C96" w:rsidRPr="00181B90">
        <w:t xml:space="preserve"> tūkst. Eur, o visos elektrinės finansinės naudos – 118,43</w:t>
      </w:r>
      <w:r w:rsidR="003D7A9D" w:rsidRPr="00181B90">
        <w:t> </w:t>
      </w:r>
      <w:r w:rsidR="005C2C96" w:rsidRPr="00181B90">
        <w:t>tūkst.</w:t>
      </w:r>
      <w:r w:rsidR="003D7A9D" w:rsidRPr="00181B90">
        <w:t> </w:t>
      </w:r>
      <w:r w:rsidR="005C2C96" w:rsidRPr="00181B90">
        <w:t>Eur. Taigi naudų–kaštų santykis minėtu laikotarpiu siekia 2,</w:t>
      </w:r>
      <w:r w:rsidR="002F594C" w:rsidRPr="00181B90">
        <w:t>3</w:t>
      </w:r>
      <w:r w:rsidR="005C2C96" w:rsidRPr="00181B90">
        <w:t>1.</w:t>
      </w:r>
    </w:p>
    <w:p w14:paraId="7F8E06B6" w14:textId="0889662D" w:rsidR="005C2C96" w:rsidRPr="00181B90" w:rsidRDefault="005C2C96" w:rsidP="005C2C96">
      <w:pPr>
        <w:rPr>
          <w:b/>
          <w:bCs/>
          <w:i/>
          <w:iCs/>
        </w:rPr>
      </w:pPr>
      <w:r w:rsidRPr="00181B90">
        <w:rPr>
          <w:i/>
          <w:iCs/>
        </w:rPr>
        <w:fldChar w:fldCharType="begin"/>
      </w:r>
      <w:r w:rsidRPr="00181B90">
        <w:rPr>
          <w:i/>
          <w:iCs/>
        </w:rPr>
        <w:instrText xml:space="preserve"> SEQ pav. \* ARABIC </w:instrText>
      </w:r>
      <w:r w:rsidRPr="00181B90">
        <w:rPr>
          <w:i/>
          <w:iCs/>
        </w:rPr>
        <w:fldChar w:fldCharType="separate"/>
      </w:r>
      <w:bookmarkStart w:id="130" w:name="_Toc126051418"/>
      <w:bookmarkStart w:id="131" w:name="_Toc166139888"/>
      <w:bookmarkStart w:id="132" w:name="_Toc170804654"/>
      <w:r w:rsidR="00347605">
        <w:rPr>
          <w:i/>
          <w:iCs/>
          <w:noProof/>
        </w:rPr>
        <w:t>3</w:t>
      </w:r>
      <w:r w:rsidRPr="00181B90">
        <w:rPr>
          <w:i/>
          <w:iCs/>
        </w:rPr>
        <w:fldChar w:fldCharType="end"/>
      </w:r>
      <w:r w:rsidRPr="00181B90">
        <w:rPr>
          <w:i/>
          <w:iCs/>
        </w:rPr>
        <w:t xml:space="preserve"> paveikslas. Kumuliatyvinių kaštų–naudų </w:t>
      </w:r>
      <w:r w:rsidRPr="007916CC">
        <w:rPr>
          <w:i/>
          <w:iCs/>
        </w:rPr>
        <w:t xml:space="preserve">grafikas </w:t>
      </w:r>
      <w:r w:rsidR="00F3261B" w:rsidRPr="007916CC">
        <w:rPr>
          <w:i/>
          <w:iCs/>
        </w:rPr>
        <w:t>VJA</w:t>
      </w:r>
      <w:r w:rsidRPr="00181B90">
        <w:rPr>
          <w:i/>
          <w:iCs/>
        </w:rPr>
        <w:t xml:space="preserve"> tikslinėje grupėje</w:t>
      </w:r>
      <w:bookmarkEnd w:id="130"/>
      <w:bookmarkEnd w:id="131"/>
      <w:bookmarkEnd w:id="132"/>
    </w:p>
    <w:p w14:paraId="06A462CA" w14:textId="3E8AA11F" w:rsidR="005C2C96" w:rsidRDefault="005C2C96" w:rsidP="005C2C96">
      <w:pPr>
        <w:keepNext/>
        <w:spacing w:line="276" w:lineRule="auto"/>
        <w:ind w:firstLine="562"/>
        <w:jc w:val="left"/>
        <w:rPr>
          <w:rFonts w:cs="Times New Roman"/>
          <w:sz w:val="20"/>
          <w:szCs w:val="20"/>
        </w:rPr>
      </w:pPr>
      <w:r w:rsidRPr="00181B90">
        <w:rPr>
          <w:rFonts w:cs="Times New Roman"/>
          <w:sz w:val="20"/>
          <w:szCs w:val="20"/>
        </w:rPr>
        <w:lastRenderedPageBreak/>
        <w:t>Šaltinis: sudaryta Vertintojų</w:t>
      </w:r>
    </w:p>
    <w:p w14:paraId="612B76BA" w14:textId="77777777" w:rsidR="003F6828" w:rsidRPr="00181B90" w:rsidRDefault="003F6828" w:rsidP="005C2C96">
      <w:pPr>
        <w:keepNext/>
        <w:spacing w:line="276" w:lineRule="auto"/>
        <w:ind w:firstLine="562"/>
        <w:jc w:val="left"/>
        <w:rPr>
          <w:rFonts w:cs="Times New Roman"/>
          <w:sz w:val="20"/>
          <w:szCs w:val="20"/>
        </w:rPr>
      </w:pPr>
    </w:p>
    <w:p w14:paraId="0EEBB781" w14:textId="0CD350B5" w:rsidR="005C2C96" w:rsidRPr="000378E7" w:rsidRDefault="005C2C96" w:rsidP="00F9683B">
      <w:pPr>
        <w:spacing w:line="276" w:lineRule="auto"/>
        <w:rPr>
          <w:i/>
        </w:rPr>
      </w:pPr>
      <w:r w:rsidRPr="000378E7">
        <w:t xml:space="preserve">Siekiant įvertinti kaip keistųsi elektrinės atsiperkamumas keičiantis paskolos palūkanų normoms, Vertintojai atliko palūkanų normos jautrumo analizę, kurios rezultatai pateikiami žemiau esančioje lentelėje. Laikantis prielaidose nurodyto paskolos laikotarpio (15 metų), investicijos į saulės elektrinės įrengimą be dotacijos atsipirktų greičiau nei per </w:t>
      </w:r>
      <w:r w:rsidR="006059D6" w:rsidRPr="000378E7">
        <w:t>10,5</w:t>
      </w:r>
      <w:r w:rsidRPr="000378E7">
        <w:t xml:space="preserve"> met</w:t>
      </w:r>
      <w:r w:rsidR="006059D6" w:rsidRPr="000378E7">
        <w:t>ų</w:t>
      </w:r>
      <w:r w:rsidRPr="000378E7">
        <w:t xml:space="preserve">, net jei paskolos palūkanų norma būtų </w:t>
      </w:r>
      <w:r w:rsidR="006059D6" w:rsidRPr="000378E7">
        <w:t>9</w:t>
      </w:r>
      <w:r w:rsidRPr="000378E7">
        <w:t xml:space="preserve"> proc. Remiantis prielaidose nurodyta paskolos palūkanų norma (</w:t>
      </w:r>
      <w:r w:rsidR="006059D6" w:rsidRPr="000378E7">
        <w:t>6</w:t>
      </w:r>
      <w:r w:rsidRPr="000378E7">
        <w:t xml:space="preserve"> proc.), investicijos be dotacijos atsipirktų per maždaug </w:t>
      </w:r>
      <w:r w:rsidR="006059D6" w:rsidRPr="000378E7">
        <w:t>8,5</w:t>
      </w:r>
      <w:r w:rsidRPr="000378E7">
        <w:t xml:space="preserve"> metus. Atliktos analizės rezultatai indikuoja, kad net jeigu ir būtų palūkanos ženkliai didesnės nei bazinio scenarijaus atveju (</w:t>
      </w:r>
      <w:r w:rsidR="006059D6" w:rsidRPr="000378E7">
        <w:t>6</w:t>
      </w:r>
      <w:r w:rsidRPr="000378E7">
        <w:t xml:space="preserve"> proc.), projektas atsipirktų greičiau nei p</w:t>
      </w:r>
      <w:r w:rsidR="00F9683B" w:rsidRPr="000378E7">
        <w:t xml:space="preserve">er paskolos terminą (15 metų). </w:t>
      </w:r>
    </w:p>
    <w:p w14:paraId="03EB8C2F" w14:textId="078584C4" w:rsidR="005C2C96" w:rsidRPr="003C0378" w:rsidRDefault="005C2C96" w:rsidP="005C2C96">
      <w:pPr>
        <w:spacing w:line="276" w:lineRule="auto"/>
        <w:ind w:firstLine="0"/>
      </w:pPr>
      <w:bookmarkStart w:id="133" w:name="_Toc126051397"/>
      <w:bookmarkStart w:id="134" w:name="_Toc166139868"/>
      <w:bookmarkStart w:id="135" w:name="_Toc170804634"/>
      <w:r w:rsidRPr="000378E7">
        <w:rPr>
          <w:rFonts w:cs="Times New Roman"/>
          <w:i/>
          <w:iCs/>
        </w:rPr>
        <w:t xml:space="preserve">Lentelė </w:t>
      </w:r>
      <w:r w:rsidRPr="000378E7">
        <w:rPr>
          <w:rFonts w:cs="Times New Roman"/>
          <w:i/>
          <w:iCs/>
        </w:rPr>
        <w:fldChar w:fldCharType="begin"/>
      </w:r>
      <w:r w:rsidRPr="000378E7">
        <w:rPr>
          <w:rFonts w:cs="Times New Roman"/>
          <w:i/>
          <w:iCs/>
        </w:rPr>
        <w:instrText xml:space="preserve"> SEQ Lentelė \* ARABIC </w:instrText>
      </w:r>
      <w:r w:rsidRPr="000378E7">
        <w:rPr>
          <w:rFonts w:cs="Times New Roman"/>
          <w:i/>
          <w:iCs/>
        </w:rPr>
        <w:fldChar w:fldCharType="separate"/>
      </w:r>
      <w:r w:rsidR="00347605">
        <w:rPr>
          <w:rFonts w:cs="Times New Roman"/>
          <w:i/>
          <w:iCs/>
          <w:noProof/>
        </w:rPr>
        <w:t>18</w:t>
      </w:r>
      <w:r w:rsidRPr="000378E7">
        <w:rPr>
          <w:rFonts w:cs="Times New Roman"/>
          <w:i/>
          <w:iCs/>
        </w:rPr>
        <w:fldChar w:fldCharType="end"/>
      </w:r>
      <w:r w:rsidRPr="000378E7">
        <w:rPr>
          <w:rFonts w:cs="Times New Roman"/>
          <w:i/>
          <w:iCs/>
        </w:rPr>
        <w:t xml:space="preserve">. Jautrumo </w:t>
      </w:r>
      <w:r w:rsidRPr="007916CC">
        <w:rPr>
          <w:rFonts w:cs="Times New Roman"/>
          <w:i/>
          <w:iCs/>
        </w:rPr>
        <w:t xml:space="preserve">analizės </w:t>
      </w:r>
      <w:r w:rsidR="00BB49F6" w:rsidRPr="007916CC">
        <w:rPr>
          <w:rFonts w:cs="Times New Roman"/>
          <w:i/>
          <w:iCs/>
        </w:rPr>
        <w:t>VJA</w:t>
      </w:r>
      <w:r w:rsidRPr="007916CC">
        <w:rPr>
          <w:rFonts w:cs="Times New Roman"/>
          <w:i/>
          <w:iCs/>
        </w:rPr>
        <w:t xml:space="preserve"> tikslinėje</w:t>
      </w:r>
      <w:r w:rsidRPr="000378E7">
        <w:rPr>
          <w:rFonts w:cs="Times New Roman"/>
          <w:i/>
          <w:iCs/>
        </w:rPr>
        <w:t xml:space="preserve"> grupėje – paskolos palūkanų normos</w:t>
      </w:r>
      <w:bookmarkEnd w:id="133"/>
      <w:bookmarkEnd w:id="134"/>
      <w:bookmarkEnd w:id="135"/>
    </w:p>
    <w:tbl>
      <w:tblPr>
        <w:tblW w:w="9546" w:type="dxa"/>
        <w:tblInd w:w="-5" w:type="dxa"/>
        <w:tblLook w:val="04A0" w:firstRow="1" w:lastRow="0" w:firstColumn="1" w:lastColumn="0" w:noHBand="0" w:noVBand="1"/>
      </w:tblPr>
      <w:tblGrid>
        <w:gridCol w:w="1060"/>
        <w:gridCol w:w="1060"/>
        <w:gridCol w:w="1060"/>
        <w:gridCol w:w="1060"/>
        <w:gridCol w:w="1060"/>
        <w:gridCol w:w="1060"/>
        <w:gridCol w:w="1060"/>
        <w:gridCol w:w="1060"/>
        <w:gridCol w:w="1060"/>
        <w:gridCol w:w="6"/>
      </w:tblGrid>
      <w:tr w:rsidR="00FE6344" w:rsidRPr="003C0378" w14:paraId="61F8AF23" w14:textId="77777777" w:rsidTr="00E24002">
        <w:trPr>
          <w:trHeight w:val="308"/>
        </w:trPr>
        <w:tc>
          <w:tcPr>
            <w:tcW w:w="1060" w:type="dxa"/>
            <w:vMerge w:val="restart"/>
            <w:tcBorders>
              <w:top w:val="single" w:sz="4" w:space="0" w:color="auto"/>
              <w:left w:val="single" w:sz="4" w:space="0" w:color="auto"/>
              <w:bottom w:val="single" w:sz="4" w:space="0" w:color="auto"/>
            </w:tcBorders>
            <w:shd w:val="clear" w:color="auto" w:fill="auto"/>
            <w:noWrap/>
            <w:textDirection w:val="btLr"/>
            <w:vAlign w:val="center"/>
            <w:hideMark/>
          </w:tcPr>
          <w:p w14:paraId="7E6DA303" w14:textId="77777777" w:rsidR="005C2C96" w:rsidRPr="003C0378" w:rsidRDefault="005C2C96" w:rsidP="006C0B37">
            <w:pPr>
              <w:spacing w:before="0" w:after="0"/>
              <w:ind w:right="113"/>
              <w:jc w:val="center"/>
              <w:rPr>
                <w:rFonts w:eastAsia="Times New Roman" w:cs="Times New Roman"/>
                <w:sz w:val="20"/>
                <w:szCs w:val="20"/>
              </w:rPr>
            </w:pPr>
            <w:r w:rsidRPr="003C0378">
              <w:rPr>
                <w:rFonts w:eastAsia="Times New Roman" w:cs="Times New Roman"/>
                <w:b/>
                <w:bCs/>
                <w:color w:val="000000"/>
                <w:sz w:val="20"/>
                <w:szCs w:val="20"/>
              </w:rPr>
              <w:t>Dotacijos intensyvumas (proc.)</w:t>
            </w:r>
          </w:p>
        </w:tc>
        <w:tc>
          <w:tcPr>
            <w:tcW w:w="1060" w:type="dxa"/>
            <w:tcBorders>
              <w:top w:val="single" w:sz="4" w:space="0" w:color="auto"/>
              <w:bottom w:val="single" w:sz="4" w:space="0" w:color="auto"/>
              <w:right w:val="nil"/>
            </w:tcBorders>
            <w:shd w:val="clear" w:color="auto" w:fill="auto"/>
            <w:noWrap/>
            <w:vAlign w:val="bottom"/>
            <w:hideMark/>
          </w:tcPr>
          <w:p w14:paraId="4F13B648" w14:textId="77777777" w:rsidR="005C2C96" w:rsidRPr="003C0378" w:rsidRDefault="005C2C96" w:rsidP="00561795">
            <w:pPr>
              <w:spacing w:before="0" w:after="0"/>
              <w:ind w:firstLine="0"/>
              <w:jc w:val="left"/>
              <w:rPr>
                <w:rFonts w:eastAsia="Times New Roman" w:cs="Times New Roman"/>
                <w:sz w:val="20"/>
                <w:szCs w:val="20"/>
              </w:rPr>
            </w:pPr>
          </w:p>
        </w:tc>
        <w:tc>
          <w:tcPr>
            <w:tcW w:w="7426" w:type="dxa"/>
            <w:gridSpan w:val="8"/>
            <w:tcBorders>
              <w:top w:val="single" w:sz="4" w:space="0" w:color="auto"/>
              <w:left w:val="nil"/>
              <w:bottom w:val="single" w:sz="4" w:space="0" w:color="auto"/>
              <w:right w:val="single" w:sz="4" w:space="0" w:color="auto"/>
            </w:tcBorders>
            <w:shd w:val="clear" w:color="auto" w:fill="auto"/>
            <w:noWrap/>
            <w:vAlign w:val="bottom"/>
            <w:hideMark/>
          </w:tcPr>
          <w:p w14:paraId="4244BC4D" w14:textId="77777777" w:rsidR="005C2C96" w:rsidRPr="006C0B37" w:rsidRDefault="005C2C96" w:rsidP="00561795">
            <w:pPr>
              <w:spacing w:before="0" w:after="0"/>
              <w:ind w:firstLine="0"/>
              <w:jc w:val="center"/>
              <w:rPr>
                <w:b/>
                <w:color w:val="000000"/>
              </w:rPr>
            </w:pPr>
            <w:r w:rsidRPr="003C0378">
              <w:rPr>
                <w:rFonts w:eastAsia="Times New Roman" w:cs="Times New Roman"/>
                <w:b/>
                <w:bCs/>
                <w:color w:val="000000"/>
                <w:sz w:val="20"/>
                <w:szCs w:val="20"/>
              </w:rPr>
              <w:t>Paskolos palūkanų normos</w:t>
            </w:r>
          </w:p>
        </w:tc>
      </w:tr>
      <w:tr w:rsidR="001E4B79" w:rsidRPr="003C0378" w14:paraId="4D37B618" w14:textId="77777777" w:rsidTr="000D0242">
        <w:trPr>
          <w:gridAfter w:val="1"/>
          <w:wAfter w:w="6" w:type="dxa"/>
          <w:trHeight w:val="632"/>
        </w:trPr>
        <w:tc>
          <w:tcPr>
            <w:tcW w:w="1060" w:type="dxa"/>
            <w:vMerge/>
            <w:tcBorders>
              <w:top w:val="single" w:sz="4" w:space="0" w:color="auto"/>
              <w:left w:val="single" w:sz="4" w:space="0" w:color="auto"/>
              <w:right w:val="single" w:sz="4" w:space="0" w:color="auto"/>
            </w:tcBorders>
            <w:shd w:val="clear" w:color="auto" w:fill="auto"/>
            <w:noWrap/>
            <w:vAlign w:val="bottom"/>
            <w:hideMark/>
          </w:tcPr>
          <w:p w14:paraId="1C63B167" w14:textId="77777777" w:rsidR="005C2C96" w:rsidRPr="006C0B37" w:rsidRDefault="005C2C96" w:rsidP="006C0B37">
            <w:pPr>
              <w:spacing w:before="0" w:after="0"/>
              <w:jc w:val="center"/>
              <w:rPr>
                <w:b/>
                <w:color w:val="000000"/>
              </w:rPr>
            </w:pPr>
          </w:p>
        </w:tc>
        <w:tc>
          <w:tcPr>
            <w:tcW w:w="1060" w:type="dxa"/>
            <w:tcBorders>
              <w:top w:val="single" w:sz="4" w:space="0" w:color="auto"/>
              <w:left w:val="single" w:sz="4" w:space="0" w:color="auto"/>
              <w:bottom w:val="nil"/>
              <w:right w:val="nil"/>
            </w:tcBorders>
            <w:shd w:val="clear" w:color="auto" w:fill="auto"/>
            <w:noWrap/>
            <w:vAlign w:val="bottom"/>
            <w:hideMark/>
          </w:tcPr>
          <w:p w14:paraId="37996E2C" w14:textId="77777777" w:rsidR="005C2C96" w:rsidRPr="003C0378" w:rsidRDefault="005C2C96" w:rsidP="00561795">
            <w:pPr>
              <w:spacing w:before="0" w:after="0"/>
              <w:ind w:firstLine="0"/>
              <w:jc w:val="left"/>
              <w:rPr>
                <w:rFonts w:eastAsia="Times New Roman" w:cs="Times New Roman"/>
                <w:sz w:val="20"/>
                <w:szCs w:val="20"/>
              </w:rPr>
            </w:pPr>
          </w:p>
        </w:tc>
        <w:tc>
          <w:tcPr>
            <w:tcW w:w="1060" w:type="dxa"/>
            <w:tcBorders>
              <w:top w:val="single" w:sz="4" w:space="0" w:color="auto"/>
              <w:left w:val="nil"/>
              <w:bottom w:val="nil"/>
              <w:right w:val="nil"/>
            </w:tcBorders>
            <w:shd w:val="clear" w:color="auto" w:fill="auto"/>
            <w:noWrap/>
            <w:vAlign w:val="center"/>
            <w:hideMark/>
          </w:tcPr>
          <w:p w14:paraId="142458D7" w14:textId="312E6890"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3</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nil"/>
            </w:tcBorders>
            <w:shd w:val="clear" w:color="auto" w:fill="auto"/>
            <w:noWrap/>
            <w:vAlign w:val="center"/>
            <w:hideMark/>
          </w:tcPr>
          <w:p w14:paraId="5170F530" w14:textId="7734722F"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4</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nil"/>
            </w:tcBorders>
            <w:shd w:val="clear" w:color="auto" w:fill="auto"/>
            <w:noWrap/>
            <w:vAlign w:val="center"/>
            <w:hideMark/>
          </w:tcPr>
          <w:p w14:paraId="757B1E68" w14:textId="02B9279F"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5</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nil"/>
            </w:tcBorders>
            <w:shd w:val="clear" w:color="auto" w:fill="auto"/>
            <w:noWrap/>
            <w:vAlign w:val="center"/>
            <w:hideMark/>
          </w:tcPr>
          <w:p w14:paraId="0F4A722C" w14:textId="0325AC7F"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6</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nil"/>
            </w:tcBorders>
            <w:shd w:val="clear" w:color="auto" w:fill="auto"/>
            <w:noWrap/>
            <w:vAlign w:val="center"/>
            <w:hideMark/>
          </w:tcPr>
          <w:p w14:paraId="360AB529" w14:textId="2C23CC33"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7</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nil"/>
            </w:tcBorders>
            <w:shd w:val="clear" w:color="auto" w:fill="auto"/>
            <w:noWrap/>
            <w:vAlign w:val="center"/>
            <w:hideMark/>
          </w:tcPr>
          <w:p w14:paraId="53D4C20E" w14:textId="1DBEF2B2"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8</w:t>
            </w:r>
            <w:r w:rsidR="005C2C96" w:rsidRPr="003C0378">
              <w:rPr>
                <w:rFonts w:eastAsia="Times New Roman" w:cs="Times New Roman"/>
                <w:color w:val="000000"/>
                <w:sz w:val="20"/>
                <w:szCs w:val="20"/>
              </w:rPr>
              <w:t xml:space="preserve"> proc.</w:t>
            </w:r>
          </w:p>
        </w:tc>
        <w:tc>
          <w:tcPr>
            <w:tcW w:w="1060" w:type="dxa"/>
            <w:tcBorders>
              <w:top w:val="single" w:sz="4" w:space="0" w:color="auto"/>
              <w:left w:val="nil"/>
              <w:bottom w:val="nil"/>
              <w:right w:val="single" w:sz="4" w:space="0" w:color="auto"/>
            </w:tcBorders>
            <w:shd w:val="clear" w:color="auto" w:fill="auto"/>
            <w:noWrap/>
            <w:vAlign w:val="center"/>
            <w:hideMark/>
          </w:tcPr>
          <w:p w14:paraId="24257CF6" w14:textId="28ABA1E9" w:rsidR="005C2C96" w:rsidRPr="003C0378" w:rsidRDefault="00980B79" w:rsidP="00561795">
            <w:pPr>
              <w:spacing w:before="0" w:after="0"/>
              <w:ind w:firstLine="0"/>
              <w:jc w:val="center"/>
              <w:rPr>
                <w:rFonts w:eastAsia="Times New Roman" w:cs="Times New Roman"/>
                <w:color w:val="000000"/>
                <w:sz w:val="20"/>
                <w:szCs w:val="20"/>
              </w:rPr>
            </w:pPr>
            <w:r>
              <w:rPr>
                <w:rFonts w:eastAsia="Times New Roman" w:cs="Times New Roman"/>
                <w:color w:val="000000"/>
                <w:sz w:val="20"/>
                <w:szCs w:val="20"/>
              </w:rPr>
              <w:t>9</w:t>
            </w:r>
            <w:r w:rsidR="005C2C96" w:rsidRPr="003C0378">
              <w:rPr>
                <w:rFonts w:eastAsia="Times New Roman" w:cs="Times New Roman"/>
                <w:color w:val="000000"/>
                <w:sz w:val="20"/>
                <w:szCs w:val="20"/>
              </w:rPr>
              <w:t xml:space="preserve"> proc.</w:t>
            </w:r>
          </w:p>
        </w:tc>
      </w:tr>
      <w:tr w:rsidR="001E4B79" w:rsidRPr="003C0378" w14:paraId="065FEC81" w14:textId="77777777" w:rsidTr="00CC1409">
        <w:trPr>
          <w:gridAfter w:val="1"/>
          <w:wAfter w:w="6" w:type="dxa"/>
          <w:trHeight w:val="308"/>
        </w:trPr>
        <w:tc>
          <w:tcPr>
            <w:tcW w:w="1060" w:type="dxa"/>
            <w:vMerge/>
            <w:tcBorders>
              <w:left w:val="single" w:sz="4" w:space="0" w:color="auto"/>
              <w:right w:val="single" w:sz="4" w:space="0" w:color="auto"/>
            </w:tcBorders>
            <w:shd w:val="clear" w:color="auto" w:fill="auto"/>
            <w:textDirection w:val="btLr"/>
            <w:vAlign w:val="center"/>
            <w:hideMark/>
          </w:tcPr>
          <w:p w14:paraId="6D51908E" w14:textId="77777777" w:rsidR="00980B79" w:rsidRPr="006C0B37" w:rsidRDefault="00980B79" w:rsidP="00980B79">
            <w:pPr>
              <w:spacing w:before="0" w:after="0"/>
              <w:ind w:firstLine="0"/>
              <w:jc w:val="center"/>
              <w:rPr>
                <w:b/>
                <w:color w:val="000000"/>
              </w:rPr>
            </w:pPr>
          </w:p>
        </w:tc>
        <w:tc>
          <w:tcPr>
            <w:tcW w:w="1060" w:type="dxa"/>
            <w:tcBorders>
              <w:top w:val="nil"/>
              <w:left w:val="single" w:sz="4" w:space="0" w:color="auto"/>
              <w:bottom w:val="nil"/>
              <w:right w:val="nil"/>
            </w:tcBorders>
            <w:shd w:val="clear" w:color="auto" w:fill="auto"/>
            <w:noWrap/>
            <w:vAlign w:val="bottom"/>
            <w:hideMark/>
          </w:tcPr>
          <w:p w14:paraId="6D238F9E"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0 proc.</w:t>
            </w:r>
          </w:p>
        </w:tc>
        <w:tc>
          <w:tcPr>
            <w:tcW w:w="1060" w:type="dxa"/>
            <w:tcBorders>
              <w:top w:val="nil"/>
              <w:left w:val="nil"/>
              <w:bottom w:val="nil"/>
              <w:right w:val="nil"/>
            </w:tcBorders>
            <w:shd w:val="clear" w:color="000000" w:fill="FEC87E"/>
            <w:noWrap/>
            <w:hideMark/>
          </w:tcPr>
          <w:p w14:paraId="0849A04E" w14:textId="75396ED0" w:rsidR="00980B79" w:rsidRPr="003C0378" w:rsidRDefault="00980B79" w:rsidP="00980B79">
            <w:pPr>
              <w:spacing w:before="0" w:after="0"/>
              <w:ind w:firstLine="0"/>
              <w:jc w:val="center"/>
              <w:rPr>
                <w:rFonts w:eastAsia="Times New Roman" w:cs="Times New Roman"/>
                <w:color w:val="000000"/>
                <w:sz w:val="20"/>
                <w:szCs w:val="20"/>
              </w:rPr>
            </w:pPr>
            <w:r w:rsidRPr="009C4B65">
              <w:t>6,97</w:t>
            </w:r>
          </w:p>
        </w:tc>
        <w:tc>
          <w:tcPr>
            <w:tcW w:w="1060" w:type="dxa"/>
            <w:tcBorders>
              <w:top w:val="nil"/>
              <w:left w:val="nil"/>
              <w:bottom w:val="nil"/>
              <w:right w:val="nil"/>
            </w:tcBorders>
            <w:shd w:val="clear" w:color="000000" w:fill="FDBC7B"/>
            <w:noWrap/>
            <w:hideMark/>
          </w:tcPr>
          <w:p w14:paraId="0B978637" w14:textId="0A8EF1D5" w:rsidR="00980B79" w:rsidRPr="003C0378" w:rsidRDefault="00980B79" w:rsidP="00980B79">
            <w:pPr>
              <w:spacing w:before="0" w:after="0"/>
              <w:ind w:firstLine="0"/>
              <w:jc w:val="center"/>
              <w:rPr>
                <w:rFonts w:eastAsia="Times New Roman" w:cs="Times New Roman"/>
                <w:color w:val="000000"/>
                <w:sz w:val="20"/>
                <w:szCs w:val="20"/>
              </w:rPr>
            </w:pPr>
            <w:r w:rsidRPr="009C4B65">
              <w:t>7,39</w:t>
            </w:r>
          </w:p>
        </w:tc>
        <w:tc>
          <w:tcPr>
            <w:tcW w:w="1060" w:type="dxa"/>
            <w:tcBorders>
              <w:top w:val="nil"/>
              <w:left w:val="nil"/>
              <w:bottom w:val="nil"/>
              <w:right w:val="nil"/>
            </w:tcBorders>
            <w:shd w:val="clear" w:color="000000" w:fill="FCAF79"/>
            <w:noWrap/>
            <w:hideMark/>
          </w:tcPr>
          <w:p w14:paraId="4F049018" w14:textId="3D41083D" w:rsidR="00980B79" w:rsidRPr="003C0378" w:rsidRDefault="00980B79" w:rsidP="00980B79">
            <w:pPr>
              <w:spacing w:before="0" w:after="0"/>
              <w:ind w:firstLine="0"/>
              <w:jc w:val="center"/>
              <w:rPr>
                <w:rFonts w:eastAsia="Times New Roman" w:cs="Times New Roman"/>
                <w:color w:val="000000"/>
                <w:sz w:val="20"/>
                <w:szCs w:val="20"/>
              </w:rPr>
            </w:pPr>
            <w:r w:rsidRPr="009C4B65">
              <w:t>7,86</w:t>
            </w:r>
          </w:p>
        </w:tc>
        <w:tc>
          <w:tcPr>
            <w:tcW w:w="1060" w:type="dxa"/>
            <w:tcBorders>
              <w:top w:val="nil"/>
              <w:left w:val="nil"/>
              <w:bottom w:val="nil"/>
              <w:right w:val="nil"/>
            </w:tcBorders>
            <w:shd w:val="clear" w:color="000000" w:fill="FBA076"/>
            <w:noWrap/>
            <w:hideMark/>
          </w:tcPr>
          <w:p w14:paraId="7D18D7AF" w14:textId="453D27A2" w:rsidR="00980B79" w:rsidRPr="006C0B37" w:rsidRDefault="00980B79" w:rsidP="00980B79">
            <w:pPr>
              <w:spacing w:before="0" w:after="0"/>
              <w:ind w:firstLine="0"/>
              <w:jc w:val="center"/>
              <w:rPr>
                <w:color w:val="000000"/>
                <w:sz w:val="20"/>
              </w:rPr>
            </w:pPr>
            <w:r w:rsidRPr="009C4B65">
              <w:t>8,39</w:t>
            </w:r>
          </w:p>
        </w:tc>
        <w:tc>
          <w:tcPr>
            <w:tcW w:w="1060" w:type="dxa"/>
            <w:tcBorders>
              <w:top w:val="nil"/>
              <w:left w:val="nil"/>
              <w:bottom w:val="nil"/>
              <w:right w:val="nil"/>
            </w:tcBorders>
            <w:shd w:val="clear" w:color="000000" w:fill="FB9073"/>
            <w:noWrap/>
            <w:hideMark/>
          </w:tcPr>
          <w:p w14:paraId="3D175527" w14:textId="173E01F3" w:rsidR="00980B79" w:rsidRPr="003C0378" w:rsidRDefault="00980B79" w:rsidP="00980B79">
            <w:pPr>
              <w:spacing w:before="0" w:after="0"/>
              <w:ind w:firstLine="0"/>
              <w:jc w:val="center"/>
              <w:rPr>
                <w:rFonts w:eastAsia="Times New Roman" w:cs="Times New Roman"/>
                <w:color w:val="000000"/>
                <w:sz w:val="20"/>
                <w:szCs w:val="20"/>
              </w:rPr>
            </w:pPr>
            <w:r w:rsidRPr="009C4B65">
              <w:t>8,99</w:t>
            </w:r>
          </w:p>
        </w:tc>
        <w:tc>
          <w:tcPr>
            <w:tcW w:w="1060" w:type="dxa"/>
            <w:tcBorders>
              <w:top w:val="nil"/>
              <w:left w:val="nil"/>
              <w:bottom w:val="nil"/>
              <w:right w:val="nil"/>
            </w:tcBorders>
            <w:shd w:val="clear" w:color="000000" w:fill="FA7E6F"/>
            <w:noWrap/>
            <w:hideMark/>
          </w:tcPr>
          <w:p w14:paraId="432A8751" w14:textId="101C1D5A" w:rsidR="00980B79" w:rsidRPr="003C0378" w:rsidRDefault="00980B79" w:rsidP="00980B79">
            <w:pPr>
              <w:spacing w:before="0" w:after="0"/>
              <w:ind w:firstLine="0"/>
              <w:jc w:val="center"/>
              <w:rPr>
                <w:rFonts w:eastAsia="Times New Roman" w:cs="Times New Roman"/>
                <w:color w:val="000000"/>
                <w:sz w:val="20"/>
                <w:szCs w:val="20"/>
              </w:rPr>
            </w:pPr>
            <w:r w:rsidRPr="009C4B65">
              <w:t>9,66</w:t>
            </w:r>
          </w:p>
        </w:tc>
        <w:tc>
          <w:tcPr>
            <w:tcW w:w="1060" w:type="dxa"/>
            <w:tcBorders>
              <w:top w:val="nil"/>
              <w:left w:val="nil"/>
              <w:bottom w:val="nil"/>
              <w:right w:val="single" w:sz="4" w:space="0" w:color="auto"/>
            </w:tcBorders>
            <w:shd w:val="clear" w:color="000000" w:fill="F8696B"/>
            <w:noWrap/>
            <w:hideMark/>
          </w:tcPr>
          <w:p w14:paraId="51961993" w14:textId="61BC9872" w:rsidR="00980B79" w:rsidRPr="003C0378" w:rsidRDefault="00980B79" w:rsidP="00980B79">
            <w:pPr>
              <w:spacing w:before="0" w:after="0"/>
              <w:ind w:firstLine="0"/>
              <w:jc w:val="center"/>
              <w:rPr>
                <w:rFonts w:eastAsia="Times New Roman" w:cs="Times New Roman"/>
                <w:color w:val="000000"/>
                <w:sz w:val="20"/>
                <w:szCs w:val="20"/>
              </w:rPr>
            </w:pPr>
            <w:r w:rsidRPr="009C4B65">
              <w:t>10,39</w:t>
            </w:r>
          </w:p>
        </w:tc>
      </w:tr>
      <w:tr w:rsidR="001E4B79" w:rsidRPr="003C0378" w14:paraId="2F7BD157" w14:textId="77777777" w:rsidTr="00CC1409">
        <w:trPr>
          <w:gridAfter w:val="1"/>
          <w:wAfter w:w="6" w:type="dxa"/>
          <w:trHeight w:val="308"/>
        </w:trPr>
        <w:tc>
          <w:tcPr>
            <w:tcW w:w="1060" w:type="dxa"/>
            <w:vMerge/>
            <w:tcBorders>
              <w:left w:val="single" w:sz="4" w:space="0" w:color="auto"/>
              <w:right w:val="single" w:sz="4" w:space="0" w:color="auto"/>
            </w:tcBorders>
            <w:vAlign w:val="center"/>
            <w:hideMark/>
          </w:tcPr>
          <w:p w14:paraId="2900CB02" w14:textId="77777777" w:rsidR="00980B79" w:rsidRPr="006C0B37" w:rsidRDefault="00980B79" w:rsidP="00980B79">
            <w:pPr>
              <w:spacing w:before="0" w:after="0"/>
              <w:ind w:firstLine="0"/>
              <w:jc w:val="left"/>
              <w:rPr>
                <w:b/>
                <w:color w:val="000000"/>
              </w:rPr>
            </w:pPr>
          </w:p>
        </w:tc>
        <w:tc>
          <w:tcPr>
            <w:tcW w:w="1060" w:type="dxa"/>
            <w:tcBorders>
              <w:top w:val="nil"/>
              <w:left w:val="single" w:sz="4" w:space="0" w:color="auto"/>
              <w:bottom w:val="nil"/>
              <w:right w:val="nil"/>
            </w:tcBorders>
            <w:shd w:val="clear" w:color="auto" w:fill="auto"/>
            <w:noWrap/>
            <w:vAlign w:val="bottom"/>
            <w:hideMark/>
          </w:tcPr>
          <w:p w14:paraId="1E78E3C5"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10 proc.</w:t>
            </w:r>
          </w:p>
        </w:tc>
        <w:tc>
          <w:tcPr>
            <w:tcW w:w="1060" w:type="dxa"/>
            <w:tcBorders>
              <w:top w:val="nil"/>
              <w:left w:val="nil"/>
              <w:bottom w:val="nil"/>
              <w:right w:val="nil"/>
            </w:tcBorders>
            <w:shd w:val="clear" w:color="000000" w:fill="FFDF82"/>
            <w:noWrap/>
            <w:hideMark/>
          </w:tcPr>
          <w:p w14:paraId="1EC6C074" w14:textId="4C844331" w:rsidR="00980B79" w:rsidRPr="003C0378" w:rsidRDefault="00980B79" w:rsidP="00980B79">
            <w:pPr>
              <w:spacing w:before="0" w:after="0"/>
              <w:ind w:firstLine="0"/>
              <w:jc w:val="center"/>
              <w:rPr>
                <w:rFonts w:eastAsia="Times New Roman" w:cs="Times New Roman"/>
                <w:color w:val="000000"/>
                <w:sz w:val="20"/>
                <w:szCs w:val="20"/>
              </w:rPr>
            </w:pPr>
            <w:r w:rsidRPr="009C4B65">
              <w:t>6,17</w:t>
            </w:r>
          </w:p>
        </w:tc>
        <w:tc>
          <w:tcPr>
            <w:tcW w:w="1060" w:type="dxa"/>
            <w:tcBorders>
              <w:top w:val="nil"/>
              <w:left w:val="nil"/>
              <w:bottom w:val="nil"/>
              <w:right w:val="nil"/>
            </w:tcBorders>
            <w:shd w:val="clear" w:color="000000" w:fill="FED580"/>
            <w:noWrap/>
            <w:hideMark/>
          </w:tcPr>
          <w:p w14:paraId="49D1EB58" w14:textId="285E3E40" w:rsidR="00980B79" w:rsidRPr="003C0378" w:rsidRDefault="00980B79" w:rsidP="00980B79">
            <w:pPr>
              <w:spacing w:before="0" w:after="0"/>
              <w:ind w:firstLine="0"/>
              <w:jc w:val="center"/>
              <w:rPr>
                <w:rFonts w:eastAsia="Times New Roman" w:cs="Times New Roman"/>
                <w:color w:val="000000"/>
                <w:sz w:val="20"/>
                <w:szCs w:val="20"/>
              </w:rPr>
            </w:pPr>
            <w:r w:rsidRPr="009C4B65">
              <w:t>6,51</w:t>
            </w:r>
          </w:p>
        </w:tc>
        <w:tc>
          <w:tcPr>
            <w:tcW w:w="1060" w:type="dxa"/>
            <w:tcBorders>
              <w:top w:val="nil"/>
              <w:left w:val="nil"/>
              <w:bottom w:val="nil"/>
              <w:right w:val="nil"/>
            </w:tcBorders>
            <w:shd w:val="clear" w:color="000000" w:fill="FECA7E"/>
            <w:noWrap/>
            <w:hideMark/>
          </w:tcPr>
          <w:p w14:paraId="153E7A92" w14:textId="4C0A5E53" w:rsidR="00980B79" w:rsidRPr="003C0378" w:rsidRDefault="00980B79" w:rsidP="00980B79">
            <w:pPr>
              <w:spacing w:before="0" w:after="0"/>
              <w:ind w:firstLine="0"/>
              <w:jc w:val="center"/>
              <w:rPr>
                <w:rFonts w:eastAsia="Times New Roman" w:cs="Times New Roman"/>
                <w:color w:val="000000"/>
                <w:sz w:val="20"/>
                <w:szCs w:val="20"/>
              </w:rPr>
            </w:pPr>
            <w:r w:rsidRPr="009C4B65">
              <w:t>6,90</w:t>
            </w:r>
          </w:p>
        </w:tc>
        <w:tc>
          <w:tcPr>
            <w:tcW w:w="1060" w:type="dxa"/>
            <w:tcBorders>
              <w:top w:val="nil"/>
              <w:left w:val="nil"/>
              <w:bottom w:val="nil"/>
              <w:right w:val="nil"/>
            </w:tcBorders>
            <w:shd w:val="clear" w:color="000000" w:fill="FDBF7C"/>
            <w:noWrap/>
            <w:hideMark/>
          </w:tcPr>
          <w:p w14:paraId="18F0E039" w14:textId="31AB35FB" w:rsidR="00980B79" w:rsidRPr="003C0378" w:rsidRDefault="00980B79" w:rsidP="00980B79">
            <w:pPr>
              <w:spacing w:before="0" w:after="0"/>
              <w:ind w:firstLine="0"/>
              <w:jc w:val="center"/>
              <w:rPr>
                <w:rFonts w:eastAsia="Times New Roman" w:cs="Times New Roman"/>
                <w:color w:val="000000"/>
                <w:sz w:val="20"/>
                <w:szCs w:val="20"/>
              </w:rPr>
            </w:pPr>
            <w:r w:rsidRPr="009C4B65">
              <w:t>7,32</w:t>
            </w:r>
          </w:p>
        </w:tc>
        <w:tc>
          <w:tcPr>
            <w:tcW w:w="1060" w:type="dxa"/>
            <w:tcBorders>
              <w:top w:val="nil"/>
              <w:left w:val="nil"/>
              <w:bottom w:val="nil"/>
              <w:right w:val="nil"/>
            </w:tcBorders>
            <w:shd w:val="clear" w:color="000000" w:fill="FCB279"/>
            <w:noWrap/>
            <w:hideMark/>
          </w:tcPr>
          <w:p w14:paraId="6BD6B27C" w14:textId="69BA59F0" w:rsidR="00980B79" w:rsidRPr="003C0378" w:rsidRDefault="00980B79" w:rsidP="00980B79">
            <w:pPr>
              <w:spacing w:before="0" w:after="0"/>
              <w:ind w:firstLine="0"/>
              <w:jc w:val="center"/>
              <w:rPr>
                <w:rFonts w:eastAsia="Times New Roman" w:cs="Times New Roman"/>
                <w:color w:val="000000"/>
                <w:sz w:val="20"/>
                <w:szCs w:val="20"/>
              </w:rPr>
            </w:pPr>
            <w:r w:rsidRPr="009C4B65">
              <w:t>7,80</w:t>
            </w:r>
          </w:p>
        </w:tc>
        <w:tc>
          <w:tcPr>
            <w:tcW w:w="1060" w:type="dxa"/>
            <w:tcBorders>
              <w:top w:val="nil"/>
              <w:left w:val="nil"/>
              <w:bottom w:val="nil"/>
              <w:right w:val="nil"/>
            </w:tcBorders>
            <w:shd w:val="clear" w:color="000000" w:fill="FCA377"/>
            <w:noWrap/>
            <w:hideMark/>
          </w:tcPr>
          <w:p w14:paraId="268A3FB3" w14:textId="3AF113E7" w:rsidR="00980B79" w:rsidRPr="003C0378" w:rsidRDefault="00980B79" w:rsidP="00980B79">
            <w:pPr>
              <w:spacing w:before="0" w:after="0"/>
              <w:ind w:firstLine="0"/>
              <w:jc w:val="center"/>
              <w:rPr>
                <w:rFonts w:eastAsia="Times New Roman" w:cs="Times New Roman"/>
                <w:color w:val="000000"/>
                <w:sz w:val="20"/>
                <w:szCs w:val="20"/>
              </w:rPr>
            </w:pPr>
            <w:r w:rsidRPr="009C4B65">
              <w:t>8,34</w:t>
            </w:r>
          </w:p>
        </w:tc>
        <w:tc>
          <w:tcPr>
            <w:tcW w:w="1060" w:type="dxa"/>
            <w:tcBorders>
              <w:top w:val="nil"/>
              <w:left w:val="nil"/>
              <w:bottom w:val="nil"/>
              <w:right w:val="single" w:sz="4" w:space="0" w:color="auto"/>
            </w:tcBorders>
            <w:shd w:val="clear" w:color="000000" w:fill="FB9373"/>
            <w:noWrap/>
            <w:hideMark/>
          </w:tcPr>
          <w:p w14:paraId="20BA8B39" w14:textId="753057DB" w:rsidR="00980B79" w:rsidRPr="003C0378" w:rsidRDefault="00980B79" w:rsidP="00980B79">
            <w:pPr>
              <w:spacing w:before="0" w:after="0"/>
              <w:ind w:firstLine="0"/>
              <w:jc w:val="center"/>
              <w:rPr>
                <w:rFonts w:eastAsia="Times New Roman" w:cs="Times New Roman"/>
                <w:color w:val="000000"/>
                <w:sz w:val="20"/>
                <w:szCs w:val="20"/>
              </w:rPr>
            </w:pPr>
            <w:r w:rsidRPr="009C4B65">
              <w:t>8,94</w:t>
            </w:r>
          </w:p>
        </w:tc>
      </w:tr>
      <w:tr w:rsidR="001E4B79" w:rsidRPr="003C0378" w14:paraId="571D5087" w14:textId="77777777" w:rsidTr="00CC1409">
        <w:trPr>
          <w:gridAfter w:val="1"/>
          <w:wAfter w:w="6" w:type="dxa"/>
          <w:trHeight w:val="308"/>
        </w:trPr>
        <w:tc>
          <w:tcPr>
            <w:tcW w:w="1060" w:type="dxa"/>
            <w:vMerge/>
            <w:tcBorders>
              <w:left w:val="single" w:sz="4" w:space="0" w:color="auto"/>
              <w:right w:val="single" w:sz="4" w:space="0" w:color="auto"/>
            </w:tcBorders>
            <w:vAlign w:val="center"/>
            <w:hideMark/>
          </w:tcPr>
          <w:p w14:paraId="3C1AC2F5" w14:textId="77777777" w:rsidR="00980B79" w:rsidRPr="006C0B37" w:rsidRDefault="00980B79" w:rsidP="00980B79">
            <w:pPr>
              <w:spacing w:before="0" w:after="0"/>
              <w:ind w:firstLine="0"/>
              <w:jc w:val="left"/>
              <w:rPr>
                <w:b/>
                <w:color w:val="000000"/>
              </w:rPr>
            </w:pPr>
          </w:p>
        </w:tc>
        <w:tc>
          <w:tcPr>
            <w:tcW w:w="1060" w:type="dxa"/>
            <w:tcBorders>
              <w:top w:val="nil"/>
              <w:left w:val="single" w:sz="4" w:space="0" w:color="auto"/>
              <w:bottom w:val="nil"/>
              <w:right w:val="nil"/>
            </w:tcBorders>
            <w:shd w:val="clear" w:color="auto" w:fill="auto"/>
            <w:noWrap/>
            <w:vAlign w:val="bottom"/>
            <w:hideMark/>
          </w:tcPr>
          <w:p w14:paraId="69B60E5D"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20 proc.</w:t>
            </w:r>
          </w:p>
        </w:tc>
        <w:tc>
          <w:tcPr>
            <w:tcW w:w="1060" w:type="dxa"/>
            <w:tcBorders>
              <w:top w:val="nil"/>
              <w:left w:val="nil"/>
              <w:bottom w:val="nil"/>
              <w:right w:val="nil"/>
            </w:tcBorders>
            <w:shd w:val="clear" w:color="000000" w:fill="EAE582"/>
            <w:noWrap/>
            <w:hideMark/>
          </w:tcPr>
          <w:p w14:paraId="0851EC11" w14:textId="606C6FF8" w:rsidR="00980B79" w:rsidRPr="003C0378" w:rsidRDefault="00980B79" w:rsidP="00980B79">
            <w:pPr>
              <w:spacing w:before="0" w:after="0"/>
              <w:ind w:firstLine="0"/>
              <w:jc w:val="center"/>
              <w:rPr>
                <w:rFonts w:eastAsia="Times New Roman" w:cs="Times New Roman"/>
                <w:color w:val="000000"/>
                <w:sz w:val="20"/>
                <w:szCs w:val="20"/>
              </w:rPr>
            </w:pPr>
            <w:r w:rsidRPr="009C4B65">
              <w:t>5,40</w:t>
            </w:r>
          </w:p>
        </w:tc>
        <w:tc>
          <w:tcPr>
            <w:tcW w:w="1060" w:type="dxa"/>
            <w:tcBorders>
              <w:top w:val="nil"/>
              <w:left w:val="nil"/>
              <w:bottom w:val="nil"/>
              <w:right w:val="nil"/>
            </w:tcBorders>
            <w:shd w:val="clear" w:color="000000" w:fill="F9E983"/>
            <w:noWrap/>
            <w:hideMark/>
          </w:tcPr>
          <w:p w14:paraId="49D9F954" w14:textId="0005DC6B" w:rsidR="00980B79" w:rsidRPr="003C0378" w:rsidRDefault="00980B79" w:rsidP="00980B79">
            <w:pPr>
              <w:spacing w:before="0" w:after="0"/>
              <w:ind w:firstLine="0"/>
              <w:jc w:val="center"/>
              <w:rPr>
                <w:rFonts w:eastAsia="Times New Roman" w:cs="Times New Roman"/>
                <w:color w:val="000000"/>
                <w:sz w:val="20"/>
                <w:szCs w:val="20"/>
              </w:rPr>
            </w:pPr>
            <w:r w:rsidRPr="009C4B65">
              <w:t>5,67</w:t>
            </w:r>
          </w:p>
        </w:tc>
        <w:tc>
          <w:tcPr>
            <w:tcW w:w="1060" w:type="dxa"/>
            <w:tcBorders>
              <w:top w:val="nil"/>
              <w:left w:val="nil"/>
              <w:bottom w:val="nil"/>
              <w:right w:val="nil"/>
            </w:tcBorders>
            <w:shd w:val="clear" w:color="000000" w:fill="FFE683"/>
            <w:noWrap/>
            <w:hideMark/>
          </w:tcPr>
          <w:p w14:paraId="4A3EEB59" w14:textId="34920ED8" w:rsidR="00980B79" w:rsidRPr="003C0378" w:rsidRDefault="00980B79" w:rsidP="00980B79">
            <w:pPr>
              <w:spacing w:before="0" w:after="0"/>
              <w:ind w:firstLine="0"/>
              <w:jc w:val="center"/>
              <w:rPr>
                <w:rFonts w:eastAsia="Times New Roman" w:cs="Times New Roman"/>
                <w:color w:val="000000"/>
                <w:sz w:val="20"/>
                <w:szCs w:val="20"/>
              </w:rPr>
            </w:pPr>
            <w:r w:rsidRPr="009C4B65">
              <w:t>5,96</w:t>
            </w:r>
          </w:p>
        </w:tc>
        <w:tc>
          <w:tcPr>
            <w:tcW w:w="1060" w:type="dxa"/>
            <w:tcBorders>
              <w:top w:val="nil"/>
              <w:left w:val="nil"/>
              <w:bottom w:val="nil"/>
              <w:right w:val="nil"/>
            </w:tcBorders>
            <w:shd w:val="clear" w:color="000000" w:fill="FFDC82"/>
            <w:noWrap/>
            <w:hideMark/>
          </w:tcPr>
          <w:p w14:paraId="6AD79B62" w14:textId="3A4CA73D" w:rsidR="00980B79" w:rsidRPr="003C0378" w:rsidRDefault="00980B79" w:rsidP="00980B79">
            <w:pPr>
              <w:spacing w:before="0" w:after="0"/>
              <w:ind w:firstLine="0"/>
              <w:jc w:val="center"/>
              <w:rPr>
                <w:rFonts w:eastAsia="Times New Roman" w:cs="Times New Roman"/>
                <w:color w:val="000000"/>
                <w:sz w:val="20"/>
                <w:szCs w:val="20"/>
              </w:rPr>
            </w:pPr>
            <w:r w:rsidRPr="009C4B65">
              <w:t>6,29</w:t>
            </w:r>
          </w:p>
        </w:tc>
        <w:tc>
          <w:tcPr>
            <w:tcW w:w="1060" w:type="dxa"/>
            <w:tcBorders>
              <w:top w:val="nil"/>
              <w:left w:val="nil"/>
              <w:bottom w:val="nil"/>
              <w:right w:val="nil"/>
            </w:tcBorders>
            <w:shd w:val="clear" w:color="000000" w:fill="FED280"/>
            <w:noWrap/>
            <w:hideMark/>
          </w:tcPr>
          <w:p w14:paraId="6C70E793" w14:textId="2BD67B12" w:rsidR="00980B79" w:rsidRPr="003C0378" w:rsidRDefault="00980B79" w:rsidP="00980B79">
            <w:pPr>
              <w:spacing w:before="0" w:after="0"/>
              <w:ind w:firstLine="0"/>
              <w:jc w:val="center"/>
              <w:rPr>
                <w:rFonts w:eastAsia="Times New Roman" w:cs="Times New Roman"/>
                <w:color w:val="000000"/>
                <w:sz w:val="20"/>
                <w:szCs w:val="20"/>
              </w:rPr>
            </w:pPr>
            <w:r w:rsidRPr="009C4B65">
              <w:t>6,66</w:t>
            </w:r>
          </w:p>
        </w:tc>
        <w:tc>
          <w:tcPr>
            <w:tcW w:w="1060" w:type="dxa"/>
            <w:tcBorders>
              <w:top w:val="nil"/>
              <w:left w:val="nil"/>
              <w:bottom w:val="nil"/>
              <w:right w:val="nil"/>
            </w:tcBorders>
            <w:shd w:val="clear" w:color="000000" w:fill="FEC77D"/>
            <w:noWrap/>
            <w:hideMark/>
          </w:tcPr>
          <w:p w14:paraId="4270DEAD" w14:textId="45ADE1B5" w:rsidR="00980B79" w:rsidRPr="003C0378" w:rsidRDefault="00980B79" w:rsidP="00980B79">
            <w:pPr>
              <w:spacing w:before="0" w:after="0"/>
              <w:ind w:firstLine="0"/>
              <w:jc w:val="center"/>
              <w:rPr>
                <w:rFonts w:eastAsia="Times New Roman" w:cs="Times New Roman"/>
                <w:color w:val="000000"/>
                <w:sz w:val="20"/>
                <w:szCs w:val="20"/>
              </w:rPr>
            </w:pPr>
            <w:r w:rsidRPr="009C4B65">
              <w:t>7,08</w:t>
            </w:r>
          </w:p>
        </w:tc>
        <w:tc>
          <w:tcPr>
            <w:tcW w:w="1060" w:type="dxa"/>
            <w:tcBorders>
              <w:top w:val="nil"/>
              <w:left w:val="nil"/>
              <w:bottom w:val="nil"/>
              <w:right w:val="single" w:sz="4" w:space="0" w:color="auto"/>
            </w:tcBorders>
            <w:shd w:val="clear" w:color="000000" w:fill="FDBA7B"/>
            <w:noWrap/>
            <w:hideMark/>
          </w:tcPr>
          <w:p w14:paraId="7F1B5874" w14:textId="59D7872F" w:rsidR="00980B79" w:rsidRPr="003C0378" w:rsidRDefault="00980B79" w:rsidP="00980B79">
            <w:pPr>
              <w:spacing w:before="0" w:after="0"/>
              <w:ind w:firstLine="0"/>
              <w:jc w:val="center"/>
              <w:rPr>
                <w:rFonts w:eastAsia="Times New Roman" w:cs="Times New Roman"/>
                <w:color w:val="000000"/>
                <w:sz w:val="20"/>
                <w:szCs w:val="20"/>
              </w:rPr>
            </w:pPr>
            <w:r w:rsidRPr="009C4B65">
              <w:t>7,53</w:t>
            </w:r>
          </w:p>
        </w:tc>
      </w:tr>
      <w:tr w:rsidR="001E4B79" w:rsidRPr="003C0378" w14:paraId="7168551F" w14:textId="77777777" w:rsidTr="00CC1409">
        <w:trPr>
          <w:gridAfter w:val="1"/>
          <w:wAfter w:w="6" w:type="dxa"/>
          <w:trHeight w:val="308"/>
        </w:trPr>
        <w:tc>
          <w:tcPr>
            <w:tcW w:w="1060" w:type="dxa"/>
            <w:vMerge/>
            <w:tcBorders>
              <w:left w:val="single" w:sz="4" w:space="0" w:color="auto"/>
              <w:right w:val="single" w:sz="4" w:space="0" w:color="auto"/>
            </w:tcBorders>
            <w:vAlign w:val="center"/>
            <w:hideMark/>
          </w:tcPr>
          <w:p w14:paraId="1AA72496" w14:textId="77777777" w:rsidR="00980B79" w:rsidRPr="006C0B37" w:rsidRDefault="00980B79" w:rsidP="00980B79">
            <w:pPr>
              <w:spacing w:before="0" w:after="0"/>
              <w:ind w:firstLine="0"/>
              <w:jc w:val="left"/>
              <w:rPr>
                <w:b/>
                <w:color w:val="000000"/>
              </w:rPr>
            </w:pPr>
          </w:p>
        </w:tc>
        <w:tc>
          <w:tcPr>
            <w:tcW w:w="1060" w:type="dxa"/>
            <w:tcBorders>
              <w:top w:val="nil"/>
              <w:left w:val="single" w:sz="4" w:space="0" w:color="auto"/>
              <w:bottom w:val="nil"/>
              <w:right w:val="nil"/>
            </w:tcBorders>
            <w:shd w:val="clear" w:color="auto" w:fill="auto"/>
            <w:noWrap/>
            <w:vAlign w:val="bottom"/>
            <w:hideMark/>
          </w:tcPr>
          <w:p w14:paraId="1933444B"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30 proc.</w:t>
            </w:r>
          </w:p>
        </w:tc>
        <w:tc>
          <w:tcPr>
            <w:tcW w:w="1060" w:type="dxa"/>
            <w:tcBorders>
              <w:top w:val="nil"/>
              <w:left w:val="nil"/>
              <w:bottom w:val="nil"/>
              <w:right w:val="nil"/>
            </w:tcBorders>
            <w:shd w:val="clear" w:color="000000" w:fill="BDD880"/>
            <w:noWrap/>
            <w:hideMark/>
          </w:tcPr>
          <w:p w14:paraId="5ECFB4C1" w14:textId="4A281305" w:rsidR="00980B79" w:rsidRPr="003C0378" w:rsidRDefault="00980B79" w:rsidP="00980B79">
            <w:pPr>
              <w:spacing w:before="0" w:after="0"/>
              <w:ind w:firstLine="0"/>
              <w:jc w:val="center"/>
              <w:rPr>
                <w:rFonts w:eastAsia="Times New Roman" w:cs="Times New Roman"/>
                <w:color w:val="000000"/>
                <w:sz w:val="20"/>
                <w:szCs w:val="20"/>
              </w:rPr>
            </w:pPr>
            <w:r w:rsidRPr="009C4B65">
              <w:t>4,64</w:t>
            </w:r>
          </w:p>
        </w:tc>
        <w:tc>
          <w:tcPr>
            <w:tcW w:w="1060" w:type="dxa"/>
            <w:tcBorders>
              <w:top w:val="nil"/>
              <w:left w:val="nil"/>
              <w:bottom w:val="nil"/>
              <w:right w:val="nil"/>
            </w:tcBorders>
            <w:shd w:val="clear" w:color="000000" w:fill="C9DB80"/>
            <w:noWrap/>
            <w:hideMark/>
          </w:tcPr>
          <w:p w14:paraId="61564334" w14:textId="716FB182" w:rsidR="00980B79" w:rsidRPr="003C0378" w:rsidRDefault="00980B79" w:rsidP="00980B79">
            <w:pPr>
              <w:spacing w:before="0" w:after="0"/>
              <w:ind w:firstLine="0"/>
              <w:jc w:val="center"/>
              <w:rPr>
                <w:rFonts w:eastAsia="Times New Roman" w:cs="Times New Roman"/>
                <w:color w:val="000000"/>
                <w:sz w:val="20"/>
                <w:szCs w:val="20"/>
              </w:rPr>
            </w:pPr>
            <w:r w:rsidRPr="009C4B65">
              <w:t>4,85</w:t>
            </w:r>
          </w:p>
        </w:tc>
        <w:tc>
          <w:tcPr>
            <w:tcW w:w="1060" w:type="dxa"/>
            <w:tcBorders>
              <w:top w:val="nil"/>
              <w:left w:val="nil"/>
              <w:bottom w:val="nil"/>
              <w:right w:val="nil"/>
            </w:tcBorders>
            <w:shd w:val="clear" w:color="000000" w:fill="D5DF81"/>
            <w:noWrap/>
            <w:hideMark/>
          </w:tcPr>
          <w:p w14:paraId="455CFBBB" w14:textId="5DB8F3A3" w:rsidR="00980B79" w:rsidRPr="003C0378" w:rsidRDefault="00980B79" w:rsidP="00980B79">
            <w:pPr>
              <w:spacing w:before="0" w:after="0"/>
              <w:ind w:firstLine="0"/>
              <w:jc w:val="center"/>
              <w:rPr>
                <w:rFonts w:eastAsia="Times New Roman" w:cs="Times New Roman"/>
                <w:color w:val="000000"/>
                <w:sz w:val="20"/>
                <w:szCs w:val="20"/>
              </w:rPr>
            </w:pPr>
            <w:r w:rsidRPr="009C4B65">
              <w:t>5,07</w:t>
            </w:r>
          </w:p>
        </w:tc>
        <w:tc>
          <w:tcPr>
            <w:tcW w:w="1060" w:type="dxa"/>
            <w:tcBorders>
              <w:top w:val="nil"/>
              <w:left w:val="nil"/>
              <w:bottom w:val="nil"/>
              <w:right w:val="nil"/>
            </w:tcBorders>
            <w:shd w:val="clear" w:color="000000" w:fill="E3E382"/>
            <w:noWrap/>
            <w:hideMark/>
          </w:tcPr>
          <w:p w14:paraId="1B32069C" w14:textId="715982E1" w:rsidR="00980B79" w:rsidRPr="003C0378" w:rsidRDefault="00980B79" w:rsidP="00980B79">
            <w:pPr>
              <w:spacing w:before="0" w:after="0"/>
              <w:ind w:firstLine="0"/>
              <w:jc w:val="center"/>
              <w:rPr>
                <w:rFonts w:eastAsia="Times New Roman" w:cs="Times New Roman"/>
                <w:color w:val="000000"/>
                <w:sz w:val="20"/>
                <w:szCs w:val="20"/>
              </w:rPr>
            </w:pPr>
            <w:r w:rsidRPr="009C4B65">
              <w:t>5,31</w:t>
            </w:r>
          </w:p>
        </w:tc>
        <w:tc>
          <w:tcPr>
            <w:tcW w:w="1060" w:type="dxa"/>
            <w:tcBorders>
              <w:top w:val="nil"/>
              <w:left w:val="nil"/>
              <w:bottom w:val="nil"/>
              <w:right w:val="nil"/>
            </w:tcBorders>
            <w:shd w:val="clear" w:color="000000" w:fill="F3E783"/>
            <w:noWrap/>
            <w:hideMark/>
          </w:tcPr>
          <w:p w14:paraId="693441B2" w14:textId="7D9450B6" w:rsidR="00980B79" w:rsidRPr="003C0378" w:rsidRDefault="00980B79" w:rsidP="00980B79">
            <w:pPr>
              <w:spacing w:before="0" w:after="0"/>
              <w:ind w:firstLine="0"/>
              <w:jc w:val="center"/>
              <w:rPr>
                <w:rFonts w:eastAsia="Times New Roman" w:cs="Times New Roman"/>
                <w:color w:val="000000"/>
                <w:sz w:val="20"/>
                <w:szCs w:val="20"/>
              </w:rPr>
            </w:pPr>
            <w:r w:rsidRPr="009C4B65">
              <w:t>5,58</w:t>
            </w:r>
          </w:p>
        </w:tc>
        <w:tc>
          <w:tcPr>
            <w:tcW w:w="1060" w:type="dxa"/>
            <w:tcBorders>
              <w:top w:val="nil"/>
              <w:left w:val="nil"/>
              <w:bottom w:val="nil"/>
              <w:right w:val="nil"/>
            </w:tcBorders>
            <w:shd w:val="clear" w:color="000000" w:fill="FFE984"/>
            <w:noWrap/>
            <w:hideMark/>
          </w:tcPr>
          <w:p w14:paraId="14C93E41" w14:textId="38571F81" w:rsidR="00980B79" w:rsidRPr="003C0378" w:rsidRDefault="00980B79" w:rsidP="00980B79">
            <w:pPr>
              <w:spacing w:before="0" w:after="0"/>
              <w:ind w:firstLine="0"/>
              <w:jc w:val="center"/>
              <w:rPr>
                <w:rFonts w:eastAsia="Times New Roman" w:cs="Times New Roman"/>
                <w:color w:val="000000"/>
                <w:sz w:val="20"/>
                <w:szCs w:val="20"/>
              </w:rPr>
            </w:pPr>
            <w:r w:rsidRPr="009C4B65">
              <w:t>5,88</w:t>
            </w:r>
          </w:p>
        </w:tc>
        <w:tc>
          <w:tcPr>
            <w:tcW w:w="1060" w:type="dxa"/>
            <w:tcBorders>
              <w:top w:val="nil"/>
              <w:left w:val="nil"/>
              <w:bottom w:val="nil"/>
              <w:right w:val="single" w:sz="4" w:space="0" w:color="auto"/>
            </w:tcBorders>
            <w:shd w:val="clear" w:color="000000" w:fill="FFE082"/>
            <w:noWrap/>
            <w:hideMark/>
          </w:tcPr>
          <w:p w14:paraId="07660F5F" w14:textId="6AF70392" w:rsidR="00980B79" w:rsidRPr="003C0378" w:rsidRDefault="00980B79" w:rsidP="00980B79">
            <w:pPr>
              <w:spacing w:before="0" w:after="0"/>
              <w:ind w:firstLine="0"/>
              <w:jc w:val="center"/>
              <w:rPr>
                <w:rFonts w:eastAsia="Times New Roman" w:cs="Times New Roman"/>
                <w:color w:val="000000"/>
                <w:sz w:val="20"/>
                <w:szCs w:val="20"/>
              </w:rPr>
            </w:pPr>
            <w:r w:rsidRPr="009C4B65">
              <w:t>6,22</w:t>
            </w:r>
          </w:p>
        </w:tc>
      </w:tr>
      <w:tr w:rsidR="001E4B79" w:rsidRPr="003C0378" w14:paraId="69282DE0" w14:textId="77777777" w:rsidTr="00CC1409">
        <w:trPr>
          <w:gridAfter w:val="1"/>
          <w:wAfter w:w="6" w:type="dxa"/>
          <w:trHeight w:val="308"/>
        </w:trPr>
        <w:tc>
          <w:tcPr>
            <w:tcW w:w="1060" w:type="dxa"/>
            <w:vMerge/>
            <w:tcBorders>
              <w:left w:val="single" w:sz="4" w:space="0" w:color="auto"/>
              <w:right w:val="single" w:sz="4" w:space="0" w:color="auto"/>
            </w:tcBorders>
            <w:vAlign w:val="center"/>
            <w:hideMark/>
          </w:tcPr>
          <w:p w14:paraId="4A968D82" w14:textId="77777777" w:rsidR="00980B79" w:rsidRPr="006C0B37" w:rsidRDefault="00980B79" w:rsidP="00980B79">
            <w:pPr>
              <w:spacing w:before="0" w:after="0"/>
              <w:ind w:firstLine="0"/>
              <w:jc w:val="left"/>
              <w:rPr>
                <w:b/>
                <w:color w:val="000000"/>
              </w:rPr>
            </w:pPr>
          </w:p>
        </w:tc>
        <w:tc>
          <w:tcPr>
            <w:tcW w:w="1060" w:type="dxa"/>
            <w:tcBorders>
              <w:top w:val="nil"/>
              <w:left w:val="single" w:sz="4" w:space="0" w:color="auto"/>
              <w:bottom w:val="nil"/>
              <w:right w:val="nil"/>
            </w:tcBorders>
            <w:shd w:val="clear" w:color="auto" w:fill="auto"/>
            <w:noWrap/>
            <w:vAlign w:val="bottom"/>
            <w:hideMark/>
          </w:tcPr>
          <w:p w14:paraId="0CBF88D3"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40 proc.</w:t>
            </w:r>
          </w:p>
        </w:tc>
        <w:tc>
          <w:tcPr>
            <w:tcW w:w="1060" w:type="dxa"/>
            <w:tcBorders>
              <w:top w:val="nil"/>
              <w:left w:val="nil"/>
              <w:bottom w:val="nil"/>
              <w:right w:val="nil"/>
            </w:tcBorders>
            <w:shd w:val="clear" w:color="000000" w:fill="90CB7D"/>
            <w:noWrap/>
            <w:hideMark/>
          </w:tcPr>
          <w:p w14:paraId="2AF0BCE7" w14:textId="37B83D9C" w:rsidR="00980B79" w:rsidRPr="003C0378" w:rsidRDefault="00980B79" w:rsidP="00980B79">
            <w:pPr>
              <w:spacing w:before="0" w:after="0"/>
              <w:ind w:firstLine="0"/>
              <w:jc w:val="center"/>
              <w:rPr>
                <w:rFonts w:eastAsia="Times New Roman" w:cs="Times New Roman"/>
                <w:color w:val="000000"/>
                <w:sz w:val="20"/>
                <w:szCs w:val="20"/>
              </w:rPr>
            </w:pPr>
            <w:r w:rsidRPr="009C4B65">
              <w:t>3,91</w:t>
            </w:r>
          </w:p>
        </w:tc>
        <w:tc>
          <w:tcPr>
            <w:tcW w:w="1060" w:type="dxa"/>
            <w:tcBorders>
              <w:top w:val="nil"/>
              <w:left w:val="nil"/>
              <w:bottom w:val="nil"/>
              <w:right w:val="nil"/>
            </w:tcBorders>
            <w:shd w:val="clear" w:color="000000" w:fill="98CD7E"/>
            <w:noWrap/>
            <w:hideMark/>
          </w:tcPr>
          <w:p w14:paraId="708BB0DF" w14:textId="1E4BD923" w:rsidR="00980B79" w:rsidRPr="003C0378" w:rsidRDefault="00980B79" w:rsidP="00980B79">
            <w:pPr>
              <w:spacing w:before="0" w:after="0"/>
              <w:ind w:firstLine="0"/>
              <w:jc w:val="center"/>
              <w:rPr>
                <w:rFonts w:eastAsia="Times New Roman" w:cs="Times New Roman"/>
                <w:color w:val="000000"/>
                <w:sz w:val="20"/>
                <w:szCs w:val="20"/>
              </w:rPr>
            </w:pPr>
            <w:r w:rsidRPr="009C4B65">
              <w:t>4,06</w:t>
            </w:r>
          </w:p>
        </w:tc>
        <w:tc>
          <w:tcPr>
            <w:tcW w:w="1060" w:type="dxa"/>
            <w:tcBorders>
              <w:top w:val="nil"/>
              <w:left w:val="nil"/>
              <w:bottom w:val="nil"/>
              <w:right w:val="nil"/>
            </w:tcBorders>
            <w:shd w:val="clear" w:color="000000" w:fill="A2D07E"/>
            <w:noWrap/>
            <w:hideMark/>
          </w:tcPr>
          <w:p w14:paraId="3A0D5BBD" w14:textId="4C3E7DD7" w:rsidR="00980B79" w:rsidRPr="003C0378" w:rsidRDefault="00980B79" w:rsidP="00980B79">
            <w:pPr>
              <w:spacing w:before="0" w:after="0"/>
              <w:ind w:firstLine="0"/>
              <w:jc w:val="center"/>
              <w:rPr>
                <w:rFonts w:eastAsia="Times New Roman" w:cs="Times New Roman"/>
                <w:color w:val="000000"/>
                <w:sz w:val="20"/>
                <w:szCs w:val="20"/>
              </w:rPr>
            </w:pPr>
            <w:r w:rsidRPr="009C4B65">
              <w:t>4,22</w:t>
            </w:r>
          </w:p>
        </w:tc>
        <w:tc>
          <w:tcPr>
            <w:tcW w:w="1060" w:type="dxa"/>
            <w:tcBorders>
              <w:top w:val="nil"/>
              <w:left w:val="nil"/>
              <w:bottom w:val="nil"/>
              <w:right w:val="nil"/>
            </w:tcBorders>
            <w:shd w:val="clear" w:color="000000" w:fill="ACD37F"/>
            <w:noWrap/>
            <w:hideMark/>
          </w:tcPr>
          <w:p w14:paraId="2D853DE6" w14:textId="6E863B0A" w:rsidR="00980B79" w:rsidRPr="003C0378" w:rsidRDefault="00980B79" w:rsidP="00980B79">
            <w:pPr>
              <w:spacing w:before="0" w:after="0"/>
              <w:ind w:firstLine="0"/>
              <w:jc w:val="center"/>
              <w:rPr>
                <w:rFonts w:eastAsia="Times New Roman" w:cs="Times New Roman"/>
                <w:color w:val="000000"/>
                <w:sz w:val="20"/>
                <w:szCs w:val="20"/>
              </w:rPr>
            </w:pPr>
            <w:r w:rsidRPr="009C4B65">
              <w:t>4,39</w:t>
            </w:r>
          </w:p>
        </w:tc>
        <w:tc>
          <w:tcPr>
            <w:tcW w:w="1060" w:type="dxa"/>
            <w:tcBorders>
              <w:top w:val="nil"/>
              <w:left w:val="nil"/>
              <w:bottom w:val="nil"/>
              <w:right w:val="nil"/>
            </w:tcBorders>
            <w:shd w:val="clear" w:color="000000" w:fill="B7D67F"/>
            <w:noWrap/>
            <w:hideMark/>
          </w:tcPr>
          <w:p w14:paraId="6BA46B08" w14:textId="79C31624" w:rsidR="00980B79" w:rsidRPr="003C0378" w:rsidRDefault="00980B79" w:rsidP="00980B79">
            <w:pPr>
              <w:spacing w:before="0" w:after="0"/>
              <w:ind w:firstLine="0"/>
              <w:jc w:val="center"/>
              <w:rPr>
                <w:rFonts w:eastAsia="Times New Roman" w:cs="Times New Roman"/>
                <w:color w:val="000000"/>
                <w:sz w:val="20"/>
                <w:szCs w:val="20"/>
              </w:rPr>
            </w:pPr>
            <w:r w:rsidRPr="009C4B65">
              <w:t>4,58</w:t>
            </w:r>
          </w:p>
        </w:tc>
        <w:tc>
          <w:tcPr>
            <w:tcW w:w="1060" w:type="dxa"/>
            <w:tcBorders>
              <w:top w:val="nil"/>
              <w:left w:val="nil"/>
              <w:bottom w:val="nil"/>
              <w:right w:val="nil"/>
            </w:tcBorders>
            <w:shd w:val="clear" w:color="000000" w:fill="C3D980"/>
            <w:noWrap/>
            <w:hideMark/>
          </w:tcPr>
          <w:p w14:paraId="1DAB00E1" w14:textId="37B5ACE7" w:rsidR="00980B79" w:rsidRPr="003C0378" w:rsidRDefault="00980B79" w:rsidP="00980B79">
            <w:pPr>
              <w:spacing w:before="0" w:after="0"/>
              <w:ind w:firstLine="0"/>
              <w:jc w:val="center"/>
              <w:rPr>
                <w:rFonts w:eastAsia="Times New Roman" w:cs="Times New Roman"/>
                <w:color w:val="000000"/>
                <w:sz w:val="20"/>
                <w:szCs w:val="20"/>
              </w:rPr>
            </w:pPr>
            <w:r w:rsidRPr="009C4B65">
              <w:t>4,78</w:t>
            </w:r>
          </w:p>
        </w:tc>
        <w:tc>
          <w:tcPr>
            <w:tcW w:w="1060" w:type="dxa"/>
            <w:tcBorders>
              <w:top w:val="nil"/>
              <w:left w:val="nil"/>
              <w:bottom w:val="nil"/>
              <w:right w:val="single" w:sz="4" w:space="0" w:color="auto"/>
            </w:tcBorders>
            <w:shd w:val="clear" w:color="000000" w:fill="D0DD81"/>
            <w:noWrap/>
            <w:hideMark/>
          </w:tcPr>
          <w:p w14:paraId="444D6BAA" w14:textId="34AFF952" w:rsidR="00980B79" w:rsidRPr="003C0378" w:rsidRDefault="00980B79" w:rsidP="00980B79">
            <w:pPr>
              <w:spacing w:before="0" w:after="0"/>
              <w:ind w:firstLine="0"/>
              <w:jc w:val="center"/>
              <w:rPr>
                <w:rFonts w:eastAsia="Times New Roman" w:cs="Times New Roman"/>
                <w:color w:val="000000"/>
                <w:sz w:val="20"/>
                <w:szCs w:val="20"/>
              </w:rPr>
            </w:pPr>
            <w:r w:rsidRPr="009C4B65">
              <w:t>5,01</w:t>
            </w:r>
          </w:p>
        </w:tc>
      </w:tr>
      <w:tr w:rsidR="001E4B79" w:rsidRPr="003C0378" w14:paraId="70FD3692" w14:textId="77777777" w:rsidTr="00CC1409">
        <w:trPr>
          <w:gridAfter w:val="1"/>
          <w:wAfter w:w="6" w:type="dxa"/>
          <w:trHeight w:val="308"/>
        </w:trPr>
        <w:tc>
          <w:tcPr>
            <w:tcW w:w="1060" w:type="dxa"/>
            <w:vMerge/>
            <w:tcBorders>
              <w:left w:val="single" w:sz="4" w:space="0" w:color="auto"/>
              <w:bottom w:val="single" w:sz="4" w:space="0" w:color="auto"/>
              <w:right w:val="single" w:sz="4" w:space="0" w:color="auto"/>
            </w:tcBorders>
            <w:vAlign w:val="center"/>
            <w:hideMark/>
          </w:tcPr>
          <w:p w14:paraId="4574D167" w14:textId="77777777" w:rsidR="00980B79" w:rsidRPr="006C0B37" w:rsidRDefault="00980B79" w:rsidP="00980B79">
            <w:pPr>
              <w:spacing w:before="0" w:after="0"/>
              <w:ind w:firstLine="0"/>
              <w:jc w:val="left"/>
              <w:rPr>
                <w:b/>
                <w:color w:val="000000"/>
              </w:rPr>
            </w:pPr>
          </w:p>
        </w:tc>
        <w:tc>
          <w:tcPr>
            <w:tcW w:w="1060" w:type="dxa"/>
            <w:tcBorders>
              <w:top w:val="nil"/>
              <w:left w:val="single" w:sz="4" w:space="0" w:color="auto"/>
              <w:bottom w:val="single" w:sz="4" w:space="0" w:color="auto"/>
              <w:right w:val="nil"/>
            </w:tcBorders>
            <w:shd w:val="clear" w:color="auto" w:fill="auto"/>
            <w:noWrap/>
            <w:vAlign w:val="bottom"/>
            <w:hideMark/>
          </w:tcPr>
          <w:p w14:paraId="2D922CE4" w14:textId="77777777" w:rsidR="00980B79" w:rsidRPr="003C0378" w:rsidRDefault="00980B79" w:rsidP="00980B79">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50 proc.</w:t>
            </w:r>
          </w:p>
        </w:tc>
        <w:tc>
          <w:tcPr>
            <w:tcW w:w="1060" w:type="dxa"/>
            <w:tcBorders>
              <w:top w:val="nil"/>
              <w:left w:val="nil"/>
              <w:bottom w:val="single" w:sz="4" w:space="0" w:color="auto"/>
              <w:right w:val="nil"/>
            </w:tcBorders>
            <w:shd w:val="clear" w:color="000000" w:fill="63BE7B"/>
            <w:noWrap/>
            <w:hideMark/>
          </w:tcPr>
          <w:p w14:paraId="5BD103D0" w14:textId="3AA9B601" w:rsidR="00980B79" w:rsidRPr="003C0378" w:rsidRDefault="00980B79" w:rsidP="00980B79">
            <w:pPr>
              <w:spacing w:before="0" w:after="0"/>
              <w:ind w:firstLine="0"/>
              <w:jc w:val="center"/>
              <w:rPr>
                <w:rFonts w:eastAsia="Times New Roman" w:cs="Times New Roman"/>
                <w:color w:val="000000"/>
                <w:sz w:val="20"/>
                <w:szCs w:val="20"/>
              </w:rPr>
            </w:pPr>
            <w:r w:rsidRPr="009C4B65">
              <w:t>3,20</w:t>
            </w:r>
          </w:p>
        </w:tc>
        <w:tc>
          <w:tcPr>
            <w:tcW w:w="1060" w:type="dxa"/>
            <w:tcBorders>
              <w:top w:val="nil"/>
              <w:left w:val="nil"/>
              <w:bottom w:val="single" w:sz="4" w:space="0" w:color="auto"/>
              <w:right w:val="nil"/>
            </w:tcBorders>
            <w:shd w:val="clear" w:color="000000" w:fill="69BF7B"/>
            <w:noWrap/>
            <w:hideMark/>
          </w:tcPr>
          <w:p w14:paraId="7C8C2C5C" w14:textId="7DFECA01" w:rsidR="00980B79" w:rsidRPr="003C0378" w:rsidRDefault="00980B79" w:rsidP="00980B79">
            <w:pPr>
              <w:spacing w:before="0" w:after="0"/>
              <w:ind w:firstLine="0"/>
              <w:jc w:val="center"/>
              <w:rPr>
                <w:rFonts w:eastAsia="Times New Roman" w:cs="Times New Roman"/>
                <w:color w:val="000000"/>
                <w:sz w:val="20"/>
                <w:szCs w:val="20"/>
              </w:rPr>
            </w:pPr>
            <w:r w:rsidRPr="009C4B65">
              <w:t>3,30</w:t>
            </w:r>
          </w:p>
        </w:tc>
        <w:tc>
          <w:tcPr>
            <w:tcW w:w="1060" w:type="dxa"/>
            <w:tcBorders>
              <w:top w:val="nil"/>
              <w:left w:val="nil"/>
              <w:bottom w:val="single" w:sz="4" w:space="0" w:color="auto"/>
              <w:right w:val="nil"/>
            </w:tcBorders>
            <w:shd w:val="clear" w:color="000000" w:fill="6FC17B"/>
            <w:noWrap/>
            <w:hideMark/>
          </w:tcPr>
          <w:p w14:paraId="288EB18C" w14:textId="1F4EE4C6" w:rsidR="00980B79" w:rsidRPr="003C0378" w:rsidRDefault="00980B79" w:rsidP="00980B79">
            <w:pPr>
              <w:spacing w:before="0" w:after="0"/>
              <w:ind w:firstLine="0"/>
              <w:jc w:val="center"/>
              <w:rPr>
                <w:rFonts w:eastAsia="Times New Roman" w:cs="Times New Roman"/>
                <w:color w:val="000000"/>
                <w:sz w:val="20"/>
                <w:szCs w:val="20"/>
              </w:rPr>
            </w:pPr>
            <w:r w:rsidRPr="009C4B65">
              <w:t>3,41</w:t>
            </w:r>
          </w:p>
        </w:tc>
        <w:tc>
          <w:tcPr>
            <w:tcW w:w="1060" w:type="dxa"/>
            <w:tcBorders>
              <w:top w:val="nil"/>
              <w:left w:val="nil"/>
              <w:bottom w:val="single" w:sz="4" w:space="0" w:color="auto"/>
              <w:right w:val="nil"/>
            </w:tcBorders>
            <w:shd w:val="clear" w:color="000000" w:fill="76C37C"/>
            <w:noWrap/>
            <w:hideMark/>
          </w:tcPr>
          <w:p w14:paraId="053DFF89" w14:textId="368064AF" w:rsidR="00980B79" w:rsidRPr="003C0378" w:rsidRDefault="00980B79" w:rsidP="00980B79">
            <w:pPr>
              <w:spacing w:before="0" w:after="0"/>
              <w:ind w:firstLine="0"/>
              <w:jc w:val="center"/>
              <w:rPr>
                <w:rFonts w:eastAsia="Times New Roman" w:cs="Times New Roman"/>
                <w:color w:val="000000"/>
                <w:sz w:val="20"/>
                <w:szCs w:val="20"/>
              </w:rPr>
            </w:pPr>
            <w:r w:rsidRPr="009C4B65">
              <w:t>3,52</w:t>
            </w:r>
          </w:p>
        </w:tc>
        <w:tc>
          <w:tcPr>
            <w:tcW w:w="1060" w:type="dxa"/>
            <w:tcBorders>
              <w:top w:val="nil"/>
              <w:left w:val="nil"/>
              <w:bottom w:val="single" w:sz="4" w:space="0" w:color="auto"/>
              <w:right w:val="nil"/>
            </w:tcBorders>
            <w:shd w:val="clear" w:color="000000" w:fill="7EC57C"/>
            <w:noWrap/>
            <w:hideMark/>
          </w:tcPr>
          <w:p w14:paraId="3680DCAC" w14:textId="71AFAE1F" w:rsidR="00980B79" w:rsidRPr="003C0378" w:rsidRDefault="00980B79" w:rsidP="00980B79">
            <w:pPr>
              <w:spacing w:before="0" w:after="0"/>
              <w:ind w:firstLine="0"/>
              <w:jc w:val="center"/>
              <w:rPr>
                <w:rFonts w:eastAsia="Times New Roman" w:cs="Times New Roman"/>
                <w:color w:val="000000"/>
                <w:sz w:val="20"/>
                <w:szCs w:val="20"/>
              </w:rPr>
            </w:pPr>
            <w:r w:rsidRPr="009C4B65">
              <w:t>3,64</w:t>
            </w:r>
          </w:p>
        </w:tc>
        <w:tc>
          <w:tcPr>
            <w:tcW w:w="1060" w:type="dxa"/>
            <w:tcBorders>
              <w:top w:val="nil"/>
              <w:left w:val="nil"/>
              <w:bottom w:val="single" w:sz="4" w:space="0" w:color="auto"/>
              <w:right w:val="nil"/>
            </w:tcBorders>
            <w:shd w:val="clear" w:color="000000" w:fill="86C87D"/>
            <w:noWrap/>
            <w:hideMark/>
          </w:tcPr>
          <w:p w14:paraId="089E8B47" w14:textId="57543703" w:rsidR="00980B79" w:rsidRPr="003C0378" w:rsidRDefault="00980B79" w:rsidP="00980B79">
            <w:pPr>
              <w:spacing w:before="0" w:after="0"/>
              <w:ind w:firstLine="0"/>
              <w:jc w:val="center"/>
              <w:rPr>
                <w:rFonts w:eastAsia="Times New Roman" w:cs="Times New Roman"/>
                <w:color w:val="000000"/>
                <w:sz w:val="20"/>
                <w:szCs w:val="20"/>
              </w:rPr>
            </w:pPr>
            <w:r w:rsidRPr="009C4B65">
              <w:t>3,78</w:t>
            </w:r>
          </w:p>
        </w:tc>
        <w:tc>
          <w:tcPr>
            <w:tcW w:w="1060" w:type="dxa"/>
            <w:tcBorders>
              <w:top w:val="nil"/>
              <w:left w:val="nil"/>
              <w:bottom w:val="single" w:sz="4" w:space="0" w:color="auto"/>
              <w:right w:val="single" w:sz="4" w:space="0" w:color="auto"/>
            </w:tcBorders>
            <w:shd w:val="clear" w:color="000000" w:fill="8ECA7D"/>
            <w:noWrap/>
            <w:hideMark/>
          </w:tcPr>
          <w:p w14:paraId="4551DFA2" w14:textId="2F354511" w:rsidR="00980B79" w:rsidRPr="003C0378" w:rsidRDefault="00980B79" w:rsidP="00980B79">
            <w:pPr>
              <w:spacing w:before="0" w:after="0"/>
              <w:ind w:firstLine="0"/>
              <w:jc w:val="center"/>
              <w:rPr>
                <w:rFonts w:eastAsia="Times New Roman" w:cs="Times New Roman"/>
                <w:color w:val="000000"/>
                <w:sz w:val="20"/>
                <w:szCs w:val="20"/>
              </w:rPr>
            </w:pPr>
            <w:r w:rsidRPr="009C4B65">
              <w:t>3,92</w:t>
            </w:r>
          </w:p>
        </w:tc>
      </w:tr>
    </w:tbl>
    <w:p w14:paraId="134E7C72" w14:textId="77777777" w:rsidR="005C2C96" w:rsidRPr="003C0378" w:rsidRDefault="005C2C96" w:rsidP="005C2C96">
      <w:pPr>
        <w:ind w:firstLine="561"/>
        <w:jc w:val="left"/>
        <w:rPr>
          <w:rFonts w:cs="Times New Roman"/>
          <w:sz w:val="20"/>
          <w:szCs w:val="20"/>
        </w:rPr>
      </w:pPr>
      <w:r w:rsidRPr="003C0378">
        <w:rPr>
          <w:rFonts w:cs="Times New Roman"/>
          <w:sz w:val="20"/>
          <w:szCs w:val="20"/>
        </w:rPr>
        <w:t>Šaltinis: sudaryta Vertintojų.</w:t>
      </w:r>
    </w:p>
    <w:p w14:paraId="4508E8E5" w14:textId="44735160" w:rsidR="005C2C96" w:rsidRPr="000378E7" w:rsidRDefault="005C2C96" w:rsidP="005C2C96">
      <w:pPr>
        <w:spacing w:line="276" w:lineRule="auto"/>
        <w:ind w:firstLine="561"/>
      </w:pPr>
      <w:r w:rsidRPr="000378E7">
        <w:t>Siekiant įvertinti kaip keistųsi elektrinės atsiperkamumas keičiantis elektros kainoms, Vertintojai atliko elektros kainos jautrumo analizę, kurios rezultatai pateikiami žemiau esančioje lentelėje.</w:t>
      </w:r>
      <w:r w:rsidRPr="000378E7">
        <w:rPr>
          <w:rFonts w:asciiTheme="minorHAnsi" w:eastAsiaTheme="minorEastAsia" w:hAnsiTheme="minorHAnsi" w:cs="Times New Roman"/>
          <w:sz w:val="20"/>
          <w:szCs w:val="20"/>
        </w:rPr>
        <w:t xml:space="preserve"> </w:t>
      </w:r>
      <w:r w:rsidRPr="000378E7">
        <w:t xml:space="preserve">Atsižvelgiant į elektros kainos kintamąjį, investicijos į saulės elektrinių įrengimą </w:t>
      </w:r>
      <w:r w:rsidR="00CE6878">
        <w:t xml:space="preserve">VJA tikslinėje </w:t>
      </w:r>
      <w:r w:rsidR="00CE6878" w:rsidRPr="00C236EB">
        <w:t>grupėje</w:t>
      </w:r>
      <w:r w:rsidRPr="000378E7">
        <w:t xml:space="preserve"> be dotacijos atsipirktų per mažiau negu </w:t>
      </w:r>
      <w:r w:rsidR="007E3A8A" w:rsidRPr="000378E7">
        <w:t>13</w:t>
      </w:r>
      <w:r w:rsidRPr="000378E7">
        <w:t xml:space="preserve">,5 metų, jeigu </w:t>
      </w:r>
      <w:r w:rsidR="00E36D6A" w:rsidRPr="000378E7">
        <w:t xml:space="preserve">vidutinė </w:t>
      </w:r>
      <w:r w:rsidRPr="000378E7">
        <w:t>elektros kain</w:t>
      </w:r>
      <w:r w:rsidR="007E3A8A" w:rsidRPr="000378E7">
        <w:t>a</w:t>
      </w:r>
      <w:r w:rsidRPr="000378E7">
        <w:t xml:space="preserve"> būtų</w:t>
      </w:r>
      <w:r w:rsidR="007E3A8A" w:rsidRPr="000378E7">
        <w:t xml:space="preserve"> 0,2 Eur/kWh arba didesnė</w:t>
      </w:r>
      <w:r w:rsidRPr="000378E7">
        <w:t xml:space="preserve">. Netaikant dotacijos, </w:t>
      </w:r>
      <w:r w:rsidR="007E3A8A" w:rsidRPr="000378E7">
        <w:t>jeigu elektros kaina būtų</w:t>
      </w:r>
      <w:r w:rsidR="00E36D6A" w:rsidRPr="000378E7">
        <w:t xml:space="preserve"> vidutiniškai</w:t>
      </w:r>
      <w:r w:rsidR="007E3A8A" w:rsidRPr="000378E7">
        <w:t xml:space="preserve"> mažesnė negu 0,2 Eur/kWh, </w:t>
      </w:r>
      <w:r w:rsidRPr="000378E7">
        <w:t>investicijos</w:t>
      </w:r>
      <w:r w:rsidR="007E3A8A" w:rsidRPr="000378E7">
        <w:t xml:space="preserve"> per paskolos laikotarpį</w:t>
      </w:r>
      <w:r w:rsidRPr="000378E7">
        <w:t xml:space="preserve"> atsipirkt</w:t>
      </w:r>
      <w:r w:rsidR="007E3A8A" w:rsidRPr="000378E7">
        <w:t>i</w:t>
      </w:r>
      <w:r w:rsidRPr="000378E7">
        <w:t xml:space="preserve"> </w:t>
      </w:r>
      <w:r w:rsidR="007E3A8A" w:rsidRPr="000378E7">
        <w:t>nespėtų</w:t>
      </w:r>
      <w:r w:rsidRPr="000378E7">
        <w:t>. Remiantis prielaidose išskirtu elektros kainos dydžiu (0</w:t>
      </w:r>
      <w:r w:rsidR="00310170" w:rsidRPr="000378E7">
        <w:t>,28</w:t>
      </w:r>
      <w:r w:rsidRPr="000378E7">
        <w:t xml:space="preserve"> </w:t>
      </w:r>
      <w:r w:rsidR="00310170" w:rsidRPr="000378E7">
        <w:t>Eur/kWh</w:t>
      </w:r>
      <w:r w:rsidRPr="000378E7">
        <w:t xml:space="preserve">), investicijos be </w:t>
      </w:r>
      <w:r w:rsidR="00310170" w:rsidRPr="000378E7">
        <w:t>do</w:t>
      </w:r>
      <w:r w:rsidRPr="000378E7">
        <w:t xml:space="preserve">tacijos turėtų atsipirkti per maždaug </w:t>
      </w:r>
      <w:r w:rsidR="00310170" w:rsidRPr="000378E7">
        <w:t>8,5</w:t>
      </w:r>
      <w:r w:rsidRPr="000378E7">
        <w:t xml:space="preserve"> metus. Taikant 10 proc. dotaciją ir remiantis prielaidose numatytu elektros kainos dydžiu, investicijos atsipirktų per maždaug </w:t>
      </w:r>
      <w:r w:rsidR="00310170" w:rsidRPr="000378E7">
        <w:t>7,5</w:t>
      </w:r>
      <w:r w:rsidRPr="000378E7">
        <w:t xml:space="preserve"> metus. Kaip pastebima lentelėje, didesnė elektros kain</w:t>
      </w:r>
      <w:r w:rsidR="00310170" w:rsidRPr="000378E7">
        <w:t>a</w:t>
      </w:r>
      <w:r w:rsidRPr="000378E7">
        <w:t xml:space="preserve"> lemia greitesnį investicijų atsiperkamumą, o </w:t>
      </w:r>
      <w:r w:rsidR="00310170" w:rsidRPr="000378E7">
        <w:t>mažesnė kaina</w:t>
      </w:r>
      <w:r w:rsidRPr="000378E7">
        <w:t xml:space="preserve"> – lėtesnį atsiperkamumą.</w:t>
      </w:r>
      <w:r w:rsidR="004B43C9" w:rsidRPr="000378E7">
        <w:t xml:space="preserve"> Vis dėlto, 2023 m. kovo ir balandžio mėnesiais ženkliai nukritus elektros kainomis iki 0,10–0,14 Eur/kWh matoma, kad jau reikėtų </w:t>
      </w:r>
      <w:r w:rsidR="00B1147B" w:rsidRPr="000378E7">
        <w:t>2</w:t>
      </w:r>
      <w:r w:rsidR="004B43C9" w:rsidRPr="000378E7">
        <w:t>0–40 proc. projekto vertės siekiančių dotacijų tam, kad projektai atsipirktų per maždaug 15 metų.</w:t>
      </w:r>
    </w:p>
    <w:p w14:paraId="03186193" w14:textId="5E250D82" w:rsidR="00B7098A" w:rsidRPr="00D154FB" w:rsidRDefault="005C2C96" w:rsidP="00D154FB">
      <w:pPr>
        <w:spacing w:line="276" w:lineRule="auto"/>
        <w:ind w:firstLine="0"/>
      </w:pPr>
      <w:bookmarkStart w:id="136" w:name="_Toc166139869"/>
      <w:bookmarkStart w:id="137" w:name="_Toc170804635"/>
      <w:bookmarkStart w:id="138" w:name="_Toc126051398"/>
      <w:r w:rsidRPr="000378E7">
        <w:rPr>
          <w:rFonts w:cs="Times New Roman"/>
          <w:i/>
          <w:iCs/>
        </w:rPr>
        <w:t xml:space="preserve">Lentelė </w:t>
      </w:r>
      <w:r w:rsidRPr="000378E7">
        <w:rPr>
          <w:rFonts w:cs="Times New Roman"/>
          <w:i/>
          <w:iCs/>
        </w:rPr>
        <w:fldChar w:fldCharType="begin"/>
      </w:r>
      <w:r w:rsidRPr="000378E7">
        <w:rPr>
          <w:rFonts w:cs="Times New Roman"/>
          <w:i/>
          <w:iCs/>
        </w:rPr>
        <w:instrText xml:space="preserve"> SEQ Lentelė \* ARABIC </w:instrText>
      </w:r>
      <w:r w:rsidRPr="000378E7">
        <w:rPr>
          <w:rFonts w:cs="Times New Roman"/>
          <w:i/>
          <w:iCs/>
        </w:rPr>
        <w:fldChar w:fldCharType="separate"/>
      </w:r>
      <w:r w:rsidR="00347605">
        <w:rPr>
          <w:rFonts w:cs="Times New Roman"/>
          <w:i/>
          <w:iCs/>
          <w:noProof/>
        </w:rPr>
        <w:t>19</w:t>
      </w:r>
      <w:r w:rsidRPr="000378E7">
        <w:rPr>
          <w:rFonts w:cs="Times New Roman"/>
          <w:i/>
          <w:iCs/>
        </w:rPr>
        <w:fldChar w:fldCharType="end"/>
      </w:r>
      <w:r w:rsidRPr="000378E7">
        <w:rPr>
          <w:rFonts w:cs="Times New Roman"/>
          <w:i/>
          <w:iCs/>
        </w:rPr>
        <w:t xml:space="preserve">. Jautrumo </w:t>
      </w:r>
      <w:r w:rsidRPr="005E2F93">
        <w:rPr>
          <w:rFonts w:cs="Times New Roman"/>
          <w:i/>
          <w:iCs/>
        </w:rPr>
        <w:t xml:space="preserve">analizės </w:t>
      </w:r>
      <w:r w:rsidR="00CD749F" w:rsidRPr="005E2F93">
        <w:rPr>
          <w:rFonts w:cs="Times New Roman"/>
          <w:i/>
          <w:iCs/>
        </w:rPr>
        <w:t>VJA</w:t>
      </w:r>
      <w:r w:rsidRPr="000378E7">
        <w:rPr>
          <w:rFonts w:cs="Times New Roman"/>
          <w:i/>
          <w:iCs/>
        </w:rPr>
        <w:t xml:space="preserve"> tikslinėje grupėje – elektros</w:t>
      </w:r>
      <w:r w:rsidR="00310170" w:rsidRPr="000378E7">
        <w:rPr>
          <w:rFonts w:cs="Times New Roman"/>
          <w:i/>
          <w:iCs/>
        </w:rPr>
        <w:t xml:space="preserve"> kaina</w:t>
      </w:r>
      <w:bookmarkEnd w:id="136"/>
      <w:bookmarkEnd w:id="137"/>
      <w:r w:rsidRPr="003C0378">
        <w:rPr>
          <w:rFonts w:cs="Times New Roman"/>
          <w:i/>
          <w:iCs/>
        </w:rPr>
        <w:t xml:space="preserve"> </w:t>
      </w:r>
      <w:bookmarkEnd w:id="138"/>
    </w:p>
    <w:tbl>
      <w:tblPr>
        <w:tblW w:w="95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08"/>
        <w:gridCol w:w="1164"/>
        <w:gridCol w:w="1164"/>
        <w:gridCol w:w="1164"/>
        <w:gridCol w:w="1164"/>
        <w:gridCol w:w="1164"/>
        <w:gridCol w:w="1164"/>
        <w:gridCol w:w="1166"/>
      </w:tblGrid>
      <w:tr w:rsidR="001E4B79" w:rsidRPr="00B7098A" w14:paraId="0CE657A2" w14:textId="77777777" w:rsidTr="007863F6">
        <w:trPr>
          <w:trHeight w:val="287"/>
        </w:trPr>
        <w:tc>
          <w:tcPr>
            <w:tcW w:w="1408" w:type="dxa"/>
            <w:tcBorders>
              <w:top w:val="single" w:sz="4" w:space="0" w:color="auto"/>
              <w:bottom w:val="nil"/>
              <w:right w:val="nil"/>
            </w:tcBorders>
            <w:shd w:val="clear" w:color="auto" w:fill="auto"/>
            <w:noWrap/>
            <w:vAlign w:val="bottom"/>
            <w:hideMark/>
          </w:tcPr>
          <w:p w14:paraId="0D36B179" w14:textId="77777777" w:rsidR="00B7098A" w:rsidRPr="00B7098A" w:rsidRDefault="00B7098A" w:rsidP="00B7098A">
            <w:pPr>
              <w:spacing w:before="0" w:after="0"/>
              <w:ind w:firstLine="0"/>
              <w:jc w:val="left"/>
              <w:rPr>
                <w:rFonts w:eastAsia="Times New Roman" w:cs="Times New Roman"/>
                <w:sz w:val="20"/>
                <w:szCs w:val="20"/>
                <w:lang w:eastAsia="lt-LT"/>
              </w:rPr>
            </w:pPr>
          </w:p>
        </w:tc>
        <w:tc>
          <w:tcPr>
            <w:tcW w:w="1164" w:type="dxa"/>
            <w:tcBorders>
              <w:top w:val="single" w:sz="4" w:space="0" w:color="auto"/>
              <w:left w:val="nil"/>
              <w:bottom w:val="single" w:sz="4" w:space="0" w:color="auto"/>
            </w:tcBorders>
            <w:shd w:val="clear" w:color="auto" w:fill="auto"/>
            <w:noWrap/>
            <w:vAlign w:val="bottom"/>
            <w:hideMark/>
          </w:tcPr>
          <w:p w14:paraId="064338C4" w14:textId="77777777" w:rsidR="00B7098A" w:rsidRPr="00B7098A" w:rsidRDefault="00B7098A" w:rsidP="00B7098A">
            <w:pPr>
              <w:spacing w:before="0" w:after="0"/>
              <w:ind w:firstLine="0"/>
              <w:jc w:val="left"/>
              <w:rPr>
                <w:rFonts w:eastAsia="Times New Roman" w:cs="Times New Roman"/>
                <w:sz w:val="20"/>
                <w:szCs w:val="20"/>
                <w:lang w:eastAsia="lt-LT"/>
              </w:rPr>
            </w:pPr>
          </w:p>
        </w:tc>
        <w:tc>
          <w:tcPr>
            <w:tcW w:w="6986" w:type="dxa"/>
            <w:gridSpan w:val="6"/>
            <w:tcBorders>
              <w:top w:val="single" w:sz="4" w:space="0" w:color="auto"/>
              <w:bottom w:val="single" w:sz="4" w:space="0" w:color="auto"/>
            </w:tcBorders>
            <w:shd w:val="clear" w:color="auto" w:fill="auto"/>
            <w:noWrap/>
            <w:vAlign w:val="bottom"/>
            <w:hideMark/>
          </w:tcPr>
          <w:p w14:paraId="5BE575D5" w14:textId="77777777" w:rsidR="00B7098A" w:rsidRPr="00B7098A" w:rsidRDefault="00B7098A" w:rsidP="00B7098A">
            <w:pPr>
              <w:spacing w:before="0" w:after="0"/>
              <w:ind w:firstLine="0"/>
              <w:jc w:val="center"/>
              <w:rPr>
                <w:rFonts w:eastAsia="Times New Roman" w:cs="Times New Roman"/>
                <w:b/>
                <w:bCs/>
                <w:color w:val="000000"/>
                <w:sz w:val="20"/>
                <w:szCs w:val="20"/>
                <w:lang w:eastAsia="lt-LT"/>
              </w:rPr>
            </w:pPr>
            <w:r w:rsidRPr="00B7098A">
              <w:rPr>
                <w:rFonts w:eastAsia="Times New Roman" w:cs="Times New Roman"/>
                <w:b/>
                <w:bCs/>
                <w:color w:val="000000"/>
                <w:sz w:val="20"/>
                <w:szCs w:val="20"/>
                <w:lang w:eastAsia="lt-LT"/>
              </w:rPr>
              <w:t>Dotacijos intensyvumas (proc.)</w:t>
            </w:r>
          </w:p>
        </w:tc>
      </w:tr>
      <w:tr w:rsidR="001E4B79" w:rsidRPr="00B7098A" w14:paraId="6798E474" w14:textId="77777777" w:rsidTr="00C9652A">
        <w:trPr>
          <w:trHeight w:val="287"/>
        </w:trPr>
        <w:tc>
          <w:tcPr>
            <w:tcW w:w="1408" w:type="dxa"/>
            <w:tcBorders>
              <w:top w:val="nil"/>
              <w:bottom w:val="nil"/>
              <w:right w:val="single" w:sz="4" w:space="0" w:color="auto"/>
            </w:tcBorders>
            <w:shd w:val="clear" w:color="auto" w:fill="auto"/>
            <w:noWrap/>
            <w:vAlign w:val="bottom"/>
            <w:hideMark/>
          </w:tcPr>
          <w:p w14:paraId="7BBC99F8" w14:textId="77777777" w:rsidR="00B7098A" w:rsidRPr="00B7098A" w:rsidRDefault="00B7098A" w:rsidP="00B7098A">
            <w:pPr>
              <w:spacing w:before="0" w:after="0"/>
              <w:ind w:firstLine="0"/>
              <w:jc w:val="center"/>
              <w:rPr>
                <w:rFonts w:eastAsia="Times New Roman" w:cs="Times New Roman"/>
                <w:color w:val="000000"/>
                <w:sz w:val="20"/>
                <w:szCs w:val="20"/>
                <w:lang w:eastAsia="lt-LT"/>
              </w:rPr>
            </w:pPr>
          </w:p>
        </w:tc>
        <w:tc>
          <w:tcPr>
            <w:tcW w:w="1164" w:type="dxa"/>
            <w:tcBorders>
              <w:top w:val="single" w:sz="4" w:space="0" w:color="auto"/>
              <w:left w:val="single" w:sz="4" w:space="0" w:color="auto"/>
            </w:tcBorders>
            <w:shd w:val="clear" w:color="auto" w:fill="auto"/>
            <w:noWrap/>
            <w:vAlign w:val="bottom"/>
            <w:hideMark/>
          </w:tcPr>
          <w:p w14:paraId="0D6BC12C" w14:textId="77777777" w:rsidR="00B7098A" w:rsidRPr="00B7098A" w:rsidRDefault="00B7098A" w:rsidP="00B7098A">
            <w:pPr>
              <w:spacing w:before="0" w:after="0"/>
              <w:ind w:firstLine="0"/>
              <w:jc w:val="left"/>
              <w:rPr>
                <w:rFonts w:eastAsia="Times New Roman" w:cs="Times New Roman"/>
                <w:sz w:val="20"/>
                <w:szCs w:val="20"/>
                <w:lang w:eastAsia="lt-LT"/>
              </w:rPr>
            </w:pPr>
          </w:p>
        </w:tc>
        <w:tc>
          <w:tcPr>
            <w:tcW w:w="1164" w:type="dxa"/>
            <w:tcBorders>
              <w:top w:val="single" w:sz="4" w:space="0" w:color="auto"/>
            </w:tcBorders>
            <w:shd w:val="clear" w:color="auto" w:fill="auto"/>
            <w:noWrap/>
            <w:vAlign w:val="bottom"/>
            <w:hideMark/>
          </w:tcPr>
          <w:p w14:paraId="79DE750B" w14:textId="5880AD2B"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w:t>
            </w:r>
            <w:r w:rsidR="00980B79" w:rsidRPr="0013468D">
              <w:rPr>
                <w:rFonts w:eastAsia="Times New Roman" w:cs="Times New Roman"/>
                <w:color w:val="000000"/>
                <w:sz w:val="20"/>
                <w:szCs w:val="20"/>
                <w:lang w:eastAsia="lt-LT"/>
              </w:rPr>
              <w:t xml:space="preserve"> proc.</w:t>
            </w:r>
          </w:p>
        </w:tc>
        <w:tc>
          <w:tcPr>
            <w:tcW w:w="1164" w:type="dxa"/>
            <w:tcBorders>
              <w:top w:val="single" w:sz="4" w:space="0" w:color="auto"/>
            </w:tcBorders>
            <w:shd w:val="clear" w:color="auto" w:fill="auto"/>
            <w:noWrap/>
            <w:vAlign w:val="bottom"/>
            <w:hideMark/>
          </w:tcPr>
          <w:p w14:paraId="663D32CF" w14:textId="3E30B3F4"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10</w:t>
            </w:r>
            <w:r w:rsidR="00980B79" w:rsidRPr="0013468D">
              <w:rPr>
                <w:rFonts w:eastAsia="Times New Roman" w:cs="Times New Roman"/>
                <w:color w:val="000000"/>
                <w:sz w:val="20"/>
                <w:szCs w:val="20"/>
                <w:lang w:eastAsia="lt-LT"/>
              </w:rPr>
              <w:t xml:space="preserve"> proc.</w:t>
            </w:r>
          </w:p>
        </w:tc>
        <w:tc>
          <w:tcPr>
            <w:tcW w:w="1164" w:type="dxa"/>
            <w:tcBorders>
              <w:top w:val="single" w:sz="4" w:space="0" w:color="auto"/>
            </w:tcBorders>
            <w:shd w:val="clear" w:color="auto" w:fill="auto"/>
            <w:noWrap/>
            <w:vAlign w:val="bottom"/>
            <w:hideMark/>
          </w:tcPr>
          <w:p w14:paraId="54D32D4D" w14:textId="5454CE95"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20</w:t>
            </w:r>
            <w:r w:rsidR="00980B79" w:rsidRPr="0013468D">
              <w:rPr>
                <w:rFonts w:eastAsia="Times New Roman" w:cs="Times New Roman"/>
                <w:color w:val="000000"/>
                <w:sz w:val="20"/>
                <w:szCs w:val="20"/>
                <w:lang w:eastAsia="lt-LT"/>
              </w:rPr>
              <w:t xml:space="preserve"> proc.</w:t>
            </w:r>
          </w:p>
        </w:tc>
        <w:tc>
          <w:tcPr>
            <w:tcW w:w="1164" w:type="dxa"/>
            <w:tcBorders>
              <w:top w:val="single" w:sz="4" w:space="0" w:color="auto"/>
            </w:tcBorders>
            <w:shd w:val="clear" w:color="auto" w:fill="auto"/>
            <w:noWrap/>
            <w:vAlign w:val="bottom"/>
            <w:hideMark/>
          </w:tcPr>
          <w:p w14:paraId="447DD7B6" w14:textId="105BDEC1"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30</w:t>
            </w:r>
            <w:r w:rsidR="00980B79" w:rsidRPr="0013468D">
              <w:rPr>
                <w:rFonts w:eastAsia="Times New Roman" w:cs="Times New Roman"/>
                <w:color w:val="000000"/>
                <w:sz w:val="20"/>
                <w:szCs w:val="20"/>
                <w:lang w:eastAsia="lt-LT"/>
              </w:rPr>
              <w:t xml:space="preserve"> proc.</w:t>
            </w:r>
          </w:p>
        </w:tc>
        <w:tc>
          <w:tcPr>
            <w:tcW w:w="1164" w:type="dxa"/>
            <w:tcBorders>
              <w:top w:val="single" w:sz="4" w:space="0" w:color="auto"/>
            </w:tcBorders>
            <w:shd w:val="clear" w:color="auto" w:fill="auto"/>
            <w:noWrap/>
            <w:vAlign w:val="bottom"/>
            <w:hideMark/>
          </w:tcPr>
          <w:p w14:paraId="2AC93ACF" w14:textId="4B47CFED"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40</w:t>
            </w:r>
            <w:r w:rsidR="00980B79" w:rsidRPr="0013468D">
              <w:rPr>
                <w:rFonts w:eastAsia="Times New Roman" w:cs="Times New Roman"/>
                <w:color w:val="000000"/>
                <w:sz w:val="20"/>
                <w:szCs w:val="20"/>
                <w:lang w:eastAsia="lt-LT"/>
              </w:rPr>
              <w:t xml:space="preserve"> proc.</w:t>
            </w:r>
          </w:p>
        </w:tc>
        <w:tc>
          <w:tcPr>
            <w:tcW w:w="1164" w:type="dxa"/>
            <w:tcBorders>
              <w:top w:val="single" w:sz="4" w:space="0" w:color="auto"/>
            </w:tcBorders>
            <w:shd w:val="clear" w:color="auto" w:fill="auto"/>
            <w:noWrap/>
            <w:vAlign w:val="bottom"/>
            <w:hideMark/>
          </w:tcPr>
          <w:p w14:paraId="04E1DAF0" w14:textId="26872311"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50</w:t>
            </w:r>
            <w:r w:rsidR="00980B79" w:rsidRPr="0013468D">
              <w:rPr>
                <w:rFonts w:eastAsia="Times New Roman" w:cs="Times New Roman"/>
                <w:color w:val="000000"/>
                <w:sz w:val="20"/>
                <w:szCs w:val="20"/>
                <w:lang w:eastAsia="lt-LT"/>
              </w:rPr>
              <w:t xml:space="preserve"> proc.</w:t>
            </w:r>
          </w:p>
        </w:tc>
      </w:tr>
      <w:tr w:rsidR="001E4B79" w:rsidRPr="0013468D" w14:paraId="67F4D547" w14:textId="77777777" w:rsidTr="00C9652A">
        <w:trPr>
          <w:trHeight w:val="287"/>
        </w:trPr>
        <w:tc>
          <w:tcPr>
            <w:tcW w:w="1408" w:type="dxa"/>
            <w:vMerge w:val="restart"/>
            <w:tcBorders>
              <w:top w:val="nil"/>
              <w:bottom w:val="single" w:sz="4" w:space="0" w:color="auto"/>
              <w:right w:val="single" w:sz="4" w:space="0" w:color="auto"/>
            </w:tcBorders>
            <w:shd w:val="clear" w:color="auto" w:fill="auto"/>
            <w:vAlign w:val="center"/>
            <w:hideMark/>
          </w:tcPr>
          <w:p w14:paraId="6F8129FA" w14:textId="77777777" w:rsidR="00B7098A" w:rsidRPr="00B7098A" w:rsidRDefault="00B7098A" w:rsidP="00B7098A">
            <w:pPr>
              <w:spacing w:before="0" w:after="0"/>
              <w:ind w:firstLine="0"/>
              <w:jc w:val="center"/>
              <w:rPr>
                <w:rFonts w:eastAsia="Times New Roman" w:cs="Times New Roman"/>
                <w:b/>
                <w:bCs/>
                <w:color w:val="000000"/>
                <w:sz w:val="20"/>
                <w:szCs w:val="20"/>
                <w:lang w:eastAsia="lt-LT"/>
              </w:rPr>
            </w:pPr>
            <w:r w:rsidRPr="00B7098A">
              <w:rPr>
                <w:rFonts w:eastAsia="Times New Roman" w:cs="Times New Roman"/>
                <w:b/>
                <w:bCs/>
                <w:color w:val="000000"/>
                <w:sz w:val="20"/>
                <w:szCs w:val="20"/>
                <w:lang w:eastAsia="lt-LT"/>
              </w:rPr>
              <w:t>Elektros kaina (Eur/kWh)</w:t>
            </w:r>
          </w:p>
        </w:tc>
        <w:tc>
          <w:tcPr>
            <w:tcW w:w="1164" w:type="dxa"/>
            <w:tcBorders>
              <w:left w:val="single" w:sz="4" w:space="0" w:color="auto"/>
            </w:tcBorders>
            <w:shd w:val="clear" w:color="auto" w:fill="auto"/>
            <w:noWrap/>
            <w:vAlign w:val="center"/>
            <w:hideMark/>
          </w:tcPr>
          <w:p w14:paraId="493454FB"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0,04</w:t>
            </w:r>
          </w:p>
        </w:tc>
        <w:tc>
          <w:tcPr>
            <w:tcW w:w="1164" w:type="dxa"/>
            <w:shd w:val="clear" w:color="000000" w:fill="FF0000"/>
            <w:noWrap/>
            <w:vAlign w:val="center"/>
            <w:hideMark/>
          </w:tcPr>
          <w:p w14:paraId="77ACF014"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408339BC"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054AAE8D"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1D17151E"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1991D4B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0A9A9939"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r>
      <w:tr w:rsidR="001E4B79" w:rsidRPr="00B7098A" w14:paraId="275CB7F0" w14:textId="77777777" w:rsidTr="00C9652A">
        <w:trPr>
          <w:trHeight w:val="287"/>
        </w:trPr>
        <w:tc>
          <w:tcPr>
            <w:tcW w:w="1408" w:type="dxa"/>
            <w:vMerge/>
            <w:tcBorders>
              <w:top w:val="nil"/>
              <w:bottom w:val="single" w:sz="4" w:space="0" w:color="auto"/>
              <w:right w:val="single" w:sz="4" w:space="0" w:color="auto"/>
            </w:tcBorders>
            <w:vAlign w:val="center"/>
            <w:hideMark/>
          </w:tcPr>
          <w:p w14:paraId="36A70020"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3FBCA4B7"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0,08</w:t>
            </w:r>
          </w:p>
        </w:tc>
        <w:tc>
          <w:tcPr>
            <w:tcW w:w="1164" w:type="dxa"/>
            <w:shd w:val="clear" w:color="000000" w:fill="FF0000"/>
            <w:noWrap/>
            <w:vAlign w:val="center"/>
            <w:hideMark/>
          </w:tcPr>
          <w:p w14:paraId="4307D932"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1F242F67"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4A3B4CE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6001DC29"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F0000"/>
            <w:noWrap/>
            <w:vAlign w:val="center"/>
            <w:hideMark/>
          </w:tcPr>
          <w:p w14:paraId="4267EB1C"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9786E"/>
            <w:noWrap/>
            <w:vAlign w:val="center"/>
            <w:hideMark/>
          </w:tcPr>
          <w:p w14:paraId="27B35F5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20,46</w:t>
            </w:r>
          </w:p>
        </w:tc>
      </w:tr>
      <w:tr w:rsidR="001E4B79" w:rsidRPr="00B7098A" w14:paraId="3F4BCB1C" w14:textId="77777777" w:rsidTr="00C9652A">
        <w:trPr>
          <w:trHeight w:val="287"/>
        </w:trPr>
        <w:tc>
          <w:tcPr>
            <w:tcW w:w="1408" w:type="dxa"/>
            <w:vMerge/>
            <w:tcBorders>
              <w:top w:val="nil"/>
              <w:bottom w:val="single" w:sz="4" w:space="0" w:color="auto"/>
              <w:right w:val="single" w:sz="4" w:space="0" w:color="auto"/>
            </w:tcBorders>
            <w:vAlign w:val="center"/>
            <w:hideMark/>
          </w:tcPr>
          <w:p w14:paraId="2B09424A"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1D40CB08"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0,12</w:t>
            </w:r>
          </w:p>
        </w:tc>
        <w:tc>
          <w:tcPr>
            <w:tcW w:w="1164" w:type="dxa"/>
            <w:shd w:val="clear" w:color="000000" w:fill="FF0000"/>
            <w:noWrap/>
            <w:vAlign w:val="center"/>
            <w:hideMark/>
          </w:tcPr>
          <w:p w14:paraId="59B9A39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&gt;25</w:t>
            </w:r>
          </w:p>
        </w:tc>
        <w:tc>
          <w:tcPr>
            <w:tcW w:w="1164" w:type="dxa"/>
            <w:shd w:val="clear" w:color="000000" w:fill="F8696B"/>
            <w:noWrap/>
            <w:vAlign w:val="center"/>
            <w:hideMark/>
          </w:tcPr>
          <w:p w14:paraId="41C5756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22,46</w:t>
            </w:r>
          </w:p>
        </w:tc>
        <w:tc>
          <w:tcPr>
            <w:tcW w:w="1164" w:type="dxa"/>
            <w:shd w:val="clear" w:color="000000" w:fill="FA7F70"/>
            <w:noWrap/>
            <w:vAlign w:val="center"/>
            <w:hideMark/>
          </w:tcPr>
          <w:p w14:paraId="4F34D37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19,62</w:t>
            </w:r>
          </w:p>
        </w:tc>
        <w:tc>
          <w:tcPr>
            <w:tcW w:w="1164" w:type="dxa"/>
            <w:shd w:val="clear" w:color="000000" w:fill="FB9373"/>
            <w:noWrap/>
            <w:vAlign w:val="center"/>
            <w:hideMark/>
          </w:tcPr>
          <w:p w14:paraId="38A081A6"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16,89</w:t>
            </w:r>
          </w:p>
        </w:tc>
        <w:tc>
          <w:tcPr>
            <w:tcW w:w="1164" w:type="dxa"/>
            <w:shd w:val="clear" w:color="000000" w:fill="FCA677"/>
            <w:noWrap/>
            <w:vAlign w:val="center"/>
            <w:hideMark/>
          </w:tcPr>
          <w:p w14:paraId="009A90DB"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14,24</w:t>
            </w:r>
          </w:p>
        </w:tc>
        <w:tc>
          <w:tcPr>
            <w:tcW w:w="1164" w:type="dxa"/>
            <w:shd w:val="clear" w:color="000000" w:fill="FDBB7B"/>
            <w:noWrap/>
            <w:vAlign w:val="center"/>
            <w:hideMark/>
          </w:tcPr>
          <w:p w14:paraId="44B3C2F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11,42</w:t>
            </w:r>
          </w:p>
        </w:tc>
      </w:tr>
      <w:tr w:rsidR="001E4B79" w:rsidRPr="00B7098A" w14:paraId="43B67D36" w14:textId="77777777" w:rsidTr="00C9652A">
        <w:trPr>
          <w:trHeight w:val="287"/>
        </w:trPr>
        <w:tc>
          <w:tcPr>
            <w:tcW w:w="1408" w:type="dxa"/>
            <w:vMerge/>
            <w:tcBorders>
              <w:top w:val="nil"/>
              <w:bottom w:val="single" w:sz="4" w:space="0" w:color="auto"/>
              <w:right w:val="single" w:sz="4" w:space="0" w:color="auto"/>
            </w:tcBorders>
            <w:vAlign w:val="center"/>
            <w:hideMark/>
          </w:tcPr>
          <w:p w14:paraId="59BBD1C1"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156AB820"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0,16</w:t>
            </w:r>
          </w:p>
        </w:tc>
        <w:tc>
          <w:tcPr>
            <w:tcW w:w="1164" w:type="dxa"/>
            <w:shd w:val="clear" w:color="000000" w:fill="FB8F73"/>
            <w:noWrap/>
            <w:vAlign w:val="center"/>
            <w:hideMark/>
          </w:tcPr>
          <w:p w14:paraId="3A266364"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17,37</w:t>
            </w:r>
          </w:p>
        </w:tc>
        <w:tc>
          <w:tcPr>
            <w:tcW w:w="1164" w:type="dxa"/>
            <w:shd w:val="clear" w:color="000000" w:fill="FB9D75"/>
            <w:noWrap/>
            <w:vAlign w:val="center"/>
            <w:hideMark/>
          </w:tcPr>
          <w:p w14:paraId="6DBFBCE8"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15,49</w:t>
            </w:r>
          </w:p>
        </w:tc>
        <w:tc>
          <w:tcPr>
            <w:tcW w:w="1164" w:type="dxa"/>
            <w:shd w:val="clear" w:color="000000" w:fill="FCAB78"/>
            <w:noWrap/>
            <w:vAlign w:val="center"/>
            <w:hideMark/>
          </w:tcPr>
          <w:p w14:paraId="6FBEF85B"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13,59</w:t>
            </w:r>
          </w:p>
        </w:tc>
        <w:tc>
          <w:tcPr>
            <w:tcW w:w="1164" w:type="dxa"/>
            <w:shd w:val="clear" w:color="000000" w:fill="FDBA7B"/>
            <w:noWrap/>
            <w:vAlign w:val="center"/>
            <w:hideMark/>
          </w:tcPr>
          <w:p w14:paraId="0C4AA07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11,56</w:t>
            </w:r>
          </w:p>
        </w:tc>
        <w:tc>
          <w:tcPr>
            <w:tcW w:w="1164" w:type="dxa"/>
            <w:shd w:val="clear" w:color="000000" w:fill="FECA7E"/>
            <w:noWrap/>
            <w:vAlign w:val="center"/>
            <w:hideMark/>
          </w:tcPr>
          <w:p w14:paraId="25F9B96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9,49</w:t>
            </w:r>
          </w:p>
        </w:tc>
        <w:tc>
          <w:tcPr>
            <w:tcW w:w="1164" w:type="dxa"/>
            <w:shd w:val="clear" w:color="000000" w:fill="FED881"/>
            <w:noWrap/>
            <w:vAlign w:val="center"/>
            <w:hideMark/>
          </w:tcPr>
          <w:p w14:paraId="7849D67D"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7,48</w:t>
            </w:r>
          </w:p>
        </w:tc>
      </w:tr>
      <w:tr w:rsidR="001E4B79" w:rsidRPr="00B7098A" w14:paraId="4C7F2AF4" w14:textId="77777777" w:rsidTr="00C9652A">
        <w:trPr>
          <w:trHeight w:val="287"/>
        </w:trPr>
        <w:tc>
          <w:tcPr>
            <w:tcW w:w="1408" w:type="dxa"/>
            <w:vMerge/>
            <w:tcBorders>
              <w:top w:val="nil"/>
              <w:bottom w:val="single" w:sz="4" w:space="0" w:color="auto"/>
              <w:right w:val="single" w:sz="4" w:space="0" w:color="auto"/>
            </w:tcBorders>
            <w:vAlign w:val="center"/>
            <w:hideMark/>
          </w:tcPr>
          <w:p w14:paraId="4AEE4793"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323CACC4"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0,2</w:t>
            </w:r>
          </w:p>
        </w:tc>
        <w:tc>
          <w:tcPr>
            <w:tcW w:w="1164" w:type="dxa"/>
            <w:shd w:val="clear" w:color="000000" w:fill="FCAE79"/>
            <w:noWrap/>
            <w:vAlign w:val="center"/>
            <w:hideMark/>
          </w:tcPr>
          <w:p w14:paraId="5CBCB74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13,22</w:t>
            </w:r>
          </w:p>
        </w:tc>
        <w:tc>
          <w:tcPr>
            <w:tcW w:w="1164" w:type="dxa"/>
            <w:shd w:val="clear" w:color="000000" w:fill="FDBA7B"/>
            <w:noWrap/>
            <w:vAlign w:val="center"/>
            <w:hideMark/>
          </w:tcPr>
          <w:p w14:paraId="4ED074C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11,64</w:t>
            </w:r>
          </w:p>
        </w:tc>
        <w:tc>
          <w:tcPr>
            <w:tcW w:w="1164" w:type="dxa"/>
            <w:shd w:val="clear" w:color="000000" w:fill="FDC67D"/>
            <w:noWrap/>
            <w:vAlign w:val="center"/>
            <w:hideMark/>
          </w:tcPr>
          <w:p w14:paraId="2E1D3A3B"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10,03</w:t>
            </w:r>
          </w:p>
        </w:tc>
        <w:tc>
          <w:tcPr>
            <w:tcW w:w="1164" w:type="dxa"/>
            <w:shd w:val="clear" w:color="000000" w:fill="FED17F"/>
            <w:noWrap/>
            <w:vAlign w:val="center"/>
            <w:hideMark/>
          </w:tcPr>
          <w:p w14:paraId="324FC2E6"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8,43</w:t>
            </w:r>
          </w:p>
        </w:tc>
        <w:tc>
          <w:tcPr>
            <w:tcW w:w="1164" w:type="dxa"/>
            <w:shd w:val="clear" w:color="000000" w:fill="FFDD82"/>
            <w:noWrap/>
            <w:vAlign w:val="center"/>
            <w:hideMark/>
          </w:tcPr>
          <w:p w14:paraId="38F4C6C0"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6,90</w:t>
            </w:r>
          </w:p>
        </w:tc>
        <w:tc>
          <w:tcPr>
            <w:tcW w:w="1164" w:type="dxa"/>
            <w:shd w:val="clear" w:color="000000" w:fill="FFE784"/>
            <w:noWrap/>
            <w:vAlign w:val="center"/>
            <w:hideMark/>
          </w:tcPr>
          <w:p w14:paraId="21797B62"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5,47</w:t>
            </w:r>
          </w:p>
        </w:tc>
      </w:tr>
      <w:tr w:rsidR="001E4B79" w:rsidRPr="00B7098A" w14:paraId="4C67D6C2" w14:textId="77777777" w:rsidTr="00C9652A">
        <w:trPr>
          <w:trHeight w:val="287"/>
        </w:trPr>
        <w:tc>
          <w:tcPr>
            <w:tcW w:w="1408" w:type="dxa"/>
            <w:vMerge/>
            <w:tcBorders>
              <w:top w:val="nil"/>
              <w:bottom w:val="single" w:sz="4" w:space="0" w:color="auto"/>
              <w:right w:val="single" w:sz="4" w:space="0" w:color="auto"/>
            </w:tcBorders>
            <w:vAlign w:val="center"/>
            <w:hideMark/>
          </w:tcPr>
          <w:p w14:paraId="459FB000"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1A2FD648"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0,24</w:t>
            </w:r>
          </w:p>
        </w:tc>
        <w:tc>
          <w:tcPr>
            <w:tcW w:w="1164" w:type="dxa"/>
            <w:shd w:val="clear" w:color="000000" w:fill="FDC37D"/>
            <w:noWrap/>
            <w:vAlign w:val="center"/>
            <w:hideMark/>
          </w:tcPr>
          <w:p w14:paraId="383C394F"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10,37</w:t>
            </w:r>
          </w:p>
        </w:tc>
        <w:tc>
          <w:tcPr>
            <w:tcW w:w="1164" w:type="dxa"/>
            <w:shd w:val="clear" w:color="000000" w:fill="FECD7F"/>
            <w:noWrap/>
            <w:vAlign w:val="center"/>
            <w:hideMark/>
          </w:tcPr>
          <w:p w14:paraId="796F6B88"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9,06</w:t>
            </w:r>
          </w:p>
        </w:tc>
        <w:tc>
          <w:tcPr>
            <w:tcW w:w="1164" w:type="dxa"/>
            <w:shd w:val="clear" w:color="000000" w:fill="FED680"/>
            <w:noWrap/>
            <w:vAlign w:val="center"/>
            <w:hideMark/>
          </w:tcPr>
          <w:p w14:paraId="427D267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7,77</w:t>
            </w:r>
          </w:p>
        </w:tc>
        <w:tc>
          <w:tcPr>
            <w:tcW w:w="1164" w:type="dxa"/>
            <w:shd w:val="clear" w:color="000000" w:fill="FFDF82"/>
            <w:noWrap/>
            <w:vAlign w:val="center"/>
            <w:hideMark/>
          </w:tcPr>
          <w:p w14:paraId="56393FA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6,54</w:t>
            </w:r>
          </w:p>
        </w:tc>
        <w:tc>
          <w:tcPr>
            <w:tcW w:w="1164" w:type="dxa"/>
            <w:shd w:val="clear" w:color="000000" w:fill="FFE884"/>
            <w:noWrap/>
            <w:vAlign w:val="center"/>
            <w:hideMark/>
          </w:tcPr>
          <w:p w14:paraId="6D4AD74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5,38</w:t>
            </w:r>
          </w:p>
        </w:tc>
        <w:tc>
          <w:tcPr>
            <w:tcW w:w="1164" w:type="dxa"/>
            <w:shd w:val="clear" w:color="000000" w:fill="E1E282"/>
            <w:noWrap/>
            <w:vAlign w:val="center"/>
            <w:hideMark/>
          </w:tcPr>
          <w:p w14:paraId="6B30DBA9"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4,29</w:t>
            </w:r>
          </w:p>
        </w:tc>
      </w:tr>
      <w:tr w:rsidR="001E4B79" w:rsidRPr="00B7098A" w14:paraId="626A8F91" w14:textId="77777777" w:rsidTr="00C9652A">
        <w:trPr>
          <w:trHeight w:val="287"/>
        </w:trPr>
        <w:tc>
          <w:tcPr>
            <w:tcW w:w="1408" w:type="dxa"/>
            <w:vMerge/>
            <w:tcBorders>
              <w:top w:val="nil"/>
              <w:bottom w:val="single" w:sz="4" w:space="0" w:color="auto"/>
              <w:right w:val="single" w:sz="4" w:space="0" w:color="auto"/>
            </w:tcBorders>
            <w:vAlign w:val="center"/>
            <w:hideMark/>
          </w:tcPr>
          <w:p w14:paraId="46A6ADC3"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0364F127"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0,28</w:t>
            </w:r>
          </w:p>
        </w:tc>
        <w:tc>
          <w:tcPr>
            <w:tcW w:w="1164" w:type="dxa"/>
            <w:shd w:val="clear" w:color="000000" w:fill="FED280"/>
            <w:noWrap/>
            <w:vAlign w:val="center"/>
            <w:hideMark/>
          </w:tcPr>
          <w:p w14:paraId="52841A7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8,39</w:t>
            </w:r>
          </w:p>
        </w:tc>
        <w:tc>
          <w:tcPr>
            <w:tcW w:w="1164" w:type="dxa"/>
            <w:shd w:val="clear" w:color="000000" w:fill="FFDA81"/>
            <w:noWrap/>
            <w:vAlign w:val="center"/>
            <w:hideMark/>
          </w:tcPr>
          <w:p w14:paraId="30F7408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7,32</w:t>
            </w:r>
          </w:p>
        </w:tc>
        <w:tc>
          <w:tcPr>
            <w:tcW w:w="1164" w:type="dxa"/>
            <w:shd w:val="clear" w:color="000000" w:fill="FFE183"/>
            <w:noWrap/>
            <w:vAlign w:val="center"/>
            <w:hideMark/>
          </w:tcPr>
          <w:p w14:paraId="1872A4CE"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6,29</w:t>
            </w:r>
          </w:p>
        </w:tc>
        <w:tc>
          <w:tcPr>
            <w:tcW w:w="1164" w:type="dxa"/>
            <w:shd w:val="clear" w:color="000000" w:fill="FFE884"/>
            <w:noWrap/>
            <w:vAlign w:val="center"/>
            <w:hideMark/>
          </w:tcPr>
          <w:p w14:paraId="012923B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5,31</w:t>
            </w:r>
          </w:p>
        </w:tc>
        <w:tc>
          <w:tcPr>
            <w:tcW w:w="1164" w:type="dxa"/>
            <w:shd w:val="clear" w:color="000000" w:fill="E5E382"/>
            <w:noWrap/>
            <w:vAlign w:val="center"/>
            <w:hideMark/>
          </w:tcPr>
          <w:p w14:paraId="224B014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4,39</w:t>
            </w:r>
          </w:p>
        </w:tc>
        <w:tc>
          <w:tcPr>
            <w:tcW w:w="1164" w:type="dxa"/>
            <w:shd w:val="clear" w:color="000000" w:fill="BBD780"/>
            <w:noWrap/>
            <w:vAlign w:val="center"/>
            <w:hideMark/>
          </w:tcPr>
          <w:p w14:paraId="327C3784"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3,52</w:t>
            </w:r>
          </w:p>
        </w:tc>
      </w:tr>
      <w:tr w:rsidR="001E4B79" w:rsidRPr="00B7098A" w14:paraId="32AC1B6D" w14:textId="77777777" w:rsidTr="00C9652A">
        <w:trPr>
          <w:trHeight w:val="287"/>
        </w:trPr>
        <w:tc>
          <w:tcPr>
            <w:tcW w:w="1408" w:type="dxa"/>
            <w:vMerge/>
            <w:tcBorders>
              <w:top w:val="nil"/>
              <w:bottom w:val="single" w:sz="4" w:space="0" w:color="auto"/>
              <w:right w:val="single" w:sz="4" w:space="0" w:color="auto"/>
            </w:tcBorders>
            <w:vAlign w:val="center"/>
            <w:hideMark/>
          </w:tcPr>
          <w:p w14:paraId="2D12903F"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3C348586"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0,32</w:t>
            </w:r>
          </w:p>
        </w:tc>
        <w:tc>
          <w:tcPr>
            <w:tcW w:w="1164" w:type="dxa"/>
            <w:shd w:val="clear" w:color="000000" w:fill="FFDC82"/>
            <w:noWrap/>
            <w:vAlign w:val="center"/>
            <w:hideMark/>
          </w:tcPr>
          <w:p w14:paraId="45F327D7"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7,00</w:t>
            </w:r>
          </w:p>
        </w:tc>
        <w:tc>
          <w:tcPr>
            <w:tcW w:w="1164" w:type="dxa"/>
            <w:shd w:val="clear" w:color="000000" w:fill="FFE383"/>
            <w:noWrap/>
            <w:vAlign w:val="center"/>
            <w:hideMark/>
          </w:tcPr>
          <w:p w14:paraId="1C4C4BDC"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6,11</w:t>
            </w:r>
          </w:p>
        </w:tc>
        <w:tc>
          <w:tcPr>
            <w:tcW w:w="1164" w:type="dxa"/>
            <w:shd w:val="clear" w:color="000000" w:fill="FFE984"/>
            <w:noWrap/>
            <w:vAlign w:val="center"/>
            <w:hideMark/>
          </w:tcPr>
          <w:p w14:paraId="3606E7D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5,27</w:t>
            </w:r>
          </w:p>
        </w:tc>
        <w:tc>
          <w:tcPr>
            <w:tcW w:w="1164" w:type="dxa"/>
            <w:shd w:val="clear" w:color="000000" w:fill="E9E482"/>
            <w:noWrap/>
            <w:vAlign w:val="center"/>
            <w:hideMark/>
          </w:tcPr>
          <w:p w14:paraId="41F96120"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4,46</w:t>
            </w:r>
          </w:p>
        </w:tc>
        <w:tc>
          <w:tcPr>
            <w:tcW w:w="1164" w:type="dxa"/>
            <w:shd w:val="clear" w:color="000000" w:fill="C4DA80"/>
            <w:noWrap/>
            <w:vAlign w:val="center"/>
            <w:hideMark/>
          </w:tcPr>
          <w:p w14:paraId="170FD4AE"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3,70</w:t>
            </w:r>
          </w:p>
        </w:tc>
        <w:tc>
          <w:tcPr>
            <w:tcW w:w="1164" w:type="dxa"/>
            <w:shd w:val="clear" w:color="000000" w:fill="A1D07E"/>
            <w:noWrap/>
            <w:vAlign w:val="center"/>
            <w:hideMark/>
          </w:tcPr>
          <w:p w14:paraId="555ED8B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2,98</w:t>
            </w:r>
          </w:p>
        </w:tc>
      </w:tr>
      <w:tr w:rsidR="001E4B79" w:rsidRPr="00B7098A" w14:paraId="2C8F386A" w14:textId="77777777" w:rsidTr="00C9652A">
        <w:trPr>
          <w:trHeight w:val="287"/>
        </w:trPr>
        <w:tc>
          <w:tcPr>
            <w:tcW w:w="1408" w:type="dxa"/>
            <w:vMerge/>
            <w:tcBorders>
              <w:top w:val="nil"/>
              <w:bottom w:val="single" w:sz="4" w:space="0" w:color="auto"/>
              <w:right w:val="single" w:sz="4" w:space="0" w:color="auto"/>
            </w:tcBorders>
            <w:vAlign w:val="center"/>
            <w:hideMark/>
          </w:tcPr>
          <w:p w14:paraId="0FA4FA9E"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472F46F4"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0,36</w:t>
            </w:r>
          </w:p>
        </w:tc>
        <w:tc>
          <w:tcPr>
            <w:tcW w:w="1164" w:type="dxa"/>
            <w:shd w:val="clear" w:color="000000" w:fill="FFE483"/>
            <w:noWrap/>
            <w:vAlign w:val="center"/>
            <w:hideMark/>
          </w:tcPr>
          <w:p w14:paraId="7BC1EA62"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5,98</w:t>
            </w:r>
          </w:p>
        </w:tc>
        <w:tc>
          <w:tcPr>
            <w:tcW w:w="1164" w:type="dxa"/>
            <w:shd w:val="clear" w:color="000000" w:fill="FFE984"/>
            <w:noWrap/>
            <w:vAlign w:val="center"/>
            <w:hideMark/>
          </w:tcPr>
          <w:p w14:paraId="5949B972"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5,23</w:t>
            </w:r>
          </w:p>
        </w:tc>
        <w:tc>
          <w:tcPr>
            <w:tcW w:w="1164" w:type="dxa"/>
            <w:shd w:val="clear" w:color="000000" w:fill="ECE582"/>
            <w:noWrap/>
            <w:vAlign w:val="center"/>
            <w:hideMark/>
          </w:tcPr>
          <w:p w14:paraId="7C5C306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4,52</w:t>
            </w:r>
          </w:p>
        </w:tc>
        <w:tc>
          <w:tcPr>
            <w:tcW w:w="1164" w:type="dxa"/>
            <w:shd w:val="clear" w:color="000000" w:fill="CBDC81"/>
            <w:noWrap/>
            <w:vAlign w:val="center"/>
            <w:hideMark/>
          </w:tcPr>
          <w:p w14:paraId="77B94E5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3,84</w:t>
            </w:r>
          </w:p>
        </w:tc>
        <w:tc>
          <w:tcPr>
            <w:tcW w:w="1164" w:type="dxa"/>
            <w:shd w:val="clear" w:color="000000" w:fill="ACD37F"/>
            <w:noWrap/>
            <w:vAlign w:val="center"/>
            <w:hideMark/>
          </w:tcPr>
          <w:p w14:paraId="1AFF033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3,20</w:t>
            </w:r>
          </w:p>
        </w:tc>
        <w:tc>
          <w:tcPr>
            <w:tcW w:w="1164" w:type="dxa"/>
            <w:shd w:val="clear" w:color="000000" w:fill="8ECA7D"/>
            <w:noWrap/>
            <w:vAlign w:val="center"/>
            <w:hideMark/>
          </w:tcPr>
          <w:p w14:paraId="442A79CB"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2,59</w:t>
            </w:r>
          </w:p>
        </w:tc>
      </w:tr>
      <w:tr w:rsidR="001E4B79" w:rsidRPr="00B7098A" w14:paraId="47A06216" w14:textId="77777777" w:rsidTr="00C9652A">
        <w:trPr>
          <w:trHeight w:val="287"/>
        </w:trPr>
        <w:tc>
          <w:tcPr>
            <w:tcW w:w="1408" w:type="dxa"/>
            <w:vMerge/>
            <w:tcBorders>
              <w:top w:val="nil"/>
              <w:bottom w:val="single" w:sz="4" w:space="0" w:color="auto"/>
              <w:right w:val="single" w:sz="4" w:space="0" w:color="auto"/>
            </w:tcBorders>
            <w:vAlign w:val="center"/>
            <w:hideMark/>
          </w:tcPr>
          <w:p w14:paraId="0D7401EB"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367A4BD2"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0,4</w:t>
            </w:r>
          </w:p>
        </w:tc>
        <w:tc>
          <w:tcPr>
            <w:tcW w:w="1164" w:type="dxa"/>
            <w:shd w:val="clear" w:color="000000" w:fill="FFE984"/>
            <w:noWrap/>
            <w:vAlign w:val="center"/>
            <w:hideMark/>
          </w:tcPr>
          <w:p w14:paraId="0CBB7AA7"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5,20</w:t>
            </w:r>
          </w:p>
        </w:tc>
        <w:tc>
          <w:tcPr>
            <w:tcW w:w="1164" w:type="dxa"/>
            <w:shd w:val="clear" w:color="000000" w:fill="EEE683"/>
            <w:noWrap/>
            <w:vAlign w:val="center"/>
            <w:hideMark/>
          </w:tcPr>
          <w:p w14:paraId="0F5D1776"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4,57</w:t>
            </w:r>
          </w:p>
        </w:tc>
        <w:tc>
          <w:tcPr>
            <w:tcW w:w="1164" w:type="dxa"/>
            <w:shd w:val="clear" w:color="000000" w:fill="D0DD81"/>
            <w:noWrap/>
            <w:vAlign w:val="center"/>
            <w:hideMark/>
          </w:tcPr>
          <w:p w14:paraId="0159C597"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3,96</w:t>
            </w:r>
          </w:p>
        </w:tc>
        <w:tc>
          <w:tcPr>
            <w:tcW w:w="1164" w:type="dxa"/>
            <w:shd w:val="clear" w:color="000000" w:fill="B4D57F"/>
            <w:noWrap/>
            <w:vAlign w:val="center"/>
            <w:hideMark/>
          </w:tcPr>
          <w:p w14:paraId="6BFDDC6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3,37</w:t>
            </w:r>
          </w:p>
        </w:tc>
        <w:tc>
          <w:tcPr>
            <w:tcW w:w="1164" w:type="dxa"/>
            <w:shd w:val="clear" w:color="000000" w:fill="99CD7E"/>
            <w:noWrap/>
            <w:vAlign w:val="center"/>
            <w:hideMark/>
          </w:tcPr>
          <w:p w14:paraId="04FDAEF2"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2,82</w:t>
            </w:r>
          </w:p>
        </w:tc>
        <w:tc>
          <w:tcPr>
            <w:tcW w:w="1164" w:type="dxa"/>
            <w:shd w:val="clear" w:color="000000" w:fill="7FC67C"/>
            <w:noWrap/>
            <w:vAlign w:val="center"/>
            <w:hideMark/>
          </w:tcPr>
          <w:p w14:paraId="132D303D"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2,29</w:t>
            </w:r>
          </w:p>
        </w:tc>
      </w:tr>
      <w:tr w:rsidR="001E4B79" w:rsidRPr="00B7098A" w14:paraId="53698B65" w14:textId="77777777" w:rsidTr="00C9652A">
        <w:trPr>
          <w:trHeight w:val="287"/>
        </w:trPr>
        <w:tc>
          <w:tcPr>
            <w:tcW w:w="1408" w:type="dxa"/>
            <w:vMerge/>
            <w:tcBorders>
              <w:top w:val="nil"/>
              <w:bottom w:val="single" w:sz="4" w:space="0" w:color="auto"/>
              <w:right w:val="single" w:sz="4" w:space="0" w:color="auto"/>
            </w:tcBorders>
            <w:vAlign w:val="center"/>
            <w:hideMark/>
          </w:tcPr>
          <w:p w14:paraId="6EDFBC3B"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18452643"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0,44</w:t>
            </w:r>
          </w:p>
        </w:tc>
        <w:tc>
          <w:tcPr>
            <w:tcW w:w="1164" w:type="dxa"/>
            <w:shd w:val="clear" w:color="000000" w:fill="F0E683"/>
            <w:noWrap/>
            <w:vAlign w:val="center"/>
            <w:hideMark/>
          </w:tcPr>
          <w:p w14:paraId="2FD9918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4,60</w:t>
            </w:r>
          </w:p>
        </w:tc>
        <w:tc>
          <w:tcPr>
            <w:tcW w:w="1164" w:type="dxa"/>
            <w:shd w:val="clear" w:color="000000" w:fill="D5DF81"/>
            <w:noWrap/>
            <w:vAlign w:val="center"/>
            <w:hideMark/>
          </w:tcPr>
          <w:p w14:paraId="48B018C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4,05</w:t>
            </w:r>
          </w:p>
        </w:tc>
        <w:tc>
          <w:tcPr>
            <w:tcW w:w="1164" w:type="dxa"/>
            <w:shd w:val="clear" w:color="000000" w:fill="BBD780"/>
            <w:noWrap/>
            <w:vAlign w:val="center"/>
            <w:hideMark/>
          </w:tcPr>
          <w:p w14:paraId="26B310AA"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3,52</w:t>
            </w:r>
          </w:p>
        </w:tc>
        <w:tc>
          <w:tcPr>
            <w:tcW w:w="1164" w:type="dxa"/>
            <w:shd w:val="clear" w:color="000000" w:fill="A2D07E"/>
            <w:noWrap/>
            <w:vAlign w:val="center"/>
            <w:hideMark/>
          </w:tcPr>
          <w:p w14:paraId="3E930E18"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3,00</w:t>
            </w:r>
          </w:p>
        </w:tc>
        <w:tc>
          <w:tcPr>
            <w:tcW w:w="1164" w:type="dxa"/>
            <w:shd w:val="clear" w:color="000000" w:fill="8AC97D"/>
            <w:noWrap/>
            <w:vAlign w:val="center"/>
            <w:hideMark/>
          </w:tcPr>
          <w:p w14:paraId="2A907B5F"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2,51</w:t>
            </w:r>
          </w:p>
        </w:tc>
        <w:tc>
          <w:tcPr>
            <w:tcW w:w="1164" w:type="dxa"/>
            <w:shd w:val="clear" w:color="000000" w:fill="74C27B"/>
            <w:noWrap/>
            <w:vAlign w:val="center"/>
            <w:hideMark/>
          </w:tcPr>
          <w:p w14:paraId="03D9BE6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2,05</w:t>
            </w:r>
          </w:p>
        </w:tc>
      </w:tr>
      <w:tr w:rsidR="001E4B79" w:rsidRPr="00B7098A" w14:paraId="6D12552D" w14:textId="77777777" w:rsidTr="00C9652A">
        <w:trPr>
          <w:trHeight w:val="287"/>
        </w:trPr>
        <w:tc>
          <w:tcPr>
            <w:tcW w:w="1408" w:type="dxa"/>
            <w:vMerge/>
            <w:tcBorders>
              <w:top w:val="nil"/>
              <w:bottom w:val="single" w:sz="4" w:space="0" w:color="auto"/>
              <w:right w:val="single" w:sz="4" w:space="0" w:color="auto"/>
            </w:tcBorders>
            <w:vAlign w:val="center"/>
            <w:hideMark/>
          </w:tcPr>
          <w:p w14:paraId="13157AB6"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3A114380"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0,48</w:t>
            </w:r>
          </w:p>
        </w:tc>
        <w:tc>
          <w:tcPr>
            <w:tcW w:w="1164" w:type="dxa"/>
            <w:shd w:val="clear" w:color="000000" w:fill="D9E081"/>
            <w:noWrap/>
            <w:vAlign w:val="center"/>
            <w:hideMark/>
          </w:tcPr>
          <w:p w14:paraId="435765DC"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4,13</w:t>
            </w:r>
          </w:p>
        </w:tc>
        <w:tc>
          <w:tcPr>
            <w:tcW w:w="1164" w:type="dxa"/>
            <w:shd w:val="clear" w:color="000000" w:fill="C1D980"/>
            <w:noWrap/>
            <w:vAlign w:val="center"/>
            <w:hideMark/>
          </w:tcPr>
          <w:p w14:paraId="0AEB7308"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3,63</w:t>
            </w:r>
          </w:p>
        </w:tc>
        <w:tc>
          <w:tcPr>
            <w:tcW w:w="1164" w:type="dxa"/>
            <w:shd w:val="clear" w:color="000000" w:fill="AAD27F"/>
            <w:noWrap/>
            <w:vAlign w:val="center"/>
            <w:hideMark/>
          </w:tcPr>
          <w:p w14:paraId="05A89FAD"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3,16</w:t>
            </w:r>
          </w:p>
        </w:tc>
        <w:tc>
          <w:tcPr>
            <w:tcW w:w="1164" w:type="dxa"/>
            <w:shd w:val="clear" w:color="000000" w:fill="94CC7D"/>
            <w:noWrap/>
            <w:vAlign w:val="center"/>
            <w:hideMark/>
          </w:tcPr>
          <w:p w14:paraId="310251F1"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2,71</w:t>
            </w:r>
          </w:p>
        </w:tc>
        <w:tc>
          <w:tcPr>
            <w:tcW w:w="1164" w:type="dxa"/>
            <w:shd w:val="clear" w:color="000000" w:fill="7FC67C"/>
            <w:noWrap/>
            <w:vAlign w:val="center"/>
            <w:hideMark/>
          </w:tcPr>
          <w:p w14:paraId="410E56D4"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2,27</w:t>
            </w:r>
          </w:p>
        </w:tc>
        <w:tc>
          <w:tcPr>
            <w:tcW w:w="1164" w:type="dxa"/>
            <w:shd w:val="clear" w:color="000000" w:fill="6AC07B"/>
            <w:noWrap/>
            <w:vAlign w:val="center"/>
            <w:hideMark/>
          </w:tcPr>
          <w:p w14:paraId="5E25D968"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1,85</w:t>
            </w:r>
          </w:p>
        </w:tc>
      </w:tr>
      <w:tr w:rsidR="001E4B79" w:rsidRPr="00B7098A" w14:paraId="23C013C5" w14:textId="77777777" w:rsidTr="00C9652A">
        <w:trPr>
          <w:trHeight w:val="287"/>
        </w:trPr>
        <w:tc>
          <w:tcPr>
            <w:tcW w:w="1408" w:type="dxa"/>
            <w:vMerge/>
            <w:tcBorders>
              <w:top w:val="nil"/>
              <w:bottom w:val="single" w:sz="4" w:space="0" w:color="auto"/>
              <w:right w:val="single" w:sz="4" w:space="0" w:color="auto"/>
            </w:tcBorders>
            <w:vAlign w:val="center"/>
            <w:hideMark/>
          </w:tcPr>
          <w:p w14:paraId="735A9CDA" w14:textId="77777777" w:rsidR="00B7098A" w:rsidRPr="00B7098A" w:rsidRDefault="00B7098A" w:rsidP="00B7098A">
            <w:pPr>
              <w:spacing w:before="0" w:after="0"/>
              <w:ind w:firstLine="0"/>
              <w:jc w:val="left"/>
              <w:rPr>
                <w:rFonts w:eastAsia="Times New Roman" w:cs="Times New Roman"/>
                <w:b/>
                <w:bCs/>
                <w:color w:val="000000"/>
                <w:sz w:val="20"/>
                <w:szCs w:val="20"/>
                <w:lang w:eastAsia="lt-LT"/>
              </w:rPr>
            </w:pPr>
          </w:p>
        </w:tc>
        <w:tc>
          <w:tcPr>
            <w:tcW w:w="1164" w:type="dxa"/>
            <w:tcBorders>
              <w:left w:val="single" w:sz="4" w:space="0" w:color="auto"/>
            </w:tcBorders>
            <w:shd w:val="clear" w:color="auto" w:fill="auto"/>
            <w:noWrap/>
            <w:vAlign w:val="center"/>
            <w:hideMark/>
          </w:tcPr>
          <w:p w14:paraId="76403A9F" w14:textId="77777777" w:rsidR="00B7098A" w:rsidRPr="00B7098A" w:rsidRDefault="00B7098A" w:rsidP="00B7098A">
            <w:pPr>
              <w:spacing w:before="0" w:after="0"/>
              <w:ind w:firstLine="0"/>
              <w:jc w:val="right"/>
              <w:rPr>
                <w:rFonts w:eastAsia="Times New Roman" w:cs="Times New Roman"/>
                <w:color w:val="000000"/>
                <w:sz w:val="20"/>
                <w:szCs w:val="20"/>
                <w:lang w:eastAsia="lt-LT"/>
              </w:rPr>
            </w:pPr>
            <w:r w:rsidRPr="00B7098A">
              <w:rPr>
                <w:rFonts w:eastAsia="Times New Roman" w:cs="Times New Roman"/>
                <w:color w:val="000000"/>
                <w:sz w:val="20"/>
                <w:szCs w:val="20"/>
                <w:lang w:eastAsia="lt-LT"/>
              </w:rPr>
              <w:t>0,52</w:t>
            </w:r>
          </w:p>
        </w:tc>
        <w:tc>
          <w:tcPr>
            <w:tcW w:w="1164" w:type="dxa"/>
            <w:shd w:val="clear" w:color="000000" w:fill="C6DA80"/>
            <w:noWrap/>
            <w:vAlign w:val="center"/>
            <w:hideMark/>
          </w:tcPr>
          <w:p w14:paraId="1915E777"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3,74</w:t>
            </w:r>
          </w:p>
        </w:tc>
        <w:tc>
          <w:tcPr>
            <w:tcW w:w="1164" w:type="dxa"/>
            <w:shd w:val="clear" w:color="000000" w:fill="B0D47F"/>
            <w:noWrap/>
            <w:vAlign w:val="center"/>
            <w:hideMark/>
          </w:tcPr>
          <w:p w14:paraId="785D83E3"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3,30</w:t>
            </w:r>
          </w:p>
        </w:tc>
        <w:tc>
          <w:tcPr>
            <w:tcW w:w="1164" w:type="dxa"/>
            <w:shd w:val="clear" w:color="000000" w:fill="9CCE7E"/>
            <w:noWrap/>
            <w:vAlign w:val="center"/>
            <w:hideMark/>
          </w:tcPr>
          <w:p w14:paraId="36999C7E"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2,87</w:t>
            </w:r>
          </w:p>
        </w:tc>
        <w:tc>
          <w:tcPr>
            <w:tcW w:w="1164" w:type="dxa"/>
            <w:shd w:val="clear" w:color="000000" w:fill="88C87D"/>
            <w:noWrap/>
            <w:vAlign w:val="center"/>
            <w:hideMark/>
          </w:tcPr>
          <w:p w14:paraId="3E155F85"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2,46</w:t>
            </w:r>
          </w:p>
        </w:tc>
        <w:tc>
          <w:tcPr>
            <w:tcW w:w="1164" w:type="dxa"/>
            <w:shd w:val="clear" w:color="000000" w:fill="75C37C"/>
            <w:noWrap/>
            <w:vAlign w:val="center"/>
            <w:hideMark/>
          </w:tcPr>
          <w:p w14:paraId="54FE51AC"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2,07</w:t>
            </w:r>
          </w:p>
        </w:tc>
        <w:tc>
          <w:tcPr>
            <w:tcW w:w="1164" w:type="dxa"/>
            <w:shd w:val="clear" w:color="000000" w:fill="63BE7B"/>
            <w:noWrap/>
            <w:vAlign w:val="center"/>
            <w:hideMark/>
          </w:tcPr>
          <w:p w14:paraId="3B9023F4" w14:textId="77777777" w:rsidR="00B7098A" w:rsidRPr="00B7098A" w:rsidRDefault="00B7098A" w:rsidP="00BA7F89">
            <w:pPr>
              <w:spacing w:before="0" w:after="0"/>
              <w:ind w:firstLine="0"/>
              <w:jc w:val="center"/>
              <w:rPr>
                <w:rFonts w:eastAsia="Times New Roman" w:cs="Times New Roman"/>
                <w:color w:val="000000"/>
                <w:sz w:val="20"/>
                <w:szCs w:val="20"/>
                <w:lang w:eastAsia="lt-LT"/>
              </w:rPr>
            </w:pPr>
            <w:r w:rsidRPr="00B7098A">
              <w:rPr>
                <w:rFonts w:eastAsia="Times New Roman" w:cs="Times New Roman"/>
                <w:color w:val="000000"/>
                <w:sz w:val="20"/>
                <w:szCs w:val="20"/>
                <w:lang w:eastAsia="lt-LT"/>
              </w:rPr>
              <w:t>1,69</w:t>
            </w:r>
          </w:p>
        </w:tc>
      </w:tr>
    </w:tbl>
    <w:p w14:paraId="0161340F" w14:textId="47B84413" w:rsidR="005C2C96" w:rsidRPr="003C0378" w:rsidRDefault="005C2C96" w:rsidP="005C2C96">
      <w:pPr>
        <w:keepNext/>
        <w:ind w:firstLine="562"/>
        <w:jc w:val="left"/>
        <w:rPr>
          <w:rFonts w:cs="Times New Roman"/>
          <w:sz w:val="20"/>
          <w:szCs w:val="20"/>
        </w:rPr>
      </w:pPr>
      <w:r w:rsidRPr="003C0378">
        <w:rPr>
          <w:rFonts w:cs="Times New Roman"/>
          <w:sz w:val="20"/>
          <w:szCs w:val="20"/>
        </w:rPr>
        <w:t>Šaltinis: sudaryta Vertintojų.</w:t>
      </w:r>
    </w:p>
    <w:p w14:paraId="0916E0BF" w14:textId="77777777" w:rsidR="005C2C96" w:rsidRPr="00926474" w:rsidRDefault="005C2C96" w:rsidP="005C2C96">
      <w:pPr>
        <w:ind w:firstLine="562"/>
        <w:rPr>
          <w:rFonts w:eastAsia="Calibri" w:cs="Times New Roman"/>
        </w:rPr>
      </w:pPr>
      <w:r w:rsidRPr="00926474">
        <w:rPr>
          <w:rFonts w:eastAsia="Calibri" w:cs="Times New Roman"/>
        </w:rPr>
        <w:t>Jautrumo analizės apibendrinimas:</w:t>
      </w:r>
    </w:p>
    <w:p w14:paraId="4DB8A2D4" w14:textId="6561CB97" w:rsidR="005C2C96" w:rsidRPr="00926474" w:rsidRDefault="005C2C96" w:rsidP="00C9652A">
      <w:pPr>
        <w:pStyle w:val="Sraopastraipa"/>
        <w:numPr>
          <w:ilvl w:val="0"/>
          <w:numId w:val="21"/>
        </w:numPr>
        <w:rPr>
          <w:rFonts w:eastAsia="Calibri" w:cs="Times New Roman"/>
        </w:rPr>
      </w:pPr>
      <w:r w:rsidRPr="00926474">
        <w:rPr>
          <w:rFonts w:eastAsia="Calibri" w:cs="Times New Roman"/>
        </w:rPr>
        <w:t>Elektros kainos dydis turi tiesioginę įtaką saulės elektrinių atsiperkamumui – didesn</w:t>
      </w:r>
      <w:r w:rsidR="009F3985" w:rsidRPr="00926474">
        <w:rPr>
          <w:rFonts w:eastAsia="Calibri" w:cs="Times New Roman"/>
        </w:rPr>
        <w:t>ė</w:t>
      </w:r>
      <w:r w:rsidRPr="00926474">
        <w:rPr>
          <w:rFonts w:eastAsia="Calibri" w:cs="Times New Roman"/>
        </w:rPr>
        <w:t xml:space="preserve"> elektros kain</w:t>
      </w:r>
      <w:r w:rsidR="009F3985" w:rsidRPr="00926474">
        <w:rPr>
          <w:rFonts w:eastAsia="Calibri" w:cs="Times New Roman"/>
        </w:rPr>
        <w:t>a</w:t>
      </w:r>
      <w:r w:rsidRPr="00926474">
        <w:rPr>
          <w:rFonts w:eastAsia="Calibri" w:cs="Times New Roman"/>
        </w:rPr>
        <w:t xml:space="preserve"> lemia greitesnį investicijų atsipirkimo laikotarpį. </w:t>
      </w:r>
      <w:r w:rsidR="004B43C9" w:rsidRPr="00926474">
        <w:rPr>
          <w:rFonts w:eastAsia="Calibri" w:cs="Times New Roman"/>
        </w:rPr>
        <w:t xml:space="preserve">2023 m. kovo ir balandžio mėnesiais ženkliai nukritus elektros kainomis iki 0,10–0,14 Eur/kWh matoma, kad reikėtų </w:t>
      </w:r>
      <w:r w:rsidR="00B1147B" w:rsidRPr="00926474">
        <w:rPr>
          <w:rFonts w:eastAsia="Calibri" w:cs="Times New Roman"/>
        </w:rPr>
        <w:t>2</w:t>
      </w:r>
      <w:r w:rsidR="004B43C9" w:rsidRPr="00926474">
        <w:rPr>
          <w:rFonts w:eastAsia="Calibri" w:cs="Times New Roman"/>
        </w:rPr>
        <w:t>0–40 proc. projekto vertės siekiančių dotacijų tam, kad projektai atsipirktų per maždaug 15 metų.</w:t>
      </w:r>
    </w:p>
    <w:p w14:paraId="4EA5DCE7" w14:textId="422B320A" w:rsidR="005C2C96" w:rsidRPr="00926474" w:rsidRDefault="005C2C96" w:rsidP="005C2C96">
      <w:pPr>
        <w:pStyle w:val="Sraopastraipa"/>
        <w:numPr>
          <w:ilvl w:val="0"/>
          <w:numId w:val="21"/>
        </w:numPr>
        <w:contextualSpacing w:val="0"/>
        <w:rPr>
          <w:rFonts w:eastAsia="Calibri" w:cs="Times New Roman"/>
        </w:rPr>
      </w:pPr>
      <w:r w:rsidRPr="00926474">
        <w:t xml:space="preserve">Skaičiavimai indikuoja, kad jeigu išsipildytų bazinio scenarijaus prielaidos, saulės elektrinė atsipirktų per maždaug </w:t>
      </w:r>
      <w:r w:rsidR="009F3985" w:rsidRPr="00926474">
        <w:t>8,5</w:t>
      </w:r>
      <w:r w:rsidRPr="00926474">
        <w:t xml:space="preserve"> metus – gerokai greičiau, negu numatytas paskolos laikotarpis (15 metų). </w:t>
      </w:r>
      <w:r w:rsidR="007361B5" w:rsidRPr="00926474">
        <w:t xml:space="preserve">Vis dėlto </w:t>
      </w:r>
      <w:r w:rsidR="007361B5" w:rsidRPr="00926474">
        <w:rPr>
          <w:rFonts w:eastAsia="Calibri" w:cs="Times New Roman"/>
        </w:rPr>
        <w:t>2023 m. kovo ir balandžio mėnesiais ženkliai nukritus elektros kainomis iki 0,10–0,14 Eur/kWh matoma, kad be dotacijų projektų atsiperkamumas viršytų numatytą 15 m. laikotarpį.</w:t>
      </w:r>
    </w:p>
    <w:p w14:paraId="72906FE4" w14:textId="371B9E56" w:rsidR="007361B5" w:rsidRPr="00926474" w:rsidRDefault="005C2C96">
      <w:pPr>
        <w:pStyle w:val="Sraopastraipa"/>
        <w:numPr>
          <w:ilvl w:val="0"/>
          <w:numId w:val="21"/>
        </w:numPr>
        <w:contextualSpacing w:val="0"/>
        <w:rPr>
          <w:rFonts w:eastAsia="Calibri" w:cs="Times New Roman"/>
        </w:rPr>
      </w:pPr>
      <w:r w:rsidRPr="00926474">
        <w:t xml:space="preserve">Per visą elektrinės eksploatacijos laikotarpį (25 metus), visi elektrinės eksploatavimo kaštai siekia </w:t>
      </w:r>
      <w:r w:rsidR="009F3985" w:rsidRPr="00926474">
        <w:t xml:space="preserve">51,36 </w:t>
      </w:r>
      <w:r w:rsidRPr="00926474">
        <w:t>tūkst. Eur, o visos elektrinės finansinės naudos – 118,43 tūkst. Eur. Taigi naudų–kaštų santykis minėtu laikotarpiu siekia 2,</w:t>
      </w:r>
      <w:r w:rsidR="009F3985" w:rsidRPr="00926474">
        <w:t>3</w:t>
      </w:r>
      <w:r w:rsidRPr="00926474">
        <w:t>1.</w:t>
      </w:r>
    </w:p>
    <w:p w14:paraId="39960855" w14:textId="5D34446D" w:rsidR="00B06A01" w:rsidRPr="00926474" w:rsidRDefault="00B06A01" w:rsidP="00B06A01">
      <w:pPr>
        <w:pStyle w:val="Sraopastraipa"/>
        <w:numPr>
          <w:ilvl w:val="0"/>
          <w:numId w:val="21"/>
        </w:numPr>
        <w:contextualSpacing w:val="0"/>
        <w:rPr>
          <w:rFonts w:eastAsia="Calibri" w:cs="Times New Roman"/>
        </w:rPr>
      </w:pPr>
      <w:r w:rsidRPr="00926474">
        <w:rPr>
          <w:rFonts w:eastAsia="Calibri" w:cs="Times New Roman"/>
        </w:rPr>
        <w:t>Esant ribotoms dotacijos skyrimo galimybėms ar pasikeitus situacijai rinkoje (kaip antai, ženkliai nukritus elektros kainoms ar pan.) ir sumažėjus projektų patrauklumui, numatyti galimybę prailginti paskolos terminą iki 20–25 metų.</w:t>
      </w:r>
    </w:p>
    <w:p w14:paraId="5638E4AA" w14:textId="77777777" w:rsidR="005C2C96" w:rsidRPr="003C0378" w:rsidRDefault="005C2C96" w:rsidP="005C2C96">
      <w:pPr>
        <w:pStyle w:val="Antrat2"/>
        <w:keepNext w:val="0"/>
        <w:numPr>
          <w:ilvl w:val="1"/>
          <w:numId w:val="3"/>
        </w:numPr>
        <w:ind w:left="720" w:hanging="432"/>
        <w:rPr>
          <w:rFonts w:cs="Times New Roman"/>
        </w:rPr>
      </w:pPr>
      <w:bookmarkStart w:id="139" w:name="_Toc126051367"/>
      <w:bookmarkStart w:id="140" w:name="_Toc166139836"/>
      <w:bookmarkStart w:id="141" w:name="_Toc170804598"/>
      <w:r w:rsidRPr="003C0378">
        <w:rPr>
          <w:rFonts w:cs="Times New Roman"/>
        </w:rPr>
        <w:t>Jautrumo analizė verslo tikslinėje grupėje</w:t>
      </w:r>
      <w:bookmarkEnd w:id="139"/>
      <w:bookmarkEnd w:id="140"/>
      <w:bookmarkEnd w:id="141"/>
    </w:p>
    <w:p w14:paraId="766C953E" w14:textId="2C946D89" w:rsidR="005C2C96" w:rsidRPr="003C0378" w:rsidRDefault="005C2C96" w:rsidP="005C2C96">
      <w:pPr>
        <w:ind w:firstLine="562"/>
        <w:rPr>
          <w:rFonts w:cs="Times New Roman"/>
        </w:rPr>
      </w:pPr>
      <w:r w:rsidRPr="003C0378">
        <w:rPr>
          <w:rFonts w:cs="Times New Roman"/>
        </w:rPr>
        <w:t xml:space="preserve">Žemiau lentelėje yra pateikiamos visos pritaikytos prielaidos atliekant jautrumo analizę </w:t>
      </w:r>
      <w:r w:rsidR="008D4591">
        <w:rPr>
          <w:rFonts w:cs="Times New Roman"/>
        </w:rPr>
        <w:t xml:space="preserve">verslo </w:t>
      </w:r>
      <w:r w:rsidRPr="003C0378">
        <w:rPr>
          <w:rFonts w:cs="Times New Roman"/>
        </w:rPr>
        <w:t>tikslinėje grupėje.</w:t>
      </w:r>
    </w:p>
    <w:p w14:paraId="3EA6704C" w14:textId="3DD4820F" w:rsidR="005C2C96" w:rsidRPr="003C0378" w:rsidRDefault="005C2C96" w:rsidP="005C2C96">
      <w:pPr>
        <w:spacing w:after="0"/>
        <w:ind w:firstLine="0"/>
        <w:jc w:val="left"/>
        <w:rPr>
          <w:rFonts w:cs="Times New Roman"/>
        </w:rPr>
      </w:pPr>
      <w:bookmarkStart w:id="142" w:name="_Toc126051399"/>
      <w:bookmarkStart w:id="143" w:name="_Toc166139870"/>
      <w:bookmarkStart w:id="144" w:name="_Toc170804636"/>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20</w:t>
      </w:r>
      <w:r w:rsidRPr="003C0378">
        <w:rPr>
          <w:rFonts w:cs="Times New Roman"/>
          <w:i/>
          <w:iCs/>
        </w:rPr>
        <w:fldChar w:fldCharType="end"/>
      </w:r>
      <w:r w:rsidRPr="003C0378">
        <w:rPr>
          <w:rFonts w:cs="Times New Roman"/>
          <w:i/>
          <w:iCs/>
        </w:rPr>
        <w:t xml:space="preserve">. Jautrumo analizės prielaidos – </w:t>
      </w:r>
      <w:r w:rsidR="00B1402E">
        <w:rPr>
          <w:rFonts w:cs="Times New Roman"/>
          <w:i/>
          <w:iCs/>
        </w:rPr>
        <w:t>verslo</w:t>
      </w:r>
      <w:r w:rsidRPr="003C0378">
        <w:rPr>
          <w:rFonts w:cs="Times New Roman"/>
          <w:i/>
          <w:iCs/>
        </w:rPr>
        <w:t xml:space="preserve"> tikslinė grupė</w:t>
      </w:r>
      <w:bookmarkEnd w:id="142"/>
      <w:bookmarkEnd w:id="143"/>
      <w:bookmarkEnd w:id="144"/>
    </w:p>
    <w:tbl>
      <w:tblPr>
        <w:tblStyle w:val="Lentelstinklelis"/>
        <w:tblW w:w="9562" w:type="dxa"/>
        <w:tblLook w:val="04A0" w:firstRow="1" w:lastRow="0" w:firstColumn="1" w:lastColumn="0" w:noHBand="0" w:noVBand="1"/>
      </w:tblPr>
      <w:tblGrid>
        <w:gridCol w:w="8106"/>
        <w:gridCol w:w="1456"/>
      </w:tblGrid>
      <w:tr w:rsidR="005C2C96" w:rsidRPr="003C0378" w14:paraId="5F13C29A" w14:textId="77777777" w:rsidTr="00E24002">
        <w:trPr>
          <w:trHeight w:val="20"/>
          <w:tblHeader/>
        </w:trPr>
        <w:tc>
          <w:tcPr>
            <w:tcW w:w="8106" w:type="dxa"/>
            <w:vAlign w:val="center"/>
          </w:tcPr>
          <w:p w14:paraId="122EE85B" w14:textId="77777777" w:rsidR="005C2C96" w:rsidRPr="003C0378" w:rsidRDefault="005C2C96" w:rsidP="00561795">
            <w:pPr>
              <w:spacing w:after="0"/>
              <w:ind w:firstLine="0"/>
              <w:jc w:val="center"/>
              <w:rPr>
                <w:rFonts w:cs="Times New Roman"/>
                <w:b/>
                <w:bCs/>
                <w:sz w:val="20"/>
                <w:szCs w:val="20"/>
                <w:lang w:val="lt-LT"/>
              </w:rPr>
            </w:pPr>
            <w:r w:rsidRPr="003C0378">
              <w:rPr>
                <w:rFonts w:cs="Times New Roman"/>
                <w:b/>
                <w:bCs/>
                <w:sz w:val="20"/>
                <w:szCs w:val="20"/>
                <w:lang w:val="lt-LT"/>
              </w:rPr>
              <w:t>Prielaida</w:t>
            </w:r>
          </w:p>
        </w:tc>
        <w:tc>
          <w:tcPr>
            <w:tcW w:w="1456" w:type="dxa"/>
            <w:vAlign w:val="center"/>
          </w:tcPr>
          <w:p w14:paraId="2C94AF3F" w14:textId="77777777" w:rsidR="005C2C96" w:rsidRPr="003C0378" w:rsidRDefault="005C2C96" w:rsidP="00561795">
            <w:pPr>
              <w:spacing w:after="0"/>
              <w:ind w:firstLine="0"/>
              <w:jc w:val="center"/>
              <w:rPr>
                <w:rFonts w:cs="Times New Roman"/>
                <w:b/>
                <w:bCs/>
                <w:sz w:val="20"/>
                <w:szCs w:val="20"/>
                <w:lang w:val="lt-LT"/>
              </w:rPr>
            </w:pPr>
            <w:r w:rsidRPr="003C0378">
              <w:rPr>
                <w:rFonts w:cs="Times New Roman"/>
                <w:b/>
                <w:bCs/>
                <w:sz w:val="20"/>
                <w:szCs w:val="20"/>
                <w:lang w:val="lt-LT"/>
              </w:rPr>
              <w:t>Reikšmė</w:t>
            </w:r>
          </w:p>
        </w:tc>
      </w:tr>
      <w:tr w:rsidR="005C2C96" w:rsidRPr="003C0378" w14:paraId="4754397E" w14:textId="77777777" w:rsidTr="00E24002">
        <w:trPr>
          <w:trHeight w:val="20"/>
        </w:trPr>
        <w:tc>
          <w:tcPr>
            <w:tcW w:w="9562" w:type="dxa"/>
            <w:gridSpan w:val="2"/>
          </w:tcPr>
          <w:p w14:paraId="141D6910"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Elektrinės įrengimo kaštai</w:t>
            </w:r>
          </w:p>
        </w:tc>
      </w:tr>
      <w:tr w:rsidR="005C2C96" w:rsidRPr="003C0378" w14:paraId="07663612" w14:textId="77777777" w:rsidTr="00E24002">
        <w:trPr>
          <w:trHeight w:val="20"/>
        </w:trPr>
        <w:tc>
          <w:tcPr>
            <w:tcW w:w="8106" w:type="dxa"/>
          </w:tcPr>
          <w:p w14:paraId="052E76D6"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Įrengiami pajėgumai (kW)</w:t>
            </w:r>
          </w:p>
        </w:tc>
        <w:tc>
          <w:tcPr>
            <w:tcW w:w="1456" w:type="dxa"/>
            <w:vAlign w:val="center"/>
          </w:tcPr>
          <w:p w14:paraId="62919DF9"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24</w:t>
            </w:r>
          </w:p>
        </w:tc>
      </w:tr>
      <w:tr w:rsidR="005C2C96" w:rsidRPr="003C0378" w14:paraId="24EB33BD" w14:textId="77777777" w:rsidTr="00E24002">
        <w:trPr>
          <w:trHeight w:val="20"/>
        </w:trPr>
        <w:tc>
          <w:tcPr>
            <w:tcW w:w="8106" w:type="dxa"/>
          </w:tcPr>
          <w:p w14:paraId="7735177E"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Pajėgumų įkainiai (Eur/kW)</w:t>
            </w:r>
          </w:p>
        </w:tc>
        <w:tc>
          <w:tcPr>
            <w:tcW w:w="1456" w:type="dxa"/>
            <w:vAlign w:val="center"/>
          </w:tcPr>
          <w:p w14:paraId="4AD33D80"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1283</w:t>
            </w:r>
          </w:p>
        </w:tc>
      </w:tr>
      <w:tr w:rsidR="005C2C96" w:rsidRPr="003C0378" w14:paraId="759030DC" w14:textId="77777777" w:rsidTr="00E24002">
        <w:trPr>
          <w:trHeight w:val="20"/>
        </w:trPr>
        <w:tc>
          <w:tcPr>
            <w:tcW w:w="8106" w:type="dxa"/>
          </w:tcPr>
          <w:p w14:paraId="6E2CA423"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Pajėgumų eksploatacijos laikotarpis (metai) (daugiausiai: 30 metų)</w:t>
            </w:r>
          </w:p>
        </w:tc>
        <w:tc>
          <w:tcPr>
            <w:tcW w:w="1456" w:type="dxa"/>
            <w:vAlign w:val="center"/>
          </w:tcPr>
          <w:p w14:paraId="41A1C1AF"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25</w:t>
            </w:r>
          </w:p>
        </w:tc>
      </w:tr>
      <w:tr w:rsidR="005C2C96" w:rsidRPr="003C0378" w14:paraId="5E854D71" w14:textId="77777777" w:rsidTr="00E24002">
        <w:trPr>
          <w:trHeight w:val="20"/>
        </w:trPr>
        <w:tc>
          <w:tcPr>
            <w:tcW w:w="9562" w:type="dxa"/>
            <w:gridSpan w:val="2"/>
          </w:tcPr>
          <w:p w14:paraId="37AF6368"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Elektrinės pajėgumai ir kitos prielaidos</w:t>
            </w:r>
          </w:p>
        </w:tc>
      </w:tr>
      <w:tr w:rsidR="005C2C96" w:rsidRPr="003C0378" w14:paraId="1BD83094" w14:textId="77777777" w:rsidTr="00E24002">
        <w:trPr>
          <w:trHeight w:val="20"/>
        </w:trPr>
        <w:tc>
          <w:tcPr>
            <w:tcW w:w="8106" w:type="dxa"/>
          </w:tcPr>
          <w:p w14:paraId="3AF8DEE3"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pagaminamas metinis kWh kiekis (kWh/kW)</w:t>
            </w:r>
          </w:p>
        </w:tc>
        <w:tc>
          <w:tcPr>
            <w:tcW w:w="1456" w:type="dxa"/>
            <w:vAlign w:val="center"/>
          </w:tcPr>
          <w:p w14:paraId="788B8773"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1050</w:t>
            </w:r>
          </w:p>
        </w:tc>
      </w:tr>
      <w:tr w:rsidR="005C2C96" w:rsidRPr="003C0378" w14:paraId="439A09E0" w14:textId="77777777" w:rsidTr="00E24002">
        <w:trPr>
          <w:trHeight w:val="20"/>
        </w:trPr>
        <w:tc>
          <w:tcPr>
            <w:tcW w:w="8106" w:type="dxa"/>
          </w:tcPr>
          <w:p w14:paraId="4FCC6386"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pagaminamo kWh kiekio efektyvumo koeficientas (proc.)</w:t>
            </w:r>
          </w:p>
        </w:tc>
        <w:tc>
          <w:tcPr>
            <w:tcW w:w="1456" w:type="dxa"/>
            <w:vAlign w:val="center"/>
          </w:tcPr>
          <w:p w14:paraId="6F12E9A3" w14:textId="36380F9D"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95</w:t>
            </w:r>
          </w:p>
        </w:tc>
      </w:tr>
      <w:tr w:rsidR="005C2C96" w:rsidRPr="003C0378" w14:paraId="2F0EE277" w14:textId="77777777" w:rsidTr="00E24002">
        <w:trPr>
          <w:trHeight w:val="20"/>
        </w:trPr>
        <w:tc>
          <w:tcPr>
            <w:tcW w:w="8106" w:type="dxa"/>
          </w:tcPr>
          <w:p w14:paraId="0779B35D"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pagaminamas faktinis kWh kiekis (kWh/kW)</w:t>
            </w:r>
          </w:p>
        </w:tc>
        <w:tc>
          <w:tcPr>
            <w:tcW w:w="1456" w:type="dxa"/>
            <w:vAlign w:val="center"/>
          </w:tcPr>
          <w:p w14:paraId="62E2BA38" w14:textId="1FBBC856"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998</w:t>
            </w:r>
          </w:p>
        </w:tc>
      </w:tr>
      <w:tr w:rsidR="005C2C96" w:rsidRPr="003C0378" w14:paraId="439575FE" w14:textId="77777777" w:rsidTr="00E24002">
        <w:trPr>
          <w:trHeight w:val="20"/>
        </w:trPr>
        <w:tc>
          <w:tcPr>
            <w:tcW w:w="8106" w:type="dxa"/>
          </w:tcPr>
          <w:p w14:paraId="6912CD30"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Įrengto 1 kW (elektrinės) aptarnavimo kaštai per metus (Eur/kW)</w:t>
            </w:r>
          </w:p>
        </w:tc>
        <w:tc>
          <w:tcPr>
            <w:tcW w:w="1456" w:type="dxa"/>
            <w:vAlign w:val="center"/>
          </w:tcPr>
          <w:p w14:paraId="1156A21A"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13,6</w:t>
            </w:r>
          </w:p>
        </w:tc>
      </w:tr>
      <w:tr w:rsidR="005C2C96" w:rsidRPr="003C0378" w14:paraId="399DB286" w14:textId="77777777" w:rsidTr="00E24002">
        <w:trPr>
          <w:trHeight w:val="20"/>
        </w:trPr>
        <w:tc>
          <w:tcPr>
            <w:tcW w:w="8106" w:type="dxa"/>
          </w:tcPr>
          <w:p w14:paraId="57DC741A"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Elektrinės degradacijos lygis per metus (proc.)</w:t>
            </w:r>
          </w:p>
        </w:tc>
        <w:tc>
          <w:tcPr>
            <w:tcW w:w="1456" w:type="dxa"/>
            <w:vAlign w:val="center"/>
          </w:tcPr>
          <w:p w14:paraId="3F5EF9B0"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0,5</w:t>
            </w:r>
          </w:p>
        </w:tc>
      </w:tr>
      <w:tr w:rsidR="005C2C96" w:rsidRPr="003C0378" w14:paraId="2DB9C7B4" w14:textId="77777777" w:rsidTr="00E24002">
        <w:trPr>
          <w:trHeight w:val="20"/>
        </w:trPr>
        <w:tc>
          <w:tcPr>
            <w:tcW w:w="8106" w:type="dxa"/>
          </w:tcPr>
          <w:p w14:paraId="71D6937F"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Infliacijos metinis lygis (proc.)</w:t>
            </w:r>
          </w:p>
        </w:tc>
        <w:tc>
          <w:tcPr>
            <w:tcW w:w="1456" w:type="dxa"/>
            <w:vAlign w:val="center"/>
          </w:tcPr>
          <w:p w14:paraId="4FE560A7"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3</w:t>
            </w:r>
          </w:p>
        </w:tc>
      </w:tr>
      <w:tr w:rsidR="005C2C96" w:rsidRPr="003C0378" w14:paraId="58F7A19B" w14:textId="77777777" w:rsidTr="00E24002">
        <w:trPr>
          <w:trHeight w:val="20"/>
        </w:trPr>
        <w:tc>
          <w:tcPr>
            <w:tcW w:w="8106" w:type="dxa"/>
          </w:tcPr>
          <w:p w14:paraId="4B2F007C"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Elektros kainų infliacijos metinis lygis (proc.)</w:t>
            </w:r>
          </w:p>
        </w:tc>
        <w:tc>
          <w:tcPr>
            <w:tcW w:w="1456" w:type="dxa"/>
            <w:vAlign w:val="center"/>
          </w:tcPr>
          <w:p w14:paraId="65326272"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w:t>
            </w:r>
          </w:p>
        </w:tc>
      </w:tr>
      <w:tr w:rsidR="005C2C96" w:rsidRPr="003C0378" w14:paraId="52B283C5" w14:textId="77777777" w:rsidTr="00E24002">
        <w:trPr>
          <w:trHeight w:val="20"/>
        </w:trPr>
        <w:tc>
          <w:tcPr>
            <w:tcW w:w="8106" w:type="dxa"/>
          </w:tcPr>
          <w:p w14:paraId="2EFF8A41"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Suvartojamos elektros kiekis per metus (kWh)</w:t>
            </w:r>
          </w:p>
        </w:tc>
        <w:tc>
          <w:tcPr>
            <w:tcW w:w="1456" w:type="dxa"/>
            <w:vAlign w:val="center"/>
          </w:tcPr>
          <w:p w14:paraId="1C67BC61"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24000</w:t>
            </w:r>
          </w:p>
        </w:tc>
      </w:tr>
      <w:tr w:rsidR="005C2C96" w:rsidRPr="003C0378" w14:paraId="57A131CA" w14:textId="77777777" w:rsidTr="00E24002">
        <w:trPr>
          <w:trHeight w:val="20"/>
        </w:trPr>
        <w:tc>
          <w:tcPr>
            <w:tcW w:w="8106" w:type="dxa"/>
          </w:tcPr>
          <w:p w14:paraId="2575EEB1"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Vartojamos elektros kaina (Eur/kWh)</w:t>
            </w:r>
          </w:p>
        </w:tc>
        <w:tc>
          <w:tcPr>
            <w:tcW w:w="1456" w:type="dxa"/>
            <w:vAlign w:val="center"/>
          </w:tcPr>
          <w:p w14:paraId="3852B2C6"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0,23</w:t>
            </w:r>
          </w:p>
        </w:tc>
      </w:tr>
      <w:tr w:rsidR="005C2C96" w:rsidRPr="003C0378" w14:paraId="420FAA99" w14:textId="77777777" w:rsidTr="00E24002">
        <w:trPr>
          <w:trHeight w:val="20"/>
        </w:trPr>
        <w:tc>
          <w:tcPr>
            <w:tcW w:w="9562" w:type="dxa"/>
            <w:gridSpan w:val="2"/>
          </w:tcPr>
          <w:p w14:paraId="5E0006BF"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Paskolos sąlygų prielaidos</w:t>
            </w:r>
          </w:p>
        </w:tc>
      </w:tr>
      <w:tr w:rsidR="005C2C96" w:rsidRPr="003C0378" w14:paraId="7C58E901" w14:textId="77777777" w:rsidTr="00E24002">
        <w:trPr>
          <w:trHeight w:val="20"/>
        </w:trPr>
        <w:tc>
          <w:tcPr>
            <w:tcW w:w="8106" w:type="dxa"/>
          </w:tcPr>
          <w:p w14:paraId="6E1087EC" w14:textId="02015DF8"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Ko</w:t>
            </w:r>
            <w:r w:rsidR="003C0378">
              <w:rPr>
                <w:rFonts w:cs="Times New Roman"/>
                <w:sz w:val="20"/>
                <w:szCs w:val="20"/>
                <w:lang w:val="lt-LT"/>
              </w:rPr>
              <w:t>–</w:t>
            </w:r>
            <w:r w:rsidRPr="003C0378">
              <w:rPr>
                <w:rFonts w:cs="Times New Roman"/>
                <w:sz w:val="20"/>
                <w:szCs w:val="20"/>
                <w:lang w:val="lt-LT"/>
              </w:rPr>
              <w:t>finansavimo dalis (proc.)</w:t>
            </w:r>
          </w:p>
        </w:tc>
        <w:tc>
          <w:tcPr>
            <w:tcW w:w="1456" w:type="dxa"/>
            <w:vAlign w:val="center"/>
          </w:tcPr>
          <w:p w14:paraId="0B3B487F"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25</w:t>
            </w:r>
          </w:p>
        </w:tc>
      </w:tr>
      <w:tr w:rsidR="005C2C96" w:rsidRPr="003C0378" w14:paraId="199FA416" w14:textId="77777777" w:rsidTr="00E24002">
        <w:trPr>
          <w:trHeight w:val="20"/>
        </w:trPr>
        <w:tc>
          <w:tcPr>
            <w:tcW w:w="8106" w:type="dxa"/>
          </w:tcPr>
          <w:p w14:paraId="79EFC664"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Metinė palūkanų norma imamai paskolai (proc.)</w:t>
            </w:r>
          </w:p>
        </w:tc>
        <w:tc>
          <w:tcPr>
            <w:tcW w:w="1456" w:type="dxa"/>
            <w:vAlign w:val="center"/>
          </w:tcPr>
          <w:p w14:paraId="7E9AF46B" w14:textId="0E798C47" w:rsidR="005C2C96" w:rsidRPr="003C0378" w:rsidRDefault="00E455C4" w:rsidP="00561795">
            <w:pPr>
              <w:spacing w:after="0"/>
              <w:ind w:firstLine="0"/>
              <w:jc w:val="center"/>
              <w:rPr>
                <w:rFonts w:cs="Times New Roman"/>
                <w:sz w:val="20"/>
                <w:szCs w:val="20"/>
                <w:lang w:val="lt-LT"/>
              </w:rPr>
            </w:pPr>
            <w:r>
              <w:rPr>
                <w:rFonts w:cs="Times New Roman"/>
                <w:sz w:val="20"/>
                <w:szCs w:val="20"/>
                <w:lang w:val="lt-LT"/>
              </w:rPr>
              <w:t>6</w:t>
            </w:r>
          </w:p>
        </w:tc>
      </w:tr>
      <w:tr w:rsidR="005C2C96" w:rsidRPr="003C0378" w14:paraId="02AC4689" w14:textId="77777777" w:rsidTr="00E24002">
        <w:trPr>
          <w:trHeight w:val="20"/>
        </w:trPr>
        <w:tc>
          <w:tcPr>
            <w:tcW w:w="8106" w:type="dxa"/>
          </w:tcPr>
          <w:p w14:paraId="1C66932C"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Metinė palūkanų norma nuosavam kapitalui (proc.)</w:t>
            </w:r>
          </w:p>
        </w:tc>
        <w:tc>
          <w:tcPr>
            <w:tcW w:w="1456" w:type="dxa"/>
            <w:vAlign w:val="center"/>
          </w:tcPr>
          <w:p w14:paraId="2628B4C9" w14:textId="128D6D25" w:rsidR="005C2C96" w:rsidRPr="003C0378" w:rsidRDefault="00E455C4" w:rsidP="00561795">
            <w:pPr>
              <w:spacing w:after="0"/>
              <w:ind w:firstLine="0"/>
              <w:jc w:val="center"/>
              <w:rPr>
                <w:rFonts w:cs="Times New Roman"/>
                <w:sz w:val="20"/>
                <w:szCs w:val="20"/>
                <w:lang w:val="lt-LT"/>
              </w:rPr>
            </w:pPr>
            <w:r>
              <w:rPr>
                <w:rFonts w:cs="Times New Roman"/>
                <w:sz w:val="20"/>
                <w:szCs w:val="20"/>
                <w:lang w:val="lt-LT"/>
              </w:rPr>
              <w:t>8</w:t>
            </w:r>
          </w:p>
        </w:tc>
      </w:tr>
      <w:tr w:rsidR="005C2C96" w:rsidRPr="003C0378" w14:paraId="0E95A67B" w14:textId="77777777" w:rsidTr="00E24002">
        <w:trPr>
          <w:trHeight w:val="20"/>
        </w:trPr>
        <w:tc>
          <w:tcPr>
            <w:tcW w:w="8106" w:type="dxa"/>
          </w:tcPr>
          <w:p w14:paraId="261A9C22"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Paskolos laikotarpis (metai)</w:t>
            </w:r>
          </w:p>
        </w:tc>
        <w:tc>
          <w:tcPr>
            <w:tcW w:w="1456" w:type="dxa"/>
            <w:vAlign w:val="center"/>
          </w:tcPr>
          <w:p w14:paraId="65E49E31" w14:textId="6C73C3A1"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w:t>
            </w:r>
            <w:r w:rsidR="00E455C4">
              <w:rPr>
                <w:rFonts w:cs="Times New Roman"/>
                <w:sz w:val="20"/>
                <w:szCs w:val="20"/>
                <w:lang w:val="lt-LT"/>
              </w:rPr>
              <w:t>0</w:t>
            </w:r>
          </w:p>
        </w:tc>
      </w:tr>
    </w:tbl>
    <w:p w14:paraId="1E2066A5" w14:textId="77777777" w:rsidR="005C2C96" w:rsidRPr="003C0378" w:rsidRDefault="005C2C96" w:rsidP="005C2C96">
      <w:pPr>
        <w:ind w:firstLine="562"/>
        <w:jc w:val="left"/>
        <w:rPr>
          <w:rFonts w:cs="Times New Roman"/>
          <w:sz w:val="20"/>
          <w:szCs w:val="20"/>
        </w:rPr>
      </w:pPr>
      <w:r w:rsidRPr="003C0378">
        <w:rPr>
          <w:rFonts w:cs="Times New Roman"/>
          <w:sz w:val="20"/>
          <w:szCs w:val="20"/>
        </w:rPr>
        <w:t>Šaltinis: sudaryta Vertintojų.</w:t>
      </w:r>
    </w:p>
    <w:p w14:paraId="26A00442" w14:textId="39DB9A56" w:rsidR="004A70BB" w:rsidRPr="004A70BB" w:rsidRDefault="00F510E3" w:rsidP="004A70BB">
      <w:pPr>
        <w:spacing w:after="160" w:line="276" w:lineRule="auto"/>
        <w:ind w:firstLine="562"/>
      </w:pPr>
      <w:r>
        <w:rPr>
          <w:noProof/>
          <w:lang w:eastAsia="lt-LT"/>
        </w:rPr>
        <w:lastRenderedPageBreak/>
        <w:drawing>
          <wp:anchor distT="0" distB="0" distL="114300" distR="114300" simplePos="0" relativeHeight="251658241" behindDoc="1" locked="0" layoutInCell="1" allowOverlap="1" wp14:anchorId="1C4B88C1" wp14:editId="68ADC4AC">
            <wp:simplePos x="0" y="0"/>
            <wp:positionH relativeFrom="margin">
              <wp:align>right</wp:align>
            </wp:positionH>
            <wp:positionV relativeFrom="paragraph">
              <wp:posOffset>1760220</wp:posOffset>
            </wp:positionV>
            <wp:extent cx="6120130" cy="2673350"/>
            <wp:effectExtent l="0" t="0" r="0" b="0"/>
            <wp:wrapTight wrapText="bothSides">
              <wp:wrapPolygon edited="0">
                <wp:start x="0" y="0"/>
                <wp:lineTo x="0" y="21395"/>
                <wp:lineTo x="21515" y="21395"/>
                <wp:lineTo x="21515" y="0"/>
                <wp:lineTo x="0" y="0"/>
              </wp:wrapPolygon>
            </wp:wrapTight>
            <wp:docPr id="66561164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11647" name=""/>
                    <pic:cNvPicPr/>
                  </pic:nvPicPr>
                  <pic:blipFill>
                    <a:blip r:embed="rId18">
                      <a:extLst>
                        <a:ext uri="{28A0092B-C50C-407E-A947-70E740481C1C}">
                          <a14:useLocalDpi xmlns:a14="http://schemas.microsoft.com/office/drawing/2010/main" val="0"/>
                        </a:ext>
                      </a:extLst>
                    </a:blip>
                    <a:stretch>
                      <a:fillRect/>
                    </a:stretch>
                  </pic:blipFill>
                  <pic:spPr>
                    <a:xfrm>
                      <a:off x="0" y="0"/>
                      <a:ext cx="6120130" cy="2673350"/>
                    </a:xfrm>
                    <a:prstGeom prst="rect">
                      <a:avLst/>
                    </a:prstGeom>
                  </pic:spPr>
                </pic:pic>
              </a:graphicData>
            </a:graphic>
            <wp14:sizeRelH relativeFrom="page">
              <wp14:pctWidth>0</wp14:pctWidth>
            </wp14:sizeRelH>
            <wp14:sizeRelV relativeFrom="page">
              <wp14:pctHeight>0</wp14:pctHeight>
            </wp14:sizeRelV>
          </wp:anchor>
        </w:drawing>
      </w:r>
      <w:r w:rsidR="005C2C96" w:rsidRPr="003C0378">
        <w:t xml:space="preserve">Žemiau yra pateiktas kumuliatyvinių kaštų–naudų grafikas, kuris atspindi finansinius elektrinės įrengimo srautus. Kaip galima matyti grafike, nuliniais arba elektrinės įrenginėjimo metais yra patiriami tik nuostoliai susiję su elektrinės įrengimo darbais. Kai elektrinė pradeda veikti pirmais metais, galima pamatyti, kad elektrinė pradeda generuoti naudas, kurios atsveria kasmetinius elektrinės išlaikymo kaštus ir </w:t>
      </w:r>
      <w:r w:rsidR="00811313" w:rsidRPr="003C0378">
        <w:t>palūkanų</w:t>
      </w:r>
      <w:r w:rsidR="005C2C96" w:rsidRPr="003C0378">
        <w:t xml:space="preserve"> mokėjimus ir, atitinkamai, mažina kumuliatyvinius kaštus. Kaip taip pat galima matyti grafike, praėjus maždaug </w:t>
      </w:r>
      <w:r w:rsidR="00B06928">
        <w:t>8</w:t>
      </w:r>
      <w:r w:rsidR="005C2C96" w:rsidRPr="003C0378">
        <w:t>,</w:t>
      </w:r>
      <w:r w:rsidR="00B06928">
        <w:t>2</w:t>
      </w:r>
      <w:r w:rsidR="005C2C96" w:rsidRPr="003C0378">
        <w:t xml:space="preserve"> metams nuo elektrinės įrengimo elektrinės naudos viršija kaštus. Taigi, elektrinės atsipirkimo laikotarpis siekia </w:t>
      </w:r>
      <w:r w:rsidR="00B06928">
        <w:t>8</w:t>
      </w:r>
      <w:r w:rsidR="005C2C96" w:rsidRPr="003C0378">
        <w:t>,</w:t>
      </w:r>
      <w:r w:rsidR="00B06928">
        <w:t>2</w:t>
      </w:r>
      <w:r w:rsidR="005C2C96" w:rsidRPr="003C0378">
        <w:t xml:space="preserve"> metus. Per visą elektrinės eksploatacijos laikotarpį (25 metus), visi elektrinės eksploatavimo kaštai siekia 5</w:t>
      </w:r>
      <w:r w:rsidR="00B06928">
        <w:t>3</w:t>
      </w:r>
      <w:r w:rsidR="005C2C96" w:rsidRPr="003C0378">
        <w:t>,</w:t>
      </w:r>
      <w:r w:rsidR="00B06928">
        <w:t>88</w:t>
      </w:r>
      <w:r w:rsidR="005C2C96" w:rsidRPr="003C0378">
        <w:t xml:space="preserve"> tūkst. Eur, o visos elektrinės finansinės naudos – 1</w:t>
      </w:r>
      <w:r w:rsidR="00B06928">
        <w:t>29</w:t>
      </w:r>
      <w:r w:rsidR="005C2C96" w:rsidRPr="003C0378">
        <w:t>,</w:t>
      </w:r>
      <w:r w:rsidR="00B06928">
        <w:t>70</w:t>
      </w:r>
      <w:r w:rsidR="005C2C96" w:rsidRPr="003C0378">
        <w:t xml:space="preserve"> tūkst. Eur. Taigi naudų–kaštų santykis minėtu laikotarpiu siekia 2,4</w:t>
      </w:r>
      <w:r w:rsidR="00B06928">
        <w:t>1</w:t>
      </w:r>
      <w:r w:rsidR="005C2C96" w:rsidRPr="003C0378">
        <w:t>.</w:t>
      </w:r>
    </w:p>
    <w:p w14:paraId="6DC5874E" w14:textId="1C498F7B" w:rsidR="005C2C96" w:rsidRPr="003C0378" w:rsidRDefault="005C2C96" w:rsidP="005C2C96">
      <w:pPr>
        <w:rPr>
          <w:b/>
          <w:bCs/>
          <w:i/>
          <w:iCs/>
        </w:rPr>
      </w:pPr>
      <w:r w:rsidRPr="003C0378">
        <w:rPr>
          <w:i/>
          <w:iCs/>
        </w:rPr>
        <w:fldChar w:fldCharType="begin"/>
      </w:r>
      <w:r w:rsidRPr="003C0378">
        <w:rPr>
          <w:i/>
          <w:iCs/>
        </w:rPr>
        <w:instrText xml:space="preserve"> SEQ pav. \* ARABIC </w:instrText>
      </w:r>
      <w:r w:rsidRPr="003C0378">
        <w:rPr>
          <w:i/>
          <w:iCs/>
        </w:rPr>
        <w:fldChar w:fldCharType="separate"/>
      </w:r>
      <w:bookmarkStart w:id="145" w:name="_Toc126051419"/>
      <w:bookmarkStart w:id="146" w:name="_Toc166139889"/>
      <w:bookmarkStart w:id="147" w:name="_Toc170804655"/>
      <w:r w:rsidR="00347605">
        <w:rPr>
          <w:i/>
          <w:iCs/>
          <w:noProof/>
        </w:rPr>
        <w:t>4</w:t>
      </w:r>
      <w:r w:rsidRPr="003C0378">
        <w:rPr>
          <w:i/>
          <w:iCs/>
        </w:rPr>
        <w:fldChar w:fldCharType="end"/>
      </w:r>
      <w:r w:rsidRPr="003C0378">
        <w:rPr>
          <w:i/>
          <w:iCs/>
        </w:rPr>
        <w:t xml:space="preserve"> paveikslas. Kumuliatyvinių kaštų–naudų grafikas </w:t>
      </w:r>
      <w:r w:rsidR="00B1402E">
        <w:rPr>
          <w:i/>
          <w:iCs/>
        </w:rPr>
        <w:t>verslo</w:t>
      </w:r>
      <w:r w:rsidRPr="003C0378">
        <w:rPr>
          <w:i/>
          <w:iCs/>
        </w:rPr>
        <w:t xml:space="preserve"> tikslinėje grupėje</w:t>
      </w:r>
      <w:bookmarkEnd w:id="145"/>
      <w:bookmarkEnd w:id="146"/>
      <w:bookmarkEnd w:id="147"/>
    </w:p>
    <w:p w14:paraId="4DE4B5D8" w14:textId="77777777" w:rsidR="005C2C96" w:rsidRPr="003C0378" w:rsidRDefault="005C2C96" w:rsidP="005C2C96">
      <w:pPr>
        <w:widowControl w:val="0"/>
        <w:spacing w:line="276" w:lineRule="auto"/>
        <w:ind w:firstLine="562"/>
        <w:jc w:val="left"/>
        <w:rPr>
          <w:rFonts w:cs="Times New Roman"/>
          <w:sz w:val="20"/>
          <w:szCs w:val="20"/>
        </w:rPr>
      </w:pPr>
      <w:r w:rsidRPr="003C0378">
        <w:rPr>
          <w:rFonts w:cs="Times New Roman"/>
          <w:sz w:val="20"/>
          <w:szCs w:val="20"/>
        </w:rPr>
        <w:t>Šaltinis: sudaryta Vertintojų.</w:t>
      </w:r>
    </w:p>
    <w:p w14:paraId="5A20F8B5" w14:textId="6E140EB9" w:rsidR="005C2C96" w:rsidRPr="003C0378" w:rsidRDefault="005C2C96" w:rsidP="005C2C96">
      <w:pPr>
        <w:widowControl w:val="0"/>
        <w:spacing w:line="276" w:lineRule="auto"/>
      </w:pPr>
      <w:r w:rsidRPr="003C0378">
        <w:t>Siekiant įvertinti kaip keistųsi elektrinės atsiperkamumas keičiantis paskolos palūkanų normoms, Vertintojai atliko palūkanų normos jautrumo analizę, kurios rezultatai pateikiami žemiau esančioje lentelėje. Laikantis prielaidose nurodyto paskolos laikotarpio (1</w:t>
      </w:r>
      <w:r w:rsidR="00D629C0">
        <w:t>0</w:t>
      </w:r>
      <w:r w:rsidRPr="003C0378">
        <w:t xml:space="preserve"> metų), investicijos į saulės elektrinės įrengimą be dotacijos atsipirktų per šiek tiek </w:t>
      </w:r>
      <w:r w:rsidR="00D629C0">
        <w:t>daugiau</w:t>
      </w:r>
      <w:r w:rsidRPr="003C0378">
        <w:t xml:space="preserve"> nei 9 metus, net jei paskolos palūkanų norma būtų </w:t>
      </w:r>
      <w:r w:rsidR="00D629C0">
        <w:t>9</w:t>
      </w:r>
      <w:r w:rsidRPr="003C0378">
        <w:t xml:space="preserve"> proc. Remiantis prielaidose nurodyta paskolos palūkanų norma (</w:t>
      </w:r>
      <w:r w:rsidR="00D629C0">
        <w:t>6</w:t>
      </w:r>
      <w:r w:rsidRPr="003C0378">
        <w:t xml:space="preserve"> proc.), investicijos be dotacijos atsipirkti turėtų per kiek </w:t>
      </w:r>
      <w:r w:rsidR="00D629C0">
        <w:t>daug</w:t>
      </w:r>
      <w:r w:rsidRPr="003C0378">
        <w:t>iau negu 8 metus. Atliktos analizės rezultatai indikuoja, kad net jeigu palūkanos ir būtų ženkliai didesnės (</w:t>
      </w:r>
      <w:r w:rsidR="00D629C0">
        <w:t>9</w:t>
      </w:r>
      <w:r w:rsidRPr="003C0378">
        <w:t xml:space="preserve"> proc.) nei bazinio scenarijaus atveju (</w:t>
      </w:r>
      <w:r w:rsidR="00D629C0">
        <w:t>6</w:t>
      </w:r>
      <w:r w:rsidRPr="003C0378">
        <w:t xml:space="preserve"> proc.), projektas iš esmės vis tiek atsipirktų per nustatytą paskolos terminą (</w:t>
      </w:r>
      <w:r w:rsidR="00EA79B2" w:rsidRPr="003C0378">
        <w:t>1</w:t>
      </w:r>
      <w:r w:rsidR="00EA79B2">
        <w:t xml:space="preserve">0–15 </w:t>
      </w:r>
      <w:r w:rsidR="00EA79B2" w:rsidRPr="003C0378">
        <w:t>metų</w:t>
      </w:r>
      <w:r w:rsidRPr="003C0378">
        <w:t xml:space="preserve">). </w:t>
      </w:r>
    </w:p>
    <w:p w14:paraId="3DF21E68" w14:textId="546A1AEC" w:rsidR="005C2C96" w:rsidRPr="003C0378" w:rsidRDefault="005C2C96" w:rsidP="005C2C96">
      <w:pPr>
        <w:spacing w:line="276" w:lineRule="auto"/>
        <w:ind w:firstLine="0"/>
      </w:pPr>
      <w:bookmarkStart w:id="148" w:name="_Toc126051400"/>
      <w:bookmarkStart w:id="149" w:name="_Toc166139871"/>
      <w:bookmarkStart w:id="150" w:name="_Toc170804637"/>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21</w:t>
      </w:r>
      <w:r w:rsidRPr="003C0378">
        <w:rPr>
          <w:rFonts w:cs="Times New Roman"/>
          <w:i/>
          <w:iCs/>
        </w:rPr>
        <w:fldChar w:fldCharType="end"/>
      </w:r>
      <w:r w:rsidRPr="003C0378">
        <w:rPr>
          <w:rFonts w:cs="Times New Roman"/>
          <w:i/>
          <w:iCs/>
        </w:rPr>
        <w:t xml:space="preserve">. Jautrumo analizės </w:t>
      </w:r>
      <w:r w:rsidR="00B1402E">
        <w:rPr>
          <w:rFonts w:cs="Times New Roman"/>
          <w:i/>
          <w:iCs/>
        </w:rPr>
        <w:t>verslo tikslinėje</w:t>
      </w:r>
      <w:r w:rsidRPr="003C0378">
        <w:rPr>
          <w:rFonts w:cs="Times New Roman"/>
          <w:i/>
          <w:iCs/>
        </w:rPr>
        <w:t xml:space="preserve"> grupėje – paskolos palūkanų normos</w:t>
      </w:r>
      <w:bookmarkEnd w:id="148"/>
      <w:bookmarkEnd w:id="149"/>
      <w:bookmarkEnd w:id="150"/>
    </w:p>
    <w:tbl>
      <w:tblPr>
        <w:tblW w:w="9604" w:type="dxa"/>
        <w:tblLook w:val="04A0" w:firstRow="1" w:lastRow="0" w:firstColumn="1" w:lastColumn="0" w:noHBand="0" w:noVBand="1"/>
      </w:tblPr>
      <w:tblGrid>
        <w:gridCol w:w="1067"/>
        <w:gridCol w:w="1067"/>
        <w:gridCol w:w="959"/>
        <w:gridCol w:w="959"/>
        <w:gridCol w:w="958"/>
        <w:gridCol w:w="958"/>
        <w:gridCol w:w="1211"/>
        <w:gridCol w:w="1211"/>
        <w:gridCol w:w="1214"/>
      </w:tblGrid>
      <w:tr w:rsidR="005C2C96" w:rsidRPr="003C0378" w14:paraId="7DE7E63D" w14:textId="77777777" w:rsidTr="00E24002">
        <w:trPr>
          <w:trHeight w:val="306"/>
          <w:tblHeader/>
        </w:trPr>
        <w:tc>
          <w:tcPr>
            <w:tcW w:w="1067" w:type="dxa"/>
            <w:vMerge w:val="restart"/>
            <w:tcBorders>
              <w:top w:val="single" w:sz="4" w:space="0" w:color="auto"/>
              <w:left w:val="single" w:sz="4" w:space="0" w:color="auto"/>
              <w:bottom w:val="single" w:sz="4" w:space="0" w:color="auto"/>
            </w:tcBorders>
            <w:shd w:val="clear" w:color="auto" w:fill="auto"/>
            <w:noWrap/>
            <w:textDirection w:val="btLr"/>
            <w:vAlign w:val="bottom"/>
            <w:hideMark/>
          </w:tcPr>
          <w:p w14:paraId="0C854FC8" w14:textId="77777777" w:rsidR="005C2C96" w:rsidRPr="003C0378" w:rsidRDefault="005C2C96" w:rsidP="00561795">
            <w:pPr>
              <w:spacing w:after="0"/>
              <w:ind w:left="113" w:right="113" w:firstLine="0"/>
              <w:jc w:val="center"/>
              <w:rPr>
                <w:rFonts w:eastAsia="Times New Roman" w:cs="Times New Roman"/>
                <w:sz w:val="20"/>
                <w:szCs w:val="20"/>
                <w:lang w:eastAsia="lt-LT"/>
              </w:rPr>
            </w:pPr>
            <w:r w:rsidRPr="003C0378">
              <w:rPr>
                <w:rFonts w:eastAsia="Times New Roman" w:cs="Times New Roman"/>
                <w:b/>
                <w:bCs/>
                <w:color w:val="000000"/>
                <w:sz w:val="20"/>
                <w:szCs w:val="20"/>
                <w:lang w:eastAsia="lt-LT"/>
              </w:rPr>
              <w:t>Dotacijos intensyvumas (proc.)</w:t>
            </w:r>
          </w:p>
        </w:tc>
        <w:tc>
          <w:tcPr>
            <w:tcW w:w="8537" w:type="dxa"/>
            <w:gridSpan w:val="8"/>
            <w:tcBorders>
              <w:top w:val="single" w:sz="4" w:space="0" w:color="auto"/>
              <w:bottom w:val="single" w:sz="4" w:space="0" w:color="auto"/>
              <w:right w:val="single" w:sz="4" w:space="0" w:color="auto"/>
            </w:tcBorders>
            <w:shd w:val="clear" w:color="auto" w:fill="auto"/>
            <w:noWrap/>
            <w:vAlign w:val="bottom"/>
            <w:hideMark/>
          </w:tcPr>
          <w:p w14:paraId="71525085" w14:textId="77777777" w:rsidR="005C2C96" w:rsidRPr="003C0378" w:rsidRDefault="005C2C96" w:rsidP="00561795">
            <w:pPr>
              <w:spacing w:after="0"/>
              <w:ind w:firstLine="0"/>
              <w:jc w:val="center"/>
              <w:rPr>
                <w:rFonts w:eastAsia="Times New Roman" w:cs="Times New Roman"/>
                <w:b/>
                <w:bCs/>
                <w:color w:val="000000"/>
                <w:sz w:val="20"/>
                <w:szCs w:val="20"/>
                <w:lang w:eastAsia="lt-LT"/>
              </w:rPr>
            </w:pPr>
            <w:r w:rsidRPr="003C0378">
              <w:rPr>
                <w:rFonts w:eastAsia="Times New Roman" w:cs="Times New Roman"/>
                <w:b/>
                <w:bCs/>
                <w:color w:val="000000"/>
                <w:sz w:val="20"/>
                <w:szCs w:val="20"/>
                <w:lang w:eastAsia="lt-LT"/>
              </w:rPr>
              <w:t>Paskolos palūkanų normos</w:t>
            </w:r>
          </w:p>
        </w:tc>
      </w:tr>
      <w:tr w:rsidR="001E4B79" w:rsidRPr="003C0378" w14:paraId="0BE34AE0" w14:textId="77777777" w:rsidTr="00561795">
        <w:trPr>
          <w:trHeight w:val="628"/>
          <w:tblHeader/>
        </w:trPr>
        <w:tc>
          <w:tcPr>
            <w:tcW w:w="1067"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8AFF7" w14:textId="77777777" w:rsidR="005C2C96" w:rsidRPr="003C0378" w:rsidRDefault="005C2C96" w:rsidP="00561795">
            <w:pPr>
              <w:spacing w:after="0"/>
              <w:ind w:firstLine="0"/>
              <w:jc w:val="center"/>
              <w:rPr>
                <w:rFonts w:eastAsia="Times New Roman" w:cs="Times New Roman"/>
                <w:b/>
                <w:bCs/>
                <w:color w:val="000000"/>
                <w:sz w:val="20"/>
                <w:szCs w:val="20"/>
                <w:lang w:eastAsia="lt-LT"/>
              </w:rPr>
            </w:pPr>
          </w:p>
        </w:tc>
        <w:tc>
          <w:tcPr>
            <w:tcW w:w="1067" w:type="dxa"/>
            <w:tcBorders>
              <w:top w:val="single" w:sz="4" w:space="0" w:color="auto"/>
              <w:left w:val="single" w:sz="4" w:space="0" w:color="auto"/>
              <w:bottom w:val="nil"/>
              <w:right w:val="nil"/>
            </w:tcBorders>
            <w:shd w:val="clear" w:color="auto" w:fill="auto"/>
            <w:noWrap/>
            <w:vAlign w:val="bottom"/>
            <w:hideMark/>
          </w:tcPr>
          <w:p w14:paraId="65036FAB" w14:textId="77777777" w:rsidR="005C2C96" w:rsidRPr="003C0378" w:rsidRDefault="005C2C96" w:rsidP="00561795">
            <w:pPr>
              <w:spacing w:after="0"/>
              <w:ind w:firstLine="0"/>
              <w:jc w:val="left"/>
              <w:rPr>
                <w:rFonts w:eastAsia="Times New Roman" w:cs="Times New Roman"/>
                <w:sz w:val="20"/>
                <w:szCs w:val="20"/>
                <w:lang w:eastAsia="lt-LT"/>
              </w:rPr>
            </w:pPr>
          </w:p>
        </w:tc>
        <w:tc>
          <w:tcPr>
            <w:tcW w:w="959" w:type="dxa"/>
            <w:tcBorders>
              <w:top w:val="single" w:sz="4" w:space="0" w:color="auto"/>
              <w:left w:val="nil"/>
              <w:bottom w:val="nil"/>
              <w:right w:val="nil"/>
            </w:tcBorders>
            <w:shd w:val="clear" w:color="auto" w:fill="auto"/>
            <w:noWrap/>
            <w:vAlign w:val="center"/>
            <w:hideMark/>
          </w:tcPr>
          <w:p w14:paraId="4FDFE443" w14:textId="4C9B47DD"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r w:rsidR="005C2C96" w:rsidRPr="003C0378">
              <w:rPr>
                <w:rFonts w:eastAsia="Times New Roman" w:cs="Times New Roman"/>
                <w:color w:val="000000"/>
                <w:sz w:val="20"/>
                <w:szCs w:val="20"/>
                <w:lang w:eastAsia="lt-LT"/>
              </w:rPr>
              <w:t xml:space="preserve"> proc.</w:t>
            </w:r>
          </w:p>
        </w:tc>
        <w:tc>
          <w:tcPr>
            <w:tcW w:w="959" w:type="dxa"/>
            <w:tcBorders>
              <w:top w:val="single" w:sz="4" w:space="0" w:color="auto"/>
              <w:left w:val="nil"/>
              <w:bottom w:val="nil"/>
              <w:right w:val="nil"/>
            </w:tcBorders>
            <w:shd w:val="clear" w:color="auto" w:fill="auto"/>
            <w:noWrap/>
            <w:vAlign w:val="center"/>
            <w:hideMark/>
          </w:tcPr>
          <w:p w14:paraId="5B44C2D1" w14:textId="1194343D"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4</w:t>
            </w:r>
            <w:r w:rsidR="005C2C96" w:rsidRPr="003C0378">
              <w:rPr>
                <w:rFonts w:eastAsia="Times New Roman" w:cs="Times New Roman"/>
                <w:color w:val="000000"/>
                <w:sz w:val="20"/>
                <w:szCs w:val="20"/>
                <w:lang w:eastAsia="lt-LT"/>
              </w:rPr>
              <w:t xml:space="preserve"> proc.</w:t>
            </w:r>
          </w:p>
        </w:tc>
        <w:tc>
          <w:tcPr>
            <w:tcW w:w="958" w:type="dxa"/>
            <w:tcBorders>
              <w:top w:val="single" w:sz="4" w:space="0" w:color="auto"/>
              <w:left w:val="nil"/>
              <w:bottom w:val="nil"/>
              <w:right w:val="nil"/>
            </w:tcBorders>
            <w:shd w:val="clear" w:color="auto" w:fill="auto"/>
            <w:noWrap/>
            <w:vAlign w:val="center"/>
            <w:hideMark/>
          </w:tcPr>
          <w:p w14:paraId="77F2BC04" w14:textId="42DAE891"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r w:rsidR="005C2C96" w:rsidRPr="003C0378">
              <w:rPr>
                <w:rFonts w:eastAsia="Times New Roman" w:cs="Times New Roman"/>
                <w:color w:val="000000"/>
                <w:sz w:val="20"/>
                <w:szCs w:val="20"/>
                <w:lang w:eastAsia="lt-LT"/>
              </w:rPr>
              <w:t xml:space="preserve"> proc.</w:t>
            </w:r>
          </w:p>
        </w:tc>
        <w:tc>
          <w:tcPr>
            <w:tcW w:w="958" w:type="dxa"/>
            <w:tcBorders>
              <w:top w:val="single" w:sz="4" w:space="0" w:color="auto"/>
              <w:left w:val="nil"/>
              <w:bottom w:val="nil"/>
              <w:right w:val="nil"/>
            </w:tcBorders>
            <w:shd w:val="clear" w:color="auto" w:fill="auto"/>
            <w:noWrap/>
            <w:vAlign w:val="center"/>
            <w:hideMark/>
          </w:tcPr>
          <w:p w14:paraId="3623DB77" w14:textId="4762907C"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6</w:t>
            </w:r>
            <w:r w:rsidR="005C2C96" w:rsidRPr="003C0378">
              <w:rPr>
                <w:rFonts w:eastAsia="Times New Roman" w:cs="Times New Roman"/>
                <w:color w:val="000000"/>
                <w:sz w:val="20"/>
                <w:szCs w:val="20"/>
                <w:lang w:eastAsia="lt-LT"/>
              </w:rPr>
              <w:t xml:space="preserve"> proc.</w:t>
            </w:r>
          </w:p>
        </w:tc>
        <w:tc>
          <w:tcPr>
            <w:tcW w:w="1211" w:type="dxa"/>
            <w:tcBorders>
              <w:top w:val="single" w:sz="4" w:space="0" w:color="auto"/>
              <w:left w:val="nil"/>
              <w:bottom w:val="nil"/>
              <w:right w:val="nil"/>
            </w:tcBorders>
            <w:shd w:val="clear" w:color="auto" w:fill="auto"/>
            <w:noWrap/>
            <w:vAlign w:val="center"/>
            <w:hideMark/>
          </w:tcPr>
          <w:p w14:paraId="18A7415E" w14:textId="1A003D75"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7</w:t>
            </w:r>
            <w:r w:rsidR="005C2C96" w:rsidRPr="003C0378">
              <w:rPr>
                <w:rFonts w:eastAsia="Times New Roman" w:cs="Times New Roman"/>
                <w:color w:val="000000"/>
                <w:sz w:val="20"/>
                <w:szCs w:val="20"/>
                <w:lang w:eastAsia="lt-LT"/>
              </w:rPr>
              <w:t xml:space="preserve"> proc.</w:t>
            </w:r>
          </w:p>
        </w:tc>
        <w:tc>
          <w:tcPr>
            <w:tcW w:w="1211" w:type="dxa"/>
            <w:tcBorders>
              <w:top w:val="single" w:sz="4" w:space="0" w:color="auto"/>
              <w:left w:val="nil"/>
              <w:bottom w:val="nil"/>
              <w:right w:val="nil"/>
            </w:tcBorders>
            <w:shd w:val="clear" w:color="auto" w:fill="auto"/>
            <w:noWrap/>
            <w:vAlign w:val="center"/>
            <w:hideMark/>
          </w:tcPr>
          <w:p w14:paraId="63838485" w14:textId="5ADA8955"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8</w:t>
            </w:r>
            <w:r w:rsidR="005C2C96" w:rsidRPr="003C0378">
              <w:rPr>
                <w:rFonts w:eastAsia="Times New Roman" w:cs="Times New Roman"/>
                <w:color w:val="000000"/>
                <w:sz w:val="20"/>
                <w:szCs w:val="20"/>
                <w:lang w:eastAsia="lt-LT"/>
              </w:rPr>
              <w:t xml:space="preserve"> proc.</w:t>
            </w:r>
          </w:p>
        </w:tc>
        <w:tc>
          <w:tcPr>
            <w:tcW w:w="1214" w:type="dxa"/>
            <w:tcBorders>
              <w:top w:val="single" w:sz="4" w:space="0" w:color="auto"/>
              <w:left w:val="nil"/>
              <w:bottom w:val="nil"/>
              <w:right w:val="single" w:sz="4" w:space="0" w:color="auto"/>
            </w:tcBorders>
            <w:shd w:val="clear" w:color="auto" w:fill="auto"/>
            <w:noWrap/>
            <w:vAlign w:val="center"/>
            <w:hideMark/>
          </w:tcPr>
          <w:p w14:paraId="477FC632" w14:textId="3E227949" w:rsidR="005C2C96" w:rsidRPr="003C0378" w:rsidRDefault="00556404" w:rsidP="00561795">
            <w:pPr>
              <w:spacing w:after="0"/>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9</w:t>
            </w:r>
            <w:r w:rsidR="005C2C96" w:rsidRPr="003C0378">
              <w:rPr>
                <w:rFonts w:eastAsia="Times New Roman" w:cs="Times New Roman"/>
                <w:color w:val="000000"/>
                <w:sz w:val="20"/>
                <w:szCs w:val="20"/>
                <w:lang w:eastAsia="lt-LT"/>
              </w:rPr>
              <w:t xml:space="preserve"> proc.</w:t>
            </w:r>
          </w:p>
        </w:tc>
      </w:tr>
      <w:tr w:rsidR="001E4B79" w:rsidRPr="003C0378" w14:paraId="3A882E0D" w14:textId="77777777" w:rsidTr="00CC1409">
        <w:trPr>
          <w:trHeight w:val="306"/>
          <w:tblHeader/>
        </w:trPr>
        <w:tc>
          <w:tcPr>
            <w:tcW w:w="1067" w:type="dxa"/>
            <w:vMerge/>
            <w:tcBorders>
              <w:left w:val="single" w:sz="4" w:space="0" w:color="auto"/>
              <w:bottom w:val="single" w:sz="4" w:space="0" w:color="auto"/>
              <w:right w:val="single" w:sz="4" w:space="0" w:color="auto"/>
            </w:tcBorders>
            <w:shd w:val="clear" w:color="auto" w:fill="auto"/>
            <w:textDirection w:val="btLr"/>
            <w:vAlign w:val="center"/>
            <w:hideMark/>
          </w:tcPr>
          <w:p w14:paraId="29BC3DA1" w14:textId="77777777" w:rsidR="00556404" w:rsidRPr="003C0378" w:rsidRDefault="00556404" w:rsidP="00556404">
            <w:pPr>
              <w:spacing w:after="0"/>
              <w:ind w:firstLine="0"/>
              <w:jc w:val="center"/>
              <w:rPr>
                <w:rFonts w:eastAsia="Times New Roman" w:cs="Times New Roman"/>
                <w:b/>
                <w:bCs/>
                <w:color w:val="000000"/>
                <w:sz w:val="20"/>
                <w:szCs w:val="20"/>
                <w:lang w:eastAsia="lt-LT"/>
              </w:rPr>
            </w:pPr>
          </w:p>
        </w:tc>
        <w:tc>
          <w:tcPr>
            <w:tcW w:w="1067" w:type="dxa"/>
            <w:tcBorders>
              <w:top w:val="nil"/>
              <w:left w:val="single" w:sz="4" w:space="0" w:color="auto"/>
              <w:bottom w:val="nil"/>
              <w:right w:val="nil"/>
            </w:tcBorders>
            <w:shd w:val="clear" w:color="auto" w:fill="auto"/>
            <w:noWrap/>
            <w:vAlign w:val="bottom"/>
            <w:hideMark/>
          </w:tcPr>
          <w:p w14:paraId="3595238E"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0 proc.</w:t>
            </w:r>
          </w:p>
        </w:tc>
        <w:tc>
          <w:tcPr>
            <w:tcW w:w="959" w:type="dxa"/>
            <w:tcBorders>
              <w:top w:val="nil"/>
              <w:left w:val="nil"/>
              <w:bottom w:val="nil"/>
              <w:right w:val="nil"/>
            </w:tcBorders>
            <w:shd w:val="clear" w:color="000000" w:fill="FDBE7C"/>
            <w:noWrap/>
            <w:hideMark/>
          </w:tcPr>
          <w:p w14:paraId="3581BECD" w14:textId="46322208"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7,39</w:t>
            </w:r>
          </w:p>
        </w:tc>
        <w:tc>
          <w:tcPr>
            <w:tcW w:w="959" w:type="dxa"/>
            <w:tcBorders>
              <w:top w:val="nil"/>
              <w:left w:val="nil"/>
              <w:bottom w:val="nil"/>
              <w:right w:val="nil"/>
            </w:tcBorders>
            <w:shd w:val="clear" w:color="000000" w:fill="FCB37A"/>
            <w:noWrap/>
            <w:hideMark/>
          </w:tcPr>
          <w:p w14:paraId="4D818B80" w14:textId="05400B04"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7,66</w:t>
            </w:r>
          </w:p>
        </w:tc>
        <w:tc>
          <w:tcPr>
            <w:tcW w:w="958" w:type="dxa"/>
            <w:tcBorders>
              <w:top w:val="nil"/>
              <w:left w:val="nil"/>
              <w:bottom w:val="nil"/>
              <w:right w:val="nil"/>
            </w:tcBorders>
            <w:shd w:val="clear" w:color="000000" w:fill="FCA777"/>
            <w:noWrap/>
            <w:hideMark/>
          </w:tcPr>
          <w:p w14:paraId="7DD17CD8" w14:textId="06A604C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7,94</w:t>
            </w:r>
          </w:p>
        </w:tc>
        <w:tc>
          <w:tcPr>
            <w:tcW w:w="958" w:type="dxa"/>
            <w:tcBorders>
              <w:top w:val="nil"/>
              <w:left w:val="nil"/>
              <w:bottom w:val="nil"/>
              <w:right w:val="nil"/>
            </w:tcBorders>
            <w:shd w:val="clear" w:color="000000" w:fill="FB9A75"/>
            <w:noWrap/>
            <w:hideMark/>
          </w:tcPr>
          <w:p w14:paraId="68AF7861" w14:textId="79FBDA5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8,23</w:t>
            </w:r>
          </w:p>
        </w:tc>
        <w:tc>
          <w:tcPr>
            <w:tcW w:w="1211" w:type="dxa"/>
            <w:tcBorders>
              <w:top w:val="nil"/>
              <w:left w:val="nil"/>
              <w:bottom w:val="nil"/>
              <w:right w:val="nil"/>
            </w:tcBorders>
            <w:shd w:val="clear" w:color="000000" w:fill="FA8B72"/>
            <w:noWrap/>
            <w:hideMark/>
          </w:tcPr>
          <w:p w14:paraId="2EAA22A4" w14:textId="153B3F28"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8,54</w:t>
            </w:r>
          </w:p>
        </w:tc>
        <w:tc>
          <w:tcPr>
            <w:tcW w:w="1211" w:type="dxa"/>
            <w:tcBorders>
              <w:top w:val="nil"/>
              <w:left w:val="nil"/>
              <w:bottom w:val="nil"/>
              <w:right w:val="nil"/>
            </w:tcBorders>
            <w:shd w:val="clear" w:color="000000" w:fill="F97B6F"/>
            <w:noWrap/>
            <w:hideMark/>
          </w:tcPr>
          <w:p w14:paraId="4FFFBBA7" w14:textId="24EBB5A1"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8,86</w:t>
            </w:r>
          </w:p>
        </w:tc>
        <w:tc>
          <w:tcPr>
            <w:tcW w:w="1214" w:type="dxa"/>
            <w:tcBorders>
              <w:top w:val="nil"/>
              <w:left w:val="nil"/>
              <w:bottom w:val="nil"/>
              <w:right w:val="single" w:sz="4" w:space="0" w:color="auto"/>
            </w:tcBorders>
            <w:shd w:val="clear" w:color="000000" w:fill="F8696B"/>
            <w:noWrap/>
            <w:hideMark/>
          </w:tcPr>
          <w:p w14:paraId="20CED9D9" w14:textId="7D42E621"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9,18</w:t>
            </w:r>
          </w:p>
        </w:tc>
      </w:tr>
      <w:tr w:rsidR="001E4B79" w:rsidRPr="003C0378" w14:paraId="48B66D14" w14:textId="77777777" w:rsidTr="00CC1409">
        <w:trPr>
          <w:trHeight w:val="306"/>
          <w:tblHeader/>
        </w:trPr>
        <w:tc>
          <w:tcPr>
            <w:tcW w:w="1067" w:type="dxa"/>
            <w:vMerge/>
            <w:tcBorders>
              <w:left w:val="single" w:sz="4" w:space="0" w:color="auto"/>
              <w:bottom w:val="single" w:sz="4" w:space="0" w:color="auto"/>
              <w:right w:val="single" w:sz="4" w:space="0" w:color="auto"/>
            </w:tcBorders>
            <w:vAlign w:val="center"/>
            <w:hideMark/>
          </w:tcPr>
          <w:p w14:paraId="155B88DC" w14:textId="77777777" w:rsidR="00556404" w:rsidRPr="003C0378" w:rsidRDefault="00556404" w:rsidP="00556404">
            <w:pPr>
              <w:spacing w:after="0"/>
              <w:ind w:firstLine="0"/>
              <w:jc w:val="left"/>
              <w:rPr>
                <w:rFonts w:eastAsia="Times New Roman" w:cs="Times New Roman"/>
                <w:b/>
                <w:bCs/>
                <w:color w:val="000000"/>
                <w:sz w:val="20"/>
                <w:szCs w:val="20"/>
                <w:lang w:eastAsia="lt-LT"/>
              </w:rPr>
            </w:pPr>
          </w:p>
        </w:tc>
        <w:tc>
          <w:tcPr>
            <w:tcW w:w="1067" w:type="dxa"/>
            <w:tcBorders>
              <w:top w:val="nil"/>
              <w:left w:val="single" w:sz="4" w:space="0" w:color="auto"/>
              <w:bottom w:val="nil"/>
              <w:right w:val="nil"/>
            </w:tcBorders>
            <w:shd w:val="clear" w:color="auto" w:fill="auto"/>
            <w:noWrap/>
            <w:vAlign w:val="bottom"/>
            <w:hideMark/>
          </w:tcPr>
          <w:p w14:paraId="739E151E"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10 proc.</w:t>
            </w:r>
          </w:p>
        </w:tc>
        <w:tc>
          <w:tcPr>
            <w:tcW w:w="959" w:type="dxa"/>
            <w:tcBorders>
              <w:top w:val="nil"/>
              <w:left w:val="nil"/>
              <w:bottom w:val="nil"/>
              <w:right w:val="nil"/>
            </w:tcBorders>
            <w:shd w:val="clear" w:color="000000" w:fill="FED981"/>
            <w:noWrap/>
            <w:hideMark/>
          </w:tcPr>
          <w:p w14:paraId="129D1EC1" w14:textId="71BFD62C"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6,56</w:t>
            </w:r>
          </w:p>
        </w:tc>
        <w:tc>
          <w:tcPr>
            <w:tcW w:w="959" w:type="dxa"/>
            <w:tcBorders>
              <w:top w:val="nil"/>
              <w:left w:val="nil"/>
              <w:bottom w:val="nil"/>
              <w:right w:val="nil"/>
            </w:tcBorders>
            <w:shd w:val="clear" w:color="000000" w:fill="FED07F"/>
            <w:noWrap/>
            <w:hideMark/>
          </w:tcPr>
          <w:p w14:paraId="30B19985" w14:textId="73F4E60B"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6,79</w:t>
            </w:r>
          </w:p>
        </w:tc>
        <w:tc>
          <w:tcPr>
            <w:tcW w:w="958" w:type="dxa"/>
            <w:tcBorders>
              <w:top w:val="nil"/>
              <w:left w:val="nil"/>
              <w:bottom w:val="nil"/>
              <w:right w:val="nil"/>
            </w:tcBorders>
            <w:shd w:val="clear" w:color="000000" w:fill="FEC77D"/>
            <w:noWrap/>
            <w:hideMark/>
          </w:tcPr>
          <w:p w14:paraId="285B6121" w14:textId="0B41A6F8"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7,03</w:t>
            </w:r>
          </w:p>
        </w:tc>
        <w:tc>
          <w:tcPr>
            <w:tcW w:w="958" w:type="dxa"/>
            <w:tcBorders>
              <w:top w:val="nil"/>
              <w:left w:val="nil"/>
              <w:bottom w:val="nil"/>
              <w:right w:val="nil"/>
            </w:tcBorders>
            <w:shd w:val="clear" w:color="000000" w:fill="FDBC7B"/>
            <w:noWrap/>
            <w:hideMark/>
          </w:tcPr>
          <w:p w14:paraId="54A9F259" w14:textId="0D85D66D"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7,29</w:t>
            </w:r>
          </w:p>
        </w:tc>
        <w:tc>
          <w:tcPr>
            <w:tcW w:w="1211" w:type="dxa"/>
            <w:tcBorders>
              <w:top w:val="nil"/>
              <w:left w:val="nil"/>
              <w:bottom w:val="nil"/>
              <w:right w:val="nil"/>
            </w:tcBorders>
            <w:shd w:val="clear" w:color="000000" w:fill="FCB079"/>
            <w:noWrap/>
            <w:hideMark/>
          </w:tcPr>
          <w:p w14:paraId="16C3257D" w14:textId="5CE2201B"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7,55</w:t>
            </w:r>
          </w:p>
        </w:tc>
        <w:tc>
          <w:tcPr>
            <w:tcW w:w="1211" w:type="dxa"/>
            <w:tcBorders>
              <w:top w:val="nil"/>
              <w:left w:val="nil"/>
              <w:bottom w:val="nil"/>
              <w:right w:val="nil"/>
            </w:tcBorders>
            <w:shd w:val="clear" w:color="000000" w:fill="FCA377"/>
            <w:noWrap/>
            <w:hideMark/>
          </w:tcPr>
          <w:p w14:paraId="5781E820" w14:textId="3257F8A2"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7,84</w:t>
            </w:r>
          </w:p>
        </w:tc>
        <w:tc>
          <w:tcPr>
            <w:tcW w:w="1214" w:type="dxa"/>
            <w:tcBorders>
              <w:top w:val="nil"/>
              <w:left w:val="nil"/>
              <w:bottom w:val="nil"/>
              <w:right w:val="single" w:sz="4" w:space="0" w:color="auto"/>
            </w:tcBorders>
            <w:shd w:val="clear" w:color="000000" w:fill="FB9574"/>
            <w:noWrap/>
            <w:hideMark/>
          </w:tcPr>
          <w:p w14:paraId="2DB30AEA" w14:textId="7812980F"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8,13</w:t>
            </w:r>
          </w:p>
        </w:tc>
      </w:tr>
      <w:tr w:rsidR="001E4B79" w:rsidRPr="003C0378" w14:paraId="4A01B73D" w14:textId="77777777" w:rsidTr="00CC1409">
        <w:trPr>
          <w:trHeight w:val="306"/>
          <w:tblHeader/>
        </w:trPr>
        <w:tc>
          <w:tcPr>
            <w:tcW w:w="1067" w:type="dxa"/>
            <w:vMerge/>
            <w:tcBorders>
              <w:left w:val="single" w:sz="4" w:space="0" w:color="auto"/>
              <w:bottom w:val="single" w:sz="4" w:space="0" w:color="auto"/>
              <w:right w:val="single" w:sz="4" w:space="0" w:color="auto"/>
            </w:tcBorders>
            <w:vAlign w:val="center"/>
            <w:hideMark/>
          </w:tcPr>
          <w:p w14:paraId="19836957" w14:textId="77777777" w:rsidR="00556404" w:rsidRPr="003C0378" w:rsidRDefault="00556404" w:rsidP="00556404">
            <w:pPr>
              <w:spacing w:after="0"/>
              <w:ind w:firstLine="0"/>
              <w:jc w:val="left"/>
              <w:rPr>
                <w:rFonts w:eastAsia="Times New Roman" w:cs="Times New Roman"/>
                <w:b/>
                <w:bCs/>
                <w:color w:val="000000"/>
                <w:sz w:val="20"/>
                <w:szCs w:val="20"/>
                <w:lang w:eastAsia="lt-LT"/>
              </w:rPr>
            </w:pPr>
          </w:p>
        </w:tc>
        <w:tc>
          <w:tcPr>
            <w:tcW w:w="1067" w:type="dxa"/>
            <w:tcBorders>
              <w:top w:val="nil"/>
              <w:left w:val="single" w:sz="4" w:space="0" w:color="auto"/>
              <w:bottom w:val="nil"/>
              <w:right w:val="nil"/>
            </w:tcBorders>
            <w:shd w:val="clear" w:color="auto" w:fill="auto"/>
            <w:noWrap/>
            <w:vAlign w:val="bottom"/>
            <w:hideMark/>
          </w:tcPr>
          <w:p w14:paraId="616CF69C"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20 proc.</w:t>
            </w:r>
          </w:p>
        </w:tc>
        <w:tc>
          <w:tcPr>
            <w:tcW w:w="959" w:type="dxa"/>
            <w:tcBorders>
              <w:top w:val="nil"/>
              <w:left w:val="nil"/>
              <w:bottom w:val="nil"/>
              <w:right w:val="nil"/>
            </w:tcBorders>
            <w:shd w:val="clear" w:color="000000" w:fill="F1E783"/>
            <w:noWrap/>
            <w:hideMark/>
          </w:tcPr>
          <w:p w14:paraId="2C3DADDE" w14:textId="1D848047"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5,74</w:t>
            </w:r>
          </w:p>
        </w:tc>
        <w:tc>
          <w:tcPr>
            <w:tcW w:w="959" w:type="dxa"/>
            <w:tcBorders>
              <w:top w:val="nil"/>
              <w:left w:val="nil"/>
              <w:bottom w:val="nil"/>
              <w:right w:val="nil"/>
            </w:tcBorders>
            <w:shd w:val="clear" w:color="000000" w:fill="FFEB84"/>
            <w:noWrap/>
            <w:hideMark/>
          </w:tcPr>
          <w:p w14:paraId="5543E667" w14:textId="6A96B1A1"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5,93</w:t>
            </w:r>
          </w:p>
        </w:tc>
        <w:tc>
          <w:tcPr>
            <w:tcW w:w="958" w:type="dxa"/>
            <w:tcBorders>
              <w:top w:val="nil"/>
              <w:left w:val="nil"/>
              <w:bottom w:val="nil"/>
              <w:right w:val="nil"/>
            </w:tcBorders>
            <w:shd w:val="clear" w:color="000000" w:fill="FFE483"/>
            <w:noWrap/>
            <w:hideMark/>
          </w:tcPr>
          <w:p w14:paraId="28EAE592" w14:textId="7A1CF41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6,12</w:t>
            </w:r>
          </w:p>
        </w:tc>
        <w:tc>
          <w:tcPr>
            <w:tcW w:w="958" w:type="dxa"/>
            <w:tcBorders>
              <w:top w:val="nil"/>
              <w:left w:val="nil"/>
              <w:bottom w:val="nil"/>
              <w:right w:val="nil"/>
            </w:tcBorders>
            <w:shd w:val="clear" w:color="000000" w:fill="FFDC82"/>
            <w:noWrap/>
            <w:hideMark/>
          </w:tcPr>
          <w:p w14:paraId="5675D7F2" w14:textId="146A2345"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6,33</w:t>
            </w:r>
          </w:p>
        </w:tc>
        <w:tc>
          <w:tcPr>
            <w:tcW w:w="1211" w:type="dxa"/>
            <w:tcBorders>
              <w:top w:val="nil"/>
              <w:left w:val="nil"/>
              <w:bottom w:val="nil"/>
              <w:right w:val="nil"/>
            </w:tcBorders>
            <w:shd w:val="clear" w:color="000000" w:fill="FED380"/>
            <w:noWrap/>
            <w:hideMark/>
          </w:tcPr>
          <w:p w14:paraId="01EA4AD1" w14:textId="5E42A201"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6,56</w:t>
            </w:r>
          </w:p>
        </w:tc>
        <w:tc>
          <w:tcPr>
            <w:tcW w:w="1211" w:type="dxa"/>
            <w:tcBorders>
              <w:top w:val="nil"/>
              <w:left w:val="nil"/>
              <w:bottom w:val="nil"/>
              <w:right w:val="nil"/>
            </w:tcBorders>
            <w:shd w:val="clear" w:color="000000" w:fill="FEC97E"/>
            <w:noWrap/>
            <w:hideMark/>
          </w:tcPr>
          <w:p w14:paraId="1444D69F" w14:textId="6ED86D2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6,80</w:t>
            </w:r>
          </w:p>
        </w:tc>
        <w:tc>
          <w:tcPr>
            <w:tcW w:w="1214" w:type="dxa"/>
            <w:tcBorders>
              <w:top w:val="nil"/>
              <w:left w:val="nil"/>
              <w:bottom w:val="nil"/>
              <w:right w:val="single" w:sz="4" w:space="0" w:color="auto"/>
            </w:tcBorders>
            <w:shd w:val="clear" w:color="000000" w:fill="FDBE7C"/>
            <w:noWrap/>
            <w:hideMark/>
          </w:tcPr>
          <w:p w14:paraId="2FEA4910" w14:textId="484E90D9"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7,05</w:t>
            </w:r>
          </w:p>
        </w:tc>
      </w:tr>
      <w:tr w:rsidR="001E4B79" w:rsidRPr="003C0378" w14:paraId="20483C3C" w14:textId="77777777" w:rsidTr="00CC1409">
        <w:trPr>
          <w:trHeight w:val="306"/>
          <w:tblHeader/>
        </w:trPr>
        <w:tc>
          <w:tcPr>
            <w:tcW w:w="1067" w:type="dxa"/>
            <w:vMerge/>
            <w:tcBorders>
              <w:left w:val="single" w:sz="4" w:space="0" w:color="auto"/>
              <w:bottom w:val="single" w:sz="4" w:space="0" w:color="auto"/>
              <w:right w:val="single" w:sz="4" w:space="0" w:color="auto"/>
            </w:tcBorders>
            <w:vAlign w:val="center"/>
            <w:hideMark/>
          </w:tcPr>
          <w:p w14:paraId="3EDF837D" w14:textId="77777777" w:rsidR="00556404" w:rsidRPr="003C0378" w:rsidRDefault="00556404" w:rsidP="00556404">
            <w:pPr>
              <w:spacing w:after="0"/>
              <w:ind w:firstLine="0"/>
              <w:jc w:val="left"/>
              <w:rPr>
                <w:rFonts w:eastAsia="Times New Roman" w:cs="Times New Roman"/>
                <w:b/>
                <w:bCs/>
                <w:color w:val="000000"/>
                <w:sz w:val="20"/>
                <w:szCs w:val="20"/>
                <w:lang w:eastAsia="lt-LT"/>
              </w:rPr>
            </w:pPr>
          </w:p>
        </w:tc>
        <w:tc>
          <w:tcPr>
            <w:tcW w:w="1067" w:type="dxa"/>
            <w:tcBorders>
              <w:top w:val="nil"/>
              <w:left w:val="single" w:sz="4" w:space="0" w:color="auto"/>
              <w:bottom w:val="nil"/>
              <w:right w:val="nil"/>
            </w:tcBorders>
            <w:shd w:val="clear" w:color="auto" w:fill="auto"/>
            <w:noWrap/>
            <w:vAlign w:val="bottom"/>
            <w:hideMark/>
          </w:tcPr>
          <w:p w14:paraId="1FC43492"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30 proc.</w:t>
            </w:r>
          </w:p>
        </w:tc>
        <w:tc>
          <w:tcPr>
            <w:tcW w:w="959" w:type="dxa"/>
            <w:tcBorders>
              <w:top w:val="nil"/>
              <w:left w:val="nil"/>
              <w:bottom w:val="nil"/>
              <w:right w:val="nil"/>
            </w:tcBorders>
            <w:shd w:val="clear" w:color="000000" w:fill="BED880"/>
            <w:noWrap/>
            <w:hideMark/>
          </w:tcPr>
          <w:p w14:paraId="45217691" w14:textId="6A6CE6FC"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4,93</w:t>
            </w:r>
          </w:p>
        </w:tc>
        <w:tc>
          <w:tcPr>
            <w:tcW w:w="959" w:type="dxa"/>
            <w:tcBorders>
              <w:top w:val="nil"/>
              <w:left w:val="nil"/>
              <w:bottom w:val="nil"/>
              <w:right w:val="nil"/>
            </w:tcBorders>
            <w:shd w:val="clear" w:color="000000" w:fill="C9DB80"/>
            <w:noWrap/>
            <w:hideMark/>
          </w:tcPr>
          <w:p w14:paraId="2FCE74FD" w14:textId="12A1DE08"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5,07</w:t>
            </w:r>
          </w:p>
        </w:tc>
        <w:tc>
          <w:tcPr>
            <w:tcW w:w="958" w:type="dxa"/>
            <w:tcBorders>
              <w:top w:val="nil"/>
              <w:left w:val="nil"/>
              <w:bottom w:val="nil"/>
              <w:right w:val="nil"/>
            </w:tcBorders>
            <w:shd w:val="clear" w:color="000000" w:fill="D4DE81"/>
            <w:noWrap/>
            <w:hideMark/>
          </w:tcPr>
          <w:p w14:paraId="1E6ADF5C" w14:textId="44C4CC34"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5,23</w:t>
            </w:r>
          </w:p>
        </w:tc>
        <w:tc>
          <w:tcPr>
            <w:tcW w:w="958" w:type="dxa"/>
            <w:tcBorders>
              <w:top w:val="nil"/>
              <w:left w:val="nil"/>
              <w:bottom w:val="nil"/>
              <w:right w:val="nil"/>
            </w:tcBorders>
            <w:shd w:val="clear" w:color="000000" w:fill="E1E282"/>
            <w:noWrap/>
            <w:hideMark/>
          </w:tcPr>
          <w:p w14:paraId="050790E9" w14:textId="7E06E447"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5,39</w:t>
            </w:r>
          </w:p>
        </w:tc>
        <w:tc>
          <w:tcPr>
            <w:tcW w:w="1211" w:type="dxa"/>
            <w:tcBorders>
              <w:top w:val="nil"/>
              <w:left w:val="nil"/>
              <w:bottom w:val="nil"/>
              <w:right w:val="nil"/>
            </w:tcBorders>
            <w:shd w:val="clear" w:color="000000" w:fill="EEE683"/>
            <w:noWrap/>
            <w:hideMark/>
          </w:tcPr>
          <w:p w14:paraId="0E4EEEDF" w14:textId="17EF6376"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5,57</w:t>
            </w:r>
          </w:p>
        </w:tc>
        <w:tc>
          <w:tcPr>
            <w:tcW w:w="1211" w:type="dxa"/>
            <w:tcBorders>
              <w:top w:val="nil"/>
              <w:left w:val="nil"/>
              <w:bottom w:val="nil"/>
              <w:right w:val="nil"/>
            </w:tcBorders>
            <w:shd w:val="clear" w:color="000000" w:fill="FEEA83"/>
            <w:noWrap/>
            <w:hideMark/>
          </w:tcPr>
          <w:p w14:paraId="052EABA5" w14:textId="5AA4832F"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5,76</w:t>
            </w:r>
          </w:p>
        </w:tc>
        <w:tc>
          <w:tcPr>
            <w:tcW w:w="1214" w:type="dxa"/>
            <w:tcBorders>
              <w:top w:val="nil"/>
              <w:left w:val="nil"/>
              <w:bottom w:val="nil"/>
              <w:right w:val="single" w:sz="4" w:space="0" w:color="auto"/>
            </w:tcBorders>
            <w:shd w:val="clear" w:color="000000" w:fill="FFE483"/>
            <w:noWrap/>
            <w:hideMark/>
          </w:tcPr>
          <w:p w14:paraId="6A7B891E" w14:textId="447C56A7"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5,96</w:t>
            </w:r>
          </w:p>
        </w:tc>
      </w:tr>
      <w:tr w:rsidR="001E4B79" w:rsidRPr="003C0378" w14:paraId="3518EBAB" w14:textId="77777777" w:rsidTr="00CC1409">
        <w:trPr>
          <w:trHeight w:val="306"/>
          <w:tblHeader/>
        </w:trPr>
        <w:tc>
          <w:tcPr>
            <w:tcW w:w="1067" w:type="dxa"/>
            <w:vMerge/>
            <w:tcBorders>
              <w:left w:val="single" w:sz="4" w:space="0" w:color="auto"/>
              <w:bottom w:val="single" w:sz="4" w:space="0" w:color="auto"/>
              <w:right w:val="single" w:sz="4" w:space="0" w:color="auto"/>
            </w:tcBorders>
            <w:vAlign w:val="center"/>
            <w:hideMark/>
          </w:tcPr>
          <w:p w14:paraId="0E3B98B3" w14:textId="77777777" w:rsidR="00556404" w:rsidRPr="003C0378" w:rsidRDefault="00556404" w:rsidP="00556404">
            <w:pPr>
              <w:spacing w:after="0"/>
              <w:ind w:firstLine="0"/>
              <w:jc w:val="left"/>
              <w:rPr>
                <w:rFonts w:eastAsia="Times New Roman" w:cs="Times New Roman"/>
                <w:b/>
                <w:bCs/>
                <w:color w:val="000000"/>
                <w:sz w:val="20"/>
                <w:szCs w:val="20"/>
                <w:lang w:eastAsia="lt-LT"/>
              </w:rPr>
            </w:pPr>
          </w:p>
        </w:tc>
        <w:tc>
          <w:tcPr>
            <w:tcW w:w="1067" w:type="dxa"/>
            <w:tcBorders>
              <w:top w:val="nil"/>
              <w:left w:val="single" w:sz="4" w:space="0" w:color="auto"/>
              <w:bottom w:val="nil"/>
              <w:right w:val="nil"/>
            </w:tcBorders>
            <w:shd w:val="clear" w:color="auto" w:fill="auto"/>
            <w:noWrap/>
            <w:vAlign w:val="bottom"/>
            <w:hideMark/>
          </w:tcPr>
          <w:p w14:paraId="1F5DC8C5"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40 proc.</w:t>
            </w:r>
          </w:p>
        </w:tc>
        <w:tc>
          <w:tcPr>
            <w:tcW w:w="959" w:type="dxa"/>
            <w:tcBorders>
              <w:top w:val="nil"/>
              <w:left w:val="nil"/>
              <w:bottom w:val="nil"/>
              <w:right w:val="nil"/>
            </w:tcBorders>
            <w:shd w:val="clear" w:color="000000" w:fill="8FCA7D"/>
            <w:noWrap/>
            <w:hideMark/>
          </w:tcPr>
          <w:p w14:paraId="6BEBFAD1" w14:textId="4F99D16B"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4,14</w:t>
            </w:r>
          </w:p>
        </w:tc>
        <w:tc>
          <w:tcPr>
            <w:tcW w:w="959" w:type="dxa"/>
            <w:tcBorders>
              <w:top w:val="nil"/>
              <w:left w:val="nil"/>
              <w:bottom w:val="nil"/>
              <w:right w:val="nil"/>
            </w:tcBorders>
            <w:shd w:val="clear" w:color="000000" w:fill="96CC7D"/>
            <w:noWrap/>
            <w:hideMark/>
          </w:tcPr>
          <w:p w14:paraId="5702082E" w14:textId="3E3E3407"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4,25</w:t>
            </w:r>
          </w:p>
        </w:tc>
        <w:tc>
          <w:tcPr>
            <w:tcW w:w="958" w:type="dxa"/>
            <w:tcBorders>
              <w:top w:val="nil"/>
              <w:left w:val="nil"/>
              <w:bottom w:val="nil"/>
              <w:right w:val="nil"/>
            </w:tcBorders>
            <w:shd w:val="clear" w:color="000000" w:fill="9ECF7E"/>
            <w:noWrap/>
            <w:hideMark/>
          </w:tcPr>
          <w:p w14:paraId="0400A80D" w14:textId="16FF9DD8"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4,36</w:t>
            </w:r>
          </w:p>
        </w:tc>
        <w:tc>
          <w:tcPr>
            <w:tcW w:w="958" w:type="dxa"/>
            <w:tcBorders>
              <w:top w:val="nil"/>
              <w:left w:val="nil"/>
              <w:bottom w:val="nil"/>
              <w:right w:val="nil"/>
            </w:tcBorders>
            <w:shd w:val="clear" w:color="000000" w:fill="A7D17E"/>
            <w:noWrap/>
            <w:hideMark/>
          </w:tcPr>
          <w:p w14:paraId="283BBE4F" w14:textId="166EE809"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4,48</w:t>
            </w:r>
          </w:p>
        </w:tc>
        <w:tc>
          <w:tcPr>
            <w:tcW w:w="1211" w:type="dxa"/>
            <w:tcBorders>
              <w:top w:val="nil"/>
              <w:left w:val="nil"/>
              <w:bottom w:val="nil"/>
              <w:right w:val="nil"/>
            </w:tcBorders>
            <w:shd w:val="clear" w:color="000000" w:fill="B0D47F"/>
            <w:noWrap/>
            <w:hideMark/>
          </w:tcPr>
          <w:p w14:paraId="1700B066" w14:textId="1A2043CE"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4,61</w:t>
            </w:r>
          </w:p>
        </w:tc>
        <w:tc>
          <w:tcPr>
            <w:tcW w:w="1211" w:type="dxa"/>
            <w:tcBorders>
              <w:top w:val="nil"/>
              <w:left w:val="nil"/>
              <w:bottom w:val="nil"/>
              <w:right w:val="nil"/>
            </w:tcBorders>
            <w:shd w:val="clear" w:color="000000" w:fill="BAD780"/>
            <w:noWrap/>
            <w:hideMark/>
          </w:tcPr>
          <w:p w14:paraId="107BE86A" w14:textId="44BD6437"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4,75</w:t>
            </w:r>
          </w:p>
        </w:tc>
        <w:tc>
          <w:tcPr>
            <w:tcW w:w="1214" w:type="dxa"/>
            <w:tcBorders>
              <w:top w:val="nil"/>
              <w:left w:val="nil"/>
              <w:bottom w:val="nil"/>
              <w:right w:val="single" w:sz="4" w:space="0" w:color="auto"/>
            </w:tcBorders>
            <w:shd w:val="clear" w:color="000000" w:fill="C5DA80"/>
            <w:noWrap/>
            <w:hideMark/>
          </w:tcPr>
          <w:p w14:paraId="7C8FD630" w14:textId="7B56E27E"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4,90</w:t>
            </w:r>
          </w:p>
        </w:tc>
      </w:tr>
      <w:tr w:rsidR="001E4B79" w:rsidRPr="003C0378" w14:paraId="05650D23" w14:textId="77777777" w:rsidTr="00CC1409">
        <w:trPr>
          <w:trHeight w:val="306"/>
          <w:tblHeader/>
        </w:trPr>
        <w:tc>
          <w:tcPr>
            <w:tcW w:w="1067" w:type="dxa"/>
            <w:vMerge/>
            <w:tcBorders>
              <w:left w:val="single" w:sz="4" w:space="0" w:color="auto"/>
              <w:bottom w:val="single" w:sz="4" w:space="0" w:color="auto"/>
              <w:right w:val="single" w:sz="4" w:space="0" w:color="auto"/>
            </w:tcBorders>
            <w:vAlign w:val="center"/>
            <w:hideMark/>
          </w:tcPr>
          <w:p w14:paraId="1815DF42" w14:textId="77777777" w:rsidR="00556404" w:rsidRPr="003C0378" w:rsidRDefault="00556404" w:rsidP="00556404">
            <w:pPr>
              <w:spacing w:after="0"/>
              <w:ind w:firstLine="0"/>
              <w:jc w:val="left"/>
              <w:rPr>
                <w:rFonts w:eastAsia="Times New Roman" w:cs="Times New Roman"/>
                <w:b/>
                <w:bCs/>
                <w:color w:val="000000"/>
                <w:sz w:val="20"/>
                <w:szCs w:val="20"/>
                <w:lang w:eastAsia="lt-LT"/>
              </w:rPr>
            </w:pPr>
          </w:p>
        </w:tc>
        <w:tc>
          <w:tcPr>
            <w:tcW w:w="1067" w:type="dxa"/>
            <w:tcBorders>
              <w:top w:val="nil"/>
              <w:left w:val="single" w:sz="4" w:space="0" w:color="auto"/>
              <w:bottom w:val="single" w:sz="4" w:space="0" w:color="auto"/>
              <w:right w:val="nil"/>
            </w:tcBorders>
            <w:shd w:val="clear" w:color="auto" w:fill="auto"/>
            <w:noWrap/>
            <w:vAlign w:val="bottom"/>
            <w:hideMark/>
          </w:tcPr>
          <w:p w14:paraId="1A229C2E" w14:textId="77777777" w:rsidR="00556404" w:rsidRPr="003C0378" w:rsidRDefault="00556404" w:rsidP="00556404">
            <w:pPr>
              <w:spacing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50 proc.</w:t>
            </w:r>
          </w:p>
        </w:tc>
        <w:tc>
          <w:tcPr>
            <w:tcW w:w="959" w:type="dxa"/>
            <w:tcBorders>
              <w:top w:val="nil"/>
              <w:left w:val="nil"/>
              <w:bottom w:val="single" w:sz="4" w:space="0" w:color="auto"/>
              <w:right w:val="nil"/>
            </w:tcBorders>
            <w:shd w:val="clear" w:color="000000" w:fill="63BE7B"/>
            <w:noWrap/>
            <w:hideMark/>
          </w:tcPr>
          <w:p w14:paraId="3CCE42D7" w14:textId="490B10EA"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3,37</w:t>
            </w:r>
          </w:p>
        </w:tc>
        <w:tc>
          <w:tcPr>
            <w:tcW w:w="959" w:type="dxa"/>
            <w:tcBorders>
              <w:top w:val="nil"/>
              <w:left w:val="nil"/>
              <w:bottom w:val="single" w:sz="4" w:space="0" w:color="auto"/>
              <w:right w:val="nil"/>
            </w:tcBorders>
            <w:shd w:val="clear" w:color="000000" w:fill="67BF7B"/>
            <w:noWrap/>
            <w:hideMark/>
          </w:tcPr>
          <w:p w14:paraId="4FE6F970" w14:textId="0E1B79A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3,45</w:t>
            </w:r>
          </w:p>
        </w:tc>
        <w:tc>
          <w:tcPr>
            <w:tcW w:w="958" w:type="dxa"/>
            <w:tcBorders>
              <w:top w:val="nil"/>
              <w:left w:val="nil"/>
              <w:bottom w:val="single" w:sz="4" w:space="0" w:color="auto"/>
              <w:right w:val="nil"/>
            </w:tcBorders>
            <w:shd w:val="clear" w:color="000000" w:fill="6CC07B"/>
            <w:noWrap/>
            <w:hideMark/>
          </w:tcPr>
          <w:p w14:paraId="6AFC1487" w14:textId="1B317129"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3,52</w:t>
            </w:r>
          </w:p>
        </w:tc>
        <w:tc>
          <w:tcPr>
            <w:tcW w:w="958" w:type="dxa"/>
            <w:tcBorders>
              <w:top w:val="nil"/>
              <w:left w:val="nil"/>
              <w:bottom w:val="single" w:sz="4" w:space="0" w:color="auto"/>
              <w:right w:val="nil"/>
            </w:tcBorders>
            <w:shd w:val="clear" w:color="000000" w:fill="72C27B"/>
            <w:noWrap/>
            <w:hideMark/>
          </w:tcPr>
          <w:p w14:paraId="63AC6CE3" w14:textId="66B25A2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3,61</w:t>
            </w:r>
          </w:p>
        </w:tc>
        <w:tc>
          <w:tcPr>
            <w:tcW w:w="1211" w:type="dxa"/>
            <w:tcBorders>
              <w:top w:val="nil"/>
              <w:left w:val="nil"/>
              <w:bottom w:val="single" w:sz="4" w:space="0" w:color="auto"/>
              <w:right w:val="nil"/>
            </w:tcBorders>
            <w:shd w:val="clear" w:color="000000" w:fill="78C47C"/>
            <w:noWrap/>
            <w:hideMark/>
          </w:tcPr>
          <w:p w14:paraId="68DA2564" w14:textId="1957265E"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3,70</w:t>
            </w:r>
          </w:p>
        </w:tc>
        <w:tc>
          <w:tcPr>
            <w:tcW w:w="1211" w:type="dxa"/>
            <w:tcBorders>
              <w:top w:val="nil"/>
              <w:left w:val="nil"/>
              <w:bottom w:val="single" w:sz="4" w:space="0" w:color="auto"/>
              <w:right w:val="nil"/>
            </w:tcBorders>
            <w:shd w:val="clear" w:color="000000" w:fill="7EC57C"/>
            <w:noWrap/>
            <w:hideMark/>
          </w:tcPr>
          <w:p w14:paraId="13D960DF" w14:textId="047E434F"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3,79</w:t>
            </w:r>
          </w:p>
        </w:tc>
        <w:tc>
          <w:tcPr>
            <w:tcW w:w="1214" w:type="dxa"/>
            <w:tcBorders>
              <w:top w:val="nil"/>
              <w:left w:val="nil"/>
              <w:bottom w:val="single" w:sz="4" w:space="0" w:color="auto"/>
              <w:right w:val="single" w:sz="4" w:space="0" w:color="auto"/>
            </w:tcBorders>
            <w:shd w:val="clear" w:color="000000" w:fill="85C77C"/>
            <w:noWrap/>
            <w:hideMark/>
          </w:tcPr>
          <w:p w14:paraId="156601F0" w14:textId="5394A733" w:rsidR="00556404" w:rsidRPr="00556404" w:rsidRDefault="00556404" w:rsidP="00556404">
            <w:pPr>
              <w:spacing w:after="0"/>
              <w:ind w:firstLine="0"/>
              <w:jc w:val="center"/>
              <w:rPr>
                <w:rFonts w:eastAsia="Times New Roman" w:cs="Times New Roman"/>
                <w:color w:val="000000"/>
                <w:sz w:val="20"/>
                <w:szCs w:val="20"/>
                <w:lang w:eastAsia="lt-LT"/>
              </w:rPr>
            </w:pPr>
            <w:r w:rsidRPr="00556404">
              <w:rPr>
                <w:sz w:val="20"/>
                <w:szCs w:val="20"/>
              </w:rPr>
              <w:t>3,89</w:t>
            </w:r>
          </w:p>
        </w:tc>
      </w:tr>
    </w:tbl>
    <w:p w14:paraId="10B5ACFE" w14:textId="77777777" w:rsidR="005C2C96" w:rsidRPr="003C0378" w:rsidRDefault="005C2C96" w:rsidP="005C2C96">
      <w:pPr>
        <w:ind w:firstLine="562"/>
        <w:jc w:val="left"/>
        <w:rPr>
          <w:rFonts w:cs="Times New Roman"/>
          <w:sz w:val="20"/>
          <w:szCs w:val="20"/>
        </w:rPr>
      </w:pPr>
      <w:r w:rsidRPr="003C0378">
        <w:rPr>
          <w:rFonts w:cs="Times New Roman"/>
          <w:sz w:val="20"/>
          <w:szCs w:val="20"/>
        </w:rPr>
        <w:t>Šaltinis: sudaryta Vertintojų.</w:t>
      </w:r>
    </w:p>
    <w:p w14:paraId="24BA455F" w14:textId="77777777" w:rsidR="005C2C96" w:rsidRPr="003C0378" w:rsidRDefault="005C2C96" w:rsidP="005C2C96">
      <w:pPr>
        <w:spacing w:line="276" w:lineRule="auto"/>
      </w:pPr>
      <w:r w:rsidRPr="003C0378">
        <w:lastRenderedPageBreak/>
        <w:t xml:space="preserve">Siekiant įvertinti kaip keistųsi elektrinės atsiperkamumas keičiantis nuosavo kapitalo paskolos palūkanų normoms, Vertintojai atliko nuosavo kapitalo palūkanų normų jautrumo analizę, kurios rezultatai pateikiami žemiau esančioje lentelėje. Nuosavo kapitalo palūkanų didėjimas gali indikuoti blogėjančią ekonominę situaciją ar kitas nepalankias sąlygas, kurios kelia rizikas įmonių investicijoms ir atitinkamai didina investicijų kainas. </w:t>
      </w:r>
    </w:p>
    <w:p w14:paraId="190410BA" w14:textId="1285C260" w:rsidR="005C2C96" w:rsidRPr="003C0378" w:rsidRDefault="005C2C96" w:rsidP="005C2C96">
      <w:pPr>
        <w:spacing w:line="276" w:lineRule="auto"/>
      </w:pPr>
      <w:r w:rsidRPr="003C0378">
        <w:t>Netaikant dotacijos, remiantis prielaidose nurodyta nuosavo kapitalo palūkanų norma (</w:t>
      </w:r>
      <w:r w:rsidR="0017079C">
        <w:t xml:space="preserve">8 </w:t>
      </w:r>
      <w:r w:rsidRPr="003C0378">
        <w:t xml:space="preserve">proc.), investicijos į saulės elektrinės įrengimą labai mažoje arba mažoje įmonėje atsipirktų per šiek tiek </w:t>
      </w:r>
      <w:r w:rsidR="0017079C">
        <w:t>daugi</w:t>
      </w:r>
      <w:r w:rsidRPr="003C0378">
        <w:t>au nei 8 metus. Taikant 10 proc. dotaciją ir laikantis prielaidose nustatytos nuosavo kapitalo palūkanų normos, investicijos atsipirktų per kiek</w:t>
      </w:r>
      <w:r w:rsidR="0017079C">
        <w:t xml:space="preserve"> daugiau</w:t>
      </w:r>
      <w:r w:rsidRPr="003C0378">
        <w:t xml:space="preserve"> negu 7 metus. Jeigu nuosavo kapitalo palūkanų normos būtų didesnės ir siektų 1</w:t>
      </w:r>
      <w:r w:rsidR="0017079C">
        <w:t>1</w:t>
      </w:r>
      <w:r w:rsidRPr="003C0378">
        <w:t xml:space="preserve"> proc., elektrinė vis tiek atsipirktų per adekvatų laikotarpį be dotacijos (</w:t>
      </w:r>
      <w:r w:rsidR="0017079C">
        <w:t>per maždaug</w:t>
      </w:r>
      <w:r w:rsidRPr="003C0378">
        <w:t xml:space="preserve"> 8</w:t>
      </w:r>
      <w:r w:rsidR="0017079C">
        <w:t>,5</w:t>
      </w:r>
      <w:r w:rsidRPr="003C0378">
        <w:t xml:space="preserve"> metus). Taigi, atliktos analizės rezultatai indikuoja, kad net jeigu ir būtų nuosavo kapitalo palūkanos ženkliai didesnės (1</w:t>
      </w:r>
      <w:r w:rsidR="0017079C">
        <w:t>1</w:t>
      </w:r>
      <w:r w:rsidRPr="003C0378">
        <w:t xml:space="preserve"> proc.) nei bazinio scenarijaus atveju (</w:t>
      </w:r>
      <w:r w:rsidR="0017079C">
        <w:t>8</w:t>
      </w:r>
      <w:r w:rsidRPr="003C0378">
        <w:t xml:space="preserve"> proc.), projektas atsipirktų greičiau nei per paskolos terminą (1</w:t>
      </w:r>
      <w:r w:rsidR="0050358E">
        <w:t>0</w:t>
      </w:r>
      <w:r w:rsidR="00EA79B2">
        <w:t xml:space="preserve">– 15 </w:t>
      </w:r>
      <w:r w:rsidRPr="003C0378">
        <w:t xml:space="preserve">metų). </w:t>
      </w:r>
    </w:p>
    <w:p w14:paraId="4C02606C" w14:textId="1E49A936" w:rsidR="005C2C96" w:rsidRPr="003C0378" w:rsidRDefault="005C2C96" w:rsidP="005C2C96">
      <w:pPr>
        <w:spacing w:line="276" w:lineRule="auto"/>
        <w:ind w:firstLine="0"/>
      </w:pPr>
      <w:bookmarkStart w:id="151" w:name="_Toc166139872"/>
      <w:bookmarkStart w:id="152" w:name="_Toc170804638"/>
      <w:bookmarkStart w:id="153" w:name="_Toc126051401"/>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22</w:t>
      </w:r>
      <w:r w:rsidRPr="003C0378">
        <w:rPr>
          <w:rFonts w:cs="Times New Roman"/>
          <w:i/>
          <w:iCs/>
        </w:rPr>
        <w:fldChar w:fldCharType="end"/>
      </w:r>
      <w:r w:rsidRPr="003C0378">
        <w:rPr>
          <w:rFonts w:cs="Times New Roman"/>
          <w:i/>
          <w:iCs/>
        </w:rPr>
        <w:t xml:space="preserve">. Jautrumo analizės </w:t>
      </w:r>
      <w:r w:rsidR="00B1402E">
        <w:rPr>
          <w:rFonts w:cs="Times New Roman"/>
          <w:i/>
          <w:iCs/>
        </w:rPr>
        <w:t>verslo tikslinėje</w:t>
      </w:r>
      <w:r w:rsidRPr="003C0378">
        <w:rPr>
          <w:rFonts w:cs="Times New Roman"/>
          <w:i/>
          <w:iCs/>
        </w:rPr>
        <w:t xml:space="preserve"> grupėje – nuosavo kapitalo palūkanų normos</w:t>
      </w:r>
      <w:bookmarkEnd w:id="151"/>
      <w:bookmarkEnd w:id="152"/>
    </w:p>
    <w:tbl>
      <w:tblPr>
        <w:tblW w:w="9543" w:type="dxa"/>
        <w:tblLook w:val="04A0" w:firstRow="1" w:lastRow="0" w:firstColumn="1" w:lastColumn="0" w:noHBand="0" w:noVBand="1"/>
      </w:tblPr>
      <w:tblGrid>
        <w:gridCol w:w="1060"/>
        <w:gridCol w:w="1060"/>
        <w:gridCol w:w="986"/>
        <w:gridCol w:w="986"/>
        <w:gridCol w:w="986"/>
        <w:gridCol w:w="986"/>
        <w:gridCol w:w="986"/>
        <w:gridCol w:w="1246"/>
        <w:gridCol w:w="1247"/>
      </w:tblGrid>
      <w:tr w:rsidR="003F0B4C" w:rsidRPr="003C0378" w14:paraId="6F0F93BC" w14:textId="77777777" w:rsidTr="00E24002">
        <w:trPr>
          <w:trHeight w:val="267"/>
          <w:tblHeader/>
        </w:trPr>
        <w:tc>
          <w:tcPr>
            <w:tcW w:w="1060" w:type="dxa"/>
            <w:vMerge w:val="restart"/>
            <w:tcBorders>
              <w:top w:val="single" w:sz="4" w:space="0" w:color="auto"/>
              <w:left w:val="single" w:sz="4" w:space="0" w:color="auto"/>
              <w:bottom w:val="single" w:sz="4" w:space="0" w:color="auto"/>
            </w:tcBorders>
            <w:shd w:val="clear" w:color="auto" w:fill="auto"/>
            <w:noWrap/>
            <w:textDirection w:val="btLr"/>
            <w:vAlign w:val="bottom"/>
            <w:hideMark/>
          </w:tcPr>
          <w:p w14:paraId="1239F990" w14:textId="77777777" w:rsidR="005C2C96" w:rsidRPr="003C0378" w:rsidRDefault="005C2C96" w:rsidP="00561795">
            <w:pPr>
              <w:spacing w:before="0" w:after="0"/>
              <w:ind w:left="113" w:right="113" w:firstLine="0"/>
              <w:jc w:val="center"/>
              <w:rPr>
                <w:rFonts w:eastAsia="Times New Roman" w:cs="Times New Roman"/>
                <w:sz w:val="20"/>
                <w:szCs w:val="20"/>
                <w:lang w:eastAsia="lt-LT"/>
              </w:rPr>
            </w:pPr>
            <w:r w:rsidRPr="003C0378">
              <w:rPr>
                <w:rFonts w:eastAsia="Times New Roman" w:cs="Times New Roman"/>
                <w:b/>
                <w:bCs/>
                <w:color w:val="000000"/>
                <w:sz w:val="20"/>
                <w:szCs w:val="20"/>
                <w:lang w:eastAsia="lt-LT"/>
              </w:rPr>
              <w:t>Dotacijos intensyvumas (proc.)</w:t>
            </w:r>
          </w:p>
        </w:tc>
        <w:tc>
          <w:tcPr>
            <w:tcW w:w="8483" w:type="dxa"/>
            <w:gridSpan w:val="8"/>
            <w:tcBorders>
              <w:top w:val="single" w:sz="4" w:space="0" w:color="auto"/>
              <w:bottom w:val="single" w:sz="4" w:space="0" w:color="auto"/>
              <w:right w:val="single" w:sz="4" w:space="0" w:color="auto"/>
            </w:tcBorders>
            <w:shd w:val="clear" w:color="auto" w:fill="auto"/>
            <w:noWrap/>
            <w:vAlign w:val="bottom"/>
            <w:hideMark/>
          </w:tcPr>
          <w:p w14:paraId="5527B31F" w14:textId="77777777" w:rsidR="005C2C96" w:rsidRPr="003C0378" w:rsidRDefault="005C2C96" w:rsidP="00561795">
            <w:pPr>
              <w:spacing w:before="0" w:after="0"/>
              <w:ind w:firstLine="0"/>
              <w:jc w:val="center"/>
              <w:rPr>
                <w:rFonts w:eastAsia="Times New Roman" w:cs="Times New Roman"/>
                <w:b/>
                <w:bCs/>
                <w:color w:val="000000"/>
                <w:sz w:val="20"/>
                <w:szCs w:val="20"/>
                <w:lang w:eastAsia="lt-LT"/>
              </w:rPr>
            </w:pPr>
            <w:r w:rsidRPr="003C0378">
              <w:rPr>
                <w:rFonts w:eastAsia="Times New Roman" w:cs="Times New Roman"/>
                <w:b/>
                <w:bCs/>
                <w:color w:val="000000"/>
                <w:sz w:val="20"/>
                <w:szCs w:val="20"/>
                <w:lang w:eastAsia="lt-LT"/>
              </w:rPr>
              <w:t>Nuosavo kapitalo palūkanų normos (proc.)</w:t>
            </w:r>
          </w:p>
        </w:tc>
      </w:tr>
      <w:bookmarkEnd w:id="153"/>
      <w:tr w:rsidR="001E4B79" w:rsidRPr="003C0378" w14:paraId="2902AFF4" w14:textId="77777777" w:rsidTr="00561795">
        <w:trPr>
          <w:trHeight w:val="548"/>
          <w:tblHeader/>
        </w:trPr>
        <w:tc>
          <w:tcPr>
            <w:tcW w:w="10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38D94" w14:textId="77777777" w:rsidR="005C2C96" w:rsidRPr="003C0378" w:rsidRDefault="005C2C96" w:rsidP="00561795">
            <w:pPr>
              <w:spacing w:before="0" w:after="0"/>
              <w:ind w:firstLine="0"/>
              <w:jc w:val="center"/>
              <w:rPr>
                <w:rFonts w:eastAsia="Times New Roman" w:cs="Times New Roman"/>
                <w:b/>
                <w:bCs/>
                <w:color w:val="000000"/>
                <w:sz w:val="20"/>
                <w:szCs w:val="20"/>
                <w:lang w:eastAsia="lt-LT"/>
              </w:rPr>
            </w:pPr>
          </w:p>
        </w:tc>
        <w:tc>
          <w:tcPr>
            <w:tcW w:w="1060" w:type="dxa"/>
            <w:tcBorders>
              <w:top w:val="single" w:sz="4" w:space="0" w:color="auto"/>
              <w:left w:val="single" w:sz="4" w:space="0" w:color="auto"/>
              <w:bottom w:val="nil"/>
              <w:right w:val="nil"/>
            </w:tcBorders>
            <w:shd w:val="clear" w:color="auto" w:fill="auto"/>
            <w:noWrap/>
            <w:vAlign w:val="bottom"/>
            <w:hideMark/>
          </w:tcPr>
          <w:p w14:paraId="747B5163" w14:textId="77777777" w:rsidR="005C2C96" w:rsidRPr="003C0378" w:rsidRDefault="005C2C96" w:rsidP="00561795">
            <w:pPr>
              <w:spacing w:before="0" w:after="0"/>
              <w:ind w:firstLine="0"/>
              <w:jc w:val="center"/>
              <w:rPr>
                <w:rFonts w:eastAsia="Times New Roman" w:cs="Times New Roman"/>
                <w:sz w:val="20"/>
                <w:szCs w:val="20"/>
                <w:lang w:eastAsia="lt-LT"/>
              </w:rPr>
            </w:pPr>
          </w:p>
        </w:tc>
        <w:tc>
          <w:tcPr>
            <w:tcW w:w="986" w:type="dxa"/>
            <w:tcBorders>
              <w:top w:val="single" w:sz="4" w:space="0" w:color="auto"/>
              <w:left w:val="nil"/>
              <w:bottom w:val="nil"/>
              <w:right w:val="nil"/>
            </w:tcBorders>
            <w:shd w:val="clear" w:color="auto" w:fill="auto"/>
            <w:noWrap/>
            <w:vAlign w:val="center"/>
            <w:hideMark/>
          </w:tcPr>
          <w:p w14:paraId="39EE2F03" w14:textId="182FBFA0" w:rsidR="005C2C96" w:rsidRPr="003C0378" w:rsidRDefault="009E6992" w:rsidP="00561795">
            <w:pPr>
              <w:spacing w:before="0" w:after="0"/>
              <w:ind w:firstLine="0"/>
              <w:jc w:val="center"/>
              <w:rPr>
                <w:rFonts w:eastAsia="Times New Roman" w:cs="Times New Roman"/>
                <w:color w:val="000000"/>
                <w:sz w:val="20"/>
                <w:szCs w:val="20"/>
                <w:lang w:eastAsia="lt-LT"/>
              </w:rPr>
            </w:pPr>
            <w:r>
              <w:rPr>
                <w:rFonts w:cs="Times New Roman"/>
                <w:color w:val="000000"/>
                <w:sz w:val="20"/>
                <w:szCs w:val="20"/>
              </w:rPr>
              <w:t>5</w:t>
            </w:r>
            <w:r w:rsidR="005C2C96" w:rsidRPr="003C0378">
              <w:rPr>
                <w:rFonts w:cs="Times New Roman"/>
                <w:color w:val="000000"/>
                <w:sz w:val="20"/>
                <w:szCs w:val="20"/>
              </w:rPr>
              <w:t xml:space="preserve"> proc.</w:t>
            </w:r>
          </w:p>
        </w:tc>
        <w:tc>
          <w:tcPr>
            <w:tcW w:w="986" w:type="dxa"/>
            <w:tcBorders>
              <w:top w:val="single" w:sz="4" w:space="0" w:color="auto"/>
              <w:left w:val="nil"/>
              <w:bottom w:val="nil"/>
              <w:right w:val="nil"/>
            </w:tcBorders>
            <w:shd w:val="clear" w:color="auto" w:fill="auto"/>
            <w:noWrap/>
            <w:vAlign w:val="center"/>
            <w:hideMark/>
          </w:tcPr>
          <w:p w14:paraId="018E5D3C" w14:textId="031878A6" w:rsidR="005C2C96" w:rsidRPr="003C0378" w:rsidRDefault="009E6992" w:rsidP="00561795">
            <w:pPr>
              <w:spacing w:before="0" w:after="0"/>
              <w:ind w:firstLine="0"/>
              <w:jc w:val="center"/>
              <w:rPr>
                <w:rFonts w:eastAsia="Times New Roman" w:cs="Times New Roman"/>
                <w:color w:val="000000"/>
                <w:sz w:val="20"/>
                <w:szCs w:val="20"/>
                <w:lang w:eastAsia="lt-LT"/>
              </w:rPr>
            </w:pPr>
            <w:r>
              <w:rPr>
                <w:rFonts w:cs="Times New Roman"/>
                <w:color w:val="000000"/>
                <w:sz w:val="20"/>
                <w:szCs w:val="20"/>
              </w:rPr>
              <w:t>6</w:t>
            </w:r>
            <w:r w:rsidR="005C2C96" w:rsidRPr="003C0378">
              <w:rPr>
                <w:rFonts w:cs="Times New Roman"/>
                <w:color w:val="000000"/>
                <w:sz w:val="20"/>
                <w:szCs w:val="20"/>
              </w:rPr>
              <w:t xml:space="preserve"> proc.</w:t>
            </w:r>
          </w:p>
        </w:tc>
        <w:tc>
          <w:tcPr>
            <w:tcW w:w="986" w:type="dxa"/>
            <w:tcBorders>
              <w:top w:val="single" w:sz="4" w:space="0" w:color="auto"/>
              <w:left w:val="nil"/>
              <w:bottom w:val="nil"/>
              <w:right w:val="nil"/>
            </w:tcBorders>
            <w:shd w:val="clear" w:color="auto" w:fill="auto"/>
            <w:noWrap/>
            <w:vAlign w:val="center"/>
            <w:hideMark/>
          </w:tcPr>
          <w:p w14:paraId="4D9B83CA" w14:textId="422FF105" w:rsidR="005C2C96" w:rsidRPr="003C0378" w:rsidRDefault="009E6992" w:rsidP="00561795">
            <w:pPr>
              <w:spacing w:before="0" w:after="0"/>
              <w:ind w:firstLine="0"/>
              <w:jc w:val="center"/>
              <w:rPr>
                <w:rFonts w:eastAsia="Times New Roman" w:cs="Times New Roman"/>
                <w:color w:val="000000"/>
                <w:sz w:val="20"/>
                <w:szCs w:val="20"/>
                <w:lang w:eastAsia="lt-LT"/>
              </w:rPr>
            </w:pPr>
            <w:r>
              <w:rPr>
                <w:rFonts w:cs="Times New Roman"/>
                <w:color w:val="000000"/>
                <w:sz w:val="20"/>
                <w:szCs w:val="20"/>
              </w:rPr>
              <w:t>7</w:t>
            </w:r>
            <w:r w:rsidR="005C2C96" w:rsidRPr="003C0378">
              <w:rPr>
                <w:rFonts w:cs="Times New Roman"/>
                <w:color w:val="000000"/>
                <w:sz w:val="20"/>
                <w:szCs w:val="20"/>
              </w:rPr>
              <w:t xml:space="preserve"> proc.</w:t>
            </w:r>
          </w:p>
        </w:tc>
        <w:tc>
          <w:tcPr>
            <w:tcW w:w="986" w:type="dxa"/>
            <w:tcBorders>
              <w:top w:val="single" w:sz="4" w:space="0" w:color="auto"/>
              <w:left w:val="nil"/>
              <w:bottom w:val="nil"/>
              <w:right w:val="nil"/>
            </w:tcBorders>
            <w:shd w:val="clear" w:color="auto" w:fill="auto"/>
            <w:noWrap/>
            <w:vAlign w:val="center"/>
            <w:hideMark/>
          </w:tcPr>
          <w:p w14:paraId="621BB0AD" w14:textId="137ABEEE" w:rsidR="005C2C96" w:rsidRPr="003C0378" w:rsidRDefault="009E6992" w:rsidP="00561795">
            <w:pPr>
              <w:spacing w:before="0" w:after="0"/>
              <w:ind w:firstLine="0"/>
              <w:jc w:val="center"/>
              <w:rPr>
                <w:rFonts w:eastAsia="Times New Roman" w:cs="Times New Roman"/>
                <w:color w:val="000000"/>
                <w:sz w:val="20"/>
                <w:szCs w:val="20"/>
                <w:lang w:eastAsia="lt-LT"/>
              </w:rPr>
            </w:pPr>
            <w:r>
              <w:rPr>
                <w:rFonts w:cs="Times New Roman"/>
                <w:color w:val="000000"/>
                <w:sz w:val="20"/>
                <w:szCs w:val="20"/>
              </w:rPr>
              <w:t>8</w:t>
            </w:r>
            <w:r w:rsidR="005C2C96" w:rsidRPr="003C0378">
              <w:rPr>
                <w:rFonts w:cs="Times New Roman"/>
                <w:color w:val="000000"/>
                <w:sz w:val="20"/>
                <w:szCs w:val="20"/>
              </w:rPr>
              <w:t xml:space="preserve"> proc.</w:t>
            </w:r>
          </w:p>
        </w:tc>
        <w:tc>
          <w:tcPr>
            <w:tcW w:w="986" w:type="dxa"/>
            <w:tcBorders>
              <w:top w:val="single" w:sz="4" w:space="0" w:color="auto"/>
              <w:left w:val="nil"/>
              <w:bottom w:val="nil"/>
              <w:right w:val="nil"/>
            </w:tcBorders>
            <w:shd w:val="clear" w:color="auto" w:fill="auto"/>
            <w:noWrap/>
            <w:vAlign w:val="center"/>
            <w:hideMark/>
          </w:tcPr>
          <w:p w14:paraId="5B55CF69" w14:textId="077F4538" w:rsidR="005C2C96" w:rsidRPr="003C0378" w:rsidRDefault="009E6992" w:rsidP="00561795">
            <w:pPr>
              <w:spacing w:before="0" w:after="0"/>
              <w:ind w:firstLine="0"/>
              <w:jc w:val="center"/>
              <w:rPr>
                <w:rFonts w:eastAsia="Times New Roman" w:cs="Times New Roman"/>
                <w:color w:val="000000"/>
                <w:sz w:val="20"/>
                <w:szCs w:val="20"/>
                <w:lang w:eastAsia="lt-LT"/>
              </w:rPr>
            </w:pPr>
            <w:r>
              <w:rPr>
                <w:rFonts w:cs="Times New Roman"/>
                <w:color w:val="000000"/>
                <w:sz w:val="20"/>
                <w:szCs w:val="20"/>
              </w:rPr>
              <w:t>9</w:t>
            </w:r>
            <w:r w:rsidR="005C2C96" w:rsidRPr="003C0378">
              <w:rPr>
                <w:rFonts w:cs="Times New Roman"/>
                <w:color w:val="000000"/>
                <w:sz w:val="20"/>
                <w:szCs w:val="20"/>
              </w:rPr>
              <w:t xml:space="preserve"> proc.</w:t>
            </w:r>
          </w:p>
        </w:tc>
        <w:tc>
          <w:tcPr>
            <w:tcW w:w="1246" w:type="dxa"/>
            <w:tcBorders>
              <w:top w:val="single" w:sz="4" w:space="0" w:color="auto"/>
              <w:left w:val="nil"/>
              <w:bottom w:val="nil"/>
              <w:right w:val="nil"/>
            </w:tcBorders>
            <w:shd w:val="clear" w:color="auto" w:fill="auto"/>
            <w:noWrap/>
            <w:vAlign w:val="center"/>
            <w:hideMark/>
          </w:tcPr>
          <w:p w14:paraId="0602E4F0" w14:textId="27368707" w:rsidR="005C2C96" w:rsidRPr="003C0378" w:rsidRDefault="005C2C96" w:rsidP="00561795">
            <w:pPr>
              <w:spacing w:before="0" w:after="0"/>
              <w:ind w:firstLine="0"/>
              <w:jc w:val="center"/>
              <w:rPr>
                <w:rFonts w:eastAsia="Times New Roman" w:cs="Times New Roman"/>
                <w:color w:val="000000"/>
                <w:sz w:val="20"/>
                <w:szCs w:val="20"/>
                <w:lang w:eastAsia="lt-LT"/>
              </w:rPr>
            </w:pPr>
            <w:r w:rsidRPr="003C0378">
              <w:rPr>
                <w:rFonts w:cs="Times New Roman"/>
                <w:color w:val="000000"/>
                <w:sz w:val="20"/>
                <w:szCs w:val="20"/>
              </w:rPr>
              <w:t>1</w:t>
            </w:r>
            <w:r w:rsidR="009E6992">
              <w:rPr>
                <w:rFonts w:cs="Times New Roman"/>
                <w:color w:val="000000"/>
                <w:sz w:val="20"/>
                <w:szCs w:val="20"/>
              </w:rPr>
              <w:t>0</w:t>
            </w:r>
            <w:r w:rsidRPr="003C0378">
              <w:rPr>
                <w:rFonts w:cs="Times New Roman"/>
                <w:color w:val="000000"/>
                <w:sz w:val="20"/>
                <w:szCs w:val="20"/>
              </w:rPr>
              <w:t xml:space="preserve"> proc.</w:t>
            </w:r>
          </w:p>
        </w:tc>
        <w:tc>
          <w:tcPr>
            <w:tcW w:w="1247" w:type="dxa"/>
            <w:tcBorders>
              <w:top w:val="single" w:sz="4" w:space="0" w:color="auto"/>
              <w:left w:val="nil"/>
              <w:bottom w:val="nil"/>
              <w:right w:val="single" w:sz="4" w:space="0" w:color="auto"/>
            </w:tcBorders>
            <w:shd w:val="clear" w:color="auto" w:fill="auto"/>
            <w:noWrap/>
            <w:vAlign w:val="center"/>
            <w:hideMark/>
          </w:tcPr>
          <w:p w14:paraId="38156CFB" w14:textId="154036BB" w:rsidR="005C2C96" w:rsidRPr="003C0378" w:rsidRDefault="005C2C96" w:rsidP="00561795">
            <w:pPr>
              <w:spacing w:before="0" w:after="0"/>
              <w:ind w:firstLine="0"/>
              <w:jc w:val="center"/>
              <w:rPr>
                <w:rFonts w:eastAsia="Times New Roman" w:cs="Times New Roman"/>
                <w:color w:val="000000"/>
                <w:sz w:val="20"/>
                <w:szCs w:val="20"/>
                <w:lang w:eastAsia="lt-LT"/>
              </w:rPr>
            </w:pPr>
            <w:r w:rsidRPr="003C0378">
              <w:rPr>
                <w:rFonts w:cs="Times New Roman"/>
                <w:color w:val="000000"/>
                <w:sz w:val="20"/>
                <w:szCs w:val="20"/>
              </w:rPr>
              <w:t>1</w:t>
            </w:r>
            <w:r w:rsidR="009E6992">
              <w:rPr>
                <w:rFonts w:cs="Times New Roman"/>
                <w:color w:val="000000"/>
                <w:sz w:val="20"/>
                <w:szCs w:val="20"/>
              </w:rPr>
              <w:t>1</w:t>
            </w:r>
            <w:r w:rsidRPr="003C0378">
              <w:rPr>
                <w:rFonts w:cs="Times New Roman"/>
                <w:color w:val="000000"/>
                <w:sz w:val="20"/>
                <w:szCs w:val="20"/>
              </w:rPr>
              <w:t xml:space="preserve"> proc.</w:t>
            </w:r>
          </w:p>
        </w:tc>
      </w:tr>
      <w:tr w:rsidR="001E4B79" w:rsidRPr="003C0378" w14:paraId="7B4D72CE" w14:textId="77777777" w:rsidTr="00CC1409">
        <w:trPr>
          <w:trHeight w:val="267"/>
          <w:tblHeader/>
        </w:trPr>
        <w:tc>
          <w:tcPr>
            <w:tcW w:w="1060" w:type="dxa"/>
            <w:vMerge/>
            <w:tcBorders>
              <w:left w:val="single" w:sz="4" w:space="0" w:color="auto"/>
              <w:bottom w:val="single" w:sz="4" w:space="0" w:color="auto"/>
              <w:right w:val="single" w:sz="4" w:space="0" w:color="auto"/>
            </w:tcBorders>
            <w:shd w:val="clear" w:color="auto" w:fill="auto"/>
            <w:textDirection w:val="btLr"/>
            <w:vAlign w:val="center"/>
            <w:hideMark/>
          </w:tcPr>
          <w:p w14:paraId="6724E427" w14:textId="77777777" w:rsidR="009E6992" w:rsidRPr="003C0378" w:rsidRDefault="009E6992" w:rsidP="009E6992">
            <w:pPr>
              <w:spacing w:before="0" w:after="0"/>
              <w:ind w:firstLine="0"/>
              <w:jc w:val="center"/>
              <w:rPr>
                <w:rFonts w:eastAsia="Times New Roman" w:cs="Times New Roman"/>
                <w:b/>
                <w:bCs/>
                <w:color w:val="000000"/>
                <w:sz w:val="20"/>
                <w:szCs w:val="20"/>
                <w:lang w:eastAsia="lt-LT"/>
              </w:rPr>
            </w:pPr>
          </w:p>
        </w:tc>
        <w:tc>
          <w:tcPr>
            <w:tcW w:w="1060" w:type="dxa"/>
            <w:tcBorders>
              <w:top w:val="nil"/>
              <w:left w:val="single" w:sz="4" w:space="0" w:color="auto"/>
              <w:bottom w:val="nil"/>
              <w:right w:val="nil"/>
            </w:tcBorders>
            <w:shd w:val="clear" w:color="auto" w:fill="auto"/>
            <w:noWrap/>
            <w:vAlign w:val="bottom"/>
            <w:hideMark/>
          </w:tcPr>
          <w:p w14:paraId="0D519512"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0 proc.</w:t>
            </w:r>
          </w:p>
        </w:tc>
        <w:tc>
          <w:tcPr>
            <w:tcW w:w="986" w:type="dxa"/>
            <w:tcBorders>
              <w:top w:val="nil"/>
              <w:left w:val="nil"/>
              <w:bottom w:val="nil"/>
              <w:right w:val="nil"/>
            </w:tcBorders>
            <w:shd w:val="clear" w:color="000000" w:fill="FB9273"/>
            <w:noWrap/>
            <w:hideMark/>
          </w:tcPr>
          <w:p w14:paraId="0DD09268" w14:textId="2AA1E0B1"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7,93</w:t>
            </w:r>
          </w:p>
        </w:tc>
        <w:tc>
          <w:tcPr>
            <w:tcW w:w="986" w:type="dxa"/>
            <w:tcBorders>
              <w:top w:val="nil"/>
              <w:left w:val="nil"/>
              <w:bottom w:val="nil"/>
              <w:right w:val="nil"/>
            </w:tcBorders>
            <w:shd w:val="clear" w:color="000000" w:fill="FA8C72"/>
            <w:noWrap/>
            <w:hideMark/>
          </w:tcPr>
          <w:p w14:paraId="158D6278" w14:textId="69B7922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8,03</w:t>
            </w:r>
          </w:p>
        </w:tc>
        <w:tc>
          <w:tcPr>
            <w:tcW w:w="986" w:type="dxa"/>
            <w:tcBorders>
              <w:top w:val="nil"/>
              <w:left w:val="nil"/>
              <w:bottom w:val="nil"/>
              <w:right w:val="nil"/>
            </w:tcBorders>
            <w:shd w:val="clear" w:color="000000" w:fill="FA8671"/>
            <w:noWrap/>
            <w:hideMark/>
          </w:tcPr>
          <w:p w14:paraId="6C076265" w14:textId="42CFB151"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8,13</w:t>
            </w:r>
          </w:p>
        </w:tc>
        <w:tc>
          <w:tcPr>
            <w:tcW w:w="986" w:type="dxa"/>
            <w:tcBorders>
              <w:top w:val="nil"/>
              <w:left w:val="nil"/>
              <w:bottom w:val="nil"/>
              <w:right w:val="nil"/>
            </w:tcBorders>
            <w:shd w:val="clear" w:color="000000" w:fill="FA7F70"/>
            <w:noWrap/>
            <w:hideMark/>
          </w:tcPr>
          <w:p w14:paraId="72569D7F" w14:textId="0301DE2C"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8,23</w:t>
            </w:r>
          </w:p>
        </w:tc>
        <w:tc>
          <w:tcPr>
            <w:tcW w:w="986" w:type="dxa"/>
            <w:tcBorders>
              <w:top w:val="nil"/>
              <w:left w:val="nil"/>
              <w:bottom w:val="nil"/>
              <w:right w:val="nil"/>
            </w:tcBorders>
            <w:shd w:val="clear" w:color="000000" w:fill="F9786E"/>
            <w:noWrap/>
            <w:hideMark/>
          </w:tcPr>
          <w:p w14:paraId="7FE5050C" w14:textId="2CA8D8A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8,34</w:t>
            </w:r>
          </w:p>
        </w:tc>
        <w:tc>
          <w:tcPr>
            <w:tcW w:w="1246" w:type="dxa"/>
            <w:tcBorders>
              <w:top w:val="nil"/>
              <w:left w:val="nil"/>
              <w:bottom w:val="nil"/>
              <w:right w:val="nil"/>
            </w:tcBorders>
            <w:shd w:val="clear" w:color="000000" w:fill="F9716D"/>
            <w:noWrap/>
            <w:hideMark/>
          </w:tcPr>
          <w:p w14:paraId="0FFF9D91" w14:textId="076E89A3"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8,45</w:t>
            </w:r>
          </w:p>
        </w:tc>
        <w:tc>
          <w:tcPr>
            <w:tcW w:w="1247" w:type="dxa"/>
            <w:tcBorders>
              <w:top w:val="nil"/>
              <w:left w:val="nil"/>
              <w:bottom w:val="nil"/>
              <w:right w:val="single" w:sz="4" w:space="0" w:color="auto"/>
            </w:tcBorders>
            <w:shd w:val="clear" w:color="000000" w:fill="F8696B"/>
            <w:noWrap/>
            <w:hideMark/>
          </w:tcPr>
          <w:p w14:paraId="5C4C6F0F" w14:textId="24DC2BBF"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8,56</w:t>
            </w:r>
          </w:p>
        </w:tc>
      </w:tr>
      <w:tr w:rsidR="001E4B79" w:rsidRPr="003C0378" w14:paraId="09EF1886" w14:textId="77777777" w:rsidTr="00CC1409">
        <w:trPr>
          <w:trHeight w:val="267"/>
          <w:tblHeader/>
        </w:trPr>
        <w:tc>
          <w:tcPr>
            <w:tcW w:w="1060" w:type="dxa"/>
            <w:vMerge/>
            <w:tcBorders>
              <w:left w:val="single" w:sz="4" w:space="0" w:color="auto"/>
              <w:bottom w:val="single" w:sz="4" w:space="0" w:color="auto"/>
              <w:right w:val="single" w:sz="4" w:space="0" w:color="auto"/>
            </w:tcBorders>
            <w:vAlign w:val="center"/>
            <w:hideMark/>
          </w:tcPr>
          <w:p w14:paraId="653A394D" w14:textId="77777777" w:rsidR="009E6992" w:rsidRPr="003C0378" w:rsidRDefault="009E6992" w:rsidP="009E6992">
            <w:pPr>
              <w:spacing w:before="0" w:after="0"/>
              <w:ind w:firstLine="0"/>
              <w:jc w:val="left"/>
              <w:rPr>
                <w:rFonts w:eastAsia="Times New Roman" w:cs="Times New Roman"/>
                <w:b/>
                <w:bCs/>
                <w:color w:val="000000"/>
                <w:sz w:val="20"/>
                <w:szCs w:val="20"/>
                <w:lang w:eastAsia="lt-LT"/>
              </w:rPr>
            </w:pPr>
          </w:p>
        </w:tc>
        <w:tc>
          <w:tcPr>
            <w:tcW w:w="1060" w:type="dxa"/>
            <w:tcBorders>
              <w:top w:val="nil"/>
              <w:left w:val="single" w:sz="4" w:space="0" w:color="auto"/>
              <w:bottom w:val="nil"/>
              <w:right w:val="nil"/>
            </w:tcBorders>
            <w:shd w:val="clear" w:color="auto" w:fill="auto"/>
            <w:noWrap/>
            <w:vAlign w:val="bottom"/>
            <w:hideMark/>
          </w:tcPr>
          <w:p w14:paraId="05B5318B"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10 proc.</w:t>
            </w:r>
          </w:p>
        </w:tc>
        <w:tc>
          <w:tcPr>
            <w:tcW w:w="986" w:type="dxa"/>
            <w:tcBorders>
              <w:top w:val="nil"/>
              <w:left w:val="nil"/>
              <w:bottom w:val="nil"/>
              <w:right w:val="nil"/>
            </w:tcBorders>
            <w:shd w:val="clear" w:color="000000" w:fill="FDBB7B"/>
            <w:noWrap/>
            <w:hideMark/>
          </w:tcPr>
          <w:p w14:paraId="133A4A8F" w14:textId="310FCDE2"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7,03</w:t>
            </w:r>
          </w:p>
        </w:tc>
        <w:tc>
          <w:tcPr>
            <w:tcW w:w="986" w:type="dxa"/>
            <w:tcBorders>
              <w:top w:val="nil"/>
              <w:left w:val="nil"/>
              <w:bottom w:val="nil"/>
              <w:right w:val="nil"/>
            </w:tcBorders>
            <w:shd w:val="clear" w:color="000000" w:fill="FDB77A"/>
            <w:noWrap/>
            <w:hideMark/>
          </w:tcPr>
          <w:p w14:paraId="3E4B181B" w14:textId="0C6DA6B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7,11</w:t>
            </w:r>
          </w:p>
        </w:tc>
        <w:tc>
          <w:tcPr>
            <w:tcW w:w="986" w:type="dxa"/>
            <w:tcBorders>
              <w:top w:val="nil"/>
              <w:left w:val="nil"/>
              <w:bottom w:val="nil"/>
              <w:right w:val="nil"/>
            </w:tcBorders>
            <w:shd w:val="clear" w:color="000000" w:fill="FCB279"/>
            <w:noWrap/>
            <w:hideMark/>
          </w:tcPr>
          <w:p w14:paraId="61E89A93" w14:textId="0F854C8D"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7,20</w:t>
            </w:r>
          </w:p>
        </w:tc>
        <w:tc>
          <w:tcPr>
            <w:tcW w:w="986" w:type="dxa"/>
            <w:tcBorders>
              <w:top w:val="nil"/>
              <w:left w:val="nil"/>
              <w:bottom w:val="nil"/>
              <w:right w:val="nil"/>
            </w:tcBorders>
            <w:shd w:val="clear" w:color="000000" w:fill="FCAD78"/>
            <w:noWrap/>
            <w:hideMark/>
          </w:tcPr>
          <w:p w14:paraId="337EE048" w14:textId="486F178B"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7,29</w:t>
            </w:r>
          </w:p>
        </w:tc>
        <w:tc>
          <w:tcPr>
            <w:tcW w:w="986" w:type="dxa"/>
            <w:tcBorders>
              <w:top w:val="nil"/>
              <w:left w:val="nil"/>
              <w:bottom w:val="nil"/>
              <w:right w:val="nil"/>
            </w:tcBorders>
            <w:shd w:val="clear" w:color="000000" w:fill="FCA777"/>
            <w:noWrap/>
            <w:hideMark/>
          </w:tcPr>
          <w:p w14:paraId="256EECB2" w14:textId="046362A4"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7,38</w:t>
            </w:r>
          </w:p>
        </w:tc>
        <w:tc>
          <w:tcPr>
            <w:tcW w:w="1246" w:type="dxa"/>
            <w:tcBorders>
              <w:top w:val="nil"/>
              <w:left w:val="nil"/>
              <w:bottom w:val="nil"/>
              <w:right w:val="nil"/>
            </w:tcBorders>
            <w:shd w:val="clear" w:color="000000" w:fill="FCA276"/>
            <w:noWrap/>
            <w:hideMark/>
          </w:tcPr>
          <w:p w14:paraId="2B7B2788" w14:textId="6D85FEC6"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7,47</w:t>
            </w:r>
          </w:p>
        </w:tc>
        <w:tc>
          <w:tcPr>
            <w:tcW w:w="1247" w:type="dxa"/>
            <w:tcBorders>
              <w:top w:val="nil"/>
              <w:left w:val="nil"/>
              <w:bottom w:val="nil"/>
              <w:right w:val="single" w:sz="4" w:space="0" w:color="auto"/>
            </w:tcBorders>
            <w:shd w:val="clear" w:color="000000" w:fill="FB9C75"/>
            <w:noWrap/>
            <w:hideMark/>
          </w:tcPr>
          <w:p w14:paraId="2EA84F18" w14:textId="3C75CCDB"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7,57</w:t>
            </w:r>
          </w:p>
        </w:tc>
      </w:tr>
      <w:tr w:rsidR="001E4B79" w:rsidRPr="003C0378" w14:paraId="5161F06B" w14:textId="77777777" w:rsidTr="00CC1409">
        <w:trPr>
          <w:trHeight w:val="267"/>
          <w:tblHeader/>
        </w:trPr>
        <w:tc>
          <w:tcPr>
            <w:tcW w:w="1060" w:type="dxa"/>
            <w:vMerge/>
            <w:tcBorders>
              <w:left w:val="single" w:sz="4" w:space="0" w:color="auto"/>
              <w:bottom w:val="single" w:sz="4" w:space="0" w:color="auto"/>
              <w:right w:val="single" w:sz="4" w:space="0" w:color="auto"/>
            </w:tcBorders>
            <w:vAlign w:val="center"/>
            <w:hideMark/>
          </w:tcPr>
          <w:p w14:paraId="348C8720" w14:textId="77777777" w:rsidR="009E6992" w:rsidRPr="003C0378" w:rsidRDefault="009E6992" w:rsidP="009E6992">
            <w:pPr>
              <w:spacing w:before="0" w:after="0"/>
              <w:ind w:firstLine="0"/>
              <w:jc w:val="left"/>
              <w:rPr>
                <w:rFonts w:eastAsia="Times New Roman" w:cs="Times New Roman"/>
                <w:b/>
                <w:bCs/>
                <w:color w:val="000000"/>
                <w:sz w:val="20"/>
                <w:szCs w:val="20"/>
                <w:lang w:eastAsia="lt-LT"/>
              </w:rPr>
            </w:pPr>
          </w:p>
        </w:tc>
        <w:tc>
          <w:tcPr>
            <w:tcW w:w="1060" w:type="dxa"/>
            <w:tcBorders>
              <w:top w:val="nil"/>
              <w:left w:val="single" w:sz="4" w:space="0" w:color="auto"/>
              <w:bottom w:val="nil"/>
              <w:right w:val="nil"/>
            </w:tcBorders>
            <w:shd w:val="clear" w:color="auto" w:fill="auto"/>
            <w:noWrap/>
            <w:vAlign w:val="bottom"/>
            <w:hideMark/>
          </w:tcPr>
          <w:p w14:paraId="0E28A42E"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20 proc.</w:t>
            </w:r>
          </w:p>
        </w:tc>
        <w:tc>
          <w:tcPr>
            <w:tcW w:w="986" w:type="dxa"/>
            <w:tcBorders>
              <w:top w:val="nil"/>
              <w:left w:val="nil"/>
              <w:bottom w:val="nil"/>
              <w:right w:val="nil"/>
            </w:tcBorders>
            <w:shd w:val="clear" w:color="000000" w:fill="FFE283"/>
            <w:noWrap/>
            <w:hideMark/>
          </w:tcPr>
          <w:p w14:paraId="482F2C1D" w14:textId="67117B82"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6,12</w:t>
            </w:r>
          </w:p>
        </w:tc>
        <w:tc>
          <w:tcPr>
            <w:tcW w:w="986" w:type="dxa"/>
            <w:tcBorders>
              <w:top w:val="nil"/>
              <w:left w:val="nil"/>
              <w:bottom w:val="nil"/>
              <w:right w:val="nil"/>
            </w:tcBorders>
            <w:shd w:val="clear" w:color="000000" w:fill="FFDF82"/>
            <w:noWrap/>
            <w:hideMark/>
          </w:tcPr>
          <w:p w14:paraId="54BC1F3D" w14:textId="5ED7909C"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6,19</w:t>
            </w:r>
          </w:p>
        </w:tc>
        <w:tc>
          <w:tcPr>
            <w:tcW w:w="986" w:type="dxa"/>
            <w:tcBorders>
              <w:top w:val="nil"/>
              <w:left w:val="nil"/>
              <w:bottom w:val="nil"/>
              <w:right w:val="nil"/>
            </w:tcBorders>
            <w:shd w:val="clear" w:color="000000" w:fill="FFDB81"/>
            <w:noWrap/>
            <w:hideMark/>
          </w:tcPr>
          <w:p w14:paraId="500744AC" w14:textId="66A61C0B"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6,26</w:t>
            </w:r>
          </w:p>
        </w:tc>
        <w:tc>
          <w:tcPr>
            <w:tcW w:w="986" w:type="dxa"/>
            <w:tcBorders>
              <w:top w:val="nil"/>
              <w:left w:val="nil"/>
              <w:bottom w:val="nil"/>
              <w:right w:val="nil"/>
            </w:tcBorders>
            <w:shd w:val="clear" w:color="000000" w:fill="FED781"/>
            <w:noWrap/>
            <w:hideMark/>
          </w:tcPr>
          <w:p w14:paraId="41E24856" w14:textId="359F5FB3"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6,33</w:t>
            </w:r>
          </w:p>
        </w:tc>
        <w:tc>
          <w:tcPr>
            <w:tcW w:w="986" w:type="dxa"/>
            <w:tcBorders>
              <w:top w:val="nil"/>
              <w:left w:val="nil"/>
              <w:bottom w:val="nil"/>
              <w:right w:val="nil"/>
            </w:tcBorders>
            <w:shd w:val="clear" w:color="000000" w:fill="FED380"/>
            <w:noWrap/>
            <w:hideMark/>
          </w:tcPr>
          <w:p w14:paraId="20FDDA85" w14:textId="7EDA5B09"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6,41</w:t>
            </w:r>
          </w:p>
        </w:tc>
        <w:tc>
          <w:tcPr>
            <w:tcW w:w="1246" w:type="dxa"/>
            <w:tcBorders>
              <w:top w:val="nil"/>
              <w:left w:val="nil"/>
              <w:bottom w:val="nil"/>
              <w:right w:val="nil"/>
            </w:tcBorders>
            <w:shd w:val="clear" w:color="000000" w:fill="FECF7F"/>
            <w:noWrap/>
            <w:hideMark/>
          </w:tcPr>
          <w:p w14:paraId="45B4DA89" w14:textId="4279AF28"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6,49</w:t>
            </w:r>
          </w:p>
        </w:tc>
        <w:tc>
          <w:tcPr>
            <w:tcW w:w="1247" w:type="dxa"/>
            <w:tcBorders>
              <w:top w:val="nil"/>
              <w:left w:val="nil"/>
              <w:bottom w:val="nil"/>
              <w:right w:val="single" w:sz="4" w:space="0" w:color="auto"/>
            </w:tcBorders>
            <w:shd w:val="clear" w:color="000000" w:fill="FECB7E"/>
            <w:noWrap/>
            <w:hideMark/>
          </w:tcPr>
          <w:p w14:paraId="463098C7" w14:textId="56F47F58"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6,57</w:t>
            </w:r>
          </w:p>
        </w:tc>
      </w:tr>
      <w:tr w:rsidR="001E4B79" w:rsidRPr="003C0378" w14:paraId="15ACD688" w14:textId="77777777" w:rsidTr="00CC1409">
        <w:trPr>
          <w:trHeight w:val="267"/>
          <w:tblHeader/>
        </w:trPr>
        <w:tc>
          <w:tcPr>
            <w:tcW w:w="1060" w:type="dxa"/>
            <w:vMerge/>
            <w:tcBorders>
              <w:left w:val="single" w:sz="4" w:space="0" w:color="auto"/>
              <w:bottom w:val="single" w:sz="4" w:space="0" w:color="auto"/>
              <w:right w:val="single" w:sz="4" w:space="0" w:color="auto"/>
            </w:tcBorders>
            <w:vAlign w:val="center"/>
            <w:hideMark/>
          </w:tcPr>
          <w:p w14:paraId="355128D1" w14:textId="77777777" w:rsidR="009E6992" w:rsidRPr="003C0378" w:rsidRDefault="009E6992" w:rsidP="009E6992">
            <w:pPr>
              <w:spacing w:before="0" w:after="0"/>
              <w:ind w:firstLine="0"/>
              <w:jc w:val="left"/>
              <w:rPr>
                <w:rFonts w:eastAsia="Times New Roman" w:cs="Times New Roman"/>
                <w:b/>
                <w:bCs/>
                <w:color w:val="000000"/>
                <w:sz w:val="20"/>
                <w:szCs w:val="20"/>
                <w:lang w:eastAsia="lt-LT"/>
              </w:rPr>
            </w:pPr>
          </w:p>
        </w:tc>
        <w:tc>
          <w:tcPr>
            <w:tcW w:w="1060" w:type="dxa"/>
            <w:tcBorders>
              <w:top w:val="nil"/>
              <w:left w:val="single" w:sz="4" w:space="0" w:color="auto"/>
              <w:bottom w:val="nil"/>
              <w:right w:val="nil"/>
            </w:tcBorders>
            <w:shd w:val="clear" w:color="auto" w:fill="auto"/>
            <w:noWrap/>
            <w:vAlign w:val="bottom"/>
            <w:hideMark/>
          </w:tcPr>
          <w:p w14:paraId="05979BA4"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30 proc.</w:t>
            </w:r>
          </w:p>
        </w:tc>
        <w:tc>
          <w:tcPr>
            <w:tcW w:w="986" w:type="dxa"/>
            <w:tcBorders>
              <w:top w:val="nil"/>
              <w:left w:val="nil"/>
              <w:bottom w:val="nil"/>
              <w:right w:val="nil"/>
            </w:tcBorders>
            <w:shd w:val="clear" w:color="000000" w:fill="D1DD81"/>
            <w:noWrap/>
            <w:hideMark/>
          </w:tcPr>
          <w:p w14:paraId="243AA185" w14:textId="5C891226"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5,23</w:t>
            </w:r>
          </w:p>
        </w:tc>
        <w:tc>
          <w:tcPr>
            <w:tcW w:w="986" w:type="dxa"/>
            <w:tcBorders>
              <w:top w:val="nil"/>
              <w:left w:val="nil"/>
              <w:bottom w:val="nil"/>
              <w:right w:val="nil"/>
            </w:tcBorders>
            <w:shd w:val="clear" w:color="000000" w:fill="D5DF81"/>
            <w:noWrap/>
            <w:hideMark/>
          </w:tcPr>
          <w:p w14:paraId="785334F8" w14:textId="7E18F6CF"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5,28</w:t>
            </w:r>
          </w:p>
        </w:tc>
        <w:tc>
          <w:tcPr>
            <w:tcW w:w="986" w:type="dxa"/>
            <w:tcBorders>
              <w:top w:val="nil"/>
              <w:left w:val="nil"/>
              <w:bottom w:val="nil"/>
              <w:right w:val="nil"/>
            </w:tcBorders>
            <w:shd w:val="clear" w:color="000000" w:fill="DAE081"/>
            <w:noWrap/>
            <w:hideMark/>
          </w:tcPr>
          <w:p w14:paraId="2B23FD24" w14:textId="7DC9E43F"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5,34</w:t>
            </w:r>
          </w:p>
        </w:tc>
        <w:tc>
          <w:tcPr>
            <w:tcW w:w="986" w:type="dxa"/>
            <w:tcBorders>
              <w:top w:val="nil"/>
              <w:left w:val="nil"/>
              <w:bottom w:val="nil"/>
              <w:right w:val="nil"/>
            </w:tcBorders>
            <w:shd w:val="clear" w:color="000000" w:fill="DEE182"/>
            <w:noWrap/>
            <w:hideMark/>
          </w:tcPr>
          <w:p w14:paraId="1EB3090D" w14:textId="31B04DBB"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5,39</w:t>
            </w:r>
          </w:p>
        </w:tc>
        <w:tc>
          <w:tcPr>
            <w:tcW w:w="986" w:type="dxa"/>
            <w:tcBorders>
              <w:top w:val="nil"/>
              <w:left w:val="nil"/>
              <w:bottom w:val="nil"/>
              <w:right w:val="nil"/>
            </w:tcBorders>
            <w:shd w:val="clear" w:color="000000" w:fill="E3E382"/>
            <w:noWrap/>
            <w:hideMark/>
          </w:tcPr>
          <w:p w14:paraId="556EE953" w14:textId="268BB653"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5,45</w:t>
            </w:r>
          </w:p>
        </w:tc>
        <w:tc>
          <w:tcPr>
            <w:tcW w:w="1246" w:type="dxa"/>
            <w:tcBorders>
              <w:top w:val="nil"/>
              <w:left w:val="nil"/>
              <w:bottom w:val="nil"/>
              <w:right w:val="nil"/>
            </w:tcBorders>
            <w:shd w:val="clear" w:color="000000" w:fill="E8E482"/>
            <w:noWrap/>
            <w:hideMark/>
          </w:tcPr>
          <w:p w14:paraId="1AF9F86F" w14:textId="627CE42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5,52</w:t>
            </w:r>
          </w:p>
        </w:tc>
        <w:tc>
          <w:tcPr>
            <w:tcW w:w="1247" w:type="dxa"/>
            <w:tcBorders>
              <w:top w:val="nil"/>
              <w:left w:val="nil"/>
              <w:bottom w:val="nil"/>
              <w:right w:val="single" w:sz="4" w:space="0" w:color="auto"/>
            </w:tcBorders>
            <w:shd w:val="clear" w:color="000000" w:fill="EEE683"/>
            <w:noWrap/>
            <w:hideMark/>
          </w:tcPr>
          <w:p w14:paraId="02BC87A7" w14:textId="71D3ECF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5,58</w:t>
            </w:r>
          </w:p>
        </w:tc>
      </w:tr>
      <w:tr w:rsidR="001E4B79" w:rsidRPr="003C0378" w14:paraId="0F570930" w14:textId="77777777" w:rsidTr="00CC1409">
        <w:trPr>
          <w:trHeight w:val="267"/>
          <w:tblHeader/>
        </w:trPr>
        <w:tc>
          <w:tcPr>
            <w:tcW w:w="1060" w:type="dxa"/>
            <w:vMerge/>
            <w:tcBorders>
              <w:left w:val="single" w:sz="4" w:space="0" w:color="auto"/>
              <w:bottom w:val="single" w:sz="4" w:space="0" w:color="auto"/>
              <w:right w:val="single" w:sz="4" w:space="0" w:color="auto"/>
            </w:tcBorders>
            <w:vAlign w:val="center"/>
            <w:hideMark/>
          </w:tcPr>
          <w:p w14:paraId="22AED01D" w14:textId="77777777" w:rsidR="009E6992" w:rsidRPr="003C0378" w:rsidRDefault="009E6992" w:rsidP="009E6992">
            <w:pPr>
              <w:spacing w:before="0" w:after="0"/>
              <w:ind w:firstLine="0"/>
              <w:jc w:val="left"/>
              <w:rPr>
                <w:rFonts w:eastAsia="Times New Roman" w:cs="Times New Roman"/>
                <w:b/>
                <w:bCs/>
                <w:color w:val="000000"/>
                <w:sz w:val="20"/>
                <w:szCs w:val="20"/>
                <w:lang w:eastAsia="lt-LT"/>
              </w:rPr>
            </w:pPr>
          </w:p>
        </w:tc>
        <w:tc>
          <w:tcPr>
            <w:tcW w:w="1060" w:type="dxa"/>
            <w:tcBorders>
              <w:top w:val="nil"/>
              <w:left w:val="single" w:sz="4" w:space="0" w:color="auto"/>
              <w:bottom w:val="nil"/>
              <w:right w:val="nil"/>
            </w:tcBorders>
            <w:shd w:val="clear" w:color="auto" w:fill="auto"/>
            <w:noWrap/>
            <w:vAlign w:val="bottom"/>
            <w:hideMark/>
          </w:tcPr>
          <w:p w14:paraId="2772B590"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40 proc.</w:t>
            </w:r>
          </w:p>
        </w:tc>
        <w:tc>
          <w:tcPr>
            <w:tcW w:w="986" w:type="dxa"/>
            <w:tcBorders>
              <w:top w:val="nil"/>
              <w:left w:val="nil"/>
              <w:bottom w:val="nil"/>
              <w:right w:val="nil"/>
            </w:tcBorders>
            <w:shd w:val="clear" w:color="000000" w:fill="97CD7E"/>
            <w:noWrap/>
            <w:hideMark/>
          </w:tcPr>
          <w:p w14:paraId="76AC24A9" w14:textId="61B60A0C"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4,36</w:t>
            </w:r>
          </w:p>
        </w:tc>
        <w:tc>
          <w:tcPr>
            <w:tcW w:w="986" w:type="dxa"/>
            <w:tcBorders>
              <w:top w:val="nil"/>
              <w:left w:val="nil"/>
              <w:bottom w:val="nil"/>
              <w:right w:val="nil"/>
            </w:tcBorders>
            <w:shd w:val="clear" w:color="000000" w:fill="9ACE7E"/>
            <w:noWrap/>
            <w:hideMark/>
          </w:tcPr>
          <w:p w14:paraId="45074EF2" w14:textId="31B3632C"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4,40</w:t>
            </w:r>
          </w:p>
        </w:tc>
        <w:tc>
          <w:tcPr>
            <w:tcW w:w="986" w:type="dxa"/>
            <w:tcBorders>
              <w:top w:val="nil"/>
              <w:left w:val="nil"/>
              <w:bottom w:val="nil"/>
              <w:right w:val="nil"/>
            </w:tcBorders>
            <w:shd w:val="clear" w:color="000000" w:fill="9DCE7E"/>
            <w:noWrap/>
            <w:hideMark/>
          </w:tcPr>
          <w:p w14:paraId="446C74F4" w14:textId="2448F6F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4,44</w:t>
            </w:r>
          </w:p>
        </w:tc>
        <w:tc>
          <w:tcPr>
            <w:tcW w:w="986" w:type="dxa"/>
            <w:tcBorders>
              <w:top w:val="nil"/>
              <w:left w:val="nil"/>
              <w:bottom w:val="nil"/>
              <w:right w:val="nil"/>
            </w:tcBorders>
            <w:shd w:val="clear" w:color="000000" w:fill="A1CF7E"/>
            <w:noWrap/>
            <w:hideMark/>
          </w:tcPr>
          <w:p w14:paraId="0FCF82B8" w14:textId="5606DFAA"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4,48</w:t>
            </w:r>
          </w:p>
        </w:tc>
        <w:tc>
          <w:tcPr>
            <w:tcW w:w="986" w:type="dxa"/>
            <w:tcBorders>
              <w:top w:val="nil"/>
              <w:left w:val="nil"/>
              <w:bottom w:val="nil"/>
              <w:right w:val="nil"/>
            </w:tcBorders>
            <w:shd w:val="clear" w:color="000000" w:fill="A4D07E"/>
            <w:noWrap/>
            <w:hideMark/>
          </w:tcPr>
          <w:p w14:paraId="26D68AA9" w14:textId="29A60385"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4,53</w:t>
            </w:r>
          </w:p>
        </w:tc>
        <w:tc>
          <w:tcPr>
            <w:tcW w:w="1246" w:type="dxa"/>
            <w:tcBorders>
              <w:top w:val="nil"/>
              <w:left w:val="nil"/>
              <w:bottom w:val="nil"/>
              <w:right w:val="nil"/>
            </w:tcBorders>
            <w:shd w:val="clear" w:color="000000" w:fill="A7D17E"/>
            <w:noWrap/>
            <w:hideMark/>
          </w:tcPr>
          <w:p w14:paraId="0F92499E" w14:textId="51FECCF0"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4,57</w:t>
            </w:r>
          </w:p>
        </w:tc>
        <w:tc>
          <w:tcPr>
            <w:tcW w:w="1247" w:type="dxa"/>
            <w:tcBorders>
              <w:top w:val="nil"/>
              <w:left w:val="nil"/>
              <w:bottom w:val="nil"/>
              <w:right w:val="single" w:sz="4" w:space="0" w:color="auto"/>
            </w:tcBorders>
            <w:shd w:val="clear" w:color="000000" w:fill="ABD27F"/>
            <w:noWrap/>
            <w:hideMark/>
          </w:tcPr>
          <w:p w14:paraId="7A1EEC2A" w14:textId="6E937F07"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4,62</w:t>
            </w:r>
          </w:p>
        </w:tc>
      </w:tr>
      <w:tr w:rsidR="001E4B79" w:rsidRPr="003C0378" w14:paraId="4D532293" w14:textId="77777777" w:rsidTr="00CC1409">
        <w:trPr>
          <w:trHeight w:val="267"/>
          <w:tblHeader/>
        </w:trPr>
        <w:tc>
          <w:tcPr>
            <w:tcW w:w="1060" w:type="dxa"/>
            <w:vMerge/>
            <w:tcBorders>
              <w:left w:val="single" w:sz="4" w:space="0" w:color="auto"/>
              <w:bottom w:val="single" w:sz="4" w:space="0" w:color="auto"/>
              <w:right w:val="single" w:sz="4" w:space="0" w:color="auto"/>
            </w:tcBorders>
            <w:vAlign w:val="center"/>
            <w:hideMark/>
          </w:tcPr>
          <w:p w14:paraId="190828B8" w14:textId="77777777" w:rsidR="009E6992" w:rsidRPr="003C0378" w:rsidRDefault="009E6992" w:rsidP="009E6992">
            <w:pPr>
              <w:spacing w:before="0" w:after="0"/>
              <w:ind w:firstLine="0"/>
              <w:jc w:val="left"/>
              <w:rPr>
                <w:rFonts w:eastAsia="Times New Roman" w:cs="Times New Roman"/>
                <w:b/>
                <w:bCs/>
                <w:color w:val="000000"/>
                <w:sz w:val="20"/>
                <w:szCs w:val="20"/>
                <w:lang w:eastAsia="lt-LT"/>
              </w:rPr>
            </w:pPr>
          </w:p>
        </w:tc>
        <w:tc>
          <w:tcPr>
            <w:tcW w:w="1060" w:type="dxa"/>
            <w:tcBorders>
              <w:top w:val="nil"/>
              <w:left w:val="single" w:sz="4" w:space="0" w:color="auto"/>
              <w:bottom w:val="single" w:sz="4" w:space="0" w:color="auto"/>
              <w:right w:val="nil"/>
            </w:tcBorders>
            <w:shd w:val="clear" w:color="auto" w:fill="auto"/>
            <w:noWrap/>
            <w:vAlign w:val="bottom"/>
            <w:hideMark/>
          </w:tcPr>
          <w:p w14:paraId="690EC9BF" w14:textId="77777777" w:rsidR="009E6992" w:rsidRPr="003C0378" w:rsidRDefault="009E6992" w:rsidP="009E6992">
            <w:pPr>
              <w:spacing w:before="0" w:after="0"/>
              <w:ind w:firstLine="0"/>
              <w:jc w:val="right"/>
              <w:rPr>
                <w:rFonts w:eastAsia="Times New Roman" w:cs="Times New Roman"/>
                <w:color w:val="000000"/>
                <w:sz w:val="20"/>
                <w:szCs w:val="20"/>
                <w:lang w:eastAsia="lt-LT"/>
              </w:rPr>
            </w:pPr>
            <w:r w:rsidRPr="003C0378">
              <w:rPr>
                <w:rFonts w:eastAsia="Times New Roman" w:cs="Times New Roman"/>
                <w:color w:val="000000"/>
                <w:sz w:val="20"/>
                <w:szCs w:val="20"/>
                <w:lang w:eastAsia="lt-LT"/>
              </w:rPr>
              <w:t>50 proc.</w:t>
            </w:r>
          </w:p>
        </w:tc>
        <w:tc>
          <w:tcPr>
            <w:tcW w:w="986" w:type="dxa"/>
            <w:tcBorders>
              <w:top w:val="nil"/>
              <w:left w:val="nil"/>
              <w:bottom w:val="single" w:sz="4" w:space="0" w:color="auto"/>
              <w:right w:val="nil"/>
            </w:tcBorders>
            <w:shd w:val="clear" w:color="000000" w:fill="63BE7B"/>
            <w:noWrap/>
            <w:hideMark/>
          </w:tcPr>
          <w:p w14:paraId="775E9959" w14:textId="7C0AEAA7"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3,52</w:t>
            </w:r>
          </w:p>
        </w:tc>
        <w:tc>
          <w:tcPr>
            <w:tcW w:w="986" w:type="dxa"/>
            <w:tcBorders>
              <w:top w:val="nil"/>
              <w:left w:val="nil"/>
              <w:bottom w:val="single" w:sz="4" w:space="0" w:color="auto"/>
              <w:right w:val="nil"/>
            </w:tcBorders>
            <w:shd w:val="clear" w:color="000000" w:fill="64BE7B"/>
            <w:noWrap/>
            <w:hideMark/>
          </w:tcPr>
          <w:p w14:paraId="032DD9EE" w14:textId="23256824"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3,55</w:t>
            </w:r>
          </w:p>
        </w:tc>
        <w:tc>
          <w:tcPr>
            <w:tcW w:w="986" w:type="dxa"/>
            <w:tcBorders>
              <w:top w:val="nil"/>
              <w:left w:val="nil"/>
              <w:bottom w:val="single" w:sz="4" w:space="0" w:color="auto"/>
              <w:right w:val="nil"/>
            </w:tcBorders>
            <w:shd w:val="clear" w:color="000000" w:fill="66BF7B"/>
            <w:noWrap/>
            <w:hideMark/>
          </w:tcPr>
          <w:p w14:paraId="110E36D6" w14:textId="7250EC61"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3,58</w:t>
            </w:r>
          </w:p>
        </w:tc>
        <w:tc>
          <w:tcPr>
            <w:tcW w:w="986" w:type="dxa"/>
            <w:tcBorders>
              <w:top w:val="nil"/>
              <w:left w:val="nil"/>
              <w:bottom w:val="single" w:sz="4" w:space="0" w:color="auto"/>
              <w:right w:val="nil"/>
            </w:tcBorders>
            <w:shd w:val="clear" w:color="000000" w:fill="68BF7B"/>
            <w:noWrap/>
            <w:hideMark/>
          </w:tcPr>
          <w:p w14:paraId="695A6C22" w14:textId="1C9624AE"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3,61</w:t>
            </w:r>
          </w:p>
        </w:tc>
        <w:tc>
          <w:tcPr>
            <w:tcW w:w="986" w:type="dxa"/>
            <w:tcBorders>
              <w:top w:val="nil"/>
              <w:left w:val="nil"/>
              <w:bottom w:val="single" w:sz="4" w:space="0" w:color="auto"/>
              <w:right w:val="nil"/>
            </w:tcBorders>
            <w:shd w:val="clear" w:color="000000" w:fill="6AC07B"/>
            <w:noWrap/>
            <w:hideMark/>
          </w:tcPr>
          <w:p w14:paraId="4CF354A1" w14:textId="64FF8B18"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3,64</w:t>
            </w:r>
          </w:p>
        </w:tc>
        <w:tc>
          <w:tcPr>
            <w:tcW w:w="1246" w:type="dxa"/>
            <w:tcBorders>
              <w:top w:val="nil"/>
              <w:left w:val="nil"/>
              <w:bottom w:val="single" w:sz="4" w:space="0" w:color="auto"/>
              <w:right w:val="nil"/>
            </w:tcBorders>
            <w:shd w:val="clear" w:color="000000" w:fill="6DC07B"/>
            <w:noWrap/>
            <w:hideMark/>
          </w:tcPr>
          <w:p w14:paraId="2E027D21" w14:textId="0C8CE9A6"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3,67</w:t>
            </w:r>
          </w:p>
        </w:tc>
        <w:tc>
          <w:tcPr>
            <w:tcW w:w="1247" w:type="dxa"/>
            <w:tcBorders>
              <w:top w:val="nil"/>
              <w:left w:val="nil"/>
              <w:bottom w:val="single" w:sz="4" w:space="0" w:color="auto"/>
              <w:right w:val="single" w:sz="4" w:space="0" w:color="auto"/>
            </w:tcBorders>
            <w:shd w:val="clear" w:color="000000" w:fill="6FC17B"/>
            <w:noWrap/>
            <w:hideMark/>
          </w:tcPr>
          <w:p w14:paraId="30873042" w14:textId="4844E00E" w:rsidR="009E6992" w:rsidRPr="009E6992" w:rsidRDefault="009E6992" w:rsidP="009E6992">
            <w:pPr>
              <w:spacing w:before="0" w:after="0"/>
              <w:ind w:firstLine="0"/>
              <w:jc w:val="center"/>
              <w:rPr>
                <w:rFonts w:eastAsia="Times New Roman" w:cs="Times New Roman"/>
                <w:color w:val="000000"/>
                <w:sz w:val="20"/>
                <w:szCs w:val="20"/>
                <w:lang w:eastAsia="lt-LT"/>
              </w:rPr>
            </w:pPr>
            <w:r w:rsidRPr="009E6992">
              <w:rPr>
                <w:sz w:val="20"/>
                <w:szCs w:val="20"/>
              </w:rPr>
              <w:t>3,70</w:t>
            </w:r>
          </w:p>
        </w:tc>
      </w:tr>
    </w:tbl>
    <w:p w14:paraId="09625000" w14:textId="77777777" w:rsidR="005C2C96" w:rsidRPr="003C0378" w:rsidRDefault="005C2C96" w:rsidP="005C2C96">
      <w:pPr>
        <w:tabs>
          <w:tab w:val="left" w:pos="3206"/>
        </w:tabs>
        <w:ind w:firstLine="562"/>
        <w:jc w:val="left"/>
        <w:rPr>
          <w:rFonts w:cs="Times New Roman"/>
          <w:sz w:val="20"/>
          <w:szCs w:val="20"/>
        </w:rPr>
      </w:pPr>
      <w:r w:rsidRPr="003C0378">
        <w:rPr>
          <w:rFonts w:cs="Times New Roman"/>
          <w:sz w:val="20"/>
          <w:szCs w:val="20"/>
        </w:rPr>
        <w:t>Šaltinis: sudaryta Vertintojų.</w:t>
      </w:r>
    </w:p>
    <w:p w14:paraId="1BA3C760" w14:textId="099F4990" w:rsidR="005C2C96" w:rsidRPr="003C0378" w:rsidRDefault="005C2C96" w:rsidP="005C2C96">
      <w:pPr>
        <w:spacing w:line="276" w:lineRule="auto"/>
        <w:ind w:firstLine="562"/>
      </w:pPr>
      <w:r w:rsidRPr="003C0378">
        <w:t>Siekiant įvertinti kaip keistųsi elektrinės atsiperkamumas keičiantis elektros kainoms, Vertintojai atliko elektros kainos jautrumo analizę, kurios rezultatai pateikiami žemiau esančioje lentelėje.</w:t>
      </w:r>
      <w:r w:rsidRPr="003C0378">
        <w:rPr>
          <w:rFonts w:asciiTheme="minorHAnsi" w:eastAsiaTheme="minorEastAsia" w:hAnsiTheme="minorHAnsi" w:cs="Times New Roman"/>
          <w:sz w:val="20"/>
          <w:szCs w:val="20"/>
        </w:rPr>
        <w:t xml:space="preserve"> </w:t>
      </w:r>
      <w:r w:rsidRPr="003C0378">
        <w:t xml:space="preserve">Atsižvelgiant į elektros kainos kintamąjį, investicijos į saulės elektrinių įrengimą </w:t>
      </w:r>
      <w:r w:rsidR="00B179DD">
        <w:t xml:space="preserve">verslo </w:t>
      </w:r>
      <w:r w:rsidRPr="003C0378">
        <w:t xml:space="preserve">įmonėse be dotacijos atsipirktų per </w:t>
      </w:r>
      <w:r w:rsidR="00B179DD">
        <w:t>paskolos laikotarpį (</w:t>
      </w:r>
      <w:r w:rsidR="00EA79B2" w:rsidRPr="003C0378">
        <w:t>1</w:t>
      </w:r>
      <w:r w:rsidR="00EA79B2">
        <w:t xml:space="preserve">0–15 </w:t>
      </w:r>
      <w:r w:rsidR="00EA79B2" w:rsidRPr="003C0378">
        <w:t>metų</w:t>
      </w:r>
      <w:r w:rsidR="00B179DD">
        <w:t>)</w:t>
      </w:r>
      <w:r w:rsidRPr="003C0378">
        <w:t>, jeigu</w:t>
      </w:r>
      <w:r w:rsidR="003C49AA">
        <w:t xml:space="preserve"> vidutinė</w:t>
      </w:r>
      <w:r w:rsidRPr="003C0378">
        <w:t xml:space="preserve"> elektros kain</w:t>
      </w:r>
      <w:r w:rsidR="00B179DD">
        <w:t>a</w:t>
      </w:r>
      <w:r w:rsidRPr="003C0378">
        <w:t xml:space="preserve"> būtų</w:t>
      </w:r>
      <w:r w:rsidR="00B179DD">
        <w:t xml:space="preserve"> 0,2 Eur/kWh arba didesnė</w:t>
      </w:r>
      <w:r w:rsidRPr="003C0378">
        <w:t>. Netaikant dotacijos</w:t>
      </w:r>
      <w:r w:rsidR="00B179DD">
        <w:t xml:space="preserve"> ir laikantis prielaidose numatytos elektros kainos (</w:t>
      </w:r>
      <w:r w:rsidR="00B179DD" w:rsidRPr="00B179DD">
        <w:t>0,23</w:t>
      </w:r>
      <w:r w:rsidR="00B179DD">
        <w:t xml:space="preserve"> Eur/kWh)</w:t>
      </w:r>
      <w:r w:rsidRPr="003C0378">
        <w:t xml:space="preserve">, investicijos atsipirktų per kiek daugiau nei </w:t>
      </w:r>
      <w:r w:rsidR="00C563C8">
        <w:t>8</w:t>
      </w:r>
      <w:r w:rsidRPr="003C0378">
        <w:t xml:space="preserve"> metus. Kaip pastebima lentelėje, didesnė elektros kain</w:t>
      </w:r>
      <w:r w:rsidR="00C563C8">
        <w:t>a</w:t>
      </w:r>
      <w:r w:rsidRPr="003C0378">
        <w:t xml:space="preserve"> lemia greitesnį investicijų atsiperkamumą, o </w:t>
      </w:r>
      <w:r w:rsidR="00C563C8">
        <w:t>mažesnė kaina</w:t>
      </w:r>
      <w:r w:rsidRPr="003C0378">
        <w:t xml:space="preserve"> – lėtesnį atsiperkamumą.</w:t>
      </w:r>
      <w:r w:rsidR="007361B5">
        <w:t xml:space="preserve"> </w:t>
      </w:r>
      <w:r w:rsidR="007361B5" w:rsidRPr="00B135A3">
        <w:t>2023 m. kovo ir baland</w:t>
      </w:r>
      <w:r w:rsidR="007361B5">
        <w:t>žio mėnesiais ženkliai nukritus elektros kainomis iki 0,</w:t>
      </w:r>
      <w:r w:rsidR="007361B5" w:rsidRPr="00B135A3">
        <w:t xml:space="preserve">10–0,14 Eur/kWh matoma, kad </w:t>
      </w:r>
      <w:r w:rsidR="00EA79B2" w:rsidRPr="00B135A3">
        <w:t>projekto atsiperkamumas gali siekti 15 ir daugiau met</w:t>
      </w:r>
      <w:r w:rsidR="00EA79B2">
        <w:t>ų</w:t>
      </w:r>
      <w:r w:rsidR="007361B5">
        <w:t>.</w:t>
      </w:r>
    </w:p>
    <w:p w14:paraId="5F0A1B35" w14:textId="5595B3AC" w:rsidR="00B179DD" w:rsidRPr="00D050E7" w:rsidRDefault="005C2C96" w:rsidP="00D050E7">
      <w:pPr>
        <w:spacing w:line="276" w:lineRule="auto"/>
        <w:ind w:firstLine="0"/>
      </w:pPr>
      <w:bookmarkStart w:id="154" w:name="_Toc166139873"/>
      <w:bookmarkStart w:id="155" w:name="_Toc170804639"/>
      <w:bookmarkStart w:id="156" w:name="_Toc126051402"/>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23</w:t>
      </w:r>
      <w:r w:rsidRPr="003C0378">
        <w:rPr>
          <w:rFonts w:cs="Times New Roman"/>
          <w:i/>
          <w:iCs/>
        </w:rPr>
        <w:fldChar w:fldCharType="end"/>
      </w:r>
      <w:r w:rsidRPr="003C0378">
        <w:rPr>
          <w:rFonts w:cs="Times New Roman"/>
          <w:i/>
          <w:iCs/>
        </w:rPr>
        <w:t xml:space="preserve">. Jautrumo analizės </w:t>
      </w:r>
      <w:r w:rsidR="00B1402E">
        <w:rPr>
          <w:rFonts w:cs="Times New Roman"/>
          <w:i/>
          <w:iCs/>
        </w:rPr>
        <w:t>verslo tikslinėje</w:t>
      </w:r>
      <w:r w:rsidRPr="003C0378">
        <w:rPr>
          <w:rFonts w:cs="Times New Roman"/>
          <w:i/>
          <w:iCs/>
        </w:rPr>
        <w:t xml:space="preserve"> grupėje – elektros kain</w:t>
      </w:r>
      <w:r w:rsidR="003514E7">
        <w:rPr>
          <w:rFonts w:cs="Times New Roman"/>
          <w:i/>
          <w:iCs/>
        </w:rPr>
        <w:t>a</w:t>
      </w:r>
      <w:bookmarkEnd w:id="154"/>
      <w:bookmarkEnd w:id="155"/>
      <w:r w:rsidRPr="003C0378">
        <w:rPr>
          <w:rFonts w:cs="Times New Roman"/>
          <w:i/>
          <w:iCs/>
        </w:rPr>
        <w:t xml:space="preserve"> </w:t>
      </w:r>
      <w:bookmarkEnd w:id="156"/>
    </w:p>
    <w:tbl>
      <w:tblPr>
        <w:tblW w:w="97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1"/>
        <w:gridCol w:w="972"/>
        <w:gridCol w:w="1229"/>
        <w:gridCol w:w="1229"/>
        <w:gridCol w:w="1229"/>
        <w:gridCol w:w="1229"/>
        <w:gridCol w:w="1229"/>
        <w:gridCol w:w="1233"/>
      </w:tblGrid>
      <w:tr w:rsidR="00B179DD" w:rsidRPr="00B179DD" w14:paraId="6F85BFC8" w14:textId="77777777" w:rsidTr="00E24002">
        <w:trPr>
          <w:trHeight w:val="284"/>
        </w:trPr>
        <w:tc>
          <w:tcPr>
            <w:tcW w:w="1441" w:type="dxa"/>
            <w:vMerge w:val="restart"/>
            <w:tcBorders>
              <w:top w:val="single" w:sz="4" w:space="0" w:color="auto"/>
              <w:bottom w:val="nil"/>
              <w:right w:val="nil"/>
            </w:tcBorders>
            <w:shd w:val="clear" w:color="auto" w:fill="auto"/>
            <w:noWrap/>
            <w:vAlign w:val="bottom"/>
            <w:hideMark/>
          </w:tcPr>
          <w:p w14:paraId="20F5D37D" w14:textId="77777777" w:rsidR="00B179DD" w:rsidRPr="00B179DD" w:rsidRDefault="00B179DD" w:rsidP="00B179DD">
            <w:pPr>
              <w:spacing w:before="0" w:after="0"/>
              <w:ind w:firstLine="0"/>
              <w:jc w:val="left"/>
              <w:rPr>
                <w:rFonts w:eastAsia="Times New Roman" w:cs="Times New Roman"/>
                <w:sz w:val="20"/>
                <w:szCs w:val="20"/>
                <w:lang w:eastAsia="lt-LT"/>
              </w:rPr>
            </w:pPr>
          </w:p>
        </w:tc>
        <w:tc>
          <w:tcPr>
            <w:tcW w:w="8350" w:type="dxa"/>
            <w:gridSpan w:val="7"/>
            <w:tcBorders>
              <w:top w:val="single" w:sz="4" w:space="0" w:color="auto"/>
              <w:left w:val="nil"/>
              <w:bottom w:val="single" w:sz="4" w:space="0" w:color="auto"/>
            </w:tcBorders>
            <w:shd w:val="clear" w:color="auto" w:fill="auto"/>
            <w:noWrap/>
            <w:vAlign w:val="bottom"/>
            <w:hideMark/>
          </w:tcPr>
          <w:p w14:paraId="11BF35F5" w14:textId="77777777" w:rsidR="00B179DD" w:rsidRPr="00B179DD" w:rsidRDefault="00B179DD" w:rsidP="00B179DD">
            <w:pPr>
              <w:spacing w:before="0" w:after="0"/>
              <w:ind w:firstLine="0"/>
              <w:jc w:val="center"/>
              <w:rPr>
                <w:rFonts w:eastAsia="Times New Roman" w:cs="Times New Roman"/>
                <w:b/>
                <w:bCs/>
                <w:color w:val="000000"/>
                <w:sz w:val="20"/>
                <w:szCs w:val="20"/>
                <w:lang w:eastAsia="lt-LT"/>
              </w:rPr>
            </w:pPr>
            <w:r w:rsidRPr="00B179DD">
              <w:rPr>
                <w:rFonts w:eastAsia="Times New Roman" w:cs="Times New Roman"/>
                <w:b/>
                <w:bCs/>
                <w:color w:val="000000"/>
                <w:sz w:val="20"/>
                <w:szCs w:val="20"/>
                <w:lang w:eastAsia="lt-LT"/>
              </w:rPr>
              <w:t>Dotacijos intensyvumas (proc.)</w:t>
            </w:r>
          </w:p>
        </w:tc>
      </w:tr>
      <w:tr w:rsidR="001E4B79" w:rsidRPr="00B179DD" w14:paraId="198EF9A7" w14:textId="77777777" w:rsidTr="00C9652A">
        <w:trPr>
          <w:trHeight w:val="284"/>
        </w:trPr>
        <w:tc>
          <w:tcPr>
            <w:tcW w:w="1441" w:type="dxa"/>
            <w:vMerge/>
            <w:tcBorders>
              <w:top w:val="nil"/>
              <w:bottom w:val="nil"/>
              <w:right w:val="single" w:sz="4" w:space="0" w:color="auto"/>
            </w:tcBorders>
            <w:vAlign w:val="center"/>
            <w:hideMark/>
          </w:tcPr>
          <w:p w14:paraId="791B5C4E" w14:textId="77777777" w:rsidR="00B179DD" w:rsidRPr="00B179DD" w:rsidRDefault="00B179DD" w:rsidP="00B179DD">
            <w:pPr>
              <w:spacing w:before="0" w:after="0"/>
              <w:ind w:firstLine="0"/>
              <w:jc w:val="left"/>
              <w:rPr>
                <w:rFonts w:eastAsia="Times New Roman" w:cs="Times New Roman"/>
                <w:sz w:val="20"/>
                <w:szCs w:val="20"/>
                <w:lang w:eastAsia="lt-LT"/>
              </w:rPr>
            </w:pPr>
          </w:p>
        </w:tc>
        <w:tc>
          <w:tcPr>
            <w:tcW w:w="972" w:type="dxa"/>
            <w:tcBorders>
              <w:top w:val="single" w:sz="4" w:space="0" w:color="auto"/>
              <w:left w:val="single" w:sz="4" w:space="0" w:color="auto"/>
            </w:tcBorders>
            <w:shd w:val="clear" w:color="auto" w:fill="auto"/>
            <w:noWrap/>
            <w:vAlign w:val="bottom"/>
            <w:hideMark/>
          </w:tcPr>
          <w:p w14:paraId="29B117E5" w14:textId="77777777" w:rsidR="00B179DD" w:rsidRPr="00B179DD" w:rsidRDefault="00B179DD" w:rsidP="00B179DD">
            <w:pPr>
              <w:spacing w:before="0" w:after="0"/>
              <w:ind w:firstLine="0"/>
              <w:jc w:val="center"/>
              <w:rPr>
                <w:rFonts w:eastAsia="Times New Roman" w:cs="Times New Roman"/>
                <w:b/>
                <w:bCs/>
                <w:color w:val="000000"/>
                <w:sz w:val="20"/>
                <w:szCs w:val="20"/>
                <w:lang w:eastAsia="lt-LT"/>
              </w:rPr>
            </w:pPr>
          </w:p>
        </w:tc>
        <w:tc>
          <w:tcPr>
            <w:tcW w:w="1229" w:type="dxa"/>
            <w:tcBorders>
              <w:top w:val="single" w:sz="4" w:space="0" w:color="auto"/>
            </w:tcBorders>
            <w:shd w:val="clear" w:color="auto" w:fill="auto"/>
            <w:noWrap/>
            <w:vAlign w:val="bottom"/>
            <w:hideMark/>
          </w:tcPr>
          <w:p w14:paraId="09EE73E7"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0%</w:t>
            </w:r>
          </w:p>
        </w:tc>
        <w:tc>
          <w:tcPr>
            <w:tcW w:w="1229" w:type="dxa"/>
            <w:tcBorders>
              <w:top w:val="single" w:sz="4" w:space="0" w:color="auto"/>
            </w:tcBorders>
            <w:shd w:val="clear" w:color="auto" w:fill="auto"/>
            <w:noWrap/>
            <w:vAlign w:val="bottom"/>
            <w:hideMark/>
          </w:tcPr>
          <w:p w14:paraId="1BE111E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10%</w:t>
            </w:r>
          </w:p>
        </w:tc>
        <w:tc>
          <w:tcPr>
            <w:tcW w:w="1229" w:type="dxa"/>
            <w:tcBorders>
              <w:top w:val="single" w:sz="4" w:space="0" w:color="auto"/>
            </w:tcBorders>
            <w:shd w:val="clear" w:color="auto" w:fill="auto"/>
            <w:noWrap/>
            <w:vAlign w:val="bottom"/>
            <w:hideMark/>
          </w:tcPr>
          <w:p w14:paraId="2477979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20%</w:t>
            </w:r>
          </w:p>
        </w:tc>
        <w:tc>
          <w:tcPr>
            <w:tcW w:w="1229" w:type="dxa"/>
            <w:tcBorders>
              <w:top w:val="single" w:sz="4" w:space="0" w:color="auto"/>
            </w:tcBorders>
            <w:shd w:val="clear" w:color="auto" w:fill="auto"/>
            <w:noWrap/>
            <w:vAlign w:val="bottom"/>
            <w:hideMark/>
          </w:tcPr>
          <w:p w14:paraId="1B0048B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30%</w:t>
            </w:r>
          </w:p>
        </w:tc>
        <w:tc>
          <w:tcPr>
            <w:tcW w:w="1229" w:type="dxa"/>
            <w:tcBorders>
              <w:top w:val="single" w:sz="4" w:space="0" w:color="auto"/>
            </w:tcBorders>
            <w:shd w:val="clear" w:color="auto" w:fill="auto"/>
            <w:noWrap/>
            <w:vAlign w:val="bottom"/>
            <w:hideMark/>
          </w:tcPr>
          <w:p w14:paraId="74F15BE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40%</w:t>
            </w:r>
          </w:p>
        </w:tc>
        <w:tc>
          <w:tcPr>
            <w:tcW w:w="1229" w:type="dxa"/>
            <w:tcBorders>
              <w:top w:val="single" w:sz="4" w:space="0" w:color="auto"/>
            </w:tcBorders>
            <w:shd w:val="clear" w:color="auto" w:fill="auto"/>
            <w:noWrap/>
            <w:vAlign w:val="bottom"/>
            <w:hideMark/>
          </w:tcPr>
          <w:p w14:paraId="6A60AB0D"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50%</w:t>
            </w:r>
          </w:p>
        </w:tc>
      </w:tr>
      <w:tr w:rsidR="001E4B79" w:rsidRPr="00B179DD" w14:paraId="355F035E" w14:textId="77777777" w:rsidTr="00C9652A">
        <w:trPr>
          <w:trHeight w:val="284"/>
        </w:trPr>
        <w:tc>
          <w:tcPr>
            <w:tcW w:w="1441" w:type="dxa"/>
            <w:vMerge w:val="restart"/>
            <w:tcBorders>
              <w:top w:val="nil"/>
              <w:bottom w:val="single" w:sz="4" w:space="0" w:color="auto"/>
              <w:right w:val="single" w:sz="4" w:space="0" w:color="auto"/>
            </w:tcBorders>
            <w:shd w:val="clear" w:color="auto" w:fill="auto"/>
            <w:vAlign w:val="center"/>
            <w:hideMark/>
          </w:tcPr>
          <w:p w14:paraId="1D0C2CAC" w14:textId="77777777" w:rsidR="00B179DD" w:rsidRPr="00B179DD" w:rsidRDefault="00B179DD" w:rsidP="00B179DD">
            <w:pPr>
              <w:spacing w:before="0" w:after="0"/>
              <w:ind w:firstLine="0"/>
              <w:jc w:val="center"/>
              <w:rPr>
                <w:rFonts w:eastAsia="Times New Roman" w:cs="Times New Roman"/>
                <w:b/>
                <w:bCs/>
                <w:color w:val="000000"/>
                <w:sz w:val="20"/>
                <w:szCs w:val="20"/>
                <w:lang w:eastAsia="lt-LT"/>
              </w:rPr>
            </w:pPr>
            <w:r w:rsidRPr="00B179DD">
              <w:rPr>
                <w:rFonts w:eastAsia="Times New Roman" w:cs="Times New Roman"/>
                <w:b/>
                <w:bCs/>
                <w:color w:val="000000"/>
                <w:sz w:val="20"/>
                <w:szCs w:val="20"/>
                <w:lang w:eastAsia="lt-LT"/>
              </w:rPr>
              <w:t>Elektros kaina (Eur/kWh)</w:t>
            </w:r>
          </w:p>
        </w:tc>
        <w:tc>
          <w:tcPr>
            <w:tcW w:w="972" w:type="dxa"/>
            <w:tcBorders>
              <w:left w:val="single" w:sz="4" w:space="0" w:color="auto"/>
            </w:tcBorders>
            <w:shd w:val="clear" w:color="auto" w:fill="auto"/>
            <w:noWrap/>
            <w:vAlign w:val="center"/>
            <w:hideMark/>
          </w:tcPr>
          <w:p w14:paraId="771A9461"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0,04</w:t>
            </w:r>
          </w:p>
        </w:tc>
        <w:tc>
          <w:tcPr>
            <w:tcW w:w="1229" w:type="dxa"/>
            <w:shd w:val="clear" w:color="000000" w:fill="FF0000"/>
            <w:noWrap/>
            <w:vAlign w:val="center"/>
            <w:hideMark/>
          </w:tcPr>
          <w:p w14:paraId="51BB3B8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16E7B8A2"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52A2EBB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4F3A265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04DDEDC4"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50F72BF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r>
      <w:tr w:rsidR="001E4B79" w:rsidRPr="00B179DD" w14:paraId="1E97C33B" w14:textId="77777777" w:rsidTr="00C9652A">
        <w:trPr>
          <w:trHeight w:val="284"/>
        </w:trPr>
        <w:tc>
          <w:tcPr>
            <w:tcW w:w="1441" w:type="dxa"/>
            <w:vMerge/>
            <w:tcBorders>
              <w:top w:val="nil"/>
              <w:bottom w:val="single" w:sz="4" w:space="0" w:color="auto"/>
              <w:right w:val="single" w:sz="4" w:space="0" w:color="auto"/>
            </w:tcBorders>
            <w:vAlign w:val="center"/>
            <w:hideMark/>
          </w:tcPr>
          <w:p w14:paraId="1910F60E"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3ABC46CF"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0,08</w:t>
            </w:r>
          </w:p>
        </w:tc>
        <w:tc>
          <w:tcPr>
            <w:tcW w:w="1229" w:type="dxa"/>
            <w:shd w:val="clear" w:color="000000" w:fill="FF0000"/>
            <w:noWrap/>
            <w:vAlign w:val="center"/>
            <w:hideMark/>
          </w:tcPr>
          <w:p w14:paraId="63F5573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562038B7"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F0000"/>
            <w:noWrap/>
            <w:vAlign w:val="center"/>
            <w:hideMark/>
          </w:tcPr>
          <w:p w14:paraId="2D2CACDB"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&gt;25</w:t>
            </w:r>
          </w:p>
        </w:tc>
        <w:tc>
          <w:tcPr>
            <w:tcW w:w="1229" w:type="dxa"/>
            <w:shd w:val="clear" w:color="000000" w:fill="F8696B"/>
            <w:noWrap/>
            <w:vAlign w:val="center"/>
            <w:hideMark/>
          </w:tcPr>
          <w:p w14:paraId="25F02860"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21,42</w:t>
            </w:r>
          </w:p>
        </w:tc>
        <w:tc>
          <w:tcPr>
            <w:tcW w:w="1229" w:type="dxa"/>
            <w:shd w:val="clear" w:color="000000" w:fill="FA8571"/>
            <w:noWrap/>
            <w:vAlign w:val="center"/>
            <w:hideMark/>
          </w:tcPr>
          <w:p w14:paraId="0949A40D"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17,82</w:t>
            </w:r>
          </w:p>
        </w:tc>
        <w:tc>
          <w:tcPr>
            <w:tcW w:w="1229" w:type="dxa"/>
            <w:shd w:val="clear" w:color="000000" w:fill="FB9F76"/>
            <w:noWrap/>
            <w:vAlign w:val="center"/>
            <w:hideMark/>
          </w:tcPr>
          <w:p w14:paraId="69272A89"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14,47</w:t>
            </w:r>
          </w:p>
        </w:tc>
      </w:tr>
      <w:tr w:rsidR="001E4B79" w:rsidRPr="00B179DD" w14:paraId="35910F67" w14:textId="77777777" w:rsidTr="00C9652A">
        <w:trPr>
          <w:trHeight w:val="284"/>
        </w:trPr>
        <w:tc>
          <w:tcPr>
            <w:tcW w:w="1441" w:type="dxa"/>
            <w:vMerge/>
            <w:tcBorders>
              <w:top w:val="nil"/>
              <w:bottom w:val="single" w:sz="4" w:space="0" w:color="auto"/>
              <w:right w:val="single" w:sz="4" w:space="0" w:color="auto"/>
            </w:tcBorders>
            <w:vAlign w:val="center"/>
            <w:hideMark/>
          </w:tcPr>
          <w:p w14:paraId="3F2972C5"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3424BC38"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0,12</w:t>
            </w:r>
          </w:p>
        </w:tc>
        <w:tc>
          <w:tcPr>
            <w:tcW w:w="1229" w:type="dxa"/>
            <w:shd w:val="clear" w:color="000000" w:fill="FA8471"/>
            <w:noWrap/>
            <w:vAlign w:val="center"/>
            <w:hideMark/>
          </w:tcPr>
          <w:p w14:paraId="0055833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18,02</w:t>
            </w:r>
          </w:p>
        </w:tc>
        <w:tc>
          <w:tcPr>
            <w:tcW w:w="1229" w:type="dxa"/>
            <w:shd w:val="clear" w:color="000000" w:fill="FB9373"/>
            <w:noWrap/>
            <w:vAlign w:val="center"/>
            <w:hideMark/>
          </w:tcPr>
          <w:p w14:paraId="6B97AAC5"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16,04</w:t>
            </w:r>
          </w:p>
        </w:tc>
        <w:tc>
          <w:tcPr>
            <w:tcW w:w="1229" w:type="dxa"/>
            <w:shd w:val="clear" w:color="000000" w:fill="FCA276"/>
            <w:noWrap/>
            <w:vAlign w:val="center"/>
            <w:hideMark/>
          </w:tcPr>
          <w:p w14:paraId="347F46F2"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14,10</w:t>
            </w:r>
          </w:p>
        </w:tc>
        <w:tc>
          <w:tcPr>
            <w:tcW w:w="1229" w:type="dxa"/>
            <w:shd w:val="clear" w:color="000000" w:fill="FCB079"/>
            <w:noWrap/>
            <w:vAlign w:val="center"/>
            <w:hideMark/>
          </w:tcPr>
          <w:p w14:paraId="11D1920D"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12,21</w:t>
            </w:r>
          </w:p>
        </w:tc>
        <w:tc>
          <w:tcPr>
            <w:tcW w:w="1229" w:type="dxa"/>
            <w:shd w:val="clear" w:color="000000" w:fill="FDBE7C"/>
            <w:noWrap/>
            <w:vAlign w:val="center"/>
            <w:hideMark/>
          </w:tcPr>
          <w:p w14:paraId="2FDCB1E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10,36</w:t>
            </w:r>
          </w:p>
        </w:tc>
        <w:tc>
          <w:tcPr>
            <w:tcW w:w="1229" w:type="dxa"/>
            <w:shd w:val="clear" w:color="000000" w:fill="FECD7F"/>
            <w:noWrap/>
            <w:vAlign w:val="center"/>
            <w:hideMark/>
          </w:tcPr>
          <w:p w14:paraId="40A2833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8,48</w:t>
            </w:r>
          </w:p>
        </w:tc>
      </w:tr>
      <w:tr w:rsidR="001E4B79" w:rsidRPr="00B179DD" w14:paraId="7CD60C4A" w14:textId="77777777" w:rsidTr="00C9652A">
        <w:trPr>
          <w:trHeight w:val="284"/>
        </w:trPr>
        <w:tc>
          <w:tcPr>
            <w:tcW w:w="1441" w:type="dxa"/>
            <w:vMerge/>
            <w:tcBorders>
              <w:top w:val="nil"/>
              <w:bottom w:val="single" w:sz="4" w:space="0" w:color="auto"/>
              <w:right w:val="single" w:sz="4" w:space="0" w:color="auto"/>
            </w:tcBorders>
            <w:vAlign w:val="center"/>
            <w:hideMark/>
          </w:tcPr>
          <w:p w14:paraId="1908B943"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7EB806D1"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0,16</w:t>
            </w:r>
          </w:p>
        </w:tc>
        <w:tc>
          <w:tcPr>
            <w:tcW w:w="1229" w:type="dxa"/>
            <w:shd w:val="clear" w:color="000000" w:fill="FCAD79"/>
            <w:noWrap/>
            <w:vAlign w:val="center"/>
            <w:hideMark/>
          </w:tcPr>
          <w:p w14:paraId="74EA8B1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12,60</w:t>
            </w:r>
          </w:p>
        </w:tc>
        <w:tc>
          <w:tcPr>
            <w:tcW w:w="1229" w:type="dxa"/>
            <w:shd w:val="clear" w:color="000000" w:fill="FDB77A"/>
            <w:noWrap/>
            <w:vAlign w:val="center"/>
            <w:hideMark/>
          </w:tcPr>
          <w:p w14:paraId="64E5F0D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11,27</w:t>
            </w:r>
          </w:p>
        </w:tc>
        <w:tc>
          <w:tcPr>
            <w:tcW w:w="1229" w:type="dxa"/>
            <w:shd w:val="clear" w:color="000000" w:fill="FDC17C"/>
            <w:noWrap/>
            <w:vAlign w:val="center"/>
            <w:hideMark/>
          </w:tcPr>
          <w:p w14:paraId="6455C7C4"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9,96</w:t>
            </w:r>
          </w:p>
        </w:tc>
        <w:tc>
          <w:tcPr>
            <w:tcW w:w="1229" w:type="dxa"/>
            <w:shd w:val="clear" w:color="000000" w:fill="FECC7E"/>
            <w:noWrap/>
            <w:vAlign w:val="center"/>
            <w:hideMark/>
          </w:tcPr>
          <w:p w14:paraId="49DD8B9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8,60</w:t>
            </w:r>
          </w:p>
        </w:tc>
        <w:tc>
          <w:tcPr>
            <w:tcW w:w="1229" w:type="dxa"/>
            <w:shd w:val="clear" w:color="000000" w:fill="FED780"/>
            <w:noWrap/>
            <w:vAlign w:val="center"/>
            <w:hideMark/>
          </w:tcPr>
          <w:p w14:paraId="5341BE9B"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7,19</w:t>
            </w:r>
          </w:p>
        </w:tc>
        <w:tc>
          <w:tcPr>
            <w:tcW w:w="1229" w:type="dxa"/>
            <w:shd w:val="clear" w:color="000000" w:fill="FFE283"/>
            <w:noWrap/>
            <w:vAlign w:val="center"/>
            <w:hideMark/>
          </w:tcPr>
          <w:p w14:paraId="1C3A1F7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5,78</w:t>
            </w:r>
          </w:p>
        </w:tc>
      </w:tr>
      <w:tr w:rsidR="001E4B79" w:rsidRPr="00B179DD" w14:paraId="2717C5DC" w14:textId="77777777" w:rsidTr="00C9652A">
        <w:trPr>
          <w:trHeight w:val="284"/>
        </w:trPr>
        <w:tc>
          <w:tcPr>
            <w:tcW w:w="1441" w:type="dxa"/>
            <w:vMerge/>
            <w:tcBorders>
              <w:top w:val="nil"/>
              <w:bottom w:val="single" w:sz="4" w:space="0" w:color="auto"/>
              <w:right w:val="single" w:sz="4" w:space="0" w:color="auto"/>
            </w:tcBorders>
            <w:vAlign w:val="center"/>
            <w:hideMark/>
          </w:tcPr>
          <w:p w14:paraId="3AA280F3"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0739ACBE"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0,2</w:t>
            </w:r>
          </w:p>
        </w:tc>
        <w:tc>
          <w:tcPr>
            <w:tcW w:w="1229" w:type="dxa"/>
            <w:shd w:val="clear" w:color="000000" w:fill="FDC37D"/>
            <w:noWrap/>
            <w:vAlign w:val="center"/>
            <w:hideMark/>
          </w:tcPr>
          <w:p w14:paraId="4AA4ACEB"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9,73</w:t>
            </w:r>
          </w:p>
        </w:tc>
        <w:tc>
          <w:tcPr>
            <w:tcW w:w="1229" w:type="dxa"/>
            <w:shd w:val="clear" w:color="000000" w:fill="FECB7E"/>
            <w:noWrap/>
            <w:vAlign w:val="center"/>
            <w:hideMark/>
          </w:tcPr>
          <w:p w14:paraId="2A8AA08B"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8,67</w:t>
            </w:r>
          </w:p>
        </w:tc>
        <w:tc>
          <w:tcPr>
            <w:tcW w:w="1229" w:type="dxa"/>
            <w:shd w:val="clear" w:color="000000" w:fill="FED480"/>
            <w:noWrap/>
            <w:vAlign w:val="center"/>
            <w:hideMark/>
          </w:tcPr>
          <w:p w14:paraId="233DC0ED"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7,57</w:t>
            </w:r>
          </w:p>
        </w:tc>
        <w:tc>
          <w:tcPr>
            <w:tcW w:w="1229" w:type="dxa"/>
            <w:shd w:val="clear" w:color="000000" w:fill="FFDC82"/>
            <w:noWrap/>
            <w:vAlign w:val="center"/>
            <w:hideMark/>
          </w:tcPr>
          <w:p w14:paraId="131F021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6,46</w:t>
            </w:r>
          </w:p>
        </w:tc>
        <w:tc>
          <w:tcPr>
            <w:tcW w:w="1229" w:type="dxa"/>
            <w:shd w:val="clear" w:color="000000" w:fill="FFE583"/>
            <w:noWrap/>
            <w:vAlign w:val="center"/>
            <w:hideMark/>
          </w:tcPr>
          <w:p w14:paraId="279F01F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5,37</w:t>
            </w:r>
          </w:p>
        </w:tc>
        <w:tc>
          <w:tcPr>
            <w:tcW w:w="1229" w:type="dxa"/>
            <w:shd w:val="clear" w:color="000000" w:fill="F6E883"/>
            <w:noWrap/>
            <w:vAlign w:val="center"/>
            <w:hideMark/>
          </w:tcPr>
          <w:p w14:paraId="1A1B5EFD"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4,31</w:t>
            </w:r>
          </w:p>
        </w:tc>
      </w:tr>
      <w:tr w:rsidR="001E4B79" w:rsidRPr="00B179DD" w14:paraId="42FDE25A" w14:textId="77777777" w:rsidTr="00C9652A">
        <w:trPr>
          <w:trHeight w:val="284"/>
        </w:trPr>
        <w:tc>
          <w:tcPr>
            <w:tcW w:w="1441" w:type="dxa"/>
            <w:vMerge/>
            <w:tcBorders>
              <w:top w:val="nil"/>
              <w:bottom w:val="single" w:sz="4" w:space="0" w:color="auto"/>
              <w:right w:val="single" w:sz="4" w:space="0" w:color="auto"/>
            </w:tcBorders>
            <w:vAlign w:val="center"/>
            <w:hideMark/>
          </w:tcPr>
          <w:p w14:paraId="560E5A5E"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7FADB2FE"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0,23</w:t>
            </w:r>
          </w:p>
        </w:tc>
        <w:tc>
          <w:tcPr>
            <w:tcW w:w="1229" w:type="dxa"/>
            <w:shd w:val="clear" w:color="000000" w:fill="FECF7F"/>
            <w:noWrap/>
            <w:vAlign w:val="center"/>
            <w:hideMark/>
          </w:tcPr>
          <w:p w14:paraId="45B8BB3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8,23</w:t>
            </w:r>
          </w:p>
        </w:tc>
        <w:tc>
          <w:tcPr>
            <w:tcW w:w="1229" w:type="dxa"/>
            <w:shd w:val="clear" w:color="000000" w:fill="FED680"/>
            <w:noWrap/>
            <w:vAlign w:val="center"/>
            <w:hideMark/>
          </w:tcPr>
          <w:p w14:paraId="5AF36AC6"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7,29</w:t>
            </w:r>
          </w:p>
        </w:tc>
        <w:tc>
          <w:tcPr>
            <w:tcW w:w="1229" w:type="dxa"/>
            <w:shd w:val="clear" w:color="000000" w:fill="FFDD82"/>
            <w:noWrap/>
            <w:vAlign w:val="center"/>
            <w:hideMark/>
          </w:tcPr>
          <w:p w14:paraId="47540B7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6,33</w:t>
            </w:r>
          </w:p>
        </w:tc>
        <w:tc>
          <w:tcPr>
            <w:tcW w:w="1229" w:type="dxa"/>
            <w:shd w:val="clear" w:color="000000" w:fill="FFE483"/>
            <w:noWrap/>
            <w:vAlign w:val="center"/>
            <w:hideMark/>
          </w:tcPr>
          <w:p w14:paraId="7E47BBE6"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5,39</w:t>
            </w:r>
          </w:p>
        </w:tc>
        <w:tc>
          <w:tcPr>
            <w:tcW w:w="1229" w:type="dxa"/>
            <w:shd w:val="clear" w:color="000000" w:fill="FFEB84"/>
            <w:noWrap/>
            <w:vAlign w:val="center"/>
            <w:hideMark/>
          </w:tcPr>
          <w:p w14:paraId="21005C32"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4,48</w:t>
            </w:r>
          </w:p>
        </w:tc>
        <w:tc>
          <w:tcPr>
            <w:tcW w:w="1229" w:type="dxa"/>
            <w:shd w:val="clear" w:color="000000" w:fill="D1DD81"/>
            <w:noWrap/>
            <w:vAlign w:val="center"/>
            <w:hideMark/>
          </w:tcPr>
          <w:p w14:paraId="25DDA489"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3,61</w:t>
            </w:r>
          </w:p>
        </w:tc>
      </w:tr>
      <w:tr w:rsidR="001E4B79" w:rsidRPr="00B179DD" w14:paraId="3D8D9A9C" w14:textId="77777777" w:rsidTr="00C9652A">
        <w:trPr>
          <w:trHeight w:val="284"/>
        </w:trPr>
        <w:tc>
          <w:tcPr>
            <w:tcW w:w="1441" w:type="dxa"/>
            <w:vMerge/>
            <w:tcBorders>
              <w:top w:val="nil"/>
              <w:bottom w:val="single" w:sz="4" w:space="0" w:color="auto"/>
              <w:right w:val="single" w:sz="4" w:space="0" w:color="auto"/>
            </w:tcBorders>
            <w:vAlign w:val="center"/>
            <w:hideMark/>
          </w:tcPr>
          <w:p w14:paraId="20E17495"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04424276"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0,24</w:t>
            </w:r>
          </w:p>
        </w:tc>
        <w:tc>
          <w:tcPr>
            <w:tcW w:w="1229" w:type="dxa"/>
            <w:shd w:val="clear" w:color="000000" w:fill="FED280"/>
            <w:noWrap/>
            <w:vAlign w:val="center"/>
            <w:hideMark/>
          </w:tcPr>
          <w:p w14:paraId="7CFC638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7,81</w:t>
            </w:r>
          </w:p>
        </w:tc>
        <w:tc>
          <w:tcPr>
            <w:tcW w:w="1229" w:type="dxa"/>
            <w:shd w:val="clear" w:color="000000" w:fill="FED981"/>
            <w:noWrap/>
            <w:vAlign w:val="center"/>
            <w:hideMark/>
          </w:tcPr>
          <w:p w14:paraId="79836139"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6,91</w:t>
            </w:r>
          </w:p>
        </w:tc>
        <w:tc>
          <w:tcPr>
            <w:tcW w:w="1229" w:type="dxa"/>
            <w:shd w:val="clear" w:color="000000" w:fill="FFE082"/>
            <w:noWrap/>
            <w:vAlign w:val="center"/>
            <w:hideMark/>
          </w:tcPr>
          <w:p w14:paraId="4035BB9F"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6,00</w:t>
            </w:r>
          </w:p>
        </w:tc>
        <w:tc>
          <w:tcPr>
            <w:tcW w:w="1229" w:type="dxa"/>
            <w:shd w:val="clear" w:color="000000" w:fill="FFE784"/>
            <w:noWrap/>
            <w:vAlign w:val="center"/>
            <w:hideMark/>
          </w:tcPr>
          <w:p w14:paraId="686B9C99"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5,11</w:t>
            </w:r>
          </w:p>
        </w:tc>
        <w:tc>
          <w:tcPr>
            <w:tcW w:w="1229" w:type="dxa"/>
            <w:shd w:val="clear" w:color="000000" w:fill="F2E783"/>
            <w:noWrap/>
            <w:vAlign w:val="center"/>
            <w:hideMark/>
          </w:tcPr>
          <w:p w14:paraId="0363919F"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4,25</w:t>
            </w:r>
          </w:p>
        </w:tc>
        <w:tc>
          <w:tcPr>
            <w:tcW w:w="1229" w:type="dxa"/>
            <w:shd w:val="clear" w:color="000000" w:fill="C7DA80"/>
            <w:noWrap/>
            <w:vAlign w:val="center"/>
            <w:hideMark/>
          </w:tcPr>
          <w:p w14:paraId="1DD633CA"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3,42</w:t>
            </w:r>
          </w:p>
        </w:tc>
      </w:tr>
      <w:tr w:rsidR="001E4B79" w:rsidRPr="00B179DD" w14:paraId="17420948" w14:textId="77777777" w:rsidTr="00C9652A">
        <w:trPr>
          <w:trHeight w:val="284"/>
        </w:trPr>
        <w:tc>
          <w:tcPr>
            <w:tcW w:w="1441" w:type="dxa"/>
            <w:vMerge/>
            <w:tcBorders>
              <w:top w:val="nil"/>
              <w:bottom w:val="single" w:sz="4" w:space="0" w:color="auto"/>
              <w:right w:val="single" w:sz="4" w:space="0" w:color="auto"/>
            </w:tcBorders>
            <w:vAlign w:val="center"/>
            <w:hideMark/>
          </w:tcPr>
          <w:p w14:paraId="7C711E6C"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1AA90794"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0,28</w:t>
            </w:r>
          </w:p>
        </w:tc>
        <w:tc>
          <w:tcPr>
            <w:tcW w:w="1229" w:type="dxa"/>
            <w:shd w:val="clear" w:color="000000" w:fill="FFDC82"/>
            <w:noWrap/>
            <w:vAlign w:val="center"/>
            <w:hideMark/>
          </w:tcPr>
          <w:p w14:paraId="6194736F"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6,44</w:t>
            </w:r>
          </w:p>
        </w:tc>
        <w:tc>
          <w:tcPr>
            <w:tcW w:w="1229" w:type="dxa"/>
            <w:shd w:val="clear" w:color="000000" w:fill="FFE283"/>
            <w:noWrap/>
            <w:vAlign w:val="center"/>
            <w:hideMark/>
          </w:tcPr>
          <w:p w14:paraId="171D4BC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5,68</w:t>
            </w:r>
          </w:p>
        </w:tc>
        <w:tc>
          <w:tcPr>
            <w:tcW w:w="1229" w:type="dxa"/>
            <w:shd w:val="clear" w:color="000000" w:fill="FFE884"/>
            <w:noWrap/>
            <w:vAlign w:val="center"/>
            <w:hideMark/>
          </w:tcPr>
          <w:p w14:paraId="59F1050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4,93</w:t>
            </w:r>
          </w:p>
        </w:tc>
        <w:tc>
          <w:tcPr>
            <w:tcW w:w="1229" w:type="dxa"/>
            <w:shd w:val="clear" w:color="000000" w:fill="F0E683"/>
            <w:noWrap/>
            <w:vAlign w:val="center"/>
            <w:hideMark/>
          </w:tcPr>
          <w:p w14:paraId="0E5BDC4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4,20</w:t>
            </w:r>
          </w:p>
        </w:tc>
        <w:tc>
          <w:tcPr>
            <w:tcW w:w="1229" w:type="dxa"/>
            <w:shd w:val="clear" w:color="000000" w:fill="CBDC81"/>
            <w:noWrap/>
            <w:vAlign w:val="center"/>
            <w:hideMark/>
          </w:tcPr>
          <w:p w14:paraId="751E62B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3,50</w:t>
            </w:r>
          </w:p>
        </w:tc>
        <w:tc>
          <w:tcPr>
            <w:tcW w:w="1229" w:type="dxa"/>
            <w:shd w:val="clear" w:color="000000" w:fill="A8D17E"/>
            <w:noWrap/>
            <w:vAlign w:val="center"/>
            <w:hideMark/>
          </w:tcPr>
          <w:p w14:paraId="29BEC96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2,83</w:t>
            </w:r>
          </w:p>
        </w:tc>
      </w:tr>
      <w:tr w:rsidR="001E4B79" w:rsidRPr="00B179DD" w14:paraId="2ED85D9A" w14:textId="77777777" w:rsidTr="00C9652A">
        <w:trPr>
          <w:trHeight w:val="284"/>
        </w:trPr>
        <w:tc>
          <w:tcPr>
            <w:tcW w:w="1441" w:type="dxa"/>
            <w:vMerge/>
            <w:tcBorders>
              <w:top w:val="nil"/>
              <w:bottom w:val="single" w:sz="4" w:space="0" w:color="auto"/>
              <w:right w:val="single" w:sz="4" w:space="0" w:color="auto"/>
            </w:tcBorders>
            <w:vAlign w:val="center"/>
            <w:hideMark/>
          </w:tcPr>
          <w:p w14:paraId="5B6AC8DA"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2AA827CA"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0,32</w:t>
            </w:r>
          </w:p>
        </w:tc>
        <w:tc>
          <w:tcPr>
            <w:tcW w:w="1229" w:type="dxa"/>
            <w:shd w:val="clear" w:color="000000" w:fill="FFE483"/>
            <w:noWrap/>
            <w:vAlign w:val="center"/>
            <w:hideMark/>
          </w:tcPr>
          <w:p w14:paraId="100B4CFF"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5,44</w:t>
            </w:r>
          </w:p>
        </w:tc>
        <w:tc>
          <w:tcPr>
            <w:tcW w:w="1229" w:type="dxa"/>
            <w:shd w:val="clear" w:color="000000" w:fill="FFE984"/>
            <w:noWrap/>
            <w:vAlign w:val="center"/>
            <w:hideMark/>
          </w:tcPr>
          <w:p w14:paraId="1C959999"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4,80</w:t>
            </w:r>
          </w:p>
        </w:tc>
        <w:tc>
          <w:tcPr>
            <w:tcW w:w="1229" w:type="dxa"/>
            <w:shd w:val="clear" w:color="000000" w:fill="EEE683"/>
            <w:noWrap/>
            <w:vAlign w:val="center"/>
            <w:hideMark/>
          </w:tcPr>
          <w:p w14:paraId="32323695"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4,17</w:t>
            </w:r>
          </w:p>
        </w:tc>
        <w:tc>
          <w:tcPr>
            <w:tcW w:w="1229" w:type="dxa"/>
            <w:shd w:val="clear" w:color="000000" w:fill="CEDC81"/>
            <w:noWrap/>
            <w:vAlign w:val="center"/>
            <w:hideMark/>
          </w:tcPr>
          <w:p w14:paraId="4B64CE37"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3,56</w:t>
            </w:r>
          </w:p>
        </w:tc>
        <w:tc>
          <w:tcPr>
            <w:tcW w:w="1229" w:type="dxa"/>
            <w:shd w:val="clear" w:color="000000" w:fill="AFD47F"/>
            <w:noWrap/>
            <w:vAlign w:val="center"/>
            <w:hideMark/>
          </w:tcPr>
          <w:p w14:paraId="7547F6E2"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2,97</w:t>
            </w:r>
          </w:p>
        </w:tc>
        <w:tc>
          <w:tcPr>
            <w:tcW w:w="1229" w:type="dxa"/>
            <w:shd w:val="clear" w:color="000000" w:fill="92CB7D"/>
            <w:noWrap/>
            <w:vAlign w:val="center"/>
            <w:hideMark/>
          </w:tcPr>
          <w:p w14:paraId="64D73350"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2,41</w:t>
            </w:r>
          </w:p>
        </w:tc>
      </w:tr>
      <w:tr w:rsidR="001E4B79" w:rsidRPr="00B179DD" w14:paraId="3E73AF97" w14:textId="77777777" w:rsidTr="00C9652A">
        <w:trPr>
          <w:trHeight w:val="284"/>
        </w:trPr>
        <w:tc>
          <w:tcPr>
            <w:tcW w:w="1441" w:type="dxa"/>
            <w:vMerge/>
            <w:tcBorders>
              <w:top w:val="nil"/>
              <w:bottom w:val="single" w:sz="4" w:space="0" w:color="auto"/>
              <w:right w:val="single" w:sz="4" w:space="0" w:color="auto"/>
            </w:tcBorders>
            <w:vAlign w:val="center"/>
            <w:hideMark/>
          </w:tcPr>
          <w:p w14:paraId="3D8BB91C"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34492AAF"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0,36</w:t>
            </w:r>
          </w:p>
        </w:tc>
        <w:tc>
          <w:tcPr>
            <w:tcW w:w="1229" w:type="dxa"/>
            <w:shd w:val="clear" w:color="000000" w:fill="FFEA84"/>
            <w:noWrap/>
            <w:vAlign w:val="center"/>
            <w:hideMark/>
          </w:tcPr>
          <w:p w14:paraId="75F7484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4,70</w:t>
            </w:r>
          </w:p>
        </w:tc>
        <w:tc>
          <w:tcPr>
            <w:tcW w:w="1229" w:type="dxa"/>
            <w:shd w:val="clear" w:color="000000" w:fill="EDE582"/>
            <w:noWrap/>
            <w:vAlign w:val="center"/>
            <w:hideMark/>
          </w:tcPr>
          <w:p w14:paraId="2A9D8BD0"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4,14</w:t>
            </w:r>
          </w:p>
        </w:tc>
        <w:tc>
          <w:tcPr>
            <w:tcW w:w="1229" w:type="dxa"/>
            <w:shd w:val="clear" w:color="000000" w:fill="D0DD81"/>
            <w:noWrap/>
            <w:vAlign w:val="center"/>
            <w:hideMark/>
          </w:tcPr>
          <w:p w14:paraId="79097C4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3,60</w:t>
            </w:r>
          </w:p>
        </w:tc>
        <w:tc>
          <w:tcPr>
            <w:tcW w:w="1229" w:type="dxa"/>
            <w:shd w:val="clear" w:color="000000" w:fill="B5D57F"/>
            <w:noWrap/>
            <w:vAlign w:val="center"/>
            <w:hideMark/>
          </w:tcPr>
          <w:p w14:paraId="7BF2C30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3,08</w:t>
            </w:r>
          </w:p>
        </w:tc>
        <w:tc>
          <w:tcPr>
            <w:tcW w:w="1229" w:type="dxa"/>
            <w:shd w:val="clear" w:color="000000" w:fill="9BCE7E"/>
            <w:noWrap/>
            <w:vAlign w:val="center"/>
            <w:hideMark/>
          </w:tcPr>
          <w:p w14:paraId="2B31E0B4"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2,58</w:t>
            </w:r>
          </w:p>
        </w:tc>
        <w:tc>
          <w:tcPr>
            <w:tcW w:w="1229" w:type="dxa"/>
            <w:shd w:val="clear" w:color="000000" w:fill="81C67C"/>
            <w:noWrap/>
            <w:vAlign w:val="center"/>
            <w:hideMark/>
          </w:tcPr>
          <w:p w14:paraId="3386338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2,10</w:t>
            </w:r>
          </w:p>
        </w:tc>
      </w:tr>
      <w:tr w:rsidR="001E4B79" w:rsidRPr="00B179DD" w14:paraId="1624B310" w14:textId="77777777" w:rsidTr="00C9652A">
        <w:trPr>
          <w:trHeight w:val="284"/>
        </w:trPr>
        <w:tc>
          <w:tcPr>
            <w:tcW w:w="1441" w:type="dxa"/>
            <w:vMerge/>
            <w:tcBorders>
              <w:top w:val="nil"/>
              <w:bottom w:val="single" w:sz="4" w:space="0" w:color="auto"/>
              <w:right w:val="single" w:sz="4" w:space="0" w:color="auto"/>
            </w:tcBorders>
            <w:vAlign w:val="center"/>
            <w:hideMark/>
          </w:tcPr>
          <w:p w14:paraId="7723FCC2"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3AA49490"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0,4</w:t>
            </w:r>
          </w:p>
        </w:tc>
        <w:tc>
          <w:tcPr>
            <w:tcW w:w="1229" w:type="dxa"/>
            <w:shd w:val="clear" w:color="000000" w:fill="ECE582"/>
            <w:noWrap/>
            <w:vAlign w:val="center"/>
            <w:hideMark/>
          </w:tcPr>
          <w:p w14:paraId="56E43C57"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4,12</w:t>
            </w:r>
          </w:p>
        </w:tc>
        <w:tc>
          <w:tcPr>
            <w:tcW w:w="1229" w:type="dxa"/>
            <w:shd w:val="clear" w:color="000000" w:fill="D2DE81"/>
            <w:noWrap/>
            <w:vAlign w:val="center"/>
            <w:hideMark/>
          </w:tcPr>
          <w:p w14:paraId="0CEBC24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3,64</w:t>
            </w:r>
          </w:p>
        </w:tc>
        <w:tc>
          <w:tcPr>
            <w:tcW w:w="1229" w:type="dxa"/>
            <w:shd w:val="clear" w:color="000000" w:fill="BAD780"/>
            <w:noWrap/>
            <w:vAlign w:val="center"/>
            <w:hideMark/>
          </w:tcPr>
          <w:p w14:paraId="4B87F9A0"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3,17</w:t>
            </w:r>
          </w:p>
        </w:tc>
        <w:tc>
          <w:tcPr>
            <w:tcW w:w="1229" w:type="dxa"/>
            <w:shd w:val="clear" w:color="000000" w:fill="A2D07E"/>
            <w:noWrap/>
            <w:vAlign w:val="center"/>
            <w:hideMark/>
          </w:tcPr>
          <w:p w14:paraId="3A8049F0"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2,71</w:t>
            </w:r>
          </w:p>
        </w:tc>
        <w:tc>
          <w:tcPr>
            <w:tcW w:w="1229" w:type="dxa"/>
            <w:shd w:val="clear" w:color="000000" w:fill="8BC97D"/>
            <w:noWrap/>
            <w:vAlign w:val="center"/>
            <w:hideMark/>
          </w:tcPr>
          <w:p w14:paraId="66A15BB8"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2,28</w:t>
            </w:r>
          </w:p>
        </w:tc>
        <w:tc>
          <w:tcPr>
            <w:tcW w:w="1229" w:type="dxa"/>
            <w:shd w:val="clear" w:color="000000" w:fill="75C37C"/>
            <w:noWrap/>
            <w:vAlign w:val="center"/>
            <w:hideMark/>
          </w:tcPr>
          <w:p w14:paraId="57489263"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1,86</w:t>
            </w:r>
          </w:p>
        </w:tc>
      </w:tr>
      <w:tr w:rsidR="001E4B79" w:rsidRPr="00B179DD" w14:paraId="53B9E55E" w14:textId="77777777" w:rsidTr="00C9652A">
        <w:trPr>
          <w:trHeight w:val="284"/>
        </w:trPr>
        <w:tc>
          <w:tcPr>
            <w:tcW w:w="1441" w:type="dxa"/>
            <w:vMerge/>
            <w:tcBorders>
              <w:top w:val="nil"/>
              <w:bottom w:val="single" w:sz="4" w:space="0" w:color="auto"/>
              <w:right w:val="single" w:sz="4" w:space="0" w:color="auto"/>
            </w:tcBorders>
            <w:vAlign w:val="center"/>
            <w:hideMark/>
          </w:tcPr>
          <w:p w14:paraId="18F63126"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37C84B75"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0,44</w:t>
            </w:r>
          </w:p>
        </w:tc>
        <w:tc>
          <w:tcPr>
            <w:tcW w:w="1229" w:type="dxa"/>
            <w:shd w:val="clear" w:color="000000" w:fill="D4DE81"/>
            <w:noWrap/>
            <w:vAlign w:val="center"/>
            <w:hideMark/>
          </w:tcPr>
          <w:p w14:paraId="1A039A6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3,67</w:t>
            </w:r>
          </w:p>
        </w:tc>
        <w:tc>
          <w:tcPr>
            <w:tcW w:w="1229" w:type="dxa"/>
            <w:shd w:val="clear" w:color="000000" w:fill="BDD880"/>
            <w:noWrap/>
            <w:vAlign w:val="center"/>
            <w:hideMark/>
          </w:tcPr>
          <w:p w14:paraId="17462AAC"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3,24</w:t>
            </w:r>
          </w:p>
        </w:tc>
        <w:tc>
          <w:tcPr>
            <w:tcW w:w="1229" w:type="dxa"/>
            <w:shd w:val="clear" w:color="000000" w:fill="A8D17E"/>
            <w:noWrap/>
            <w:vAlign w:val="center"/>
            <w:hideMark/>
          </w:tcPr>
          <w:p w14:paraId="79DFBB22"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2,83</w:t>
            </w:r>
          </w:p>
        </w:tc>
        <w:tc>
          <w:tcPr>
            <w:tcW w:w="1229" w:type="dxa"/>
            <w:shd w:val="clear" w:color="000000" w:fill="93CB7D"/>
            <w:noWrap/>
            <w:vAlign w:val="center"/>
            <w:hideMark/>
          </w:tcPr>
          <w:p w14:paraId="171AFF77"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2,43</w:t>
            </w:r>
          </w:p>
        </w:tc>
        <w:tc>
          <w:tcPr>
            <w:tcW w:w="1229" w:type="dxa"/>
            <w:shd w:val="clear" w:color="000000" w:fill="7EC67C"/>
            <w:noWrap/>
            <w:vAlign w:val="center"/>
            <w:hideMark/>
          </w:tcPr>
          <w:p w14:paraId="01C7324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2,04</w:t>
            </w:r>
          </w:p>
        </w:tc>
        <w:tc>
          <w:tcPr>
            <w:tcW w:w="1229" w:type="dxa"/>
            <w:shd w:val="clear" w:color="000000" w:fill="6BC07B"/>
            <w:noWrap/>
            <w:vAlign w:val="center"/>
            <w:hideMark/>
          </w:tcPr>
          <w:p w14:paraId="51E1850B"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1,67</w:t>
            </w:r>
          </w:p>
        </w:tc>
      </w:tr>
      <w:tr w:rsidR="001E4B79" w:rsidRPr="00B179DD" w14:paraId="3C32CB5D" w14:textId="77777777" w:rsidTr="00C9652A">
        <w:trPr>
          <w:trHeight w:val="284"/>
        </w:trPr>
        <w:tc>
          <w:tcPr>
            <w:tcW w:w="1441" w:type="dxa"/>
            <w:vMerge/>
            <w:tcBorders>
              <w:top w:val="nil"/>
              <w:bottom w:val="single" w:sz="4" w:space="0" w:color="auto"/>
              <w:right w:val="single" w:sz="4" w:space="0" w:color="auto"/>
            </w:tcBorders>
            <w:vAlign w:val="center"/>
            <w:hideMark/>
          </w:tcPr>
          <w:p w14:paraId="1DA126FC" w14:textId="77777777" w:rsidR="00B179DD" w:rsidRPr="00B179DD" w:rsidRDefault="00B179DD" w:rsidP="00B179DD">
            <w:pPr>
              <w:spacing w:before="0" w:after="0"/>
              <w:ind w:firstLine="0"/>
              <w:jc w:val="left"/>
              <w:rPr>
                <w:rFonts w:eastAsia="Times New Roman" w:cs="Times New Roman"/>
                <w:b/>
                <w:bCs/>
                <w:color w:val="000000"/>
                <w:sz w:val="20"/>
                <w:szCs w:val="20"/>
                <w:lang w:eastAsia="lt-LT"/>
              </w:rPr>
            </w:pPr>
          </w:p>
        </w:tc>
        <w:tc>
          <w:tcPr>
            <w:tcW w:w="972" w:type="dxa"/>
            <w:tcBorders>
              <w:left w:val="single" w:sz="4" w:space="0" w:color="auto"/>
            </w:tcBorders>
            <w:shd w:val="clear" w:color="auto" w:fill="auto"/>
            <w:noWrap/>
            <w:vAlign w:val="center"/>
            <w:hideMark/>
          </w:tcPr>
          <w:p w14:paraId="4A61513C" w14:textId="77777777" w:rsidR="00B179DD" w:rsidRPr="00B179DD" w:rsidRDefault="00B179DD" w:rsidP="00B179DD">
            <w:pPr>
              <w:spacing w:before="0" w:after="0"/>
              <w:ind w:firstLine="0"/>
              <w:jc w:val="right"/>
              <w:rPr>
                <w:rFonts w:eastAsia="Times New Roman" w:cs="Times New Roman"/>
                <w:color w:val="000000"/>
                <w:sz w:val="20"/>
                <w:szCs w:val="20"/>
                <w:lang w:eastAsia="lt-LT"/>
              </w:rPr>
            </w:pPr>
            <w:r w:rsidRPr="00B179DD">
              <w:rPr>
                <w:rFonts w:eastAsia="Times New Roman" w:cs="Times New Roman"/>
                <w:color w:val="000000"/>
                <w:sz w:val="20"/>
                <w:szCs w:val="20"/>
                <w:lang w:eastAsia="lt-LT"/>
              </w:rPr>
              <w:t>0,48</w:t>
            </w:r>
          </w:p>
        </w:tc>
        <w:tc>
          <w:tcPr>
            <w:tcW w:w="1229" w:type="dxa"/>
            <w:shd w:val="clear" w:color="000000" w:fill="C0D980"/>
            <w:noWrap/>
            <w:vAlign w:val="center"/>
            <w:hideMark/>
          </w:tcPr>
          <w:p w14:paraId="127653C6"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3,30</w:t>
            </w:r>
          </w:p>
        </w:tc>
        <w:tc>
          <w:tcPr>
            <w:tcW w:w="1229" w:type="dxa"/>
            <w:shd w:val="clear" w:color="000000" w:fill="ACD37F"/>
            <w:noWrap/>
            <w:vAlign w:val="center"/>
            <w:hideMark/>
          </w:tcPr>
          <w:p w14:paraId="607898C3"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2,92</w:t>
            </w:r>
          </w:p>
        </w:tc>
        <w:tc>
          <w:tcPr>
            <w:tcW w:w="1229" w:type="dxa"/>
            <w:shd w:val="clear" w:color="000000" w:fill="99CD7E"/>
            <w:noWrap/>
            <w:vAlign w:val="center"/>
            <w:hideMark/>
          </w:tcPr>
          <w:p w14:paraId="0D8955C6"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2,55</w:t>
            </w:r>
          </w:p>
        </w:tc>
        <w:tc>
          <w:tcPr>
            <w:tcW w:w="1229" w:type="dxa"/>
            <w:shd w:val="clear" w:color="000000" w:fill="86C87D"/>
            <w:noWrap/>
            <w:vAlign w:val="center"/>
            <w:hideMark/>
          </w:tcPr>
          <w:p w14:paraId="68AC33BE"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2,19</w:t>
            </w:r>
          </w:p>
        </w:tc>
        <w:tc>
          <w:tcPr>
            <w:tcW w:w="1229" w:type="dxa"/>
            <w:shd w:val="clear" w:color="000000" w:fill="74C37C"/>
            <w:noWrap/>
            <w:vAlign w:val="center"/>
            <w:hideMark/>
          </w:tcPr>
          <w:p w14:paraId="3149DD4F"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1,84</w:t>
            </w:r>
          </w:p>
        </w:tc>
        <w:tc>
          <w:tcPr>
            <w:tcW w:w="1229" w:type="dxa"/>
            <w:shd w:val="clear" w:color="000000" w:fill="63BE7B"/>
            <w:noWrap/>
            <w:vAlign w:val="center"/>
            <w:hideMark/>
          </w:tcPr>
          <w:p w14:paraId="79BBFF01" w14:textId="77777777" w:rsidR="00B179DD" w:rsidRPr="00B179DD" w:rsidRDefault="00B179DD" w:rsidP="00B179DD">
            <w:pPr>
              <w:spacing w:before="0" w:after="0"/>
              <w:ind w:firstLine="0"/>
              <w:jc w:val="center"/>
              <w:rPr>
                <w:rFonts w:eastAsia="Times New Roman" w:cs="Times New Roman"/>
                <w:color w:val="000000"/>
                <w:sz w:val="20"/>
                <w:szCs w:val="20"/>
                <w:lang w:eastAsia="lt-LT"/>
              </w:rPr>
            </w:pPr>
            <w:r w:rsidRPr="00B179DD">
              <w:rPr>
                <w:rFonts w:eastAsia="Times New Roman" w:cs="Times New Roman"/>
                <w:color w:val="000000"/>
                <w:sz w:val="20"/>
                <w:szCs w:val="20"/>
                <w:lang w:eastAsia="lt-LT"/>
              </w:rPr>
              <w:t>1,51</w:t>
            </w:r>
          </w:p>
        </w:tc>
      </w:tr>
    </w:tbl>
    <w:p w14:paraId="62CD40C9" w14:textId="40A5FF33" w:rsidR="005C2C96" w:rsidRPr="003C0378" w:rsidRDefault="005C2C96" w:rsidP="005C2C96">
      <w:pPr>
        <w:ind w:firstLine="562"/>
        <w:jc w:val="left"/>
        <w:rPr>
          <w:rFonts w:cs="Times New Roman"/>
          <w:sz w:val="20"/>
          <w:szCs w:val="20"/>
        </w:rPr>
      </w:pPr>
      <w:r w:rsidRPr="003C0378">
        <w:rPr>
          <w:rFonts w:cs="Times New Roman"/>
          <w:sz w:val="20"/>
          <w:szCs w:val="20"/>
        </w:rPr>
        <w:t>Šaltinis: sudaryta Vertintojų.</w:t>
      </w:r>
    </w:p>
    <w:p w14:paraId="773B5687" w14:textId="77777777" w:rsidR="005C2C96" w:rsidRPr="003C0378" w:rsidRDefault="005C2C96" w:rsidP="005C2C96">
      <w:pPr>
        <w:ind w:firstLine="562"/>
        <w:rPr>
          <w:rFonts w:eastAsia="Calibri" w:cs="Times New Roman"/>
        </w:rPr>
      </w:pPr>
      <w:r w:rsidRPr="003C0378">
        <w:rPr>
          <w:rFonts w:eastAsia="Calibri" w:cs="Times New Roman"/>
        </w:rPr>
        <w:t>Jautrumo analizės apibendrinimas:</w:t>
      </w:r>
    </w:p>
    <w:p w14:paraId="795E6A75" w14:textId="2DB35550" w:rsidR="005C2C96" w:rsidRPr="00C9652A" w:rsidRDefault="005C2C96">
      <w:pPr>
        <w:pStyle w:val="Sraopastraipa"/>
        <w:numPr>
          <w:ilvl w:val="0"/>
          <w:numId w:val="22"/>
        </w:numPr>
        <w:contextualSpacing w:val="0"/>
        <w:rPr>
          <w:rFonts w:eastAsia="Calibri" w:cs="Times New Roman"/>
        </w:rPr>
      </w:pPr>
      <w:r w:rsidRPr="003C0378">
        <w:rPr>
          <w:rFonts w:eastAsia="Calibri" w:cs="Times New Roman"/>
        </w:rPr>
        <w:t>Elektros kainos dydis turi tiesioginę įtaką saulės elektrinių atsiperkamumui – didesn</w:t>
      </w:r>
      <w:r w:rsidR="00C563C8">
        <w:rPr>
          <w:rFonts w:eastAsia="Calibri" w:cs="Times New Roman"/>
        </w:rPr>
        <w:t>ė</w:t>
      </w:r>
      <w:r w:rsidRPr="003C0378">
        <w:rPr>
          <w:rFonts w:eastAsia="Calibri" w:cs="Times New Roman"/>
        </w:rPr>
        <w:t xml:space="preserve"> elektros </w:t>
      </w:r>
      <w:r w:rsidRPr="00B82974">
        <w:rPr>
          <w:rFonts w:eastAsia="Calibri" w:cs="Times New Roman"/>
        </w:rPr>
        <w:t>kain</w:t>
      </w:r>
      <w:r w:rsidR="00C563C8" w:rsidRPr="00B82974">
        <w:rPr>
          <w:rFonts w:eastAsia="Calibri" w:cs="Times New Roman"/>
        </w:rPr>
        <w:t>a</w:t>
      </w:r>
      <w:r w:rsidRPr="002E379B">
        <w:rPr>
          <w:rFonts w:eastAsia="Calibri" w:cs="Times New Roman"/>
        </w:rPr>
        <w:t xml:space="preserve"> lemia greitesnį investicijų atsipirkimo laikotarpį. </w:t>
      </w:r>
      <w:r w:rsidR="007361B5" w:rsidRPr="002128E0">
        <w:t>2023 m. kovo ir baland</w:t>
      </w:r>
      <w:r w:rsidR="007361B5" w:rsidRPr="00B82974">
        <w:t>žio mėnesiais ženkliai nukritus elektros kainomis iki 0,</w:t>
      </w:r>
      <w:r w:rsidR="007361B5" w:rsidRPr="002128E0">
        <w:t xml:space="preserve">10–0,14 Eur/kWh matoma, kad </w:t>
      </w:r>
      <w:r w:rsidR="00EA79B2" w:rsidRPr="002128E0">
        <w:t>projektų atsiperkamumo laikotarpis ženkliai pailgėjo.</w:t>
      </w:r>
      <w:r w:rsidR="00EA79B2" w:rsidRPr="00B135A3">
        <w:t xml:space="preserve"> </w:t>
      </w:r>
    </w:p>
    <w:p w14:paraId="362707EF" w14:textId="76AECB7F" w:rsidR="005C2C96" w:rsidRPr="003C0378" w:rsidRDefault="005C2C96" w:rsidP="005C2C96">
      <w:pPr>
        <w:pStyle w:val="Sraopastraipa"/>
        <w:numPr>
          <w:ilvl w:val="0"/>
          <w:numId w:val="22"/>
        </w:numPr>
        <w:contextualSpacing w:val="0"/>
        <w:rPr>
          <w:rFonts w:eastAsia="Calibri" w:cs="Times New Roman"/>
        </w:rPr>
      </w:pPr>
      <w:r w:rsidRPr="003C0378">
        <w:t>Skaičiavimai indikuoja, kad jeigu išsipildytų bazinio scenarijaus prielaidos, saulės elektrinė atsipirktų per maždaug 8</w:t>
      </w:r>
      <w:r w:rsidR="00C563C8">
        <w:t>,2</w:t>
      </w:r>
      <w:r w:rsidRPr="003C0378">
        <w:t xml:space="preserve"> metus, t.</w:t>
      </w:r>
      <w:r w:rsidR="00C563C8">
        <w:t xml:space="preserve"> </w:t>
      </w:r>
      <w:r w:rsidRPr="003C0378">
        <w:t>y. greičiau, negu numatytas paskolos laikotarpis (1</w:t>
      </w:r>
      <w:r w:rsidR="00C563C8">
        <w:t>0</w:t>
      </w:r>
      <w:r w:rsidR="00EA79B2">
        <w:t>–</w:t>
      </w:r>
      <w:r w:rsidR="00EA79B2" w:rsidRPr="00B135A3">
        <w:t>15</w:t>
      </w:r>
      <w:r w:rsidRPr="003C0378">
        <w:t xml:space="preserve"> metų).</w:t>
      </w:r>
      <w:r w:rsidR="007361B5">
        <w:t xml:space="preserve"> </w:t>
      </w:r>
    </w:p>
    <w:p w14:paraId="5EA4708C" w14:textId="3623771E" w:rsidR="005C2C96" w:rsidRPr="00C9652A" w:rsidRDefault="005C2C96" w:rsidP="00C9652A">
      <w:pPr>
        <w:pStyle w:val="Sraopastraipa"/>
        <w:numPr>
          <w:ilvl w:val="0"/>
          <w:numId w:val="22"/>
        </w:numPr>
        <w:contextualSpacing w:val="0"/>
        <w:rPr>
          <w:rFonts w:eastAsia="Calibri" w:cs="Times New Roman"/>
        </w:rPr>
      </w:pPr>
      <w:r w:rsidRPr="003C0378">
        <w:t xml:space="preserve">Per visą elektrinės eksploatacijos laikotarpį (25 metus), visi elektrinės eksploatavimo kaštai siekia </w:t>
      </w:r>
      <w:r w:rsidR="00C563C8" w:rsidRPr="003C0378">
        <w:t>5</w:t>
      </w:r>
      <w:r w:rsidR="00C563C8">
        <w:t>3</w:t>
      </w:r>
      <w:r w:rsidR="00C563C8" w:rsidRPr="003C0378">
        <w:t>,</w:t>
      </w:r>
      <w:r w:rsidR="00C563C8">
        <w:t>88</w:t>
      </w:r>
      <w:r w:rsidR="00C563C8" w:rsidRPr="003C0378">
        <w:t xml:space="preserve"> </w:t>
      </w:r>
      <w:r w:rsidRPr="003C0378">
        <w:t xml:space="preserve">tūkst. Eur, o visos elektrinės finansinės naudos – </w:t>
      </w:r>
      <w:r w:rsidR="00C563C8" w:rsidRPr="003C0378">
        <w:t>1</w:t>
      </w:r>
      <w:r w:rsidR="00C563C8">
        <w:t>29</w:t>
      </w:r>
      <w:r w:rsidR="00C563C8" w:rsidRPr="003C0378">
        <w:t>,</w:t>
      </w:r>
      <w:r w:rsidR="00C563C8">
        <w:t>70</w:t>
      </w:r>
      <w:r w:rsidR="00C563C8" w:rsidRPr="003C0378">
        <w:t xml:space="preserve"> </w:t>
      </w:r>
      <w:r w:rsidRPr="003C0378">
        <w:t>tūkst. Eur. Taigi naudų–kaštų santykis minėtu laikotarpiu siekia 2,4</w:t>
      </w:r>
      <w:r w:rsidR="00C563C8">
        <w:t>1</w:t>
      </w:r>
      <w:r w:rsidRPr="003C0378">
        <w:t>.</w:t>
      </w:r>
    </w:p>
    <w:p w14:paraId="42F78A37" w14:textId="09A6BCA5" w:rsidR="005C2C96" w:rsidRPr="003C0378" w:rsidRDefault="005C2C96" w:rsidP="005C2C96">
      <w:pPr>
        <w:pStyle w:val="Antrat2"/>
        <w:keepNext w:val="0"/>
        <w:numPr>
          <w:ilvl w:val="1"/>
          <w:numId w:val="3"/>
        </w:numPr>
        <w:ind w:left="709" w:hanging="425"/>
        <w:rPr>
          <w:rFonts w:cs="Times New Roman"/>
        </w:rPr>
      </w:pPr>
      <w:bookmarkStart w:id="157" w:name="_Toc126051370"/>
      <w:bookmarkStart w:id="158" w:name="_Toc166139837"/>
      <w:bookmarkStart w:id="159" w:name="_Toc170804599"/>
      <w:r w:rsidRPr="003C0378">
        <w:rPr>
          <w:rFonts w:cs="Times New Roman"/>
        </w:rPr>
        <w:t xml:space="preserve">Jautrumo analizė </w:t>
      </w:r>
      <w:r w:rsidR="00F6739B">
        <w:rPr>
          <w:rFonts w:cs="Times New Roman"/>
        </w:rPr>
        <w:t>AIEB</w:t>
      </w:r>
      <w:r w:rsidR="00EE3FD6" w:rsidRPr="00EE3FD6">
        <w:t xml:space="preserve"> </w:t>
      </w:r>
      <w:r w:rsidR="00EE3FD6" w:rsidRPr="00EE3FD6">
        <w:rPr>
          <w:rFonts w:cs="Times New Roman"/>
        </w:rPr>
        <w:t>bei PEB</w:t>
      </w:r>
      <w:r w:rsidRPr="003C0378">
        <w:rPr>
          <w:rFonts w:cs="Times New Roman"/>
        </w:rPr>
        <w:t xml:space="preserve"> tikslinėje grupėje</w:t>
      </w:r>
      <w:bookmarkEnd w:id="157"/>
      <w:bookmarkEnd w:id="158"/>
      <w:bookmarkEnd w:id="159"/>
    </w:p>
    <w:p w14:paraId="5E3DC1CE" w14:textId="3D91BBE2" w:rsidR="005C2C96" w:rsidRPr="003C0378" w:rsidRDefault="005C2C96" w:rsidP="000D0242">
      <w:pPr>
        <w:ind w:firstLine="562"/>
        <w:rPr>
          <w:rFonts w:cs="Times New Roman"/>
        </w:rPr>
      </w:pPr>
      <w:r w:rsidRPr="003C0378">
        <w:rPr>
          <w:rFonts w:cs="Times New Roman"/>
        </w:rPr>
        <w:t>Žemiau lentelėje yra pateikiamos visos pritaikytos prielaidos atliekant jautrumo analizę</w:t>
      </w:r>
      <w:r w:rsidR="003C0378">
        <w:rPr>
          <w:rFonts w:cs="Times New Roman"/>
        </w:rPr>
        <w:t xml:space="preserve"> </w:t>
      </w:r>
      <w:r w:rsidR="00F6739B">
        <w:rPr>
          <w:rFonts w:cs="Times New Roman"/>
        </w:rPr>
        <w:t>AIEB</w:t>
      </w:r>
      <w:r w:rsidR="000D0242" w:rsidRPr="003C0378">
        <w:rPr>
          <w:rFonts w:cs="Times New Roman"/>
        </w:rPr>
        <w:t xml:space="preserve"> </w:t>
      </w:r>
      <w:r w:rsidR="00EE3FD6" w:rsidRPr="00EE3FD6">
        <w:rPr>
          <w:rFonts w:cs="Times New Roman"/>
        </w:rPr>
        <w:t xml:space="preserve">bei PEB </w:t>
      </w:r>
      <w:r w:rsidRPr="003C0378">
        <w:rPr>
          <w:rFonts w:cs="Times New Roman"/>
        </w:rPr>
        <w:t>tikslinėje grupėje.</w:t>
      </w:r>
    </w:p>
    <w:p w14:paraId="0240E32B" w14:textId="05542353" w:rsidR="005C2C96" w:rsidRPr="003C0378" w:rsidRDefault="005C2C96" w:rsidP="005C2C96">
      <w:pPr>
        <w:spacing w:after="0"/>
        <w:ind w:firstLine="0"/>
        <w:jc w:val="left"/>
        <w:rPr>
          <w:rFonts w:cs="Times New Roman"/>
        </w:rPr>
      </w:pPr>
      <w:bookmarkStart w:id="160" w:name="_Toc126051407"/>
      <w:bookmarkStart w:id="161" w:name="_Toc166139874"/>
      <w:bookmarkStart w:id="162" w:name="_Toc170804640"/>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24</w:t>
      </w:r>
      <w:r w:rsidRPr="003C0378">
        <w:rPr>
          <w:rFonts w:cs="Times New Roman"/>
          <w:i/>
          <w:iCs/>
        </w:rPr>
        <w:fldChar w:fldCharType="end"/>
      </w:r>
      <w:r w:rsidRPr="003C0378">
        <w:rPr>
          <w:rFonts w:cs="Times New Roman"/>
          <w:i/>
          <w:iCs/>
        </w:rPr>
        <w:t xml:space="preserve">. Jautrumo analizės prielaidos – </w:t>
      </w:r>
      <w:bookmarkEnd w:id="160"/>
      <w:r w:rsidR="00F6739B">
        <w:rPr>
          <w:rFonts w:cs="Times New Roman"/>
          <w:i/>
          <w:iCs/>
        </w:rPr>
        <w:t>AIEB</w:t>
      </w:r>
      <w:bookmarkEnd w:id="161"/>
      <w:r w:rsidR="00EE3FD6" w:rsidRPr="00EE3FD6">
        <w:t xml:space="preserve"> </w:t>
      </w:r>
      <w:r w:rsidR="00EE3FD6" w:rsidRPr="00EE3FD6">
        <w:rPr>
          <w:rFonts w:cs="Times New Roman"/>
          <w:i/>
          <w:iCs/>
        </w:rPr>
        <w:t>bei PEB</w:t>
      </w:r>
      <w:bookmarkEnd w:id="162"/>
    </w:p>
    <w:tbl>
      <w:tblPr>
        <w:tblStyle w:val="Lentelstinklelis"/>
        <w:tblW w:w="9600" w:type="dxa"/>
        <w:tblLook w:val="04A0" w:firstRow="1" w:lastRow="0" w:firstColumn="1" w:lastColumn="0" w:noHBand="0" w:noVBand="1"/>
      </w:tblPr>
      <w:tblGrid>
        <w:gridCol w:w="7508"/>
        <w:gridCol w:w="2092"/>
      </w:tblGrid>
      <w:tr w:rsidR="005C2C96" w:rsidRPr="003C0378" w14:paraId="13A00B7C" w14:textId="77777777" w:rsidTr="00E24002">
        <w:trPr>
          <w:trHeight w:val="20"/>
          <w:tblHeader/>
        </w:trPr>
        <w:tc>
          <w:tcPr>
            <w:tcW w:w="7508" w:type="dxa"/>
            <w:vAlign w:val="center"/>
          </w:tcPr>
          <w:p w14:paraId="0E57883F" w14:textId="77777777" w:rsidR="005C2C96" w:rsidRPr="003C0378" w:rsidRDefault="005C2C96" w:rsidP="00561795">
            <w:pPr>
              <w:spacing w:after="0"/>
              <w:ind w:firstLine="0"/>
              <w:jc w:val="center"/>
              <w:rPr>
                <w:rFonts w:cs="Times New Roman"/>
                <w:b/>
                <w:bCs/>
                <w:sz w:val="20"/>
                <w:szCs w:val="20"/>
                <w:lang w:val="lt-LT"/>
              </w:rPr>
            </w:pPr>
            <w:r w:rsidRPr="003C0378">
              <w:rPr>
                <w:rFonts w:cs="Times New Roman"/>
                <w:b/>
                <w:bCs/>
                <w:sz w:val="20"/>
                <w:szCs w:val="20"/>
                <w:lang w:val="lt-LT"/>
              </w:rPr>
              <w:t>Prielaida</w:t>
            </w:r>
          </w:p>
        </w:tc>
        <w:tc>
          <w:tcPr>
            <w:tcW w:w="2092" w:type="dxa"/>
            <w:vAlign w:val="center"/>
          </w:tcPr>
          <w:p w14:paraId="4F127F07" w14:textId="77777777" w:rsidR="005C2C96" w:rsidRPr="003C0378" w:rsidRDefault="005C2C96" w:rsidP="00561795">
            <w:pPr>
              <w:spacing w:after="0"/>
              <w:ind w:firstLine="0"/>
              <w:jc w:val="center"/>
              <w:rPr>
                <w:rFonts w:cs="Times New Roman"/>
                <w:b/>
                <w:bCs/>
                <w:sz w:val="20"/>
                <w:szCs w:val="20"/>
                <w:lang w:val="lt-LT"/>
              </w:rPr>
            </w:pPr>
            <w:r w:rsidRPr="003C0378">
              <w:rPr>
                <w:rFonts w:cs="Times New Roman"/>
                <w:b/>
                <w:bCs/>
                <w:sz w:val="20"/>
                <w:szCs w:val="20"/>
                <w:lang w:val="lt-LT"/>
              </w:rPr>
              <w:t>Reikšmė</w:t>
            </w:r>
          </w:p>
        </w:tc>
      </w:tr>
      <w:tr w:rsidR="005C2C96" w:rsidRPr="003C0378" w14:paraId="5F3AD9C2" w14:textId="77777777" w:rsidTr="00E24002">
        <w:trPr>
          <w:trHeight w:val="20"/>
        </w:trPr>
        <w:tc>
          <w:tcPr>
            <w:tcW w:w="9600" w:type="dxa"/>
            <w:gridSpan w:val="2"/>
          </w:tcPr>
          <w:p w14:paraId="7DE542A6"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Elektrinės įrengimo kaštai</w:t>
            </w:r>
          </w:p>
        </w:tc>
      </w:tr>
      <w:tr w:rsidR="005C2C96" w:rsidRPr="003C0378" w14:paraId="2B7A5801" w14:textId="77777777" w:rsidTr="00E24002">
        <w:trPr>
          <w:trHeight w:val="20"/>
        </w:trPr>
        <w:tc>
          <w:tcPr>
            <w:tcW w:w="7508" w:type="dxa"/>
          </w:tcPr>
          <w:p w14:paraId="6FC0C044"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Įrengiami pajėgumai (kW)</w:t>
            </w:r>
          </w:p>
        </w:tc>
        <w:tc>
          <w:tcPr>
            <w:tcW w:w="2092" w:type="dxa"/>
            <w:vAlign w:val="center"/>
          </w:tcPr>
          <w:p w14:paraId="509CD3E8"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4000</w:t>
            </w:r>
          </w:p>
        </w:tc>
      </w:tr>
      <w:tr w:rsidR="005C2C96" w:rsidRPr="003C0378" w14:paraId="613CC04D" w14:textId="77777777" w:rsidTr="00E24002">
        <w:trPr>
          <w:trHeight w:val="20"/>
        </w:trPr>
        <w:tc>
          <w:tcPr>
            <w:tcW w:w="7508" w:type="dxa"/>
          </w:tcPr>
          <w:p w14:paraId="0F8EE759"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Pajėgumų įkainiai (Eur/kW)</w:t>
            </w:r>
          </w:p>
        </w:tc>
        <w:tc>
          <w:tcPr>
            <w:tcW w:w="2092" w:type="dxa"/>
            <w:vAlign w:val="center"/>
          </w:tcPr>
          <w:p w14:paraId="784DF1A8"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1552</w:t>
            </w:r>
          </w:p>
        </w:tc>
      </w:tr>
      <w:tr w:rsidR="005C2C96" w:rsidRPr="003C0378" w14:paraId="08751F5A" w14:textId="77777777" w:rsidTr="00E24002">
        <w:trPr>
          <w:trHeight w:val="20"/>
        </w:trPr>
        <w:tc>
          <w:tcPr>
            <w:tcW w:w="7508" w:type="dxa"/>
          </w:tcPr>
          <w:p w14:paraId="72AA36FE"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Pajėgumų eksploatacijos laikotarpis (metai) (daugiausiai: 30 metų)</w:t>
            </w:r>
          </w:p>
        </w:tc>
        <w:tc>
          <w:tcPr>
            <w:tcW w:w="2092" w:type="dxa"/>
            <w:vAlign w:val="center"/>
          </w:tcPr>
          <w:p w14:paraId="070C9321"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25</w:t>
            </w:r>
          </w:p>
        </w:tc>
      </w:tr>
      <w:tr w:rsidR="005C2C96" w:rsidRPr="003C0378" w14:paraId="11086DC2" w14:textId="77777777" w:rsidTr="00E24002">
        <w:trPr>
          <w:trHeight w:val="20"/>
        </w:trPr>
        <w:tc>
          <w:tcPr>
            <w:tcW w:w="9600" w:type="dxa"/>
            <w:gridSpan w:val="2"/>
          </w:tcPr>
          <w:p w14:paraId="10406251"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Elektrinės pajėgumai ir kitos prielaidos</w:t>
            </w:r>
          </w:p>
        </w:tc>
      </w:tr>
      <w:tr w:rsidR="005C2C96" w:rsidRPr="003C0378" w14:paraId="1B6BBF99" w14:textId="77777777" w:rsidTr="00E24002">
        <w:trPr>
          <w:trHeight w:val="20"/>
        </w:trPr>
        <w:tc>
          <w:tcPr>
            <w:tcW w:w="7508" w:type="dxa"/>
          </w:tcPr>
          <w:p w14:paraId="0B676506"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pagaminamas metinis kWh kiekis (kWh/kW)</w:t>
            </w:r>
          </w:p>
        </w:tc>
        <w:tc>
          <w:tcPr>
            <w:tcW w:w="2092" w:type="dxa"/>
            <w:vAlign w:val="center"/>
          </w:tcPr>
          <w:p w14:paraId="189B5DD7"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1050</w:t>
            </w:r>
          </w:p>
        </w:tc>
      </w:tr>
      <w:tr w:rsidR="005C2C96" w:rsidRPr="003C0378" w14:paraId="3BFD3851" w14:textId="77777777" w:rsidTr="00E24002">
        <w:trPr>
          <w:trHeight w:val="20"/>
        </w:trPr>
        <w:tc>
          <w:tcPr>
            <w:tcW w:w="7508" w:type="dxa"/>
          </w:tcPr>
          <w:p w14:paraId="0FA216CB"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pagaminamo kWh kiekio efektyvumo koeficientas (proc.)</w:t>
            </w:r>
          </w:p>
        </w:tc>
        <w:tc>
          <w:tcPr>
            <w:tcW w:w="2092" w:type="dxa"/>
            <w:vAlign w:val="center"/>
          </w:tcPr>
          <w:p w14:paraId="585124CA" w14:textId="376C0ACF"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95</w:t>
            </w:r>
          </w:p>
        </w:tc>
      </w:tr>
      <w:tr w:rsidR="005C2C96" w:rsidRPr="003C0378" w14:paraId="16641194" w14:textId="77777777" w:rsidTr="00E24002">
        <w:trPr>
          <w:trHeight w:val="20"/>
        </w:trPr>
        <w:tc>
          <w:tcPr>
            <w:tcW w:w="7508" w:type="dxa"/>
          </w:tcPr>
          <w:p w14:paraId="7C665A95"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Naujai įrengto 1 kW pajėgumo pagaminamas faktinis kWh kiekis (kWh/kW)</w:t>
            </w:r>
          </w:p>
        </w:tc>
        <w:tc>
          <w:tcPr>
            <w:tcW w:w="2092" w:type="dxa"/>
            <w:vAlign w:val="center"/>
          </w:tcPr>
          <w:p w14:paraId="7DADFA30" w14:textId="46E78A2E"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998</w:t>
            </w:r>
          </w:p>
        </w:tc>
      </w:tr>
      <w:tr w:rsidR="005C2C96" w:rsidRPr="003C0378" w14:paraId="6CDE1D68" w14:textId="77777777" w:rsidTr="00E24002">
        <w:trPr>
          <w:trHeight w:val="20"/>
        </w:trPr>
        <w:tc>
          <w:tcPr>
            <w:tcW w:w="7508" w:type="dxa"/>
          </w:tcPr>
          <w:p w14:paraId="18032446"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Įrengto 1 kW (elektrinės) aptarnavimo kaštai per metus (Eur/kW)</w:t>
            </w:r>
          </w:p>
        </w:tc>
        <w:tc>
          <w:tcPr>
            <w:tcW w:w="2092" w:type="dxa"/>
            <w:vAlign w:val="center"/>
          </w:tcPr>
          <w:p w14:paraId="4B934C2C"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13,6</w:t>
            </w:r>
          </w:p>
        </w:tc>
      </w:tr>
      <w:tr w:rsidR="005C2C96" w:rsidRPr="003C0378" w14:paraId="684042A3" w14:textId="77777777" w:rsidTr="00E24002">
        <w:trPr>
          <w:trHeight w:val="20"/>
        </w:trPr>
        <w:tc>
          <w:tcPr>
            <w:tcW w:w="7508" w:type="dxa"/>
          </w:tcPr>
          <w:p w14:paraId="201B0E6D"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Elektrinės degradacijos lygis per metus (proc.)</w:t>
            </w:r>
          </w:p>
        </w:tc>
        <w:tc>
          <w:tcPr>
            <w:tcW w:w="2092" w:type="dxa"/>
            <w:vAlign w:val="center"/>
          </w:tcPr>
          <w:p w14:paraId="490537F3"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0,5</w:t>
            </w:r>
          </w:p>
        </w:tc>
      </w:tr>
      <w:tr w:rsidR="005C2C96" w:rsidRPr="003C0378" w14:paraId="197AA0B8" w14:textId="77777777" w:rsidTr="00E24002">
        <w:trPr>
          <w:trHeight w:val="20"/>
        </w:trPr>
        <w:tc>
          <w:tcPr>
            <w:tcW w:w="7508" w:type="dxa"/>
          </w:tcPr>
          <w:p w14:paraId="04494D7F"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Infliacijos metinis lygis (proc.)</w:t>
            </w:r>
          </w:p>
        </w:tc>
        <w:tc>
          <w:tcPr>
            <w:tcW w:w="2092" w:type="dxa"/>
            <w:vAlign w:val="center"/>
          </w:tcPr>
          <w:p w14:paraId="0B2EB24B"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3</w:t>
            </w:r>
          </w:p>
        </w:tc>
      </w:tr>
      <w:tr w:rsidR="005C2C96" w:rsidRPr="003C0378" w14:paraId="58C6D96F" w14:textId="77777777" w:rsidTr="00E24002">
        <w:trPr>
          <w:trHeight w:val="20"/>
        </w:trPr>
        <w:tc>
          <w:tcPr>
            <w:tcW w:w="7508" w:type="dxa"/>
          </w:tcPr>
          <w:p w14:paraId="10747289"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Elektros kainų infliacijos metinis lygis (proc.)</w:t>
            </w:r>
          </w:p>
        </w:tc>
        <w:tc>
          <w:tcPr>
            <w:tcW w:w="2092" w:type="dxa"/>
            <w:vAlign w:val="center"/>
          </w:tcPr>
          <w:p w14:paraId="5E5AB461"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w:t>
            </w:r>
          </w:p>
        </w:tc>
      </w:tr>
      <w:tr w:rsidR="005C2C96" w:rsidRPr="003C0378" w14:paraId="0B1B80AC" w14:textId="77777777" w:rsidTr="00E24002">
        <w:trPr>
          <w:trHeight w:val="20"/>
        </w:trPr>
        <w:tc>
          <w:tcPr>
            <w:tcW w:w="7508" w:type="dxa"/>
          </w:tcPr>
          <w:p w14:paraId="5F905C40"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Vartojamos elektros kaina (Eur/kWh)</w:t>
            </w:r>
          </w:p>
        </w:tc>
        <w:tc>
          <w:tcPr>
            <w:tcW w:w="2092" w:type="dxa"/>
            <w:vAlign w:val="center"/>
          </w:tcPr>
          <w:p w14:paraId="402FF6CA"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0,28</w:t>
            </w:r>
          </w:p>
        </w:tc>
      </w:tr>
      <w:tr w:rsidR="005C2C96" w:rsidRPr="003C0378" w14:paraId="2F98256B" w14:textId="77777777" w:rsidTr="00E24002">
        <w:trPr>
          <w:trHeight w:val="20"/>
        </w:trPr>
        <w:tc>
          <w:tcPr>
            <w:tcW w:w="7508" w:type="dxa"/>
          </w:tcPr>
          <w:p w14:paraId="0DAE2C36" w14:textId="518FDAD6"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 xml:space="preserve">Atiduodamų pajėgumų dalis, energetinį </w:t>
            </w:r>
            <w:r w:rsidR="009541F8">
              <w:rPr>
                <w:rFonts w:cs="Times New Roman"/>
                <w:sz w:val="20"/>
                <w:szCs w:val="20"/>
                <w:lang w:val="lt-LT"/>
              </w:rPr>
              <w:t>nepriteklių</w:t>
            </w:r>
            <w:r w:rsidRPr="003C0378">
              <w:rPr>
                <w:rFonts w:cs="Times New Roman"/>
                <w:sz w:val="20"/>
                <w:szCs w:val="20"/>
                <w:lang w:val="lt-LT"/>
              </w:rPr>
              <w:t xml:space="preserve"> patiriantiems asmenims (proc.)</w:t>
            </w:r>
          </w:p>
        </w:tc>
        <w:tc>
          <w:tcPr>
            <w:tcW w:w="2092" w:type="dxa"/>
            <w:vAlign w:val="center"/>
          </w:tcPr>
          <w:p w14:paraId="430DD094" w14:textId="27760E08" w:rsidR="00B1147B" w:rsidRDefault="00B1147B" w:rsidP="00561795">
            <w:pPr>
              <w:spacing w:after="0"/>
              <w:ind w:firstLine="0"/>
              <w:jc w:val="center"/>
              <w:rPr>
                <w:rFonts w:cs="Times New Roman"/>
                <w:sz w:val="20"/>
                <w:szCs w:val="20"/>
                <w:lang w:val="lt-LT"/>
              </w:rPr>
            </w:pPr>
            <w:r>
              <w:rPr>
                <w:rFonts w:cs="Times New Roman"/>
                <w:sz w:val="20"/>
                <w:szCs w:val="20"/>
                <w:lang w:val="lt-LT"/>
              </w:rPr>
              <w:t>15, 20, 25, 30, 35, 40</w:t>
            </w:r>
          </w:p>
          <w:p w14:paraId="6DE2C478" w14:textId="6B93F344"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45, 50, 55 proc.</w:t>
            </w:r>
          </w:p>
        </w:tc>
      </w:tr>
      <w:tr w:rsidR="005C2C96" w:rsidRPr="003C0378" w14:paraId="0BBBB600" w14:textId="77777777" w:rsidTr="00E24002">
        <w:trPr>
          <w:trHeight w:val="20"/>
        </w:trPr>
        <w:tc>
          <w:tcPr>
            <w:tcW w:w="9600" w:type="dxa"/>
            <w:gridSpan w:val="2"/>
          </w:tcPr>
          <w:p w14:paraId="7AE058CD" w14:textId="77777777" w:rsidR="005C2C96" w:rsidRPr="003C0378" w:rsidRDefault="005C2C96" w:rsidP="00561795">
            <w:pPr>
              <w:spacing w:after="0"/>
              <w:ind w:firstLine="0"/>
              <w:rPr>
                <w:rFonts w:cs="Times New Roman"/>
                <w:b/>
                <w:bCs/>
                <w:sz w:val="20"/>
                <w:szCs w:val="20"/>
                <w:lang w:val="lt-LT"/>
              </w:rPr>
            </w:pPr>
            <w:r w:rsidRPr="003C0378">
              <w:rPr>
                <w:rFonts w:cs="Times New Roman"/>
                <w:b/>
                <w:bCs/>
                <w:sz w:val="20"/>
                <w:szCs w:val="20"/>
                <w:lang w:val="lt-LT"/>
              </w:rPr>
              <w:t>Paskolos sąlygų prielaidos</w:t>
            </w:r>
          </w:p>
        </w:tc>
      </w:tr>
      <w:tr w:rsidR="005C2C96" w:rsidRPr="003C0378" w14:paraId="342CE928" w14:textId="77777777" w:rsidTr="00E24002">
        <w:trPr>
          <w:trHeight w:val="20"/>
        </w:trPr>
        <w:tc>
          <w:tcPr>
            <w:tcW w:w="7508" w:type="dxa"/>
          </w:tcPr>
          <w:p w14:paraId="3B41C57D" w14:textId="73998299"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Ko</w:t>
            </w:r>
            <w:r w:rsidR="003C0378">
              <w:rPr>
                <w:rFonts w:cs="Times New Roman"/>
                <w:sz w:val="20"/>
                <w:szCs w:val="20"/>
                <w:lang w:val="lt-LT"/>
              </w:rPr>
              <w:t>–</w:t>
            </w:r>
            <w:r w:rsidRPr="003C0378">
              <w:rPr>
                <w:rFonts w:cs="Times New Roman"/>
                <w:sz w:val="20"/>
                <w:szCs w:val="20"/>
                <w:lang w:val="lt-LT"/>
              </w:rPr>
              <w:t>finansavimo dalis (proc.)</w:t>
            </w:r>
          </w:p>
        </w:tc>
        <w:tc>
          <w:tcPr>
            <w:tcW w:w="2092" w:type="dxa"/>
            <w:vAlign w:val="center"/>
          </w:tcPr>
          <w:p w14:paraId="65421BAF"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0</w:t>
            </w:r>
          </w:p>
        </w:tc>
      </w:tr>
      <w:tr w:rsidR="005C2C96" w:rsidRPr="003C0378" w14:paraId="2A22A9EC" w14:textId="77777777" w:rsidTr="00E24002">
        <w:trPr>
          <w:trHeight w:val="20"/>
        </w:trPr>
        <w:tc>
          <w:tcPr>
            <w:tcW w:w="7508" w:type="dxa"/>
          </w:tcPr>
          <w:p w14:paraId="39F9828B"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Metinė palūkanų norma imamai paskolai (proc.)</w:t>
            </w:r>
          </w:p>
        </w:tc>
        <w:tc>
          <w:tcPr>
            <w:tcW w:w="2092" w:type="dxa"/>
            <w:vAlign w:val="center"/>
          </w:tcPr>
          <w:p w14:paraId="3411CE43" w14:textId="5B6F73BC" w:rsidR="005C2C96" w:rsidRPr="003C0378" w:rsidRDefault="00CB18C9" w:rsidP="00561795">
            <w:pPr>
              <w:spacing w:after="0"/>
              <w:ind w:firstLine="0"/>
              <w:jc w:val="center"/>
              <w:rPr>
                <w:rFonts w:cs="Times New Roman"/>
                <w:sz w:val="20"/>
                <w:szCs w:val="20"/>
                <w:lang w:val="lt-LT"/>
              </w:rPr>
            </w:pPr>
            <w:r>
              <w:rPr>
                <w:rFonts w:cs="Times New Roman"/>
                <w:sz w:val="20"/>
                <w:szCs w:val="20"/>
                <w:lang w:val="lt-LT"/>
              </w:rPr>
              <w:t>3</w:t>
            </w:r>
          </w:p>
        </w:tc>
      </w:tr>
      <w:tr w:rsidR="005C2C96" w:rsidRPr="003C0378" w14:paraId="1A88D280" w14:textId="77777777" w:rsidTr="00E24002">
        <w:trPr>
          <w:trHeight w:val="20"/>
        </w:trPr>
        <w:tc>
          <w:tcPr>
            <w:tcW w:w="7508" w:type="dxa"/>
          </w:tcPr>
          <w:p w14:paraId="0EDD8473"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Metinė palūkanų norma nuosavam kapitalui (proc.)</w:t>
            </w:r>
          </w:p>
        </w:tc>
        <w:tc>
          <w:tcPr>
            <w:tcW w:w="2092" w:type="dxa"/>
            <w:vAlign w:val="center"/>
          </w:tcPr>
          <w:p w14:paraId="632EEEB7" w14:textId="1E0D4C7F" w:rsidR="005C2C96" w:rsidRPr="003C0378" w:rsidRDefault="002D433E" w:rsidP="00561795">
            <w:pPr>
              <w:spacing w:after="0"/>
              <w:ind w:firstLine="0"/>
              <w:jc w:val="center"/>
              <w:rPr>
                <w:rFonts w:cs="Times New Roman"/>
                <w:sz w:val="20"/>
                <w:szCs w:val="20"/>
                <w:lang w:val="lt-LT"/>
              </w:rPr>
            </w:pPr>
            <w:r>
              <w:rPr>
                <w:rFonts w:cs="Times New Roman"/>
                <w:sz w:val="20"/>
                <w:szCs w:val="20"/>
                <w:lang w:val="lt-LT"/>
              </w:rPr>
              <w:t>5</w:t>
            </w:r>
          </w:p>
        </w:tc>
      </w:tr>
      <w:tr w:rsidR="005C2C96" w:rsidRPr="003C0378" w14:paraId="0DCBB539" w14:textId="77777777" w:rsidTr="00E24002">
        <w:trPr>
          <w:trHeight w:val="20"/>
        </w:trPr>
        <w:tc>
          <w:tcPr>
            <w:tcW w:w="7508" w:type="dxa"/>
          </w:tcPr>
          <w:p w14:paraId="0E00412F" w14:textId="77777777" w:rsidR="005C2C96" w:rsidRPr="003C0378" w:rsidRDefault="005C2C96" w:rsidP="00561795">
            <w:pPr>
              <w:spacing w:after="0"/>
              <w:ind w:firstLine="0"/>
              <w:rPr>
                <w:rFonts w:cs="Times New Roman"/>
                <w:sz w:val="20"/>
                <w:szCs w:val="20"/>
                <w:lang w:val="lt-LT"/>
              </w:rPr>
            </w:pPr>
            <w:r w:rsidRPr="003C0378">
              <w:rPr>
                <w:rFonts w:cs="Times New Roman"/>
                <w:sz w:val="20"/>
                <w:szCs w:val="20"/>
                <w:lang w:val="lt-LT"/>
              </w:rPr>
              <w:t>Paskolos laikotarpis (metai)</w:t>
            </w:r>
          </w:p>
        </w:tc>
        <w:tc>
          <w:tcPr>
            <w:tcW w:w="2092" w:type="dxa"/>
            <w:vAlign w:val="center"/>
          </w:tcPr>
          <w:p w14:paraId="3AD162E5" w14:textId="77777777" w:rsidR="005C2C96" w:rsidRPr="003C0378" w:rsidRDefault="005C2C96" w:rsidP="00561795">
            <w:pPr>
              <w:spacing w:after="0"/>
              <w:ind w:firstLine="0"/>
              <w:jc w:val="center"/>
              <w:rPr>
                <w:rFonts w:cs="Times New Roman"/>
                <w:sz w:val="20"/>
                <w:szCs w:val="20"/>
                <w:lang w:val="lt-LT"/>
              </w:rPr>
            </w:pPr>
            <w:r w:rsidRPr="003C0378">
              <w:rPr>
                <w:rFonts w:cs="Times New Roman"/>
                <w:sz w:val="20"/>
                <w:szCs w:val="20"/>
                <w:lang w:val="lt-LT"/>
              </w:rPr>
              <w:t>15</w:t>
            </w:r>
          </w:p>
        </w:tc>
      </w:tr>
    </w:tbl>
    <w:p w14:paraId="5AF410DD" w14:textId="77777777" w:rsidR="005C2C96" w:rsidRPr="003C0378" w:rsidRDefault="005C2C96" w:rsidP="005C2C96">
      <w:pPr>
        <w:ind w:firstLine="562"/>
        <w:jc w:val="left"/>
        <w:rPr>
          <w:rFonts w:cs="Times New Roman"/>
          <w:sz w:val="20"/>
          <w:szCs w:val="20"/>
        </w:rPr>
      </w:pPr>
      <w:r w:rsidRPr="003C0378">
        <w:rPr>
          <w:rFonts w:cs="Times New Roman"/>
          <w:sz w:val="20"/>
          <w:szCs w:val="20"/>
        </w:rPr>
        <w:t>Šaltinis: sudaryta Vertintojų.</w:t>
      </w:r>
    </w:p>
    <w:p w14:paraId="5DEC5F3C" w14:textId="7914C712" w:rsidR="00AA5C3A" w:rsidRDefault="007A2096" w:rsidP="00561795">
      <w:pPr>
        <w:widowControl w:val="0"/>
        <w:spacing w:line="276" w:lineRule="auto"/>
        <w:ind w:firstLine="562"/>
        <w:rPr>
          <w:b/>
          <w:bCs/>
        </w:rPr>
      </w:pPr>
      <w:r>
        <w:t xml:space="preserve">Nors </w:t>
      </w:r>
      <w:r w:rsidR="007F6716" w:rsidRPr="003C0378">
        <w:t>dar nėra</w:t>
      </w:r>
      <w:r>
        <w:t xml:space="preserve"> </w:t>
      </w:r>
      <w:r w:rsidR="007F6716" w:rsidRPr="003C0378">
        <w:t xml:space="preserve">patvirtintas tikslus </w:t>
      </w:r>
      <w:r w:rsidR="005C2C96" w:rsidRPr="003C0378">
        <w:t>AIE</w:t>
      </w:r>
      <w:r>
        <w:t>B</w:t>
      </w:r>
      <w:r w:rsidR="00EE3FD6" w:rsidRPr="00EE3FD6">
        <w:t xml:space="preserve"> bei PEB</w:t>
      </w:r>
      <w:r w:rsidR="007F6716" w:rsidRPr="003C0378">
        <w:t xml:space="preserve"> veikimo modelis, žinoma, kad t</w:t>
      </w:r>
      <w:r w:rsidR="005C2C96" w:rsidRPr="003C0378">
        <w:t>am tikra AIEB</w:t>
      </w:r>
      <w:r w:rsidR="00B302F3" w:rsidRPr="00B302F3">
        <w:t xml:space="preserve"> </w:t>
      </w:r>
      <w:r w:rsidR="00B302F3">
        <w:t>ar</w:t>
      </w:r>
      <w:r w:rsidR="00B302F3" w:rsidRPr="00B302F3">
        <w:t xml:space="preserve"> PEB</w:t>
      </w:r>
      <w:r w:rsidR="005C2C96" w:rsidRPr="003C0378">
        <w:t xml:space="preserve"> įsirengtinų elektrinės pajėgumų dalis ir tos dalies naudos būtų perduodamos energetinį </w:t>
      </w:r>
      <w:r w:rsidR="009541F8">
        <w:t>nepriteklių</w:t>
      </w:r>
      <w:r w:rsidR="005C2C96" w:rsidRPr="003C0378">
        <w:t xml:space="preserve"> patiriantiems </w:t>
      </w:r>
      <w:r w:rsidR="00B1147B">
        <w:t xml:space="preserve">asmenims </w:t>
      </w:r>
      <w:r w:rsidR="005C2C96" w:rsidRPr="003C0378">
        <w:t xml:space="preserve">ir taip būtų mažinamos šių </w:t>
      </w:r>
      <w:r w:rsidR="00B1147B">
        <w:t>asmenų</w:t>
      </w:r>
      <w:r w:rsidR="005C2C96" w:rsidRPr="003C0378">
        <w:t xml:space="preserve"> elektros sąskaitos. </w:t>
      </w:r>
      <w:r w:rsidR="00561795" w:rsidRPr="003C0378">
        <w:t xml:space="preserve">Vertinimo </w:t>
      </w:r>
      <w:r w:rsidR="007F6716" w:rsidRPr="003C0378">
        <w:t xml:space="preserve">rengimo metu </w:t>
      </w:r>
      <w:r w:rsidR="007F6716" w:rsidRPr="003C0378">
        <w:lastRenderedPageBreak/>
        <w:t>turimomis žiniomis (2023 m. vasario mėnesis), bendrijų steigimą inicijuotų savivaldybės</w:t>
      </w:r>
      <w:r w:rsidR="00B1147B">
        <w:t xml:space="preserve">. Įsteigusios bendriją savivaldybė </w:t>
      </w:r>
      <w:r w:rsidR="007F6716" w:rsidRPr="003C0378">
        <w:t xml:space="preserve">atiduotų dalį pajėgumų energetinį </w:t>
      </w:r>
      <w:r w:rsidR="009541F8">
        <w:t>nepriteklių</w:t>
      </w:r>
      <w:r w:rsidR="007F6716" w:rsidRPr="003C0378">
        <w:t xml:space="preserve"> patiriantiems asmenims. Likusią dalį pajėgumų savivaldyb</w:t>
      </w:r>
      <w:r w:rsidR="00AA5C3A">
        <w:t xml:space="preserve">ė galėtų naudoti savo reikmėms </w:t>
      </w:r>
      <w:r w:rsidR="007F6716" w:rsidRPr="003C0378">
        <w:t xml:space="preserve">tenkinti. </w:t>
      </w:r>
      <w:r w:rsidR="00583281" w:rsidRPr="003C0378">
        <w:rPr>
          <w:b/>
          <w:bCs/>
        </w:rPr>
        <w:t>T</w:t>
      </w:r>
      <w:r w:rsidR="00AA5C3A">
        <w:rPr>
          <w:b/>
          <w:bCs/>
        </w:rPr>
        <w:t>aigi,</w:t>
      </w:r>
      <w:r w:rsidR="00583281" w:rsidRPr="003C0378">
        <w:rPr>
          <w:b/>
          <w:bCs/>
        </w:rPr>
        <w:t xml:space="preserve"> kad savivaldybei apsimokėtų steigti </w:t>
      </w:r>
      <w:r w:rsidR="00F6739B">
        <w:rPr>
          <w:b/>
          <w:bCs/>
        </w:rPr>
        <w:t>AIEB</w:t>
      </w:r>
      <w:r w:rsidR="00AA5C3A">
        <w:rPr>
          <w:b/>
          <w:bCs/>
        </w:rPr>
        <w:t xml:space="preserve"> </w:t>
      </w:r>
      <w:r w:rsidR="00B302F3">
        <w:rPr>
          <w:b/>
          <w:bCs/>
        </w:rPr>
        <w:t>ar</w:t>
      </w:r>
      <w:r w:rsidR="00B302F3" w:rsidRPr="00B302F3">
        <w:rPr>
          <w:b/>
          <w:bCs/>
        </w:rPr>
        <w:t xml:space="preserve"> PEB </w:t>
      </w:r>
      <w:r w:rsidR="00AA5C3A">
        <w:rPr>
          <w:b/>
          <w:bCs/>
        </w:rPr>
        <w:t>ir dar atiduoti dalį pajėgumų energetinį nepriteklių patiriantiems asmenims</w:t>
      </w:r>
      <w:r w:rsidR="00583281" w:rsidRPr="003C0378">
        <w:rPr>
          <w:b/>
          <w:bCs/>
        </w:rPr>
        <w:t xml:space="preserve">, </w:t>
      </w:r>
      <w:r w:rsidR="00AA5C3A">
        <w:rPr>
          <w:b/>
          <w:bCs/>
        </w:rPr>
        <w:t>elektrinės generuojama nauda ir kaštai turi atpirkti elektrinės eksploatavimą ir praradimus dėl atiduotų pajėgumų nepriteklių patiriantiems asmenims</w:t>
      </w:r>
      <w:r w:rsidR="00301A3F">
        <w:rPr>
          <w:b/>
          <w:bCs/>
        </w:rPr>
        <w:t>.</w:t>
      </w:r>
    </w:p>
    <w:p w14:paraId="28DFEF93" w14:textId="7399AAC1" w:rsidR="005979A8" w:rsidRPr="003C0378" w:rsidRDefault="00561795" w:rsidP="005979A8">
      <w:pPr>
        <w:widowControl w:val="0"/>
        <w:spacing w:line="276" w:lineRule="auto"/>
        <w:ind w:firstLine="562"/>
      </w:pPr>
      <w:r w:rsidRPr="003C0378">
        <w:t xml:space="preserve">Tam, kad savivaldybė inicijuotų </w:t>
      </w:r>
      <w:r w:rsidR="008A613D">
        <w:t>AIEB</w:t>
      </w:r>
      <w:r w:rsidR="00B302F3">
        <w:t xml:space="preserve"> ar</w:t>
      </w:r>
      <w:r w:rsidR="00B302F3" w:rsidRPr="00B302F3">
        <w:t xml:space="preserve"> PEB</w:t>
      </w:r>
      <w:r w:rsidRPr="003C0378">
        <w:t xml:space="preserve"> steigimą ir įtrauktų energetinį </w:t>
      </w:r>
      <w:r w:rsidR="009541F8">
        <w:t>nepriteklių</w:t>
      </w:r>
      <w:r w:rsidRPr="003C0378">
        <w:t xml:space="preserve"> patiriančius asmenis, planuojama tokiems projektams suteikti dotaciją. Pagrindimas dotacijai atsiranda dėl to, kad kadangi dalis elektros pajėgumų bus atiduota energetinį </w:t>
      </w:r>
      <w:r w:rsidR="009541F8">
        <w:t>nepriteklių</w:t>
      </w:r>
      <w:r w:rsidRPr="003C0378">
        <w:t xml:space="preserve"> patiriantiems asmenims, tai šie pajėgumai nebus galimi naudoti paskolos aptarnavimui. Tai</w:t>
      </w:r>
      <w:r w:rsidR="00AA5C3A">
        <w:t xml:space="preserve"> </w:t>
      </w:r>
      <w:r w:rsidRPr="003C0378">
        <w:t xml:space="preserve">reiškia, kad elektrinė negeneruos naudų už atiduotą dalį ir atitinkamai mažės pajėgumai aptarnauti paskolinius įsipareigojimus. </w:t>
      </w:r>
      <w:r w:rsidR="00583281" w:rsidRPr="003C0378">
        <w:t xml:space="preserve">Svarbu pastebėti, kad tuo tarpu, jeigu dotacijos intensyvumas viršija atiduodamų pajėgumų dalį, tai </w:t>
      </w:r>
      <w:r w:rsidR="00AA5C3A">
        <w:t>savivaldybės nauda yra didesnė nei elektrinės elektros savikaina po pajėgumų atidavimo. Tai indikuoja kad</w:t>
      </w:r>
      <w:r w:rsidR="005979A8" w:rsidRPr="003C0378">
        <w:t xml:space="preserve"> atiduotinų pajėgumų dalis energetinį </w:t>
      </w:r>
      <w:r w:rsidR="009541F8">
        <w:t>nepriteklių</w:t>
      </w:r>
      <w:r w:rsidR="005979A8" w:rsidRPr="003C0378">
        <w:t xml:space="preserve"> patiriantiems asmenims galėtų būti didesnis. Atiduodamos elektrinės dalies ir dotacijos intens</w:t>
      </w:r>
      <w:r w:rsidR="003C0378">
        <w:t>yvu</w:t>
      </w:r>
      <w:r w:rsidR="005979A8" w:rsidRPr="003C0378">
        <w:t xml:space="preserve">mo poveikis nuomos / elektros kainoms yra atvaizduota žemiau esančioje lentelėje. Tuo tarpu, kaip keičiasi pačio projekto atsiperkamumas keičiantis atiduodamai elektrinės daliai yra pateikiamas dar žemesnėje lentelėje. </w:t>
      </w:r>
      <w:r w:rsidR="00750CD8" w:rsidRPr="003C0378">
        <w:t xml:space="preserve">Kaip galima matyti lentelėse, didėjant dotacijos intensyvumui turi didėti atiduodama AEI pajėgumų dalis energetinį </w:t>
      </w:r>
      <w:r w:rsidR="009541F8">
        <w:t>nepriteklių</w:t>
      </w:r>
      <w:r w:rsidR="00750CD8" w:rsidRPr="003C0378">
        <w:t xml:space="preserve"> patiriantiems asmenims, nes kitaip ženkliai spartėja projekto atsiperkamumas ir bendrijos steigėjas pasiima neproporcingą dalį pajėgumų savo naudai.</w:t>
      </w:r>
      <w:r w:rsidR="00B10315">
        <w:t xml:space="preserve"> </w:t>
      </w:r>
    </w:p>
    <w:p w14:paraId="3791A3E0" w14:textId="13F4D9FC" w:rsidR="00583281" w:rsidRPr="003C0378" w:rsidRDefault="00583281" w:rsidP="00583281">
      <w:pPr>
        <w:keepNext/>
        <w:ind w:firstLine="0"/>
      </w:pPr>
      <w:bookmarkStart w:id="163" w:name="_Toc166139875"/>
      <w:bookmarkStart w:id="164" w:name="_Toc170804641"/>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25</w:t>
      </w:r>
      <w:r w:rsidRPr="003C0378">
        <w:rPr>
          <w:rFonts w:cs="Times New Roman"/>
          <w:i/>
          <w:iCs/>
        </w:rPr>
        <w:fldChar w:fldCharType="end"/>
      </w:r>
      <w:r w:rsidRPr="003C0378">
        <w:rPr>
          <w:rFonts w:cs="Times New Roman"/>
          <w:i/>
          <w:iCs/>
        </w:rPr>
        <w:t xml:space="preserve">. Jautrumo analizė </w:t>
      </w:r>
      <w:r w:rsidR="008A613D">
        <w:rPr>
          <w:rFonts w:cs="Times New Roman"/>
          <w:i/>
          <w:iCs/>
        </w:rPr>
        <w:t>AIEB</w:t>
      </w:r>
      <w:r w:rsidR="00B302F3" w:rsidRPr="00B302F3">
        <w:t xml:space="preserve"> </w:t>
      </w:r>
      <w:r w:rsidR="00B302F3" w:rsidRPr="00B302F3">
        <w:rPr>
          <w:rFonts w:cs="Times New Roman"/>
          <w:i/>
          <w:iCs/>
        </w:rPr>
        <w:t>bei PEB</w:t>
      </w:r>
      <w:r w:rsidRPr="003C0378">
        <w:rPr>
          <w:rFonts w:cs="Times New Roman"/>
          <w:i/>
          <w:iCs/>
        </w:rPr>
        <w:t xml:space="preserve"> grupėje – dotacijos intensyvumas, atiduodamų AEI pajėgumų dalis ir </w:t>
      </w:r>
      <w:r w:rsidR="005979A8" w:rsidRPr="003C0378">
        <w:rPr>
          <w:rFonts w:cs="Times New Roman"/>
          <w:i/>
          <w:iCs/>
        </w:rPr>
        <w:t xml:space="preserve">nuomos / </w:t>
      </w:r>
      <w:r w:rsidRPr="003C0378">
        <w:rPr>
          <w:rFonts w:cs="Times New Roman"/>
          <w:i/>
          <w:iCs/>
        </w:rPr>
        <w:t>elektros kaina</w:t>
      </w:r>
      <w:bookmarkEnd w:id="163"/>
      <w:bookmarkEnd w:id="164"/>
    </w:p>
    <w:tbl>
      <w:tblPr>
        <w:tblW w:w="9534" w:type="dxa"/>
        <w:tblLook w:val="04A0" w:firstRow="1" w:lastRow="0" w:firstColumn="1" w:lastColumn="0" w:noHBand="0" w:noVBand="1"/>
      </w:tblPr>
      <w:tblGrid>
        <w:gridCol w:w="1228"/>
        <w:gridCol w:w="890"/>
        <w:gridCol w:w="1232"/>
        <w:gridCol w:w="1232"/>
        <w:gridCol w:w="1232"/>
        <w:gridCol w:w="1232"/>
        <w:gridCol w:w="1232"/>
        <w:gridCol w:w="1250"/>
        <w:gridCol w:w="6"/>
      </w:tblGrid>
      <w:tr w:rsidR="00583281" w:rsidRPr="003C0378" w14:paraId="7875D8CF" w14:textId="77777777" w:rsidTr="00E24002">
        <w:trPr>
          <w:trHeight w:val="345"/>
        </w:trPr>
        <w:tc>
          <w:tcPr>
            <w:tcW w:w="1228"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948AA9B" w14:textId="77777777" w:rsidR="00583281" w:rsidRPr="003C0378" w:rsidRDefault="00583281" w:rsidP="00561795">
            <w:pPr>
              <w:spacing w:before="0"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Atiduodama elektrinės dalis (proc.)</w:t>
            </w:r>
          </w:p>
        </w:tc>
        <w:tc>
          <w:tcPr>
            <w:tcW w:w="830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3C5DB2B" w14:textId="77777777" w:rsidR="00583281" w:rsidRPr="003C0378" w:rsidRDefault="00583281" w:rsidP="00561795">
            <w:pPr>
              <w:spacing w:before="0"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Dotacijos intensyvumas (proc.)</w:t>
            </w:r>
          </w:p>
        </w:tc>
      </w:tr>
      <w:tr w:rsidR="001E4B79" w:rsidRPr="003C0378" w14:paraId="660E7DD5" w14:textId="77777777" w:rsidTr="00750CD8">
        <w:trPr>
          <w:gridAfter w:val="1"/>
          <w:wAfter w:w="6" w:type="dxa"/>
          <w:trHeight w:val="244"/>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5C0B7562"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EA317EE" w14:textId="77777777" w:rsidR="00583281" w:rsidRPr="003C0378" w:rsidRDefault="00583281" w:rsidP="00561795">
            <w:pPr>
              <w:spacing w:before="0" w:after="0"/>
              <w:ind w:firstLine="0"/>
              <w:jc w:val="center"/>
              <w:rPr>
                <w:rFonts w:eastAsia="Times New Roman" w:cs="Times New Roman"/>
                <w:b/>
                <w:bCs/>
                <w:color w:val="000000"/>
                <w:sz w:val="20"/>
                <w:szCs w:val="20"/>
              </w:rPr>
            </w:pPr>
          </w:p>
        </w:tc>
        <w:tc>
          <w:tcPr>
            <w:tcW w:w="1232" w:type="dxa"/>
            <w:tcBorders>
              <w:top w:val="nil"/>
              <w:left w:val="nil"/>
              <w:bottom w:val="nil"/>
              <w:right w:val="nil"/>
            </w:tcBorders>
            <w:shd w:val="clear" w:color="auto" w:fill="auto"/>
            <w:noWrap/>
            <w:vAlign w:val="center"/>
            <w:hideMark/>
          </w:tcPr>
          <w:p w14:paraId="11D9CB72"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20%</w:t>
            </w:r>
          </w:p>
        </w:tc>
        <w:tc>
          <w:tcPr>
            <w:tcW w:w="1232" w:type="dxa"/>
            <w:tcBorders>
              <w:top w:val="nil"/>
              <w:left w:val="nil"/>
              <w:bottom w:val="nil"/>
              <w:right w:val="nil"/>
            </w:tcBorders>
            <w:shd w:val="clear" w:color="auto" w:fill="auto"/>
            <w:noWrap/>
            <w:vAlign w:val="center"/>
            <w:hideMark/>
          </w:tcPr>
          <w:p w14:paraId="6B5EA0EA"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25%</w:t>
            </w:r>
          </w:p>
        </w:tc>
        <w:tc>
          <w:tcPr>
            <w:tcW w:w="1232" w:type="dxa"/>
            <w:tcBorders>
              <w:top w:val="nil"/>
              <w:left w:val="nil"/>
              <w:bottom w:val="nil"/>
              <w:right w:val="nil"/>
            </w:tcBorders>
            <w:shd w:val="clear" w:color="auto" w:fill="auto"/>
            <w:noWrap/>
            <w:vAlign w:val="center"/>
            <w:hideMark/>
          </w:tcPr>
          <w:p w14:paraId="28501C4F"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30%</w:t>
            </w:r>
          </w:p>
        </w:tc>
        <w:tc>
          <w:tcPr>
            <w:tcW w:w="1232" w:type="dxa"/>
            <w:tcBorders>
              <w:top w:val="nil"/>
              <w:left w:val="nil"/>
              <w:bottom w:val="nil"/>
              <w:right w:val="nil"/>
            </w:tcBorders>
            <w:shd w:val="clear" w:color="auto" w:fill="auto"/>
            <w:noWrap/>
            <w:vAlign w:val="center"/>
            <w:hideMark/>
          </w:tcPr>
          <w:p w14:paraId="245ABA5F"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35%</w:t>
            </w:r>
          </w:p>
        </w:tc>
        <w:tc>
          <w:tcPr>
            <w:tcW w:w="1232" w:type="dxa"/>
            <w:tcBorders>
              <w:top w:val="nil"/>
              <w:left w:val="nil"/>
              <w:bottom w:val="nil"/>
              <w:right w:val="nil"/>
            </w:tcBorders>
            <w:shd w:val="clear" w:color="auto" w:fill="auto"/>
            <w:noWrap/>
            <w:vAlign w:val="center"/>
            <w:hideMark/>
          </w:tcPr>
          <w:p w14:paraId="47ACA6C7"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40%</w:t>
            </w:r>
          </w:p>
        </w:tc>
        <w:tc>
          <w:tcPr>
            <w:tcW w:w="1250" w:type="dxa"/>
            <w:tcBorders>
              <w:top w:val="nil"/>
              <w:left w:val="nil"/>
              <w:bottom w:val="nil"/>
              <w:right w:val="single" w:sz="4" w:space="0" w:color="auto"/>
            </w:tcBorders>
            <w:shd w:val="clear" w:color="auto" w:fill="auto"/>
            <w:noWrap/>
            <w:vAlign w:val="center"/>
            <w:hideMark/>
          </w:tcPr>
          <w:p w14:paraId="4586F915"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45%</w:t>
            </w:r>
          </w:p>
        </w:tc>
      </w:tr>
      <w:tr w:rsidR="001E4B79" w:rsidRPr="003C0378" w14:paraId="0A5C1E7B"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54FE4119"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9144B6D"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15%</w:t>
            </w:r>
          </w:p>
        </w:tc>
        <w:tc>
          <w:tcPr>
            <w:tcW w:w="1232" w:type="dxa"/>
            <w:tcBorders>
              <w:top w:val="nil"/>
              <w:left w:val="nil"/>
              <w:bottom w:val="nil"/>
              <w:right w:val="nil"/>
            </w:tcBorders>
            <w:shd w:val="clear" w:color="000000" w:fill="CBDC81"/>
            <w:noWrap/>
            <w:vAlign w:val="center"/>
            <w:hideMark/>
          </w:tcPr>
          <w:p w14:paraId="5A9E6B4A"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0,1462</w:t>
            </w:r>
          </w:p>
        </w:tc>
        <w:tc>
          <w:tcPr>
            <w:tcW w:w="1232" w:type="dxa"/>
            <w:tcBorders>
              <w:top w:val="nil"/>
              <w:left w:val="nil"/>
              <w:bottom w:val="nil"/>
              <w:right w:val="nil"/>
            </w:tcBorders>
            <w:shd w:val="clear" w:color="000000" w:fill="B6D67F"/>
            <w:noWrap/>
            <w:vAlign w:val="center"/>
            <w:hideMark/>
          </w:tcPr>
          <w:p w14:paraId="0A86D5CB"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0,1384</w:t>
            </w:r>
          </w:p>
        </w:tc>
        <w:tc>
          <w:tcPr>
            <w:tcW w:w="1232" w:type="dxa"/>
            <w:tcBorders>
              <w:top w:val="nil"/>
              <w:left w:val="nil"/>
              <w:bottom w:val="nil"/>
              <w:right w:val="nil"/>
            </w:tcBorders>
            <w:shd w:val="clear" w:color="000000" w:fill="A1D07E"/>
            <w:noWrap/>
            <w:vAlign w:val="center"/>
            <w:hideMark/>
          </w:tcPr>
          <w:p w14:paraId="71C49367"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0,1305</w:t>
            </w:r>
          </w:p>
        </w:tc>
        <w:tc>
          <w:tcPr>
            <w:tcW w:w="1232" w:type="dxa"/>
            <w:tcBorders>
              <w:top w:val="nil"/>
              <w:left w:val="nil"/>
              <w:bottom w:val="nil"/>
              <w:right w:val="nil"/>
            </w:tcBorders>
            <w:shd w:val="clear" w:color="000000" w:fill="8CCA7D"/>
            <w:noWrap/>
            <w:vAlign w:val="center"/>
            <w:hideMark/>
          </w:tcPr>
          <w:p w14:paraId="1D57BB46"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0,1227</w:t>
            </w:r>
          </w:p>
        </w:tc>
        <w:tc>
          <w:tcPr>
            <w:tcW w:w="1232" w:type="dxa"/>
            <w:tcBorders>
              <w:top w:val="nil"/>
              <w:left w:val="nil"/>
              <w:bottom w:val="nil"/>
              <w:right w:val="nil"/>
            </w:tcBorders>
            <w:shd w:val="clear" w:color="000000" w:fill="77C47C"/>
            <w:noWrap/>
            <w:vAlign w:val="center"/>
            <w:hideMark/>
          </w:tcPr>
          <w:p w14:paraId="49B832C9"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0,1148</w:t>
            </w:r>
          </w:p>
        </w:tc>
        <w:tc>
          <w:tcPr>
            <w:tcW w:w="1250" w:type="dxa"/>
            <w:tcBorders>
              <w:top w:val="nil"/>
              <w:left w:val="nil"/>
              <w:bottom w:val="nil"/>
              <w:right w:val="single" w:sz="4" w:space="0" w:color="auto"/>
            </w:tcBorders>
            <w:shd w:val="clear" w:color="000000" w:fill="63BE7B"/>
            <w:noWrap/>
            <w:vAlign w:val="center"/>
            <w:hideMark/>
          </w:tcPr>
          <w:p w14:paraId="3A81385D"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0,1070</w:t>
            </w:r>
          </w:p>
        </w:tc>
      </w:tr>
      <w:tr w:rsidR="001E4B79" w:rsidRPr="003C0378" w14:paraId="58E233D5"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0B0A0E3B"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1BD0B418"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20%</w:t>
            </w:r>
          </w:p>
        </w:tc>
        <w:tc>
          <w:tcPr>
            <w:tcW w:w="1232" w:type="dxa"/>
            <w:tcBorders>
              <w:top w:val="nil"/>
              <w:left w:val="nil"/>
              <w:bottom w:val="nil"/>
              <w:right w:val="nil"/>
            </w:tcBorders>
            <w:shd w:val="clear" w:color="000000" w:fill="E3E382"/>
            <w:noWrap/>
            <w:vAlign w:val="center"/>
            <w:hideMark/>
          </w:tcPr>
          <w:p w14:paraId="3099BB36"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0,1554</w:t>
            </w:r>
          </w:p>
        </w:tc>
        <w:tc>
          <w:tcPr>
            <w:tcW w:w="1232" w:type="dxa"/>
            <w:tcBorders>
              <w:top w:val="nil"/>
              <w:left w:val="nil"/>
              <w:bottom w:val="nil"/>
              <w:right w:val="nil"/>
            </w:tcBorders>
            <w:shd w:val="clear" w:color="000000" w:fill="CDDC81"/>
            <w:noWrap/>
            <w:vAlign w:val="center"/>
            <w:hideMark/>
          </w:tcPr>
          <w:p w14:paraId="14AFCCD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0,1470</w:t>
            </w:r>
          </w:p>
        </w:tc>
        <w:tc>
          <w:tcPr>
            <w:tcW w:w="1232" w:type="dxa"/>
            <w:tcBorders>
              <w:top w:val="nil"/>
              <w:left w:val="nil"/>
              <w:bottom w:val="nil"/>
              <w:right w:val="nil"/>
            </w:tcBorders>
            <w:shd w:val="clear" w:color="000000" w:fill="B7D67F"/>
            <w:noWrap/>
            <w:vAlign w:val="center"/>
            <w:hideMark/>
          </w:tcPr>
          <w:p w14:paraId="37519C0F"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0,1387</w:t>
            </w:r>
          </w:p>
        </w:tc>
        <w:tc>
          <w:tcPr>
            <w:tcW w:w="1232" w:type="dxa"/>
            <w:tcBorders>
              <w:top w:val="nil"/>
              <w:left w:val="nil"/>
              <w:bottom w:val="nil"/>
              <w:right w:val="nil"/>
            </w:tcBorders>
            <w:shd w:val="clear" w:color="000000" w:fill="A1CF7E"/>
            <w:noWrap/>
            <w:vAlign w:val="center"/>
            <w:hideMark/>
          </w:tcPr>
          <w:p w14:paraId="50DCCA62"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0,1304</w:t>
            </w:r>
          </w:p>
        </w:tc>
        <w:tc>
          <w:tcPr>
            <w:tcW w:w="1232" w:type="dxa"/>
            <w:tcBorders>
              <w:top w:val="nil"/>
              <w:left w:val="nil"/>
              <w:bottom w:val="nil"/>
              <w:right w:val="nil"/>
            </w:tcBorders>
            <w:shd w:val="clear" w:color="000000" w:fill="8BC97D"/>
            <w:noWrap/>
            <w:vAlign w:val="center"/>
            <w:hideMark/>
          </w:tcPr>
          <w:p w14:paraId="414CF0C3"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0,1220</w:t>
            </w:r>
          </w:p>
        </w:tc>
        <w:tc>
          <w:tcPr>
            <w:tcW w:w="1250" w:type="dxa"/>
            <w:tcBorders>
              <w:top w:val="nil"/>
              <w:left w:val="nil"/>
              <w:bottom w:val="nil"/>
              <w:right w:val="single" w:sz="4" w:space="0" w:color="auto"/>
            </w:tcBorders>
            <w:shd w:val="clear" w:color="000000" w:fill="74C37C"/>
            <w:noWrap/>
            <w:vAlign w:val="center"/>
            <w:hideMark/>
          </w:tcPr>
          <w:p w14:paraId="3FBD368A"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0,1137</w:t>
            </w:r>
          </w:p>
        </w:tc>
      </w:tr>
      <w:tr w:rsidR="001E4B79" w:rsidRPr="003C0378" w14:paraId="7F36A850"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78EB5B33"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7816B826"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25%</w:t>
            </w:r>
          </w:p>
        </w:tc>
        <w:tc>
          <w:tcPr>
            <w:tcW w:w="1232" w:type="dxa"/>
            <w:tcBorders>
              <w:top w:val="nil"/>
              <w:left w:val="nil"/>
              <w:bottom w:val="nil"/>
              <w:right w:val="nil"/>
            </w:tcBorders>
            <w:shd w:val="clear" w:color="000000" w:fill="FFEB84"/>
            <w:noWrap/>
            <w:vAlign w:val="center"/>
            <w:hideMark/>
          </w:tcPr>
          <w:p w14:paraId="1AA37721"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0,1657</w:t>
            </w:r>
          </w:p>
        </w:tc>
        <w:tc>
          <w:tcPr>
            <w:tcW w:w="1232" w:type="dxa"/>
            <w:tcBorders>
              <w:top w:val="nil"/>
              <w:left w:val="nil"/>
              <w:bottom w:val="nil"/>
              <w:right w:val="nil"/>
            </w:tcBorders>
            <w:shd w:val="clear" w:color="000000" w:fill="E7E482"/>
            <w:noWrap/>
            <w:vAlign w:val="center"/>
            <w:hideMark/>
          </w:tcPr>
          <w:p w14:paraId="0C1DE111"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0,1568</w:t>
            </w:r>
          </w:p>
        </w:tc>
        <w:tc>
          <w:tcPr>
            <w:tcW w:w="1232" w:type="dxa"/>
            <w:tcBorders>
              <w:top w:val="nil"/>
              <w:left w:val="nil"/>
              <w:bottom w:val="nil"/>
              <w:right w:val="nil"/>
            </w:tcBorders>
            <w:shd w:val="clear" w:color="000000" w:fill="D0DD81"/>
            <w:noWrap/>
            <w:vAlign w:val="center"/>
            <w:hideMark/>
          </w:tcPr>
          <w:p w14:paraId="715005DD"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0,1479</w:t>
            </w:r>
          </w:p>
        </w:tc>
        <w:tc>
          <w:tcPr>
            <w:tcW w:w="1232" w:type="dxa"/>
            <w:tcBorders>
              <w:top w:val="nil"/>
              <w:left w:val="nil"/>
              <w:bottom w:val="nil"/>
              <w:right w:val="nil"/>
            </w:tcBorders>
            <w:shd w:val="clear" w:color="000000" w:fill="B8D67F"/>
            <w:noWrap/>
            <w:vAlign w:val="center"/>
            <w:hideMark/>
          </w:tcPr>
          <w:p w14:paraId="25FDF46F"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0,1390</w:t>
            </w:r>
          </w:p>
        </w:tc>
        <w:tc>
          <w:tcPr>
            <w:tcW w:w="1232" w:type="dxa"/>
            <w:tcBorders>
              <w:top w:val="nil"/>
              <w:left w:val="nil"/>
              <w:bottom w:val="nil"/>
              <w:right w:val="nil"/>
            </w:tcBorders>
            <w:shd w:val="clear" w:color="000000" w:fill="A0CF7E"/>
            <w:noWrap/>
            <w:vAlign w:val="center"/>
            <w:hideMark/>
          </w:tcPr>
          <w:p w14:paraId="1A9717A0"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0,1301</w:t>
            </w:r>
          </w:p>
        </w:tc>
        <w:tc>
          <w:tcPr>
            <w:tcW w:w="1250" w:type="dxa"/>
            <w:tcBorders>
              <w:top w:val="nil"/>
              <w:left w:val="nil"/>
              <w:bottom w:val="nil"/>
              <w:right w:val="single" w:sz="4" w:space="0" w:color="auto"/>
            </w:tcBorders>
            <w:shd w:val="clear" w:color="000000" w:fill="88C87D"/>
            <w:noWrap/>
            <w:vAlign w:val="center"/>
            <w:hideMark/>
          </w:tcPr>
          <w:p w14:paraId="31720BAD"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0,1212</w:t>
            </w:r>
          </w:p>
        </w:tc>
      </w:tr>
      <w:tr w:rsidR="001E4B79" w:rsidRPr="003C0378" w14:paraId="6FE2D38C"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6EE3F54D"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A468F12"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30%</w:t>
            </w:r>
          </w:p>
        </w:tc>
        <w:tc>
          <w:tcPr>
            <w:tcW w:w="1232" w:type="dxa"/>
            <w:tcBorders>
              <w:top w:val="nil"/>
              <w:left w:val="nil"/>
              <w:bottom w:val="nil"/>
              <w:right w:val="nil"/>
            </w:tcBorders>
            <w:shd w:val="clear" w:color="000000" w:fill="FFDD82"/>
            <w:noWrap/>
            <w:vAlign w:val="center"/>
            <w:hideMark/>
          </w:tcPr>
          <w:p w14:paraId="3FEB885F"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0,1776</w:t>
            </w:r>
          </w:p>
        </w:tc>
        <w:tc>
          <w:tcPr>
            <w:tcW w:w="1232" w:type="dxa"/>
            <w:tcBorders>
              <w:top w:val="nil"/>
              <w:left w:val="nil"/>
              <w:bottom w:val="nil"/>
              <w:right w:val="nil"/>
            </w:tcBorders>
            <w:shd w:val="clear" w:color="000000" w:fill="FFE984"/>
            <w:noWrap/>
            <w:vAlign w:val="center"/>
            <w:hideMark/>
          </w:tcPr>
          <w:p w14:paraId="49DB6E6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0,1681</w:t>
            </w:r>
          </w:p>
        </w:tc>
        <w:tc>
          <w:tcPr>
            <w:tcW w:w="1232" w:type="dxa"/>
            <w:tcBorders>
              <w:top w:val="nil"/>
              <w:left w:val="nil"/>
              <w:bottom w:val="nil"/>
              <w:right w:val="nil"/>
            </w:tcBorders>
            <w:shd w:val="clear" w:color="000000" w:fill="ECE582"/>
            <w:noWrap/>
            <w:vAlign w:val="center"/>
            <w:hideMark/>
          </w:tcPr>
          <w:p w14:paraId="0226CFEB"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0,1585</w:t>
            </w:r>
          </w:p>
        </w:tc>
        <w:tc>
          <w:tcPr>
            <w:tcW w:w="1232" w:type="dxa"/>
            <w:tcBorders>
              <w:top w:val="nil"/>
              <w:left w:val="nil"/>
              <w:bottom w:val="nil"/>
              <w:right w:val="nil"/>
            </w:tcBorders>
            <w:shd w:val="clear" w:color="000000" w:fill="D2DE81"/>
            <w:noWrap/>
            <w:vAlign w:val="center"/>
            <w:hideMark/>
          </w:tcPr>
          <w:p w14:paraId="260318D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0,1490</w:t>
            </w:r>
          </w:p>
        </w:tc>
        <w:tc>
          <w:tcPr>
            <w:tcW w:w="1232" w:type="dxa"/>
            <w:tcBorders>
              <w:top w:val="nil"/>
              <w:left w:val="nil"/>
              <w:bottom w:val="nil"/>
              <w:right w:val="nil"/>
            </w:tcBorders>
            <w:shd w:val="clear" w:color="000000" w:fill="B9D67F"/>
            <w:noWrap/>
            <w:vAlign w:val="center"/>
            <w:hideMark/>
          </w:tcPr>
          <w:p w14:paraId="5FDC482B"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0,1394</w:t>
            </w:r>
          </w:p>
        </w:tc>
        <w:tc>
          <w:tcPr>
            <w:tcW w:w="1250" w:type="dxa"/>
            <w:tcBorders>
              <w:top w:val="nil"/>
              <w:left w:val="nil"/>
              <w:bottom w:val="nil"/>
              <w:right w:val="single" w:sz="4" w:space="0" w:color="auto"/>
            </w:tcBorders>
            <w:shd w:val="clear" w:color="000000" w:fill="A0CF7E"/>
            <w:noWrap/>
            <w:vAlign w:val="center"/>
            <w:hideMark/>
          </w:tcPr>
          <w:p w14:paraId="20C9919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0,1299</w:t>
            </w:r>
          </w:p>
        </w:tc>
      </w:tr>
      <w:tr w:rsidR="001E4B79" w:rsidRPr="003C0378" w14:paraId="44B2D9C8"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6BDA9A91"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C689E7E"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35%</w:t>
            </w:r>
          </w:p>
        </w:tc>
        <w:tc>
          <w:tcPr>
            <w:tcW w:w="1232" w:type="dxa"/>
            <w:tcBorders>
              <w:top w:val="nil"/>
              <w:left w:val="nil"/>
              <w:bottom w:val="nil"/>
              <w:right w:val="nil"/>
            </w:tcBorders>
            <w:shd w:val="clear" w:color="000000" w:fill="FECD7F"/>
            <w:noWrap/>
            <w:vAlign w:val="center"/>
            <w:hideMark/>
          </w:tcPr>
          <w:p w14:paraId="14951E52"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0,1912</w:t>
            </w:r>
          </w:p>
        </w:tc>
        <w:tc>
          <w:tcPr>
            <w:tcW w:w="1232" w:type="dxa"/>
            <w:tcBorders>
              <w:top w:val="nil"/>
              <w:left w:val="nil"/>
              <w:bottom w:val="nil"/>
              <w:right w:val="nil"/>
            </w:tcBorders>
            <w:shd w:val="clear" w:color="000000" w:fill="FFD981"/>
            <w:noWrap/>
            <w:vAlign w:val="center"/>
            <w:hideMark/>
          </w:tcPr>
          <w:p w14:paraId="37B8DB66"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0,1810</w:t>
            </w:r>
          </w:p>
        </w:tc>
        <w:tc>
          <w:tcPr>
            <w:tcW w:w="1232" w:type="dxa"/>
            <w:tcBorders>
              <w:top w:val="nil"/>
              <w:left w:val="nil"/>
              <w:bottom w:val="nil"/>
              <w:right w:val="nil"/>
            </w:tcBorders>
            <w:shd w:val="clear" w:color="000000" w:fill="FFE583"/>
            <w:noWrap/>
            <w:vAlign w:val="center"/>
            <w:hideMark/>
          </w:tcPr>
          <w:p w14:paraId="49C5A6F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0,1707</w:t>
            </w:r>
          </w:p>
        </w:tc>
        <w:tc>
          <w:tcPr>
            <w:tcW w:w="1232" w:type="dxa"/>
            <w:tcBorders>
              <w:top w:val="nil"/>
              <w:left w:val="nil"/>
              <w:bottom w:val="nil"/>
              <w:right w:val="nil"/>
            </w:tcBorders>
            <w:shd w:val="clear" w:color="000000" w:fill="F1E783"/>
            <w:noWrap/>
            <w:vAlign w:val="center"/>
            <w:hideMark/>
          </w:tcPr>
          <w:p w14:paraId="3EA2C2BF"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0,1604</w:t>
            </w:r>
          </w:p>
        </w:tc>
        <w:tc>
          <w:tcPr>
            <w:tcW w:w="1232" w:type="dxa"/>
            <w:tcBorders>
              <w:top w:val="nil"/>
              <w:left w:val="nil"/>
              <w:bottom w:val="nil"/>
              <w:right w:val="nil"/>
            </w:tcBorders>
            <w:shd w:val="clear" w:color="000000" w:fill="D6DF81"/>
            <w:noWrap/>
            <w:vAlign w:val="center"/>
            <w:hideMark/>
          </w:tcPr>
          <w:p w14:paraId="0515E6A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0,1502</w:t>
            </w:r>
          </w:p>
        </w:tc>
        <w:tc>
          <w:tcPr>
            <w:tcW w:w="1250" w:type="dxa"/>
            <w:tcBorders>
              <w:top w:val="nil"/>
              <w:left w:val="nil"/>
              <w:bottom w:val="nil"/>
              <w:right w:val="single" w:sz="4" w:space="0" w:color="auto"/>
            </w:tcBorders>
            <w:shd w:val="clear" w:color="000000" w:fill="BAD780"/>
            <w:noWrap/>
            <w:vAlign w:val="center"/>
            <w:hideMark/>
          </w:tcPr>
          <w:p w14:paraId="343DDF78"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0,1399</w:t>
            </w:r>
          </w:p>
        </w:tc>
      </w:tr>
      <w:tr w:rsidR="001E4B79" w:rsidRPr="003C0378" w14:paraId="466D4B82"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1C59A9AC"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6CEE10F"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40%</w:t>
            </w:r>
          </w:p>
        </w:tc>
        <w:tc>
          <w:tcPr>
            <w:tcW w:w="1232" w:type="dxa"/>
            <w:tcBorders>
              <w:top w:val="nil"/>
              <w:left w:val="nil"/>
              <w:bottom w:val="nil"/>
              <w:right w:val="nil"/>
            </w:tcBorders>
            <w:shd w:val="clear" w:color="000000" w:fill="FDBB7B"/>
            <w:noWrap/>
            <w:vAlign w:val="center"/>
            <w:hideMark/>
          </w:tcPr>
          <w:p w14:paraId="399CD16B"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0,2072</w:t>
            </w:r>
          </w:p>
        </w:tc>
        <w:tc>
          <w:tcPr>
            <w:tcW w:w="1232" w:type="dxa"/>
            <w:tcBorders>
              <w:top w:val="nil"/>
              <w:left w:val="nil"/>
              <w:bottom w:val="nil"/>
              <w:right w:val="nil"/>
            </w:tcBorders>
            <w:shd w:val="clear" w:color="000000" w:fill="FEC87E"/>
            <w:noWrap/>
            <w:vAlign w:val="center"/>
            <w:hideMark/>
          </w:tcPr>
          <w:p w14:paraId="501ACEF6"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0,1961</w:t>
            </w:r>
          </w:p>
        </w:tc>
        <w:tc>
          <w:tcPr>
            <w:tcW w:w="1232" w:type="dxa"/>
            <w:tcBorders>
              <w:top w:val="nil"/>
              <w:left w:val="nil"/>
              <w:bottom w:val="nil"/>
              <w:right w:val="nil"/>
            </w:tcBorders>
            <w:shd w:val="clear" w:color="000000" w:fill="FED580"/>
            <w:noWrap/>
            <w:vAlign w:val="center"/>
            <w:hideMark/>
          </w:tcPr>
          <w:p w14:paraId="2F828C1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0,1849</w:t>
            </w:r>
          </w:p>
        </w:tc>
        <w:tc>
          <w:tcPr>
            <w:tcW w:w="1232" w:type="dxa"/>
            <w:tcBorders>
              <w:top w:val="nil"/>
              <w:left w:val="nil"/>
              <w:bottom w:val="nil"/>
              <w:right w:val="nil"/>
            </w:tcBorders>
            <w:shd w:val="clear" w:color="000000" w:fill="FFE283"/>
            <w:noWrap/>
            <w:vAlign w:val="center"/>
            <w:hideMark/>
          </w:tcPr>
          <w:p w14:paraId="3E44DDDE"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0,1738</w:t>
            </w:r>
          </w:p>
        </w:tc>
        <w:tc>
          <w:tcPr>
            <w:tcW w:w="1232" w:type="dxa"/>
            <w:tcBorders>
              <w:top w:val="nil"/>
              <w:left w:val="nil"/>
              <w:bottom w:val="nil"/>
              <w:right w:val="nil"/>
            </w:tcBorders>
            <w:shd w:val="clear" w:color="000000" w:fill="F7E883"/>
            <w:noWrap/>
            <w:vAlign w:val="center"/>
            <w:hideMark/>
          </w:tcPr>
          <w:p w14:paraId="73005820"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0,1627</w:t>
            </w:r>
          </w:p>
        </w:tc>
        <w:tc>
          <w:tcPr>
            <w:tcW w:w="1250" w:type="dxa"/>
            <w:tcBorders>
              <w:top w:val="nil"/>
              <w:left w:val="nil"/>
              <w:bottom w:val="nil"/>
              <w:right w:val="single" w:sz="4" w:space="0" w:color="auto"/>
            </w:tcBorders>
            <w:shd w:val="clear" w:color="000000" w:fill="D9E081"/>
            <w:noWrap/>
            <w:vAlign w:val="center"/>
            <w:hideMark/>
          </w:tcPr>
          <w:p w14:paraId="6F41B297"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0,1516</w:t>
            </w:r>
          </w:p>
        </w:tc>
      </w:tr>
      <w:tr w:rsidR="001E4B79" w:rsidRPr="003C0378" w14:paraId="41787385"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69F68F6B"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32E8E9DE"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45%</w:t>
            </w:r>
          </w:p>
        </w:tc>
        <w:tc>
          <w:tcPr>
            <w:tcW w:w="1232" w:type="dxa"/>
            <w:tcBorders>
              <w:top w:val="nil"/>
              <w:left w:val="nil"/>
              <w:bottom w:val="nil"/>
              <w:right w:val="nil"/>
            </w:tcBorders>
            <w:shd w:val="clear" w:color="000000" w:fill="FCA477"/>
            <w:noWrap/>
            <w:vAlign w:val="center"/>
            <w:hideMark/>
          </w:tcPr>
          <w:p w14:paraId="2C60B600"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0,2260</w:t>
            </w:r>
          </w:p>
        </w:tc>
        <w:tc>
          <w:tcPr>
            <w:tcW w:w="1232" w:type="dxa"/>
            <w:tcBorders>
              <w:top w:val="nil"/>
              <w:left w:val="nil"/>
              <w:bottom w:val="nil"/>
              <w:right w:val="nil"/>
            </w:tcBorders>
            <w:shd w:val="clear" w:color="000000" w:fill="FCB37A"/>
            <w:noWrap/>
            <w:vAlign w:val="center"/>
            <w:hideMark/>
          </w:tcPr>
          <w:p w14:paraId="1532FB5D"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0,2139</w:t>
            </w:r>
          </w:p>
        </w:tc>
        <w:tc>
          <w:tcPr>
            <w:tcW w:w="1232" w:type="dxa"/>
            <w:tcBorders>
              <w:top w:val="nil"/>
              <w:left w:val="nil"/>
              <w:bottom w:val="nil"/>
              <w:right w:val="nil"/>
            </w:tcBorders>
            <w:shd w:val="clear" w:color="000000" w:fill="FDC17C"/>
            <w:noWrap/>
            <w:vAlign w:val="center"/>
            <w:hideMark/>
          </w:tcPr>
          <w:p w14:paraId="5FE1DEB3"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0,2017</w:t>
            </w:r>
          </w:p>
        </w:tc>
        <w:tc>
          <w:tcPr>
            <w:tcW w:w="1232" w:type="dxa"/>
            <w:tcBorders>
              <w:top w:val="nil"/>
              <w:left w:val="nil"/>
              <w:bottom w:val="nil"/>
              <w:right w:val="nil"/>
            </w:tcBorders>
            <w:shd w:val="clear" w:color="000000" w:fill="FECF7F"/>
            <w:noWrap/>
            <w:vAlign w:val="center"/>
            <w:hideMark/>
          </w:tcPr>
          <w:p w14:paraId="7729508A"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0,1896</w:t>
            </w:r>
          </w:p>
        </w:tc>
        <w:tc>
          <w:tcPr>
            <w:tcW w:w="1232" w:type="dxa"/>
            <w:tcBorders>
              <w:top w:val="nil"/>
              <w:left w:val="nil"/>
              <w:bottom w:val="nil"/>
              <w:right w:val="nil"/>
            </w:tcBorders>
            <w:shd w:val="clear" w:color="000000" w:fill="FFDD82"/>
            <w:noWrap/>
            <w:vAlign w:val="center"/>
            <w:hideMark/>
          </w:tcPr>
          <w:p w14:paraId="0703C45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0,1775</w:t>
            </w:r>
          </w:p>
        </w:tc>
        <w:tc>
          <w:tcPr>
            <w:tcW w:w="1250" w:type="dxa"/>
            <w:tcBorders>
              <w:top w:val="nil"/>
              <w:left w:val="nil"/>
              <w:bottom w:val="nil"/>
              <w:right w:val="single" w:sz="4" w:space="0" w:color="auto"/>
            </w:tcBorders>
            <w:shd w:val="clear" w:color="000000" w:fill="FEEA83"/>
            <w:noWrap/>
            <w:vAlign w:val="center"/>
            <w:hideMark/>
          </w:tcPr>
          <w:p w14:paraId="368FB0A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0,1653</w:t>
            </w:r>
          </w:p>
        </w:tc>
      </w:tr>
      <w:tr w:rsidR="001E4B79" w:rsidRPr="003C0378" w14:paraId="0213E819"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44F49D64"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nil"/>
              <w:right w:val="nil"/>
            </w:tcBorders>
            <w:shd w:val="clear" w:color="auto" w:fill="auto"/>
            <w:noWrap/>
            <w:vAlign w:val="center"/>
            <w:hideMark/>
          </w:tcPr>
          <w:p w14:paraId="7746EAA1"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50%</w:t>
            </w:r>
          </w:p>
        </w:tc>
        <w:tc>
          <w:tcPr>
            <w:tcW w:w="1232" w:type="dxa"/>
            <w:tcBorders>
              <w:top w:val="nil"/>
              <w:left w:val="nil"/>
              <w:bottom w:val="nil"/>
              <w:right w:val="nil"/>
            </w:tcBorders>
            <w:shd w:val="clear" w:color="000000" w:fill="FA8A72"/>
            <w:noWrap/>
            <w:vAlign w:val="center"/>
            <w:hideMark/>
          </w:tcPr>
          <w:p w14:paraId="76A41281"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0,2486</w:t>
            </w:r>
          </w:p>
        </w:tc>
        <w:tc>
          <w:tcPr>
            <w:tcW w:w="1232" w:type="dxa"/>
            <w:tcBorders>
              <w:top w:val="nil"/>
              <w:left w:val="nil"/>
              <w:bottom w:val="nil"/>
              <w:right w:val="nil"/>
            </w:tcBorders>
            <w:shd w:val="clear" w:color="000000" w:fill="FB9A75"/>
            <w:noWrap/>
            <w:vAlign w:val="center"/>
            <w:hideMark/>
          </w:tcPr>
          <w:p w14:paraId="0F66CDFC"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0,2353</w:t>
            </w:r>
          </w:p>
        </w:tc>
        <w:tc>
          <w:tcPr>
            <w:tcW w:w="1232" w:type="dxa"/>
            <w:tcBorders>
              <w:top w:val="nil"/>
              <w:left w:val="nil"/>
              <w:bottom w:val="nil"/>
              <w:right w:val="nil"/>
            </w:tcBorders>
            <w:shd w:val="clear" w:color="000000" w:fill="FCA978"/>
            <w:noWrap/>
            <w:vAlign w:val="center"/>
            <w:hideMark/>
          </w:tcPr>
          <w:p w14:paraId="75F8FE68"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0,2219</w:t>
            </w:r>
          </w:p>
        </w:tc>
        <w:tc>
          <w:tcPr>
            <w:tcW w:w="1232" w:type="dxa"/>
            <w:tcBorders>
              <w:top w:val="nil"/>
              <w:left w:val="nil"/>
              <w:bottom w:val="nil"/>
              <w:right w:val="nil"/>
            </w:tcBorders>
            <w:shd w:val="clear" w:color="000000" w:fill="FDB97B"/>
            <w:noWrap/>
            <w:vAlign w:val="center"/>
            <w:hideMark/>
          </w:tcPr>
          <w:p w14:paraId="6C44CF0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0,2086</w:t>
            </w:r>
          </w:p>
        </w:tc>
        <w:tc>
          <w:tcPr>
            <w:tcW w:w="1232" w:type="dxa"/>
            <w:tcBorders>
              <w:top w:val="nil"/>
              <w:left w:val="nil"/>
              <w:bottom w:val="nil"/>
              <w:right w:val="nil"/>
            </w:tcBorders>
            <w:shd w:val="clear" w:color="000000" w:fill="FEC97E"/>
            <w:noWrap/>
            <w:vAlign w:val="center"/>
            <w:hideMark/>
          </w:tcPr>
          <w:p w14:paraId="26C6DABE"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0,1952</w:t>
            </w:r>
          </w:p>
        </w:tc>
        <w:tc>
          <w:tcPr>
            <w:tcW w:w="1250" w:type="dxa"/>
            <w:tcBorders>
              <w:top w:val="nil"/>
              <w:left w:val="nil"/>
              <w:bottom w:val="nil"/>
              <w:right w:val="single" w:sz="4" w:space="0" w:color="auto"/>
            </w:tcBorders>
            <w:shd w:val="clear" w:color="000000" w:fill="FED881"/>
            <w:noWrap/>
            <w:vAlign w:val="center"/>
            <w:hideMark/>
          </w:tcPr>
          <w:p w14:paraId="35C28277"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0,1819</w:t>
            </w:r>
          </w:p>
        </w:tc>
      </w:tr>
      <w:tr w:rsidR="001E4B79" w:rsidRPr="003C0378" w14:paraId="0D7F4999" w14:textId="77777777" w:rsidTr="00750CD8">
        <w:trPr>
          <w:gridAfter w:val="1"/>
          <w:wAfter w:w="6" w:type="dxa"/>
          <w:trHeight w:val="249"/>
        </w:trPr>
        <w:tc>
          <w:tcPr>
            <w:tcW w:w="1228" w:type="dxa"/>
            <w:vMerge/>
            <w:tcBorders>
              <w:top w:val="single" w:sz="4" w:space="0" w:color="auto"/>
              <w:left w:val="single" w:sz="4" w:space="0" w:color="auto"/>
              <w:bottom w:val="single" w:sz="4" w:space="0" w:color="000000"/>
              <w:right w:val="single" w:sz="4" w:space="0" w:color="000000"/>
            </w:tcBorders>
            <w:vAlign w:val="center"/>
            <w:hideMark/>
          </w:tcPr>
          <w:p w14:paraId="50BBCAE4" w14:textId="77777777" w:rsidR="00583281" w:rsidRPr="003C0378" w:rsidRDefault="00583281" w:rsidP="00561795">
            <w:pPr>
              <w:spacing w:before="0" w:after="0"/>
              <w:ind w:firstLine="0"/>
              <w:jc w:val="left"/>
              <w:rPr>
                <w:rFonts w:eastAsia="Times New Roman" w:cs="Times New Roman"/>
                <w:b/>
                <w:bCs/>
                <w:color w:val="000000"/>
                <w:sz w:val="20"/>
                <w:szCs w:val="20"/>
              </w:rPr>
            </w:pPr>
          </w:p>
        </w:tc>
        <w:tc>
          <w:tcPr>
            <w:tcW w:w="890" w:type="dxa"/>
            <w:tcBorders>
              <w:top w:val="nil"/>
              <w:left w:val="nil"/>
              <w:bottom w:val="single" w:sz="4" w:space="0" w:color="auto"/>
              <w:right w:val="nil"/>
            </w:tcBorders>
            <w:shd w:val="clear" w:color="auto" w:fill="auto"/>
            <w:noWrap/>
            <w:vAlign w:val="center"/>
            <w:hideMark/>
          </w:tcPr>
          <w:p w14:paraId="4F63756E" w14:textId="77777777" w:rsidR="00583281" w:rsidRPr="003C0378" w:rsidRDefault="00583281" w:rsidP="00561795">
            <w:pPr>
              <w:spacing w:before="0" w:after="0"/>
              <w:ind w:firstLine="0"/>
              <w:jc w:val="center"/>
              <w:rPr>
                <w:rFonts w:eastAsia="Times New Roman" w:cs="Times New Roman"/>
                <w:b/>
                <w:bCs/>
                <w:sz w:val="20"/>
                <w:szCs w:val="20"/>
              </w:rPr>
            </w:pPr>
            <w:r w:rsidRPr="003C0378">
              <w:rPr>
                <w:rFonts w:eastAsia="Times New Roman" w:cs="Times New Roman"/>
                <w:b/>
                <w:bCs/>
                <w:sz w:val="20"/>
                <w:szCs w:val="20"/>
              </w:rPr>
              <w:t>55%</w:t>
            </w:r>
          </w:p>
        </w:tc>
        <w:tc>
          <w:tcPr>
            <w:tcW w:w="1232" w:type="dxa"/>
            <w:tcBorders>
              <w:top w:val="nil"/>
              <w:left w:val="nil"/>
              <w:bottom w:val="single" w:sz="4" w:space="0" w:color="auto"/>
              <w:right w:val="nil"/>
            </w:tcBorders>
            <w:shd w:val="clear" w:color="000000" w:fill="F8696B"/>
            <w:noWrap/>
            <w:vAlign w:val="center"/>
            <w:hideMark/>
          </w:tcPr>
          <w:p w14:paraId="359CDD52"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0,2762</w:t>
            </w:r>
          </w:p>
        </w:tc>
        <w:tc>
          <w:tcPr>
            <w:tcW w:w="1232" w:type="dxa"/>
            <w:tcBorders>
              <w:top w:val="nil"/>
              <w:left w:val="nil"/>
              <w:bottom w:val="single" w:sz="4" w:space="0" w:color="auto"/>
              <w:right w:val="nil"/>
            </w:tcBorders>
            <w:shd w:val="clear" w:color="000000" w:fill="F97B6F"/>
            <w:noWrap/>
            <w:vAlign w:val="center"/>
            <w:hideMark/>
          </w:tcPr>
          <w:p w14:paraId="5DE35CE4"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0,2614</w:t>
            </w:r>
          </w:p>
        </w:tc>
        <w:tc>
          <w:tcPr>
            <w:tcW w:w="1232" w:type="dxa"/>
            <w:tcBorders>
              <w:top w:val="nil"/>
              <w:left w:val="nil"/>
              <w:bottom w:val="single" w:sz="4" w:space="0" w:color="auto"/>
              <w:right w:val="nil"/>
            </w:tcBorders>
            <w:shd w:val="clear" w:color="000000" w:fill="FA8C72"/>
            <w:noWrap/>
            <w:vAlign w:val="center"/>
            <w:hideMark/>
          </w:tcPr>
          <w:p w14:paraId="766F8951"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0,2466</w:t>
            </w:r>
          </w:p>
        </w:tc>
        <w:tc>
          <w:tcPr>
            <w:tcW w:w="1232" w:type="dxa"/>
            <w:tcBorders>
              <w:top w:val="nil"/>
              <w:left w:val="nil"/>
              <w:bottom w:val="single" w:sz="4" w:space="0" w:color="auto"/>
              <w:right w:val="nil"/>
            </w:tcBorders>
            <w:shd w:val="clear" w:color="000000" w:fill="FB9E76"/>
            <w:noWrap/>
            <w:vAlign w:val="center"/>
            <w:hideMark/>
          </w:tcPr>
          <w:p w14:paraId="2FF3D73F"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0,2317</w:t>
            </w:r>
          </w:p>
        </w:tc>
        <w:tc>
          <w:tcPr>
            <w:tcW w:w="1232" w:type="dxa"/>
            <w:tcBorders>
              <w:top w:val="nil"/>
              <w:left w:val="nil"/>
              <w:bottom w:val="single" w:sz="4" w:space="0" w:color="auto"/>
              <w:right w:val="nil"/>
            </w:tcBorders>
            <w:shd w:val="clear" w:color="000000" w:fill="FCAF79"/>
            <w:noWrap/>
            <w:vAlign w:val="center"/>
            <w:hideMark/>
          </w:tcPr>
          <w:p w14:paraId="3895583D"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0,2169</w:t>
            </w:r>
          </w:p>
        </w:tc>
        <w:tc>
          <w:tcPr>
            <w:tcW w:w="1250" w:type="dxa"/>
            <w:tcBorders>
              <w:top w:val="nil"/>
              <w:left w:val="nil"/>
              <w:bottom w:val="single" w:sz="4" w:space="0" w:color="auto"/>
              <w:right w:val="single" w:sz="4" w:space="0" w:color="auto"/>
            </w:tcBorders>
            <w:shd w:val="clear" w:color="000000" w:fill="FDC17C"/>
            <w:noWrap/>
            <w:vAlign w:val="center"/>
            <w:hideMark/>
          </w:tcPr>
          <w:p w14:paraId="5466F985" w14:textId="77777777" w:rsidR="00583281" w:rsidRPr="003C0378" w:rsidRDefault="00583281" w:rsidP="00561795">
            <w:pPr>
              <w:spacing w:before="0" w:after="0"/>
              <w:ind w:firstLine="0"/>
              <w:jc w:val="center"/>
              <w:rPr>
                <w:rFonts w:eastAsia="Times New Roman" w:cs="Times New Roman"/>
                <w:sz w:val="20"/>
                <w:szCs w:val="20"/>
              </w:rPr>
            </w:pPr>
            <w:r w:rsidRPr="003C0378">
              <w:rPr>
                <w:rFonts w:eastAsia="Times New Roman" w:cs="Times New Roman"/>
                <w:sz w:val="20"/>
                <w:szCs w:val="20"/>
              </w:rPr>
              <w:t>0,2021</w:t>
            </w:r>
          </w:p>
        </w:tc>
      </w:tr>
    </w:tbl>
    <w:p w14:paraId="4962C321" w14:textId="77777777" w:rsidR="00583281" w:rsidRPr="003C0378" w:rsidRDefault="00583281" w:rsidP="006C0B37">
      <w:pPr>
        <w:keepNext/>
        <w:ind w:firstLine="562"/>
        <w:jc w:val="left"/>
        <w:rPr>
          <w:rFonts w:cs="Times New Roman"/>
          <w:sz w:val="20"/>
          <w:szCs w:val="20"/>
        </w:rPr>
      </w:pPr>
      <w:r w:rsidRPr="003C0378">
        <w:rPr>
          <w:rFonts w:cs="Times New Roman"/>
          <w:sz w:val="20"/>
          <w:szCs w:val="20"/>
        </w:rPr>
        <w:t>Šaltinis: sudaryta Vertintojų.</w:t>
      </w:r>
    </w:p>
    <w:p w14:paraId="354CFA77" w14:textId="5F3733B9" w:rsidR="005979A8" w:rsidRPr="003C0378" w:rsidRDefault="005979A8" w:rsidP="005979A8">
      <w:pPr>
        <w:spacing w:line="276" w:lineRule="auto"/>
        <w:ind w:firstLine="0"/>
      </w:pPr>
      <w:bookmarkStart w:id="165" w:name="_Toc166139876"/>
      <w:bookmarkStart w:id="166" w:name="_Toc170804642"/>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26</w:t>
      </w:r>
      <w:r w:rsidRPr="003C0378">
        <w:rPr>
          <w:rFonts w:cs="Times New Roman"/>
          <w:i/>
          <w:iCs/>
        </w:rPr>
        <w:fldChar w:fldCharType="end"/>
      </w:r>
      <w:r w:rsidRPr="003C0378">
        <w:rPr>
          <w:rFonts w:cs="Times New Roman"/>
          <w:i/>
          <w:iCs/>
        </w:rPr>
        <w:t xml:space="preserve">. Jautrumo analizė </w:t>
      </w:r>
      <w:r w:rsidR="008A613D">
        <w:rPr>
          <w:rFonts w:cs="Times New Roman"/>
          <w:i/>
          <w:iCs/>
        </w:rPr>
        <w:t>AIEB</w:t>
      </w:r>
      <w:r w:rsidR="00B302F3" w:rsidRPr="00B302F3">
        <w:t xml:space="preserve"> </w:t>
      </w:r>
      <w:r w:rsidR="00B302F3" w:rsidRPr="00B302F3">
        <w:rPr>
          <w:rFonts w:cs="Times New Roman"/>
          <w:i/>
          <w:iCs/>
        </w:rPr>
        <w:t>bei PEB</w:t>
      </w:r>
      <w:r w:rsidRPr="003C0378">
        <w:rPr>
          <w:rFonts w:cs="Times New Roman"/>
          <w:i/>
          <w:iCs/>
        </w:rPr>
        <w:t xml:space="preserve"> grupėje – dotacijos intensyvumas</w:t>
      </w:r>
      <w:bookmarkEnd w:id="165"/>
      <w:bookmarkEnd w:id="166"/>
    </w:p>
    <w:tbl>
      <w:tblPr>
        <w:tblW w:w="9447" w:type="dxa"/>
        <w:tblLook w:val="04A0" w:firstRow="1" w:lastRow="0" w:firstColumn="1" w:lastColumn="0" w:noHBand="0" w:noVBand="1"/>
      </w:tblPr>
      <w:tblGrid>
        <w:gridCol w:w="1078"/>
        <w:gridCol w:w="1474"/>
        <w:gridCol w:w="1149"/>
        <w:gridCol w:w="1149"/>
        <w:gridCol w:w="1148"/>
        <w:gridCol w:w="1148"/>
        <w:gridCol w:w="1148"/>
        <w:gridCol w:w="1153"/>
      </w:tblGrid>
      <w:tr w:rsidR="005979A8" w:rsidRPr="003C0378" w14:paraId="3178D33B" w14:textId="77777777" w:rsidTr="00E24002">
        <w:trPr>
          <w:trHeight w:val="305"/>
          <w:tblHeader/>
        </w:trPr>
        <w:tc>
          <w:tcPr>
            <w:tcW w:w="1078" w:type="dxa"/>
            <w:vMerge w:val="restart"/>
            <w:tcBorders>
              <w:top w:val="single" w:sz="4" w:space="0" w:color="auto"/>
              <w:left w:val="single" w:sz="4" w:space="0" w:color="auto"/>
              <w:bottom w:val="single" w:sz="4" w:space="0" w:color="auto"/>
            </w:tcBorders>
            <w:shd w:val="clear" w:color="auto" w:fill="auto"/>
            <w:textDirection w:val="btLr"/>
            <w:vAlign w:val="center"/>
            <w:hideMark/>
          </w:tcPr>
          <w:p w14:paraId="653185B7" w14:textId="77777777" w:rsidR="005979A8" w:rsidRPr="003C0378" w:rsidRDefault="005979A8" w:rsidP="00561795">
            <w:pPr>
              <w:spacing w:before="0"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Dotacijos intensyvumas (proc.)</w:t>
            </w:r>
          </w:p>
        </w:tc>
        <w:tc>
          <w:tcPr>
            <w:tcW w:w="8369" w:type="dxa"/>
            <w:gridSpan w:val="7"/>
            <w:tcBorders>
              <w:top w:val="single" w:sz="4" w:space="0" w:color="auto"/>
              <w:bottom w:val="single" w:sz="4" w:space="0" w:color="auto"/>
              <w:right w:val="single" w:sz="4" w:space="0" w:color="auto"/>
            </w:tcBorders>
            <w:shd w:val="clear" w:color="auto" w:fill="auto"/>
            <w:noWrap/>
            <w:vAlign w:val="bottom"/>
            <w:hideMark/>
          </w:tcPr>
          <w:p w14:paraId="37E39932" w14:textId="77777777" w:rsidR="005979A8" w:rsidRPr="003C0378" w:rsidRDefault="005979A8" w:rsidP="00561795">
            <w:pPr>
              <w:spacing w:before="0"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Atiduodama elektrinės dalis (proc.)</w:t>
            </w:r>
          </w:p>
        </w:tc>
      </w:tr>
      <w:tr w:rsidR="001E4B79" w:rsidRPr="003C0378" w14:paraId="72416F2D" w14:textId="77777777" w:rsidTr="00561795">
        <w:trPr>
          <w:trHeight w:val="305"/>
          <w:tblHeader/>
        </w:trPr>
        <w:tc>
          <w:tcPr>
            <w:tcW w:w="1078" w:type="dxa"/>
            <w:vMerge/>
            <w:tcBorders>
              <w:top w:val="single" w:sz="4" w:space="0" w:color="auto"/>
              <w:left w:val="single" w:sz="4" w:space="0" w:color="auto"/>
              <w:bottom w:val="single" w:sz="4" w:space="0" w:color="auto"/>
              <w:right w:val="single" w:sz="4" w:space="0" w:color="auto"/>
            </w:tcBorders>
            <w:vAlign w:val="center"/>
            <w:hideMark/>
          </w:tcPr>
          <w:p w14:paraId="034C3D87"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single" w:sz="4" w:space="0" w:color="auto"/>
              <w:left w:val="single" w:sz="4" w:space="0" w:color="auto"/>
              <w:bottom w:val="nil"/>
              <w:right w:val="nil"/>
            </w:tcBorders>
            <w:shd w:val="clear" w:color="auto" w:fill="auto"/>
            <w:noWrap/>
            <w:vAlign w:val="bottom"/>
            <w:hideMark/>
          </w:tcPr>
          <w:p w14:paraId="1EE11546" w14:textId="77777777" w:rsidR="005979A8" w:rsidRPr="003C0378" w:rsidRDefault="005979A8" w:rsidP="00561795">
            <w:pPr>
              <w:spacing w:before="0" w:after="0"/>
              <w:ind w:firstLine="0"/>
              <w:jc w:val="center"/>
              <w:rPr>
                <w:rFonts w:eastAsia="Times New Roman" w:cs="Times New Roman"/>
                <w:b/>
                <w:bCs/>
                <w:color w:val="000000"/>
                <w:sz w:val="20"/>
                <w:szCs w:val="20"/>
              </w:rPr>
            </w:pPr>
          </w:p>
        </w:tc>
        <w:tc>
          <w:tcPr>
            <w:tcW w:w="1149" w:type="dxa"/>
            <w:tcBorders>
              <w:top w:val="single" w:sz="4" w:space="0" w:color="auto"/>
              <w:left w:val="nil"/>
              <w:bottom w:val="nil"/>
              <w:right w:val="nil"/>
            </w:tcBorders>
            <w:shd w:val="clear" w:color="auto" w:fill="auto"/>
            <w:noWrap/>
            <w:vAlign w:val="center"/>
            <w:hideMark/>
          </w:tcPr>
          <w:p w14:paraId="3BF9DEDF"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45 proc.</w:t>
            </w:r>
          </w:p>
        </w:tc>
        <w:tc>
          <w:tcPr>
            <w:tcW w:w="1149" w:type="dxa"/>
            <w:tcBorders>
              <w:top w:val="single" w:sz="4" w:space="0" w:color="auto"/>
              <w:left w:val="nil"/>
              <w:bottom w:val="nil"/>
              <w:right w:val="nil"/>
            </w:tcBorders>
            <w:shd w:val="clear" w:color="auto" w:fill="auto"/>
            <w:noWrap/>
            <w:vAlign w:val="center"/>
            <w:hideMark/>
          </w:tcPr>
          <w:p w14:paraId="7BE7E39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50 proc.</w:t>
            </w:r>
          </w:p>
        </w:tc>
        <w:tc>
          <w:tcPr>
            <w:tcW w:w="1148" w:type="dxa"/>
            <w:tcBorders>
              <w:top w:val="single" w:sz="4" w:space="0" w:color="auto"/>
              <w:left w:val="nil"/>
              <w:bottom w:val="nil"/>
              <w:right w:val="nil"/>
            </w:tcBorders>
            <w:shd w:val="clear" w:color="auto" w:fill="auto"/>
            <w:noWrap/>
            <w:vAlign w:val="center"/>
            <w:hideMark/>
          </w:tcPr>
          <w:p w14:paraId="0A12AB6A"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55 proc.</w:t>
            </w:r>
          </w:p>
        </w:tc>
        <w:tc>
          <w:tcPr>
            <w:tcW w:w="1148" w:type="dxa"/>
            <w:tcBorders>
              <w:top w:val="single" w:sz="4" w:space="0" w:color="auto"/>
              <w:left w:val="nil"/>
              <w:bottom w:val="nil"/>
              <w:right w:val="nil"/>
            </w:tcBorders>
            <w:shd w:val="clear" w:color="auto" w:fill="auto"/>
            <w:noWrap/>
            <w:vAlign w:val="center"/>
            <w:hideMark/>
          </w:tcPr>
          <w:p w14:paraId="0946C4B9"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60 proc.</w:t>
            </w:r>
          </w:p>
        </w:tc>
        <w:tc>
          <w:tcPr>
            <w:tcW w:w="1148" w:type="dxa"/>
            <w:tcBorders>
              <w:top w:val="single" w:sz="4" w:space="0" w:color="auto"/>
              <w:left w:val="nil"/>
              <w:bottom w:val="nil"/>
              <w:right w:val="nil"/>
            </w:tcBorders>
            <w:shd w:val="clear" w:color="auto" w:fill="auto"/>
            <w:noWrap/>
            <w:vAlign w:val="center"/>
            <w:hideMark/>
          </w:tcPr>
          <w:p w14:paraId="7AF59E0F"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65 proc.</w:t>
            </w:r>
          </w:p>
        </w:tc>
        <w:tc>
          <w:tcPr>
            <w:tcW w:w="1149" w:type="dxa"/>
            <w:tcBorders>
              <w:top w:val="single" w:sz="4" w:space="0" w:color="auto"/>
              <w:left w:val="nil"/>
              <w:bottom w:val="nil"/>
              <w:right w:val="single" w:sz="4" w:space="0" w:color="auto"/>
            </w:tcBorders>
            <w:shd w:val="clear" w:color="auto" w:fill="auto"/>
            <w:noWrap/>
            <w:vAlign w:val="center"/>
            <w:hideMark/>
          </w:tcPr>
          <w:p w14:paraId="3BBD8FC6"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70 proc.</w:t>
            </w:r>
          </w:p>
        </w:tc>
      </w:tr>
      <w:tr w:rsidR="001E4B79" w:rsidRPr="003C0378" w14:paraId="213B61DD"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5352FFCB"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nil"/>
              <w:right w:val="nil"/>
            </w:tcBorders>
            <w:shd w:val="clear" w:color="auto" w:fill="auto"/>
            <w:noWrap/>
            <w:vAlign w:val="bottom"/>
            <w:hideMark/>
          </w:tcPr>
          <w:p w14:paraId="322BDEB2"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20 proc.</w:t>
            </w:r>
          </w:p>
        </w:tc>
        <w:tc>
          <w:tcPr>
            <w:tcW w:w="1149" w:type="dxa"/>
            <w:tcBorders>
              <w:top w:val="nil"/>
              <w:left w:val="nil"/>
              <w:bottom w:val="nil"/>
              <w:right w:val="nil"/>
            </w:tcBorders>
            <w:shd w:val="clear" w:color="000000" w:fill="D4DE81"/>
            <w:noWrap/>
            <w:vAlign w:val="center"/>
            <w:hideMark/>
          </w:tcPr>
          <w:p w14:paraId="580B253C"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11,39</w:t>
            </w:r>
          </w:p>
        </w:tc>
        <w:tc>
          <w:tcPr>
            <w:tcW w:w="1149" w:type="dxa"/>
            <w:tcBorders>
              <w:top w:val="nil"/>
              <w:left w:val="nil"/>
              <w:bottom w:val="nil"/>
              <w:right w:val="nil"/>
            </w:tcBorders>
            <w:shd w:val="clear" w:color="000000" w:fill="FFEB84"/>
            <w:noWrap/>
            <w:vAlign w:val="center"/>
            <w:hideMark/>
          </w:tcPr>
          <w:p w14:paraId="3EA04F15"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12,88</w:t>
            </w:r>
          </w:p>
        </w:tc>
        <w:tc>
          <w:tcPr>
            <w:tcW w:w="1148" w:type="dxa"/>
            <w:tcBorders>
              <w:top w:val="nil"/>
              <w:left w:val="nil"/>
              <w:bottom w:val="nil"/>
              <w:right w:val="nil"/>
            </w:tcBorders>
            <w:shd w:val="clear" w:color="000000" w:fill="FED680"/>
            <w:noWrap/>
            <w:vAlign w:val="center"/>
            <w:hideMark/>
          </w:tcPr>
          <w:p w14:paraId="27069BC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14,74</w:t>
            </w:r>
          </w:p>
        </w:tc>
        <w:tc>
          <w:tcPr>
            <w:tcW w:w="1148" w:type="dxa"/>
            <w:tcBorders>
              <w:top w:val="nil"/>
              <w:left w:val="nil"/>
              <w:bottom w:val="nil"/>
              <w:right w:val="nil"/>
            </w:tcBorders>
            <w:shd w:val="clear" w:color="000000" w:fill="FDBB7B"/>
            <w:noWrap/>
            <w:vAlign w:val="center"/>
            <w:hideMark/>
          </w:tcPr>
          <w:p w14:paraId="43927E7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17,18</w:t>
            </w:r>
          </w:p>
        </w:tc>
        <w:tc>
          <w:tcPr>
            <w:tcW w:w="1148" w:type="dxa"/>
            <w:tcBorders>
              <w:top w:val="nil"/>
              <w:left w:val="nil"/>
              <w:bottom w:val="nil"/>
              <w:right w:val="nil"/>
            </w:tcBorders>
            <w:shd w:val="clear" w:color="000000" w:fill="FB9373"/>
            <w:noWrap/>
            <w:vAlign w:val="center"/>
            <w:hideMark/>
          </w:tcPr>
          <w:p w14:paraId="6609F038"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20,69</w:t>
            </w:r>
          </w:p>
        </w:tc>
        <w:tc>
          <w:tcPr>
            <w:tcW w:w="1149" w:type="dxa"/>
            <w:tcBorders>
              <w:top w:val="nil"/>
              <w:left w:val="nil"/>
              <w:bottom w:val="nil"/>
              <w:right w:val="single" w:sz="4" w:space="0" w:color="auto"/>
            </w:tcBorders>
            <w:shd w:val="clear" w:color="000000" w:fill="FF0000"/>
            <w:noWrap/>
            <w:vAlign w:val="center"/>
            <w:hideMark/>
          </w:tcPr>
          <w:p w14:paraId="26518A82"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&gt;25</w:t>
            </w:r>
          </w:p>
        </w:tc>
      </w:tr>
      <w:tr w:rsidR="001E4B79" w:rsidRPr="003C0378" w14:paraId="3C8305BF"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7E261D72"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nil"/>
              <w:right w:val="nil"/>
            </w:tcBorders>
            <w:shd w:val="clear" w:color="auto" w:fill="auto"/>
            <w:noWrap/>
            <w:vAlign w:val="bottom"/>
            <w:hideMark/>
          </w:tcPr>
          <w:p w14:paraId="1744872B"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25 proc.</w:t>
            </w:r>
          </w:p>
        </w:tc>
        <w:tc>
          <w:tcPr>
            <w:tcW w:w="1149" w:type="dxa"/>
            <w:tcBorders>
              <w:top w:val="nil"/>
              <w:left w:val="nil"/>
              <w:bottom w:val="nil"/>
              <w:right w:val="nil"/>
            </w:tcBorders>
            <w:shd w:val="clear" w:color="000000" w:fill="BDD880"/>
            <w:noWrap/>
            <w:vAlign w:val="center"/>
            <w:hideMark/>
          </w:tcPr>
          <w:p w14:paraId="3B022DB3"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10,57</w:t>
            </w:r>
          </w:p>
        </w:tc>
        <w:tc>
          <w:tcPr>
            <w:tcW w:w="1149" w:type="dxa"/>
            <w:tcBorders>
              <w:top w:val="nil"/>
              <w:left w:val="nil"/>
              <w:bottom w:val="nil"/>
              <w:right w:val="nil"/>
            </w:tcBorders>
            <w:shd w:val="clear" w:color="000000" w:fill="E5E382"/>
            <w:noWrap/>
            <w:vAlign w:val="center"/>
            <w:hideMark/>
          </w:tcPr>
          <w:p w14:paraId="5DA004E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11,97</w:t>
            </w:r>
          </w:p>
        </w:tc>
        <w:tc>
          <w:tcPr>
            <w:tcW w:w="1148" w:type="dxa"/>
            <w:tcBorders>
              <w:top w:val="nil"/>
              <w:left w:val="nil"/>
              <w:bottom w:val="nil"/>
              <w:right w:val="nil"/>
            </w:tcBorders>
            <w:shd w:val="clear" w:color="000000" w:fill="FFE283"/>
            <w:noWrap/>
            <w:vAlign w:val="center"/>
            <w:hideMark/>
          </w:tcPr>
          <w:p w14:paraId="5EE8890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13,72</w:t>
            </w:r>
          </w:p>
        </w:tc>
        <w:tc>
          <w:tcPr>
            <w:tcW w:w="1148" w:type="dxa"/>
            <w:tcBorders>
              <w:top w:val="nil"/>
              <w:left w:val="nil"/>
              <w:bottom w:val="nil"/>
              <w:right w:val="nil"/>
            </w:tcBorders>
            <w:shd w:val="clear" w:color="000000" w:fill="FEC87E"/>
            <w:noWrap/>
            <w:vAlign w:val="center"/>
            <w:hideMark/>
          </w:tcPr>
          <w:p w14:paraId="19DCAD9A"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15,99</w:t>
            </w:r>
          </w:p>
        </w:tc>
        <w:tc>
          <w:tcPr>
            <w:tcW w:w="1148" w:type="dxa"/>
            <w:tcBorders>
              <w:top w:val="nil"/>
              <w:left w:val="nil"/>
              <w:bottom w:val="nil"/>
              <w:right w:val="nil"/>
            </w:tcBorders>
            <w:shd w:val="clear" w:color="000000" w:fill="FCA477"/>
            <w:noWrap/>
            <w:vAlign w:val="center"/>
            <w:hideMark/>
          </w:tcPr>
          <w:p w14:paraId="41FCB64D"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19,19</w:t>
            </w:r>
          </w:p>
        </w:tc>
        <w:tc>
          <w:tcPr>
            <w:tcW w:w="1149" w:type="dxa"/>
            <w:tcBorders>
              <w:top w:val="nil"/>
              <w:left w:val="nil"/>
              <w:bottom w:val="nil"/>
              <w:right w:val="single" w:sz="4" w:space="0" w:color="auto"/>
            </w:tcBorders>
            <w:shd w:val="clear" w:color="000000" w:fill="F8696B"/>
            <w:noWrap/>
            <w:vAlign w:val="center"/>
            <w:hideMark/>
          </w:tcPr>
          <w:p w14:paraId="16EA7B25"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24,34</w:t>
            </w:r>
          </w:p>
        </w:tc>
      </w:tr>
      <w:tr w:rsidR="001E4B79" w:rsidRPr="003C0378" w14:paraId="7EB10799"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098038EC"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nil"/>
              <w:right w:val="nil"/>
            </w:tcBorders>
            <w:shd w:val="clear" w:color="auto" w:fill="auto"/>
            <w:noWrap/>
            <w:vAlign w:val="bottom"/>
            <w:hideMark/>
          </w:tcPr>
          <w:p w14:paraId="1714629F"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30 proc.</w:t>
            </w:r>
          </w:p>
        </w:tc>
        <w:tc>
          <w:tcPr>
            <w:tcW w:w="1149" w:type="dxa"/>
            <w:tcBorders>
              <w:top w:val="nil"/>
              <w:left w:val="nil"/>
              <w:bottom w:val="nil"/>
              <w:right w:val="nil"/>
            </w:tcBorders>
            <w:shd w:val="clear" w:color="000000" w:fill="A6D17E"/>
            <w:noWrap/>
            <w:vAlign w:val="center"/>
            <w:hideMark/>
          </w:tcPr>
          <w:p w14:paraId="041819AC"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9,75</w:t>
            </w:r>
          </w:p>
        </w:tc>
        <w:tc>
          <w:tcPr>
            <w:tcW w:w="1149" w:type="dxa"/>
            <w:tcBorders>
              <w:top w:val="nil"/>
              <w:left w:val="nil"/>
              <w:bottom w:val="nil"/>
              <w:right w:val="nil"/>
            </w:tcBorders>
            <w:shd w:val="clear" w:color="000000" w:fill="CBDC81"/>
            <w:noWrap/>
            <w:vAlign w:val="center"/>
            <w:hideMark/>
          </w:tcPr>
          <w:p w14:paraId="2B9D9FE5"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11,05</w:t>
            </w:r>
          </w:p>
        </w:tc>
        <w:tc>
          <w:tcPr>
            <w:tcW w:w="1148" w:type="dxa"/>
            <w:tcBorders>
              <w:top w:val="nil"/>
              <w:left w:val="nil"/>
              <w:bottom w:val="nil"/>
              <w:right w:val="nil"/>
            </w:tcBorders>
            <w:shd w:val="clear" w:color="000000" w:fill="F9E983"/>
            <w:noWrap/>
            <w:vAlign w:val="center"/>
            <w:hideMark/>
          </w:tcPr>
          <w:p w14:paraId="590BE7CF"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12,69</w:t>
            </w:r>
          </w:p>
        </w:tc>
        <w:tc>
          <w:tcPr>
            <w:tcW w:w="1148" w:type="dxa"/>
            <w:tcBorders>
              <w:top w:val="nil"/>
              <w:left w:val="nil"/>
              <w:bottom w:val="nil"/>
              <w:right w:val="nil"/>
            </w:tcBorders>
            <w:shd w:val="clear" w:color="000000" w:fill="FED680"/>
            <w:noWrap/>
            <w:vAlign w:val="center"/>
            <w:hideMark/>
          </w:tcPr>
          <w:p w14:paraId="38C8E55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14,82</w:t>
            </w:r>
          </w:p>
        </w:tc>
        <w:tc>
          <w:tcPr>
            <w:tcW w:w="1148" w:type="dxa"/>
            <w:tcBorders>
              <w:top w:val="nil"/>
              <w:left w:val="nil"/>
              <w:bottom w:val="nil"/>
              <w:right w:val="nil"/>
            </w:tcBorders>
            <w:shd w:val="clear" w:color="000000" w:fill="FDB47A"/>
            <w:noWrap/>
            <w:vAlign w:val="center"/>
            <w:hideMark/>
          </w:tcPr>
          <w:p w14:paraId="0E12043C"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17,73</w:t>
            </w:r>
          </w:p>
        </w:tc>
        <w:tc>
          <w:tcPr>
            <w:tcW w:w="1149" w:type="dxa"/>
            <w:tcBorders>
              <w:top w:val="nil"/>
              <w:left w:val="nil"/>
              <w:bottom w:val="nil"/>
              <w:right w:val="single" w:sz="4" w:space="0" w:color="auto"/>
            </w:tcBorders>
            <w:shd w:val="clear" w:color="000000" w:fill="FA8070"/>
            <w:noWrap/>
            <w:vAlign w:val="center"/>
            <w:hideMark/>
          </w:tcPr>
          <w:p w14:paraId="643920ED"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22,33</w:t>
            </w:r>
          </w:p>
        </w:tc>
      </w:tr>
      <w:tr w:rsidR="001E4B79" w:rsidRPr="003C0378" w14:paraId="4B72891D"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687D812D"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nil"/>
              <w:right w:val="nil"/>
            </w:tcBorders>
            <w:shd w:val="clear" w:color="auto" w:fill="auto"/>
            <w:noWrap/>
            <w:vAlign w:val="bottom"/>
            <w:hideMark/>
          </w:tcPr>
          <w:p w14:paraId="31D17A48"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35 proc.</w:t>
            </w:r>
          </w:p>
        </w:tc>
        <w:tc>
          <w:tcPr>
            <w:tcW w:w="1149" w:type="dxa"/>
            <w:tcBorders>
              <w:top w:val="nil"/>
              <w:left w:val="nil"/>
              <w:bottom w:val="nil"/>
              <w:right w:val="nil"/>
            </w:tcBorders>
            <w:shd w:val="clear" w:color="000000" w:fill="8FCA7D"/>
            <w:noWrap/>
            <w:vAlign w:val="center"/>
            <w:hideMark/>
          </w:tcPr>
          <w:p w14:paraId="4C4CFB51"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8,95</w:t>
            </w:r>
          </w:p>
        </w:tc>
        <w:tc>
          <w:tcPr>
            <w:tcW w:w="1149" w:type="dxa"/>
            <w:tcBorders>
              <w:top w:val="nil"/>
              <w:left w:val="nil"/>
              <w:bottom w:val="nil"/>
              <w:right w:val="nil"/>
            </w:tcBorders>
            <w:shd w:val="clear" w:color="000000" w:fill="B1D47F"/>
            <w:noWrap/>
            <w:vAlign w:val="center"/>
            <w:hideMark/>
          </w:tcPr>
          <w:p w14:paraId="4052202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10,14</w:t>
            </w:r>
          </w:p>
        </w:tc>
        <w:tc>
          <w:tcPr>
            <w:tcW w:w="1148" w:type="dxa"/>
            <w:tcBorders>
              <w:top w:val="nil"/>
              <w:left w:val="nil"/>
              <w:bottom w:val="nil"/>
              <w:right w:val="nil"/>
            </w:tcBorders>
            <w:shd w:val="clear" w:color="000000" w:fill="DCE182"/>
            <w:noWrap/>
            <w:vAlign w:val="center"/>
            <w:hideMark/>
          </w:tcPr>
          <w:p w14:paraId="29A7535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11,65</w:t>
            </w:r>
          </w:p>
        </w:tc>
        <w:tc>
          <w:tcPr>
            <w:tcW w:w="1148" w:type="dxa"/>
            <w:tcBorders>
              <w:top w:val="nil"/>
              <w:left w:val="nil"/>
              <w:bottom w:val="nil"/>
              <w:right w:val="nil"/>
            </w:tcBorders>
            <w:shd w:val="clear" w:color="000000" w:fill="FFE383"/>
            <w:noWrap/>
            <w:vAlign w:val="center"/>
            <w:hideMark/>
          </w:tcPr>
          <w:p w14:paraId="13347FFB"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13,64</w:t>
            </w:r>
          </w:p>
        </w:tc>
        <w:tc>
          <w:tcPr>
            <w:tcW w:w="1148" w:type="dxa"/>
            <w:tcBorders>
              <w:top w:val="nil"/>
              <w:left w:val="nil"/>
              <w:bottom w:val="nil"/>
              <w:right w:val="nil"/>
            </w:tcBorders>
            <w:shd w:val="clear" w:color="000000" w:fill="FDC57D"/>
            <w:noWrap/>
            <w:vAlign w:val="center"/>
            <w:hideMark/>
          </w:tcPr>
          <w:p w14:paraId="601E7814"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16,31</w:t>
            </w:r>
          </w:p>
        </w:tc>
        <w:tc>
          <w:tcPr>
            <w:tcW w:w="1149" w:type="dxa"/>
            <w:tcBorders>
              <w:top w:val="nil"/>
              <w:left w:val="nil"/>
              <w:bottom w:val="nil"/>
              <w:right w:val="single" w:sz="4" w:space="0" w:color="auto"/>
            </w:tcBorders>
            <w:shd w:val="clear" w:color="000000" w:fill="FB9674"/>
            <w:noWrap/>
            <w:vAlign w:val="center"/>
            <w:hideMark/>
          </w:tcPr>
          <w:p w14:paraId="0BF18471"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20,41</w:t>
            </w:r>
          </w:p>
        </w:tc>
      </w:tr>
      <w:tr w:rsidR="001E4B79" w:rsidRPr="003C0378" w14:paraId="649E716C"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040301DE"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nil"/>
              <w:right w:val="nil"/>
            </w:tcBorders>
            <w:shd w:val="clear" w:color="auto" w:fill="auto"/>
            <w:noWrap/>
            <w:vAlign w:val="bottom"/>
            <w:hideMark/>
          </w:tcPr>
          <w:p w14:paraId="026B5D72"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40 proc.</w:t>
            </w:r>
          </w:p>
        </w:tc>
        <w:tc>
          <w:tcPr>
            <w:tcW w:w="1149" w:type="dxa"/>
            <w:tcBorders>
              <w:top w:val="nil"/>
              <w:left w:val="nil"/>
              <w:bottom w:val="nil"/>
              <w:right w:val="nil"/>
            </w:tcBorders>
            <w:shd w:val="clear" w:color="000000" w:fill="79C47C"/>
            <w:noWrap/>
            <w:vAlign w:val="center"/>
            <w:hideMark/>
          </w:tcPr>
          <w:p w14:paraId="6BEC8FF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8,15</w:t>
            </w:r>
          </w:p>
        </w:tc>
        <w:tc>
          <w:tcPr>
            <w:tcW w:w="1149" w:type="dxa"/>
            <w:tcBorders>
              <w:top w:val="nil"/>
              <w:left w:val="nil"/>
              <w:bottom w:val="nil"/>
              <w:right w:val="nil"/>
            </w:tcBorders>
            <w:shd w:val="clear" w:color="000000" w:fill="97CD7E"/>
            <w:noWrap/>
            <w:vAlign w:val="center"/>
            <w:hideMark/>
          </w:tcPr>
          <w:p w14:paraId="6D5AECDD"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9,23</w:t>
            </w:r>
          </w:p>
        </w:tc>
        <w:tc>
          <w:tcPr>
            <w:tcW w:w="1148" w:type="dxa"/>
            <w:tcBorders>
              <w:top w:val="nil"/>
              <w:left w:val="nil"/>
              <w:bottom w:val="nil"/>
              <w:right w:val="nil"/>
            </w:tcBorders>
            <w:shd w:val="clear" w:color="000000" w:fill="BFD880"/>
            <w:noWrap/>
            <w:vAlign w:val="center"/>
            <w:hideMark/>
          </w:tcPr>
          <w:p w14:paraId="543DC2CF"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10,62</w:t>
            </w:r>
          </w:p>
        </w:tc>
        <w:tc>
          <w:tcPr>
            <w:tcW w:w="1148" w:type="dxa"/>
            <w:tcBorders>
              <w:top w:val="nil"/>
              <w:left w:val="nil"/>
              <w:bottom w:val="nil"/>
              <w:right w:val="nil"/>
            </w:tcBorders>
            <w:shd w:val="clear" w:color="000000" w:fill="F2E783"/>
            <w:noWrap/>
            <w:vAlign w:val="center"/>
            <w:hideMark/>
          </w:tcPr>
          <w:p w14:paraId="60676806"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12,45</w:t>
            </w:r>
          </w:p>
        </w:tc>
        <w:tc>
          <w:tcPr>
            <w:tcW w:w="1148" w:type="dxa"/>
            <w:tcBorders>
              <w:top w:val="nil"/>
              <w:left w:val="nil"/>
              <w:bottom w:val="nil"/>
              <w:right w:val="nil"/>
            </w:tcBorders>
            <w:shd w:val="clear" w:color="000000" w:fill="FED480"/>
            <w:noWrap/>
            <w:vAlign w:val="center"/>
            <w:hideMark/>
          </w:tcPr>
          <w:p w14:paraId="7A0E8C7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14,92</w:t>
            </w:r>
          </w:p>
        </w:tc>
        <w:tc>
          <w:tcPr>
            <w:tcW w:w="1149" w:type="dxa"/>
            <w:tcBorders>
              <w:top w:val="nil"/>
              <w:left w:val="nil"/>
              <w:bottom w:val="nil"/>
              <w:right w:val="single" w:sz="4" w:space="0" w:color="auto"/>
            </w:tcBorders>
            <w:shd w:val="clear" w:color="000000" w:fill="FCAB78"/>
            <w:noWrap/>
            <w:vAlign w:val="center"/>
            <w:hideMark/>
          </w:tcPr>
          <w:p w14:paraId="1B2E91DC"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18,56</w:t>
            </w:r>
          </w:p>
        </w:tc>
      </w:tr>
      <w:tr w:rsidR="001E4B79" w:rsidRPr="003C0378" w14:paraId="757FFCD6" w14:textId="77777777" w:rsidTr="00561795">
        <w:trPr>
          <w:trHeight w:val="305"/>
          <w:tblHeader/>
        </w:trPr>
        <w:tc>
          <w:tcPr>
            <w:tcW w:w="1078" w:type="dxa"/>
            <w:vMerge/>
            <w:tcBorders>
              <w:top w:val="nil"/>
              <w:left w:val="single" w:sz="4" w:space="0" w:color="auto"/>
              <w:bottom w:val="single" w:sz="4" w:space="0" w:color="auto"/>
              <w:right w:val="single" w:sz="4" w:space="0" w:color="auto"/>
            </w:tcBorders>
            <w:vAlign w:val="center"/>
            <w:hideMark/>
          </w:tcPr>
          <w:p w14:paraId="2D722788" w14:textId="77777777" w:rsidR="005979A8" w:rsidRPr="003C0378" w:rsidRDefault="005979A8" w:rsidP="00561795">
            <w:pPr>
              <w:spacing w:before="0" w:after="0"/>
              <w:ind w:firstLine="0"/>
              <w:jc w:val="left"/>
              <w:rPr>
                <w:rFonts w:eastAsia="Times New Roman" w:cs="Times New Roman"/>
                <w:b/>
                <w:bCs/>
                <w:color w:val="000000"/>
                <w:sz w:val="20"/>
                <w:szCs w:val="20"/>
              </w:rPr>
            </w:pPr>
          </w:p>
        </w:tc>
        <w:tc>
          <w:tcPr>
            <w:tcW w:w="1474" w:type="dxa"/>
            <w:tcBorders>
              <w:top w:val="nil"/>
              <w:left w:val="single" w:sz="4" w:space="0" w:color="auto"/>
              <w:bottom w:val="single" w:sz="4" w:space="0" w:color="auto"/>
              <w:right w:val="nil"/>
            </w:tcBorders>
            <w:shd w:val="clear" w:color="auto" w:fill="auto"/>
            <w:noWrap/>
            <w:vAlign w:val="bottom"/>
            <w:hideMark/>
          </w:tcPr>
          <w:p w14:paraId="0F636A72" w14:textId="77777777" w:rsidR="005979A8" w:rsidRPr="003C0378" w:rsidRDefault="005979A8" w:rsidP="00561795">
            <w:pPr>
              <w:spacing w:before="0" w:after="0"/>
              <w:ind w:firstLine="0"/>
              <w:jc w:val="right"/>
              <w:rPr>
                <w:rFonts w:eastAsia="Times New Roman" w:cs="Times New Roman"/>
                <w:color w:val="000000"/>
                <w:sz w:val="20"/>
                <w:szCs w:val="20"/>
              </w:rPr>
            </w:pPr>
            <w:r w:rsidRPr="003C0378">
              <w:rPr>
                <w:rFonts w:eastAsia="Times New Roman" w:cs="Times New Roman"/>
                <w:color w:val="000000"/>
                <w:sz w:val="20"/>
                <w:szCs w:val="20"/>
              </w:rPr>
              <w:t>45 proc.</w:t>
            </w:r>
          </w:p>
        </w:tc>
        <w:tc>
          <w:tcPr>
            <w:tcW w:w="1149" w:type="dxa"/>
            <w:tcBorders>
              <w:top w:val="nil"/>
              <w:left w:val="nil"/>
              <w:bottom w:val="single" w:sz="4" w:space="0" w:color="auto"/>
              <w:right w:val="nil"/>
            </w:tcBorders>
            <w:shd w:val="clear" w:color="000000" w:fill="63BE7B"/>
            <w:noWrap/>
            <w:vAlign w:val="center"/>
            <w:hideMark/>
          </w:tcPr>
          <w:p w14:paraId="73F74950"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7,36</w:t>
            </w:r>
          </w:p>
        </w:tc>
        <w:tc>
          <w:tcPr>
            <w:tcW w:w="1149" w:type="dxa"/>
            <w:tcBorders>
              <w:top w:val="nil"/>
              <w:left w:val="nil"/>
              <w:bottom w:val="single" w:sz="4" w:space="0" w:color="auto"/>
              <w:right w:val="nil"/>
            </w:tcBorders>
            <w:shd w:val="clear" w:color="000000" w:fill="7EC57C"/>
            <w:noWrap/>
            <w:vAlign w:val="center"/>
            <w:hideMark/>
          </w:tcPr>
          <w:p w14:paraId="70C48137"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8,34</w:t>
            </w:r>
          </w:p>
        </w:tc>
        <w:tc>
          <w:tcPr>
            <w:tcW w:w="1148" w:type="dxa"/>
            <w:tcBorders>
              <w:top w:val="nil"/>
              <w:left w:val="nil"/>
              <w:bottom w:val="single" w:sz="4" w:space="0" w:color="auto"/>
              <w:right w:val="nil"/>
            </w:tcBorders>
            <w:shd w:val="clear" w:color="000000" w:fill="A1D07E"/>
            <w:noWrap/>
            <w:vAlign w:val="center"/>
            <w:hideMark/>
          </w:tcPr>
          <w:p w14:paraId="3D9DFE43"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9,59</w:t>
            </w:r>
          </w:p>
        </w:tc>
        <w:tc>
          <w:tcPr>
            <w:tcW w:w="1148" w:type="dxa"/>
            <w:tcBorders>
              <w:top w:val="nil"/>
              <w:left w:val="nil"/>
              <w:bottom w:val="single" w:sz="4" w:space="0" w:color="auto"/>
              <w:right w:val="nil"/>
            </w:tcBorders>
            <w:shd w:val="clear" w:color="000000" w:fill="D0DD81"/>
            <w:noWrap/>
            <w:vAlign w:val="center"/>
            <w:hideMark/>
          </w:tcPr>
          <w:p w14:paraId="71301DBD"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11,25</w:t>
            </w:r>
          </w:p>
        </w:tc>
        <w:tc>
          <w:tcPr>
            <w:tcW w:w="1148" w:type="dxa"/>
            <w:tcBorders>
              <w:top w:val="nil"/>
              <w:left w:val="nil"/>
              <w:bottom w:val="single" w:sz="4" w:space="0" w:color="auto"/>
              <w:right w:val="nil"/>
            </w:tcBorders>
            <w:shd w:val="clear" w:color="000000" w:fill="FFE483"/>
            <w:noWrap/>
            <w:vAlign w:val="center"/>
            <w:hideMark/>
          </w:tcPr>
          <w:p w14:paraId="5DF1CDD9"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13,52</w:t>
            </w:r>
          </w:p>
        </w:tc>
        <w:tc>
          <w:tcPr>
            <w:tcW w:w="1149" w:type="dxa"/>
            <w:tcBorders>
              <w:top w:val="nil"/>
              <w:left w:val="nil"/>
              <w:bottom w:val="single" w:sz="4" w:space="0" w:color="auto"/>
              <w:right w:val="single" w:sz="4" w:space="0" w:color="auto"/>
            </w:tcBorders>
            <w:shd w:val="clear" w:color="000000" w:fill="FDBF7C"/>
            <w:noWrap/>
            <w:vAlign w:val="center"/>
            <w:hideMark/>
          </w:tcPr>
          <w:p w14:paraId="2072F725" w14:textId="77777777" w:rsidR="005979A8" w:rsidRPr="003C0378" w:rsidRDefault="005979A8" w:rsidP="00561795">
            <w:pPr>
              <w:spacing w:before="0" w:after="0"/>
              <w:ind w:firstLine="0"/>
              <w:jc w:val="center"/>
              <w:rPr>
                <w:rFonts w:eastAsia="Times New Roman" w:cs="Times New Roman"/>
                <w:color w:val="000000"/>
                <w:sz w:val="20"/>
                <w:szCs w:val="20"/>
              </w:rPr>
            </w:pPr>
            <w:r w:rsidRPr="003C0378">
              <w:rPr>
                <w:rFonts w:eastAsia="Times New Roman" w:cs="Times New Roman"/>
                <w:color w:val="000000"/>
                <w:sz w:val="20"/>
                <w:szCs w:val="20"/>
              </w:rPr>
              <w:t>16,79</w:t>
            </w:r>
          </w:p>
        </w:tc>
      </w:tr>
    </w:tbl>
    <w:p w14:paraId="052D48C2" w14:textId="054E7E8F" w:rsidR="005979A8" w:rsidRPr="003C0378" w:rsidRDefault="005979A8" w:rsidP="006C0B37">
      <w:pPr>
        <w:ind w:firstLine="562"/>
        <w:jc w:val="left"/>
        <w:rPr>
          <w:rFonts w:cs="Times New Roman"/>
          <w:sz w:val="20"/>
          <w:szCs w:val="20"/>
        </w:rPr>
      </w:pPr>
      <w:r w:rsidRPr="003C0378">
        <w:rPr>
          <w:rFonts w:cs="Times New Roman"/>
          <w:sz w:val="20"/>
          <w:szCs w:val="20"/>
        </w:rPr>
        <w:t>Šaltinis: sudaryta Vertintojų.</w:t>
      </w:r>
    </w:p>
    <w:p w14:paraId="43343963" w14:textId="77777777" w:rsidR="005C2C96" w:rsidRPr="003C0378" w:rsidRDefault="005C2C96" w:rsidP="005C2C96">
      <w:pPr>
        <w:ind w:firstLine="562"/>
        <w:rPr>
          <w:rFonts w:eastAsia="Calibri" w:cs="Times New Roman"/>
        </w:rPr>
      </w:pPr>
      <w:r w:rsidRPr="003C0378">
        <w:rPr>
          <w:rFonts w:eastAsia="Calibri" w:cs="Times New Roman"/>
        </w:rPr>
        <w:t>Jautrumo analizės apibendrinimas:</w:t>
      </w:r>
    </w:p>
    <w:p w14:paraId="69E53D86" w14:textId="57639568" w:rsidR="005C2C96" w:rsidRDefault="005C2C96" w:rsidP="005C2C96">
      <w:pPr>
        <w:pStyle w:val="Sraopastraipa"/>
        <w:numPr>
          <w:ilvl w:val="0"/>
          <w:numId w:val="24"/>
        </w:numPr>
        <w:contextualSpacing w:val="0"/>
        <w:rPr>
          <w:rFonts w:eastAsia="Calibri" w:cs="Times New Roman"/>
        </w:rPr>
      </w:pPr>
      <w:r w:rsidRPr="003C0378">
        <w:rPr>
          <w:rFonts w:eastAsia="Calibri" w:cs="Times New Roman"/>
        </w:rPr>
        <w:lastRenderedPageBreak/>
        <w:t xml:space="preserve">Siekiant maksimizuoti energetinį </w:t>
      </w:r>
      <w:r w:rsidR="009541F8">
        <w:rPr>
          <w:rFonts w:eastAsia="Calibri" w:cs="Times New Roman"/>
        </w:rPr>
        <w:t>nepriteklių</w:t>
      </w:r>
      <w:r w:rsidRPr="003C0378">
        <w:rPr>
          <w:rFonts w:eastAsia="Calibri" w:cs="Times New Roman"/>
        </w:rPr>
        <w:t xml:space="preserve"> patiriantiems asmenims </w:t>
      </w:r>
      <w:r w:rsidR="00BB6979">
        <w:rPr>
          <w:rFonts w:eastAsia="Calibri" w:cs="Times New Roman"/>
        </w:rPr>
        <w:t>priskiriamų</w:t>
      </w:r>
      <w:r w:rsidRPr="003C0378">
        <w:rPr>
          <w:rFonts w:eastAsia="Calibri" w:cs="Times New Roman"/>
        </w:rPr>
        <w:t xml:space="preserve"> elektrinės pajėgumų dalį, </w:t>
      </w:r>
      <w:r w:rsidR="005979A8" w:rsidRPr="003C0378">
        <w:rPr>
          <w:rFonts w:eastAsia="Calibri" w:cs="Times New Roman"/>
        </w:rPr>
        <w:t xml:space="preserve">rekomenduojama susieti atiduodamų pajėgumų dalį su dotacijos intensyvumu. Pavyzdžiui, jeigu </w:t>
      </w:r>
      <w:r w:rsidR="009939CD">
        <w:rPr>
          <w:rFonts w:eastAsia="Calibri" w:cs="Times New Roman"/>
        </w:rPr>
        <w:t xml:space="preserve">yra skiriama </w:t>
      </w:r>
      <w:r w:rsidR="005979A8" w:rsidRPr="003C0378">
        <w:rPr>
          <w:rFonts w:eastAsia="Calibri" w:cs="Times New Roman"/>
        </w:rPr>
        <w:t>30 proc. dotacij</w:t>
      </w:r>
      <w:r w:rsidR="00F40A23">
        <w:rPr>
          <w:rFonts w:eastAsia="Calibri" w:cs="Times New Roman"/>
        </w:rPr>
        <w:t>ą</w:t>
      </w:r>
      <w:r w:rsidR="005979A8" w:rsidRPr="003C0378">
        <w:rPr>
          <w:rFonts w:eastAsia="Calibri" w:cs="Times New Roman"/>
        </w:rPr>
        <w:t xml:space="preserve">, tai 30 proc. </w:t>
      </w:r>
      <w:r w:rsidR="00F40A23">
        <w:rPr>
          <w:rFonts w:eastAsia="Calibri" w:cs="Times New Roman"/>
        </w:rPr>
        <w:t xml:space="preserve">pastatytų AEI elektrinės </w:t>
      </w:r>
      <w:r w:rsidR="005979A8" w:rsidRPr="003C0378">
        <w:rPr>
          <w:rFonts w:eastAsia="Calibri" w:cs="Times New Roman"/>
        </w:rPr>
        <w:t>pajėgumų tur</w:t>
      </w:r>
      <w:r w:rsidR="00F40A23">
        <w:rPr>
          <w:rFonts w:eastAsia="Calibri" w:cs="Times New Roman"/>
        </w:rPr>
        <w:t>ėtų</w:t>
      </w:r>
      <w:r w:rsidR="005979A8" w:rsidRPr="003C0378">
        <w:rPr>
          <w:rFonts w:eastAsia="Calibri" w:cs="Times New Roman"/>
        </w:rPr>
        <w:t xml:space="preserve"> </w:t>
      </w:r>
      <w:r w:rsidR="00F40A23">
        <w:rPr>
          <w:rFonts w:eastAsia="Calibri" w:cs="Times New Roman"/>
        </w:rPr>
        <w:t>priskirti</w:t>
      </w:r>
      <w:r w:rsidR="005979A8" w:rsidRPr="003C0378">
        <w:rPr>
          <w:rFonts w:eastAsia="Calibri" w:cs="Times New Roman"/>
        </w:rPr>
        <w:t xml:space="preserve"> energetinį </w:t>
      </w:r>
      <w:r w:rsidR="009541F8">
        <w:rPr>
          <w:rFonts w:eastAsia="Calibri" w:cs="Times New Roman"/>
        </w:rPr>
        <w:t>nepriteklių</w:t>
      </w:r>
      <w:r w:rsidR="005979A8" w:rsidRPr="003C0378">
        <w:rPr>
          <w:rFonts w:eastAsia="Calibri" w:cs="Times New Roman"/>
        </w:rPr>
        <w:t xml:space="preserve"> patiriantiems asmenims.</w:t>
      </w:r>
      <w:r w:rsidR="00AA5C3A">
        <w:rPr>
          <w:rFonts w:eastAsia="Calibri" w:cs="Times New Roman"/>
        </w:rPr>
        <w:t xml:space="preserve"> Vis dėlto, optimalų dotacijų ir atiduodamų pajėgumų dalį turėtų numatyti priemonės formuotojai atsižvelgiant į rinkos aplinkybes, poreikį didinti įgyvendinamų projektų skaičių ir siekį sumažinti energetinį nepriteklių patiriančių asmenų skaičių.</w:t>
      </w:r>
    </w:p>
    <w:p w14:paraId="3B8711EE" w14:textId="15D08EA6" w:rsidR="005C2C96" w:rsidRPr="00B97F74" w:rsidRDefault="009939CD" w:rsidP="00B97F74">
      <w:pPr>
        <w:pStyle w:val="Sraopastraipa"/>
        <w:numPr>
          <w:ilvl w:val="0"/>
          <w:numId w:val="24"/>
        </w:numPr>
        <w:contextualSpacing w:val="0"/>
        <w:rPr>
          <w:rFonts w:eastAsia="Calibri" w:cs="Times New Roman"/>
        </w:rPr>
      </w:pPr>
      <w:r>
        <w:rPr>
          <w:rFonts w:eastAsia="Calibri" w:cs="Times New Roman"/>
        </w:rPr>
        <w:t>Esant ribot</w:t>
      </w:r>
      <w:r w:rsidR="007F6789">
        <w:rPr>
          <w:rFonts w:eastAsia="Calibri" w:cs="Times New Roman"/>
        </w:rPr>
        <w:t>oms</w:t>
      </w:r>
      <w:r>
        <w:rPr>
          <w:rFonts w:eastAsia="Calibri" w:cs="Times New Roman"/>
        </w:rPr>
        <w:t xml:space="preserve"> dotacijos skyrimo galimybėms ar </w:t>
      </w:r>
      <w:r w:rsidR="007F6789">
        <w:rPr>
          <w:rFonts w:eastAsia="Calibri" w:cs="Times New Roman"/>
        </w:rPr>
        <w:t>pasikeitus situacijai rinkoje</w:t>
      </w:r>
      <w:r>
        <w:rPr>
          <w:rFonts w:eastAsia="Calibri" w:cs="Times New Roman"/>
        </w:rPr>
        <w:t xml:space="preserve"> (kaip antai, ženkliai nukritus elektros kainoms ar pan.)</w:t>
      </w:r>
      <w:r w:rsidR="007F6789">
        <w:rPr>
          <w:rFonts w:eastAsia="Calibri" w:cs="Times New Roman"/>
        </w:rPr>
        <w:t xml:space="preserve"> ir sumažėjus projektų patrauklumui</w:t>
      </w:r>
      <w:r>
        <w:rPr>
          <w:rFonts w:eastAsia="Calibri" w:cs="Times New Roman"/>
        </w:rPr>
        <w:t>, numatyti galimybę prailginti paskolos terminą</w:t>
      </w:r>
      <w:r w:rsidR="007F6789">
        <w:rPr>
          <w:rFonts w:eastAsia="Calibri" w:cs="Times New Roman"/>
        </w:rPr>
        <w:t xml:space="preserve"> iki </w:t>
      </w:r>
      <w:r w:rsidR="007F6789" w:rsidRPr="00B135A3">
        <w:rPr>
          <w:rFonts w:eastAsia="Calibri" w:cs="Times New Roman"/>
        </w:rPr>
        <w:t>20–25 met</w:t>
      </w:r>
      <w:r w:rsidR="007F6789">
        <w:rPr>
          <w:rFonts w:eastAsia="Calibri" w:cs="Times New Roman"/>
        </w:rPr>
        <w:t>ų.</w:t>
      </w:r>
    </w:p>
    <w:p w14:paraId="25C575EE" w14:textId="77777777" w:rsidR="00DC4E5F" w:rsidRPr="003C0378" w:rsidRDefault="00DC4E5F" w:rsidP="00BD22CD"/>
    <w:p w14:paraId="6B5EF6B5" w14:textId="3818BC83" w:rsidR="00420237" w:rsidRPr="003C0378" w:rsidRDefault="0056379A" w:rsidP="00D238DF">
      <w:pPr>
        <w:pStyle w:val="Antrat1"/>
        <w:numPr>
          <w:ilvl w:val="0"/>
          <w:numId w:val="3"/>
        </w:numPr>
        <w:rPr>
          <w:rFonts w:cs="Times New Roman"/>
        </w:rPr>
      </w:pPr>
      <w:bookmarkStart w:id="167" w:name="_Toc126051371"/>
      <w:bookmarkStart w:id="168" w:name="_Toc166139838"/>
      <w:bookmarkStart w:id="169" w:name="_Toc170804600"/>
      <w:r w:rsidRPr="003C0378">
        <w:rPr>
          <w:rFonts w:cs="Times New Roman"/>
        </w:rPr>
        <w:t>Siūlomi finansiniai produktai ir investavimo strategija</w:t>
      </w:r>
      <w:bookmarkEnd w:id="167"/>
      <w:bookmarkEnd w:id="168"/>
      <w:bookmarkEnd w:id="169"/>
    </w:p>
    <w:p w14:paraId="6E6B8CC0" w14:textId="77777777" w:rsidR="00643CB4" w:rsidRPr="00133BE9" w:rsidRDefault="00643CB4" w:rsidP="00643CB4">
      <w:pPr>
        <w:pStyle w:val="Antrat1"/>
        <w:numPr>
          <w:ilvl w:val="1"/>
          <w:numId w:val="3"/>
        </w:numPr>
        <w:rPr>
          <w:rFonts w:cs="Times New Roman"/>
        </w:rPr>
      </w:pPr>
      <w:bookmarkStart w:id="170" w:name="_Toc166139839"/>
      <w:bookmarkStart w:id="171" w:name="_Toc170804601"/>
      <w:r>
        <w:rPr>
          <w:rFonts w:cs="Times New Roman"/>
        </w:rPr>
        <w:t>Rinkos nepakankamumo priežastys</w:t>
      </w:r>
      <w:bookmarkEnd w:id="170"/>
      <w:bookmarkEnd w:id="171"/>
    </w:p>
    <w:p w14:paraId="2F0382A2" w14:textId="00F87D82" w:rsidR="00643CB4" w:rsidRDefault="00643CB4" w:rsidP="00643CB4">
      <w:pPr>
        <w:spacing w:line="276" w:lineRule="auto"/>
        <w:ind w:firstLine="562"/>
        <w:rPr>
          <w:rFonts w:cs="Times New Roman"/>
        </w:rPr>
      </w:pPr>
      <w:r w:rsidRPr="003C0378">
        <w:t>2</w:t>
      </w:r>
      <w:r>
        <w:t>–</w:t>
      </w:r>
      <w:r w:rsidRPr="003C0378">
        <w:t>ame skyrelyje atlikta rinkos nepakankamumo analizė indikavo AEI investicijų trūkumą laikotarpiui iki 2030</w:t>
      </w:r>
      <w:r w:rsidR="00B93E86">
        <w:t xml:space="preserve"> m.</w:t>
      </w:r>
      <w:r w:rsidRPr="003C0378">
        <w:t>. Pagrindinės rinkos nepakankamumo priežastys</w:t>
      </w:r>
      <w:r>
        <w:t xml:space="preserve"> pagal atskiras tikslines grupes yra </w:t>
      </w:r>
      <w:r w:rsidRPr="003C0378">
        <w:rPr>
          <w:rFonts w:cs="Times New Roman"/>
        </w:rPr>
        <w:t>pristatomos toliau.</w:t>
      </w:r>
    </w:p>
    <w:p w14:paraId="34B75572" w14:textId="34FEBDDC" w:rsidR="00643CB4" w:rsidRPr="00133BE9" w:rsidRDefault="00F6739B" w:rsidP="00643CB4">
      <w:pPr>
        <w:pStyle w:val="Antrat2"/>
      </w:pPr>
      <w:bookmarkStart w:id="172" w:name="_Toc166139840"/>
      <w:bookmarkStart w:id="173" w:name="_Toc170804602"/>
      <w:r w:rsidRPr="00DC0828">
        <w:t>AIEB</w:t>
      </w:r>
      <w:r w:rsidR="00B302F3">
        <w:t xml:space="preserve">, </w:t>
      </w:r>
      <w:r w:rsidR="00B302F3" w:rsidRPr="00B302F3">
        <w:t>PEB</w:t>
      </w:r>
      <w:r w:rsidR="00643CB4" w:rsidRPr="00DC0828">
        <w:t xml:space="preserve"> ir </w:t>
      </w:r>
      <w:r w:rsidR="00F3261B" w:rsidRPr="00346C04">
        <w:t>VJA</w:t>
      </w:r>
      <w:bookmarkEnd w:id="172"/>
      <w:bookmarkEnd w:id="173"/>
    </w:p>
    <w:p w14:paraId="7855D306" w14:textId="01B78911" w:rsidR="00643CB4" w:rsidRPr="00B40A23" w:rsidRDefault="0AA1DC48" w:rsidP="00643CB4">
      <w:pPr>
        <w:spacing w:line="276" w:lineRule="auto"/>
        <w:ind w:firstLine="562"/>
      </w:pPr>
      <w:r w:rsidRPr="00B40A23">
        <w:rPr>
          <w:rFonts w:cs="Times New Roman"/>
          <w:b/>
          <w:bCs/>
        </w:rPr>
        <w:t xml:space="preserve">Pagrindinė rinkos nepakankamumo priežastis </w:t>
      </w:r>
      <w:r w:rsidR="6F858E8C" w:rsidRPr="00B40A23">
        <w:rPr>
          <w:rFonts w:cs="Times New Roman"/>
          <w:b/>
          <w:bCs/>
        </w:rPr>
        <w:t>AIEB</w:t>
      </w:r>
      <w:r w:rsidR="00B302F3">
        <w:t>,</w:t>
      </w:r>
      <w:r w:rsidR="00B302F3" w:rsidRPr="00B302F3">
        <w:rPr>
          <w:rFonts w:cs="Times New Roman"/>
          <w:b/>
          <w:bCs/>
        </w:rPr>
        <w:t xml:space="preserve"> PEB</w:t>
      </w:r>
      <w:r w:rsidRPr="00B40A23">
        <w:rPr>
          <w:rFonts w:cs="Times New Roman"/>
          <w:b/>
          <w:bCs/>
        </w:rPr>
        <w:t xml:space="preserve"> </w:t>
      </w:r>
      <w:r w:rsidRPr="00346C04">
        <w:rPr>
          <w:rFonts w:cs="Times New Roman"/>
          <w:b/>
          <w:bCs/>
        </w:rPr>
        <w:t xml:space="preserve">ir </w:t>
      </w:r>
      <w:r w:rsidR="00F3261B" w:rsidRPr="00346C04">
        <w:rPr>
          <w:rFonts w:cs="Times New Roman"/>
          <w:b/>
          <w:bCs/>
        </w:rPr>
        <w:t>VJA</w:t>
      </w:r>
      <w:r w:rsidRPr="00B40A23">
        <w:rPr>
          <w:rFonts w:cs="Times New Roman"/>
          <w:b/>
          <w:bCs/>
        </w:rPr>
        <w:t xml:space="preserve"> tikslinėje grupėje – patrauklaus finansinio produkto / investavimo schemos trūkumas. Ši problema yra ypač aktuali </w:t>
      </w:r>
      <w:r w:rsidR="00F3261B" w:rsidRPr="00346C04">
        <w:rPr>
          <w:rFonts w:cs="Times New Roman"/>
          <w:b/>
          <w:bCs/>
        </w:rPr>
        <w:t>VJA</w:t>
      </w:r>
      <w:r w:rsidRPr="00B40A23">
        <w:rPr>
          <w:rFonts w:cs="Times New Roman"/>
          <w:b/>
          <w:bCs/>
        </w:rPr>
        <w:t>.</w:t>
      </w:r>
      <w:r w:rsidRPr="00B40A23">
        <w:rPr>
          <w:rFonts w:cs="Times New Roman"/>
        </w:rPr>
        <w:t xml:space="preserve"> </w:t>
      </w:r>
      <w:r w:rsidR="00B36CB9">
        <w:rPr>
          <w:rFonts w:cs="Times New Roman"/>
        </w:rPr>
        <w:t>Pavyzdžiui, s</w:t>
      </w:r>
      <w:r w:rsidRPr="00B40A23">
        <w:rPr>
          <w:rFonts w:cs="Times New Roman"/>
        </w:rPr>
        <w:t>avivaldyb</w:t>
      </w:r>
      <w:r w:rsidR="00B36CB9">
        <w:rPr>
          <w:rFonts w:cs="Times New Roman"/>
        </w:rPr>
        <w:t>ių</w:t>
      </w:r>
      <w:r w:rsidRPr="00B40A23">
        <w:rPr>
          <w:rFonts w:cs="Times New Roman"/>
        </w:rPr>
        <w:t xml:space="preserve"> </w:t>
      </w:r>
      <w:r w:rsidRPr="00346C04">
        <w:rPr>
          <w:rFonts w:cs="Times New Roman"/>
        </w:rPr>
        <w:t>viešųjų pastatų valdytojus</w:t>
      </w:r>
      <w:r w:rsidRPr="00B40A23">
        <w:rPr>
          <w:rFonts w:cs="Times New Roman"/>
        </w:rPr>
        <w:t xml:space="preserve"> dažnu atveju riboja savivaldybių skolinimosi limitai, o biudžetinės įstaigos išvis negali kreiptis paskolinio finansavimo į finansų įstaigas. Kaip išeitis šiems ribojimas galėtų būti netiesioginis skolinimasis ir AEI projektų įgyvendinimas per ETPT bendroves arba elektros generacijos įrangos nuomos sutarčių mechanizmas. Vis dėlto, kaip yra nurodoma LR energetikos ministerijos pažangos priemonės „</w:t>
      </w:r>
      <w:r w:rsidRPr="00B40A23">
        <w:t xml:space="preserve">Įgyvendinti energijos vartojimo efektyvumą didinančias priemones centrinės valdžios </w:t>
      </w:r>
      <w:r w:rsidRPr="00BF539D">
        <w:t>viešuosiuose pastatuose</w:t>
      </w:r>
      <w:r w:rsidRPr="00B40A23">
        <w:t xml:space="preserve">, individualiuose gyvenamuosiuose pastatuose ir įmonėse“ ETPT rinka Lietuvoje yra sekli ir dominuojama smulkių įmonių, kurios negali prisiimti ilgalaikių įsipareigojimų. Tad bent jau trumpuoju–vidutiniu laikotarpiu ETPT modelio įgyvendinimas nepadės spręsti </w:t>
      </w:r>
      <w:r w:rsidR="00B82974" w:rsidRPr="00B40A23">
        <w:t>finansavimo</w:t>
      </w:r>
      <w:r w:rsidRPr="00B40A23">
        <w:t xml:space="preserve"> trūkumo problemos. </w:t>
      </w:r>
    </w:p>
    <w:p w14:paraId="0F8D7A81" w14:textId="2186AE7A" w:rsidR="00643CB4" w:rsidRPr="00E20262" w:rsidRDefault="0AA1DC48" w:rsidP="38882E92">
      <w:pPr>
        <w:spacing w:line="276" w:lineRule="auto"/>
        <w:ind w:firstLine="562"/>
      </w:pPr>
      <w:r w:rsidRPr="00E20262">
        <w:t xml:space="preserve">Kiti </w:t>
      </w:r>
      <w:r w:rsidR="00F3261B" w:rsidRPr="00346C04">
        <w:t>VJA</w:t>
      </w:r>
      <w:r w:rsidRPr="00E20262">
        <w:t xml:space="preserve"> (pvz.</w:t>
      </w:r>
      <w:r w:rsidR="001C1A6D">
        <w:t>,</w:t>
      </w:r>
      <w:r w:rsidRPr="00E20262">
        <w:t xml:space="preserve"> universitetai, kolegijos t.</w:t>
      </w:r>
      <w:r w:rsidR="001C1A6D">
        <w:t xml:space="preserve"> </w:t>
      </w:r>
      <w:r w:rsidRPr="00E20262">
        <w:t>t</w:t>
      </w:r>
      <w:r w:rsidR="001C1A6D">
        <w:t>.</w:t>
      </w:r>
      <w:r w:rsidRPr="00E20262">
        <w:t xml:space="preserve">), kurie gali kreiptis </w:t>
      </w:r>
      <w:r w:rsidR="01051BD9" w:rsidRPr="00E20262">
        <w:t xml:space="preserve">dėl </w:t>
      </w:r>
      <w:r w:rsidRPr="00E20262">
        <w:t xml:space="preserve">išorinio finansavimo į finansų įstaigas, nesikreipia į jas dėl netenkinančių finansų įstaigų sąlygų. </w:t>
      </w:r>
      <w:r w:rsidR="00B82974" w:rsidRPr="00E20262">
        <w:t>Finansų</w:t>
      </w:r>
      <w:r w:rsidRPr="00E20262">
        <w:t xml:space="preserve"> įstaigoms paskolos </w:t>
      </w:r>
      <w:r w:rsidR="7BF8C275" w:rsidRPr="00E20262">
        <w:t>būdu</w:t>
      </w:r>
      <w:r w:rsidRPr="00E20262">
        <w:t xml:space="preserve"> įgyjama elektrinė nėra adekvatus užstatas</w:t>
      </w:r>
      <w:r w:rsidR="00643CB4" w:rsidRPr="00E20262">
        <w:rPr>
          <w:rStyle w:val="Puslapioinaosnuoroda"/>
        </w:rPr>
        <w:footnoteReference w:id="41"/>
      </w:r>
      <w:r w:rsidRPr="00E20262">
        <w:t>. Dėl šios priežasties AEI projektams yra teikiam</w:t>
      </w:r>
      <w:r w:rsidR="1D49AB40" w:rsidRPr="00E20262">
        <w:t>as</w:t>
      </w:r>
      <w:r w:rsidR="26FCE494" w:rsidRPr="00E20262">
        <w:t xml:space="preserve"> </w:t>
      </w:r>
      <w:r w:rsidR="3A5ADBD4" w:rsidRPr="00E20262">
        <w:t xml:space="preserve"> </w:t>
      </w:r>
      <w:r w:rsidR="26FCE494" w:rsidRPr="00E20262">
        <w:t>finansavimas</w:t>
      </w:r>
      <w:r w:rsidRPr="00E20262">
        <w:t xml:space="preserve"> lizingo </w:t>
      </w:r>
      <w:r w:rsidR="31086DAD" w:rsidRPr="00E20262">
        <w:t>forma</w:t>
      </w:r>
      <w:r w:rsidRPr="00E20262">
        <w:t>, kuri</w:t>
      </w:r>
      <w:r w:rsidR="41CE84C1" w:rsidRPr="00E20262">
        <w:t>o</w:t>
      </w:r>
      <w:r w:rsidRPr="00E20262">
        <w:t xml:space="preserve"> palūkanos yra pakankamai aukštos, o  terminas </w:t>
      </w:r>
      <w:r w:rsidR="3C479E8B" w:rsidRPr="00E20262">
        <w:t xml:space="preserve">(5–7 metai) </w:t>
      </w:r>
      <w:r w:rsidRPr="00E20262">
        <w:t xml:space="preserve"> trumpesnis  nei projekto atsipirkimo laikotarpis (žr. jautrumo analizės skyrelį).</w:t>
      </w:r>
    </w:p>
    <w:p w14:paraId="662A8C3E" w14:textId="1A7B4F7D" w:rsidR="00643CB4" w:rsidRDefault="00643CB4" w:rsidP="00643CB4">
      <w:pPr>
        <w:spacing w:line="276" w:lineRule="auto"/>
        <w:ind w:firstLine="562"/>
      </w:pPr>
      <w:r w:rsidRPr="00E20262">
        <w:rPr>
          <w:b/>
          <w:bCs/>
        </w:rPr>
        <w:t xml:space="preserve">Bendra visų </w:t>
      </w:r>
      <w:r w:rsidR="00F3261B" w:rsidRPr="009723CD">
        <w:rPr>
          <w:b/>
          <w:bCs/>
        </w:rPr>
        <w:t>VJA</w:t>
      </w:r>
      <w:r w:rsidRPr="00E20262">
        <w:rPr>
          <w:b/>
          <w:bCs/>
        </w:rPr>
        <w:t xml:space="preserve"> (išskyrus VĮ „Turto bankas“) problema – </w:t>
      </w:r>
      <w:proofErr w:type="spellStart"/>
      <w:r w:rsidRPr="00E20262">
        <w:rPr>
          <w:b/>
          <w:bCs/>
        </w:rPr>
        <w:t>nesuinteresuotumas</w:t>
      </w:r>
      <w:proofErr w:type="spellEnd"/>
      <w:r w:rsidRPr="00E20262">
        <w:rPr>
          <w:b/>
          <w:bCs/>
        </w:rPr>
        <w:t xml:space="preserve"> investuoti į AEI pajėgumus. </w:t>
      </w:r>
      <w:r w:rsidRPr="00E20262">
        <w:t xml:space="preserve">Panašiai kaip energetinio efektyvumo projektų įgyvendinimo atvejais, daugelis </w:t>
      </w:r>
      <w:r w:rsidR="00F3261B" w:rsidRPr="009723CD">
        <w:t>VJA</w:t>
      </w:r>
      <w:r w:rsidRPr="00E20262">
        <w:t xml:space="preserve"> yra dažnai pernelyg susikoncentravę į savo vykdomą pagrindinę veiklą, tad iki 2022 m., kuomet ženkliai išaugo NT išlaikymo kaštai, nematė poreikio investuoti į AEI pajėgumus.</w:t>
      </w:r>
      <w:r w:rsidRPr="003C0378">
        <w:t xml:space="preserve"> </w:t>
      </w:r>
      <w:r w:rsidR="000C5192">
        <w:t xml:space="preserve">Visgi, </w:t>
      </w:r>
      <w:r w:rsidR="00D268D6">
        <w:t>vertinimo atnaujinim</w:t>
      </w:r>
      <w:r w:rsidR="00DB51D0">
        <w:t>o metu</w:t>
      </w:r>
      <w:r w:rsidR="00D268D6">
        <w:t xml:space="preserve"> 2024 m. pasteb</w:t>
      </w:r>
      <w:r w:rsidR="00DB51D0">
        <w:t>ėt</w:t>
      </w:r>
      <w:r w:rsidR="00D268D6">
        <w:t xml:space="preserve">a, jog </w:t>
      </w:r>
      <w:r w:rsidR="00DB51D0">
        <w:t>dalis VJA</w:t>
      </w:r>
      <w:r w:rsidR="008F2897">
        <w:t xml:space="preserve"> turi numatytas AEI plėtros strategijas </w:t>
      </w:r>
      <w:r w:rsidR="00820FFD">
        <w:t xml:space="preserve">bei jų atveju stebimas faktinis AEI plėtros progresas. Pavyzdžiui, </w:t>
      </w:r>
      <w:r w:rsidR="00820FFD" w:rsidRPr="00820FFD">
        <w:t>Vilniaus miesto savivaldybė</w:t>
      </w:r>
      <w:r w:rsidR="002F42D7">
        <w:t>s atveju, p</w:t>
      </w:r>
      <w:r w:rsidR="00F7304A" w:rsidRPr="00F7304A">
        <w:t xml:space="preserve">agal miesto tarybos patvirtintą Vilniaus miesto atsinaujinančių išteklių energijos naudojimo plėtros veiksmų planą iki 2030 m., </w:t>
      </w:r>
      <w:r w:rsidR="002F42D7">
        <w:t>numatytas</w:t>
      </w:r>
      <w:r w:rsidR="00F7304A" w:rsidRPr="00F7304A">
        <w:t xml:space="preserve"> siekis, kad iki 2030 metų saulės energetikos galia siektų 34 MW</w:t>
      </w:r>
      <w:r w:rsidR="00716FA3">
        <w:t xml:space="preserve">. </w:t>
      </w:r>
      <w:r w:rsidR="00B05612">
        <w:t>Remiantis savivaldybės atstov</w:t>
      </w:r>
      <w:r w:rsidR="001B657F">
        <w:t>ų pateikta informacija</w:t>
      </w:r>
      <w:r w:rsidR="00B05612">
        <w:t>, a</w:t>
      </w:r>
      <w:r w:rsidR="002878C2">
        <w:t xml:space="preserve">taskaitos atnaujinimo metu (2024 m. II ketvirtį) </w:t>
      </w:r>
      <w:r w:rsidR="005653A4">
        <w:t>dalis savivaldybės įstaigų</w:t>
      </w:r>
      <w:r w:rsidR="00E57D69">
        <w:t xml:space="preserve"> (17)</w:t>
      </w:r>
      <w:r w:rsidR="005653A4">
        <w:t xml:space="preserve"> s</w:t>
      </w:r>
      <w:r w:rsidR="005653A4" w:rsidRPr="005653A4">
        <w:t>aulės elektrinė</w:t>
      </w:r>
      <w:r w:rsidR="005653A4">
        <w:t>mi</w:t>
      </w:r>
      <w:r w:rsidR="005653A4" w:rsidRPr="005653A4">
        <w:t>s jau gener</w:t>
      </w:r>
      <w:r w:rsidR="005653A4">
        <w:t>avo</w:t>
      </w:r>
      <w:r w:rsidR="005653A4" w:rsidRPr="005653A4">
        <w:t xml:space="preserve"> apie 3 MW </w:t>
      </w:r>
      <w:r w:rsidR="005653A4">
        <w:t>elektros energijos</w:t>
      </w:r>
      <w:r w:rsidR="00B05612">
        <w:t xml:space="preserve">, o iki 2024 m pabaigos, </w:t>
      </w:r>
      <w:r w:rsidR="00B05612" w:rsidRPr="00B05612">
        <w:t xml:space="preserve">planuojama, kad nutolusias saulės elektrines </w:t>
      </w:r>
      <w:r w:rsidR="004132C5">
        <w:t>(ar jų dalį) valdys</w:t>
      </w:r>
      <w:r w:rsidR="00B05612" w:rsidRPr="00B05612">
        <w:t xml:space="preserve"> 106 įstaigos, kurių bendra galia sieks 18 MW</w:t>
      </w:r>
      <w:r w:rsidR="005653A4" w:rsidRPr="005653A4">
        <w:t>.</w:t>
      </w:r>
      <w:r w:rsidR="00653A66">
        <w:t xml:space="preserve"> Turto banko atveju, 2024 m. II ketvirtį </w:t>
      </w:r>
      <w:r w:rsidR="00653A66" w:rsidRPr="00506F3D">
        <w:t xml:space="preserve">10 proc. </w:t>
      </w:r>
      <w:r w:rsidR="00653A66">
        <w:t xml:space="preserve">valdytino turto </w:t>
      </w:r>
      <w:r w:rsidR="00653A66" w:rsidRPr="00506F3D">
        <w:lastRenderedPageBreak/>
        <w:t>elektros energijos</w:t>
      </w:r>
      <w:r w:rsidR="00653A66">
        <w:t xml:space="preserve"> </w:t>
      </w:r>
      <w:r w:rsidR="006D7A15">
        <w:t xml:space="preserve">suvartojimo </w:t>
      </w:r>
      <w:r w:rsidR="00653A66">
        <w:t>buvo</w:t>
      </w:r>
      <w:r w:rsidR="00653A66" w:rsidRPr="00506F3D">
        <w:t xml:space="preserve"> padengiama iš AEI</w:t>
      </w:r>
      <w:r w:rsidR="00653A66">
        <w:t xml:space="preserve">, eksploatuojamas </w:t>
      </w:r>
      <w:r w:rsidR="00653A66" w:rsidRPr="00506F3D">
        <w:t>2,2 MW saulės</w:t>
      </w:r>
      <w:r w:rsidR="00653A66">
        <w:t xml:space="preserve"> elektrinių</w:t>
      </w:r>
      <w:r w:rsidR="00653A66" w:rsidRPr="00506F3D">
        <w:t xml:space="preserve"> park</w:t>
      </w:r>
      <w:r w:rsidR="00653A66">
        <w:t>as ir tolesniu laikotarpiu projektuojama</w:t>
      </w:r>
      <w:r w:rsidR="00653A66" w:rsidRPr="00653A66">
        <w:t xml:space="preserve"> 500 KW </w:t>
      </w:r>
      <w:r w:rsidR="00653A66">
        <w:t xml:space="preserve">AEI </w:t>
      </w:r>
      <w:r w:rsidR="00653A66" w:rsidRPr="00653A66">
        <w:t>plėtra</w:t>
      </w:r>
      <w:r w:rsidR="00F2269C">
        <w:t xml:space="preserve"> kas</w:t>
      </w:r>
      <w:r w:rsidR="009129CC">
        <w:t xml:space="preserve"> </w:t>
      </w:r>
      <w:r w:rsidR="00F2269C">
        <w:t>met</w:t>
      </w:r>
      <w:r w:rsidR="009129CC">
        <w:t>us</w:t>
      </w:r>
      <w:r w:rsidR="00653A66" w:rsidRPr="00653A66">
        <w:t>.</w:t>
      </w:r>
    </w:p>
    <w:p w14:paraId="09530550" w14:textId="6811509B" w:rsidR="00643CB4" w:rsidRDefault="6F858E8C" w:rsidP="00643CB4">
      <w:pPr>
        <w:spacing w:line="276" w:lineRule="auto"/>
        <w:ind w:firstLine="562"/>
      </w:pPr>
      <w:r w:rsidRPr="00790CCC">
        <w:rPr>
          <w:b/>
          <w:bCs/>
        </w:rPr>
        <w:t>AIEB</w:t>
      </w:r>
      <w:r w:rsidR="00511957" w:rsidRPr="00790CCC">
        <w:rPr>
          <w:b/>
          <w:bCs/>
        </w:rPr>
        <w:t xml:space="preserve"> ir PEB</w:t>
      </w:r>
      <w:r w:rsidR="0AA1DC48" w:rsidRPr="00790CCC">
        <w:rPr>
          <w:b/>
          <w:bCs/>
        </w:rPr>
        <w:t xml:space="preserve"> finansavimo mechanizmas yra ankstyvojoje stadijoje, kadangi šiuo metu </w:t>
      </w:r>
      <w:r w:rsidR="00790CCC" w:rsidRPr="00790CCC">
        <w:t>(2024 m. birželio 11 d. duomenimis)</w:t>
      </w:r>
      <w:r w:rsidR="00790CCC" w:rsidRPr="00790CCC">
        <w:rPr>
          <w:b/>
          <w:bCs/>
        </w:rPr>
        <w:t xml:space="preserve"> </w:t>
      </w:r>
      <w:r w:rsidR="0AA1DC48" w:rsidRPr="00790CCC">
        <w:rPr>
          <w:b/>
          <w:bCs/>
        </w:rPr>
        <w:t>Lietuvoje veikia</w:t>
      </w:r>
      <w:r w:rsidR="00651308" w:rsidRPr="00790CCC">
        <w:rPr>
          <w:b/>
          <w:bCs/>
        </w:rPr>
        <w:t xml:space="preserve"> tik 3</w:t>
      </w:r>
      <w:r w:rsidR="0AA1DC48" w:rsidRPr="00790CCC">
        <w:rPr>
          <w:b/>
          <w:bCs/>
        </w:rPr>
        <w:t xml:space="preserve"> </w:t>
      </w:r>
      <w:r w:rsidRPr="00790CCC">
        <w:rPr>
          <w:b/>
          <w:bCs/>
        </w:rPr>
        <w:t>AIEB</w:t>
      </w:r>
      <w:r w:rsidR="00B2273A" w:rsidRPr="00790CCC">
        <w:rPr>
          <w:rStyle w:val="Puslapioinaosnuoroda"/>
          <w:b/>
          <w:bCs/>
        </w:rPr>
        <w:footnoteReference w:id="42"/>
      </w:r>
      <w:r w:rsidR="00651308" w:rsidRPr="00790CCC">
        <w:rPr>
          <w:b/>
          <w:bCs/>
        </w:rPr>
        <w:t xml:space="preserve"> bei 1</w:t>
      </w:r>
      <w:r w:rsidR="00D77BDC" w:rsidRPr="00790CCC">
        <w:rPr>
          <w:b/>
          <w:bCs/>
        </w:rPr>
        <w:t>2</w:t>
      </w:r>
      <w:r w:rsidR="00651308" w:rsidRPr="00790CCC">
        <w:rPr>
          <w:b/>
          <w:bCs/>
        </w:rPr>
        <w:t xml:space="preserve"> PEB</w:t>
      </w:r>
      <w:r w:rsidR="00A148ED" w:rsidRPr="00790CCC">
        <w:rPr>
          <w:rStyle w:val="Puslapioinaosnuoroda"/>
          <w:b/>
          <w:bCs/>
        </w:rPr>
        <w:footnoteReference w:id="43"/>
      </w:r>
      <w:r w:rsidR="0AA1DC48" w:rsidRPr="00790CCC">
        <w:t xml:space="preserve">, </w:t>
      </w:r>
      <w:r w:rsidR="0AA1DC48" w:rsidRPr="00790CCC">
        <w:rPr>
          <w:b/>
          <w:bCs/>
        </w:rPr>
        <w:t xml:space="preserve">o pats </w:t>
      </w:r>
      <w:r w:rsidRPr="00790CCC">
        <w:rPr>
          <w:b/>
          <w:bCs/>
        </w:rPr>
        <w:t>AIEB</w:t>
      </w:r>
      <w:r w:rsidR="0AA1DC48" w:rsidRPr="00790CCC">
        <w:rPr>
          <w:b/>
          <w:bCs/>
        </w:rPr>
        <w:t xml:space="preserve"> veikimo modelis yra naujas. </w:t>
      </w:r>
      <w:r>
        <w:t>AIEB</w:t>
      </w:r>
      <w:r w:rsidR="0AA1DC48">
        <w:t xml:space="preserve"> </w:t>
      </w:r>
      <w:r w:rsidR="00E14A2F" w:rsidRPr="00E14A2F">
        <w:t xml:space="preserve">bei PEB </w:t>
      </w:r>
      <w:r w:rsidR="0AA1DC48">
        <w:t xml:space="preserve">modelio naujumas ir, atitinkamai, ne iki galo aiškus veikimo modelis (kaip antai, kaip pasidalina elektrinės nuosavybė tarp bendrijos narių, kas yra atsakingas už skolos įsipareigojimų perėmimą, jeigu vienas iš elektrinės dalininkų pasitraukia / nebemoka elektrinės išlaikymo kaštų) kelia rizikas privatiems finansuotojams. Finansų įstaigų nuomone, net jeigu </w:t>
      </w:r>
      <w:r>
        <w:t>AIEB</w:t>
      </w:r>
      <w:r w:rsidR="0AA1DC48">
        <w:t xml:space="preserve"> </w:t>
      </w:r>
      <w:r w:rsidR="00E14A2F" w:rsidRPr="00E14A2F">
        <w:t xml:space="preserve">bei PEB </w:t>
      </w:r>
      <w:r w:rsidR="0AA1DC48">
        <w:t xml:space="preserve">modelis būtų aiškesnis, tikėtina, kad jos pradėtų finansuoti bendrijas tik tada, kai panašiai kaip ir daugiabučių </w:t>
      </w:r>
      <w:r w:rsidR="2AB256DF">
        <w:t xml:space="preserve">namų </w:t>
      </w:r>
      <w:r w:rsidR="0AA1DC48">
        <w:t xml:space="preserve">modernizavimo projektų finansavimo atveju būtų susiformavusi ilgesnė tokio tipo projektų finansavimo praktika. Finansavimo praktikos susiformavimas leistų finansų įstaigoms geriau suprasti visas </w:t>
      </w:r>
      <w:r>
        <w:t>AIEB</w:t>
      </w:r>
      <w:r w:rsidR="0AA1DC48">
        <w:t xml:space="preserve"> </w:t>
      </w:r>
      <w:r w:rsidR="00E14A2F" w:rsidRPr="00E14A2F">
        <w:t xml:space="preserve">bei PEB </w:t>
      </w:r>
      <w:r w:rsidR="0AA1DC48">
        <w:t>modelio veikimo rizikas, kurios dažnai būna neaiškios, kai novatoriški projektai dar tik yra pradedami įgyvendinti.</w:t>
      </w:r>
    </w:p>
    <w:p w14:paraId="50FF78EC" w14:textId="77777777" w:rsidR="00643CB4" w:rsidRPr="003C0378" w:rsidRDefault="00643CB4" w:rsidP="00643CB4">
      <w:pPr>
        <w:pStyle w:val="Antrat2"/>
      </w:pPr>
      <w:bookmarkStart w:id="174" w:name="_Toc166139841"/>
      <w:bookmarkStart w:id="175" w:name="_Toc170804603"/>
      <w:r>
        <w:t>Verslas</w:t>
      </w:r>
      <w:bookmarkEnd w:id="174"/>
      <w:bookmarkEnd w:id="175"/>
    </w:p>
    <w:p w14:paraId="73CECBAD" w14:textId="059C8C8C" w:rsidR="00643CB4" w:rsidRDefault="0AA1DC48" w:rsidP="38882E92">
      <w:pPr>
        <w:spacing w:line="276" w:lineRule="auto"/>
        <w:ind w:firstLine="562"/>
      </w:pPr>
      <w:r w:rsidRPr="38882E92">
        <w:rPr>
          <w:b/>
          <w:bCs/>
        </w:rPr>
        <w:t>Siekiant geriau nustatyti finansavimo nepakankamumo priežastis verslo tikslinėje grupėje vertintojai finansų įstaigo</w:t>
      </w:r>
      <w:r w:rsidR="0B8B5967" w:rsidRPr="38882E92">
        <w:rPr>
          <w:b/>
          <w:bCs/>
        </w:rPr>
        <w:t>m</w:t>
      </w:r>
      <w:r w:rsidRPr="38882E92">
        <w:rPr>
          <w:b/>
          <w:bCs/>
        </w:rPr>
        <w:t>s išsiuntė anketines apklausas bei suorganizavo kelių ratų interviu su kredito įstaigomis.</w:t>
      </w:r>
      <w:r w:rsidRPr="38882E92">
        <w:t xml:space="preserve"> Remiantis atliktomis anketinėmis apklausomis ir interviu, kredito įstaigos </w:t>
      </w:r>
      <w:r w:rsidRPr="38882E92">
        <w:rPr>
          <w:i/>
          <w:iCs/>
        </w:rPr>
        <w:t>a priori</w:t>
      </w:r>
      <w:r w:rsidRPr="38882E92">
        <w:t xml:space="preserve"> neturi apribojimų ar rezervacijų dėl įmonių ar sektorių, kuriems neteiktų finansavimo AEI investicijoms, kai potencialus pareiškėjas elektrinės pajėgumus perka savo poreikiams (t.</w:t>
      </w:r>
      <w:r w:rsidR="3E0BBA54" w:rsidRPr="38882E92">
        <w:t xml:space="preserve"> </w:t>
      </w:r>
      <w:r w:rsidRPr="38882E92">
        <w:t>y. siekia tapti gaminančiu vartotoju). Kredito įstaigos kritiškiau žiūri tik į vystytojus, t. y. juos traktuoja labiau rizikingais subjektais, dažniausiai dėl vystytojams keliamų kintančių reguliacinių aspektų ir valstybės ilgalaikių įsipareigojimų neapibrėžtumo. Tačiau tiek gaminančių vartotojų modelio, tiek vystytojo modelio atvejais p</w:t>
      </w:r>
      <w:r w:rsidRPr="003C0378">
        <w:t xml:space="preserve">agrindinis finansų įstaigų kriterijus suteikiant išorinį finansavimą AEI projektams – tinkama skolininko finansinė būklė ir „adekvatus“ pinigų srautas, kuris turi leisti padengti paskolinius įsipareigojimus. </w:t>
      </w:r>
      <w:r>
        <w:t xml:space="preserve">Užstatas yra antraeilė, tačiau pasiekus tam tikrą fiskalinę ribą – būtina, </w:t>
      </w:r>
      <w:r w:rsidRPr="003C0378">
        <w:t xml:space="preserve">garantinė priemonė finansų įstaigoms. </w:t>
      </w:r>
      <w:r>
        <w:t>K</w:t>
      </w:r>
      <w:r w:rsidRPr="003C0378">
        <w:t>ai kurios didžiosios finansų įstaigos jau turi standartizuotus finansinius produktus AEI projektų finansavimui</w:t>
      </w:r>
      <w:r w:rsidR="00643CB4" w:rsidRPr="003C0378">
        <w:rPr>
          <w:rStyle w:val="Puslapioinaosnuoroda"/>
        </w:rPr>
        <w:footnoteReference w:id="44"/>
      </w:r>
      <w:r w:rsidRPr="003C0378">
        <w:t>. Šių finansinių produktų atveju yra suteikiamas mažos apimties (</w:t>
      </w:r>
      <w:r>
        <w:t xml:space="preserve">maždaug </w:t>
      </w:r>
      <w:r w:rsidRPr="00B135A3">
        <w:t>10-70 t</w:t>
      </w:r>
      <w:r>
        <w:t>ūkst. Eur</w:t>
      </w:r>
      <w:r w:rsidRPr="003C0378">
        <w:t>) paskolos, kurių</w:t>
      </w:r>
      <w:r w:rsidR="00B82974">
        <w:t xml:space="preserve"> metinės</w:t>
      </w:r>
      <w:r w:rsidRPr="003C0378">
        <w:t xml:space="preserve"> palūkanų normos</w:t>
      </w:r>
      <w:r>
        <w:t xml:space="preserve"> yra apie 6–</w:t>
      </w:r>
      <w:r w:rsidRPr="00E24002">
        <w:t>8</w:t>
      </w:r>
      <w:r>
        <w:t xml:space="preserve"> proc., </w:t>
      </w:r>
      <w:r w:rsidRPr="003C0378">
        <w:t>o paskolos terminas</w:t>
      </w:r>
      <w:r>
        <w:t xml:space="preserve"> dažniausiai</w:t>
      </w:r>
      <w:r w:rsidRPr="003C0378">
        <w:t xml:space="preserve"> siekia </w:t>
      </w:r>
      <w:r w:rsidRPr="00E24002">
        <w:t>5–10</w:t>
      </w:r>
      <w:r w:rsidRPr="003C0378">
        <w:t xml:space="preserve"> metų</w:t>
      </w:r>
      <w:r w:rsidR="005A33B6">
        <w:t xml:space="preserve">. </w:t>
      </w:r>
      <w:r>
        <w:t xml:space="preserve">Dalies šių standartizuotų produktų atveju, jeigu pasiskolinama suma neviršija </w:t>
      </w:r>
      <w:r w:rsidRPr="00B135A3">
        <w:t>15–20 t</w:t>
      </w:r>
      <w:r>
        <w:t>ūkst. Eur, užstato reikalavimai nėra keliami. Tačiau verta pabrėžti, kad 15–20 tūkst. E</w:t>
      </w:r>
      <w:r w:rsidR="77296338">
        <w:t>ur</w:t>
      </w:r>
      <w:r>
        <w:t xml:space="preserve"> paskolos be užstato limitas yra kumuliatyvinis ir apima visus kitus/ankstesnius be užstato</w:t>
      </w:r>
      <w:r w:rsidRPr="005624BF">
        <w:t xml:space="preserve"> </w:t>
      </w:r>
      <w:r>
        <w:t>prisiimtus įmonių finansinius įsipareigojimus. Didesnių verčių paskoloms užstato reikalavimai yra keliami, tačiau remiantis interviu medžiaga, užstato nepakankamumo problemas įmonėse, kurios neturi balanse tinkamo užstato, tačiau turi gerus pinigų srautus, efektyviai</w:t>
      </w:r>
      <w:r w:rsidRPr="003C0378">
        <w:t xml:space="preserve"> sprendžia šiuo metu egzistuojančios garantinės INVEGA priemonės</w:t>
      </w:r>
      <w:r w:rsidR="00643CB4" w:rsidRPr="003C0378">
        <w:rPr>
          <w:rStyle w:val="Puslapioinaosnuoroda"/>
        </w:rPr>
        <w:footnoteReference w:id="45"/>
      </w:r>
      <w:r>
        <w:t>.</w:t>
      </w:r>
      <w:r w:rsidRPr="003C0378">
        <w:t xml:space="preserve"> </w:t>
      </w:r>
      <w:r>
        <w:t xml:space="preserve">Žemiau pateikiama egzistuojančių standartizuotų ir panašaus tipo </w:t>
      </w:r>
      <w:r w:rsidR="46B25ED8">
        <w:t xml:space="preserve">AEI projektų finansavimo </w:t>
      </w:r>
      <w:r>
        <w:t>produktų apžvalginė lentelė. Lentelė apima kredito įstaigų siūlomų produktų AEI investicijoms apžvalga.</w:t>
      </w:r>
    </w:p>
    <w:p w14:paraId="5F6892CC" w14:textId="3A9F14D9" w:rsidR="00643CB4" w:rsidRDefault="00643CB4" w:rsidP="00643CB4">
      <w:pPr>
        <w:spacing w:line="276" w:lineRule="auto"/>
        <w:ind w:firstLine="0"/>
      </w:pPr>
      <w:bookmarkStart w:id="176" w:name="_Toc166139877"/>
      <w:bookmarkStart w:id="177" w:name="_Toc170804643"/>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27</w:t>
      </w:r>
      <w:r w:rsidRPr="003C0378">
        <w:rPr>
          <w:rFonts w:cs="Times New Roman"/>
          <w:i/>
          <w:iCs/>
        </w:rPr>
        <w:fldChar w:fldCharType="end"/>
      </w:r>
      <w:r w:rsidRPr="003C0378">
        <w:rPr>
          <w:rFonts w:cs="Times New Roman"/>
          <w:i/>
          <w:iCs/>
        </w:rPr>
        <w:t xml:space="preserve">. </w:t>
      </w:r>
      <w:r>
        <w:rPr>
          <w:rFonts w:cs="Times New Roman"/>
          <w:i/>
          <w:iCs/>
        </w:rPr>
        <w:t>Egzistuojančių standartizuotų produktų pasiūla verslo subjektams</w:t>
      </w:r>
      <w:bookmarkEnd w:id="176"/>
      <w:bookmarkEnd w:id="177"/>
    </w:p>
    <w:tbl>
      <w:tblPr>
        <w:tblStyle w:val="Lentelstinklelis"/>
        <w:tblW w:w="0" w:type="auto"/>
        <w:tblLook w:val="04A0" w:firstRow="1" w:lastRow="0" w:firstColumn="1" w:lastColumn="0" w:noHBand="0" w:noVBand="1"/>
      </w:tblPr>
      <w:tblGrid>
        <w:gridCol w:w="1900"/>
        <w:gridCol w:w="1900"/>
        <w:gridCol w:w="1901"/>
        <w:gridCol w:w="1901"/>
        <w:gridCol w:w="1901"/>
      </w:tblGrid>
      <w:tr w:rsidR="00643CB4" w:rsidRPr="00D0006B" w14:paraId="4059612B" w14:textId="77777777" w:rsidTr="00E24002">
        <w:trPr>
          <w:trHeight w:val="20"/>
        </w:trPr>
        <w:tc>
          <w:tcPr>
            <w:tcW w:w="1900" w:type="dxa"/>
            <w:vAlign w:val="center"/>
          </w:tcPr>
          <w:p w14:paraId="49D48C20" w14:textId="77777777" w:rsidR="00643CB4" w:rsidRPr="00D0006B" w:rsidRDefault="00643CB4" w:rsidP="00CC1409">
            <w:pPr>
              <w:spacing w:line="276" w:lineRule="auto"/>
              <w:ind w:firstLine="0"/>
              <w:jc w:val="center"/>
              <w:rPr>
                <w:b/>
                <w:bCs/>
                <w:sz w:val="22"/>
                <w:szCs w:val="22"/>
                <w:lang w:val="lt-LT"/>
              </w:rPr>
            </w:pPr>
            <w:r w:rsidRPr="00D0006B">
              <w:rPr>
                <w:b/>
                <w:bCs/>
                <w:sz w:val="22"/>
                <w:szCs w:val="22"/>
                <w:lang w:val="lt-LT"/>
              </w:rPr>
              <w:t>Finansavimo sąlyga</w:t>
            </w:r>
          </w:p>
        </w:tc>
        <w:tc>
          <w:tcPr>
            <w:tcW w:w="1900" w:type="dxa"/>
            <w:vAlign w:val="center"/>
          </w:tcPr>
          <w:p w14:paraId="7A1096AA" w14:textId="77777777" w:rsidR="00643CB4" w:rsidRPr="00D0006B" w:rsidRDefault="00643CB4" w:rsidP="00CC1409">
            <w:pPr>
              <w:spacing w:line="276" w:lineRule="auto"/>
              <w:ind w:firstLine="0"/>
              <w:jc w:val="center"/>
              <w:rPr>
                <w:b/>
                <w:bCs/>
                <w:sz w:val="22"/>
                <w:szCs w:val="22"/>
                <w:lang w:val="lt-LT"/>
              </w:rPr>
            </w:pPr>
            <w:r w:rsidRPr="00D0006B">
              <w:rPr>
                <w:b/>
                <w:bCs/>
                <w:sz w:val="22"/>
                <w:szCs w:val="22"/>
                <w:lang w:val="lt-LT"/>
              </w:rPr>
              <w:t>Respondentas 1</w:t>
            </w:r>
          </w:p>
        </w:tc>
        <w:tc>
          <w:tcPr>
            <w:tcW w:w="1901" w:type="dxa"/>
            <w:vAlign w:val="center"/>
          </w:tcPr>
          <w:p w14:paraId="6970FF4D" w14:textId="77777777" w:rsidR="00643CB4" w:rsidRPr="00D0006B" w:rsidRDefault="00643CB4" w:rsidP="00CC1409">
            <w:pPr>
              <w:spacing w:line="276" w:lineRule="auto"/>
              <w:ind w:firstLine="0"/>
              <w:jc w:val="center"/>
              <w:rPr>
                <w:b/>
                <w:bCs/>
                <w:sz w:val="22"/>
                <w:szCs w:val="22"/>
                <w:lang w:val="lt-LT"/>
              </w:rPr>
            </w:pPr>
            <w:r w:rsidRPr="00D0006B">
              <w:rPr>
                <w:b/>
                <w:bCs/>
                <w:sz w:val="22"/>
                <w:szCs w:val="22"/>
                <w:lang w:val="lt-LT"/>
              </w:rPr>
              <w:t>Respondentas 2</w:t>
            </w:r>
          </w:p>
        </w:tc>
        <w:tc>
          <w:tcPr>
            <w:tcW w:w="1901" w:type="dxa"/>
            <w:vAlign w:val="center"/>
          </w:tcPr>
          <w:p w14:paraId="2EFF1D71" w14:textId="77777777" w:rsidR="00643CB4" w:rsidRPr="00D0006B" w:rsidRDefault="00643CB4" w:rsidP="00CC1409">
            <w:pPr>
              <w:spacing w:line="276" w:lineRule="auto"/>
              <w:ind w:firstLine="0"/>
              <w:jc w:val="center"/>
              <w:rPr>
                <w:b/>
                <w:bCs/>
                <w:sz w:val="22"/>
                <w:szCs w:val="22"/>
                <w:lang w:val="lt-LT"/>
              </w:rPr>
            </w:pPr>
            <w:r w:rsidRPr="00D0006B">
              <w:rPr>
                <w:b/>
                <w:bCs/>
                <w:sz w:val="22"/>
                <w:szCs w:val="22"/>
                <w:lang w:val="lt-LT"/>
              </w:rPr>
              <w:t>Respondentas 3</w:t>
            </w:r>
          </w:p>
        </w:tc>
        <w:tc>
          <w:tcPr>
            <w:tcW w:w="1901" w:type="dxa"/>
            <w:vAlign w:val="center"/>
          </w:tcPr>
          <w:p w14:paraId="0C19442E" w14:textId="77777777" w:rsidR="00643CB4" w:rsidRPr="00D0006B" w:rsidRDefault="00643CB4" w:rsidP="00CC1409">
            <w:pPr>
              <w:spacing w:line="276" w:lineRule="auto"/>
              <w:ind w:firstLine="0"/>
              <w:jc w:val="center"/>
              <w:rPr>
                <w:b/>
                <w:bCs/>
                <w:sz w:val="22"/>
                <w:szCs w:val="22"/>
                <w:lang w:val="lt-LT"/>
              </w:rPr>
            </w:pPr>
            <w:r w:rsidRPr="00D0006B">
              <w:rPr>
                <w:b/>
                <w:bCs/>
                <w:sz w:val="22"/>
                <w:szCs w:val="22"/>
                <w:lang w:val="lt-LT"/>
              </w:rPr>
              <w:t>Respondentas 4</w:t>
            </w:r>
          </w:p>
        </w:tc>
      </w:tr>
      <w:tr w:rsidR="00643CB4" w:rsidRPr="00D0006B" w14:paraId="7614BB42" w14:textId="77777777" w:rsidTr="00E24002">
        <w:trPr>
          <w:trHeight w:val="20"/>
        </w:trPr>
        <w:tc>
          <w:tcPr>
            <w:tcW w:w="1900" w:type="dxa"/>
            <w:vAlign w:val="center"/>
          </w:tcPr>
          <w:p w14:paraId="3FF17AE6" w14:textId="77777777" w:rsidR="00643CB4" w:rsidRPr="00D0006B" w:rsidRDefault="00643CB4" w:rsidP="00CC1409">
            <w:pPr>
              <w:spacing w:line="276" w:lineRule="auto"/>
              <w:ind w:firstLine="0"/>
              <w:jc w:val="left"/>
              <w:rPr>
                <w:sz w:val="22"/>
                <w:szCs w:val="22"/>
                <w:lang w:val="lt-LT"/>
              </w:rPr>
            </w:pPr>
            <w:r w:rsidRPr="00D0006B">
              <w:rPr>
                <w:sz w:val="22"/>
                <w:szCs w:val="22"/>
                <w:lang w:val="lt-LT"/>
              </w:rPr>
              <w:t>Finansavimo suma</w:t>
            </w:r>
          </w:p>
        </w:tc>
        <w:tc>
          <w:tcPr>
            <w:tcW w:w="1900" w:type="dxa"/>
            <w:vAlign w:val="center"/>
          </w:tcPr>
          <w:p w14:paraId="2E049FF3"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Iki 20 tūkst. Eur</w:t>
            </w:r>
          </w:p>
        </w:tc>
        <w:tc>
          <w:tcPr>
            <w:tcW w:w="1901" w:type="dxa"/>
            <w:vAlign w:val="center"/>
          </w:tcPr>
          <w:p w14:paraId="0278F151"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Riba nenurodyta</w:t>
            </w:r>
          </w:p>
        </w:tc>
        <w:tc>
          <w:tcPr>
            <w:tcW w:w="1901" w:type="dxa"/>
            <w:vAlign w:val="center"/>
          </w:tcPr>
          <w:p w14:paraId="74CE6134"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10–70 tūkst. Eur</w:t>
            </w:r>
          </w:p>
        </w:tc>
        <w:tc>
          <w:tcPr>
            <w:tcW w:w="1901" w:type="dxa"/>
            <w:vAlign w:val="center"/>
          </w:tcPr>
          <w:p w14:paraId="2C73EB40"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Riba nenurodyta</w:t>
            </w:r>
          </w:p>
        </w:tc>
      </w:tr>
      <w:tr w:rsidR="00643CB4" w:rsidRPr="00D0006B" w14:paraId="64585F8D" w14:textId="77777777" w:rsidTr="00E24002">
        <w:trPr>
          <w:trHeight w:val="20"/>
        </w:trPr>
        <w:tc>
          <w:tcPr>
            <w:tcW w:w="1900" w:type="dxa"/>
            <w:vAlign w:val="center"/>
          </w:tcPr>
          <w:p w14:paraId="1460B7FC" w14:textId="77777777" w:rsidR="00643CB4" w:rsidRPr="00D0006B" w:rsidRDefault="00643CB4" w:rsidP="00CC1409">
            <w:pPr>
              <w:spacing w:line="276" w:lineRule="auto"/>
              <w:ind w:firstLine="0"/>
              <w:jc w:val="left"/>
              <w:rPr>
                <w:sz w:val="22"/>
                <w:szCs w:val="22"/>
                <w:lang w:val="lt-LT"/>
              </w:rPr>
            </w:pPr>
            <w:r w:rsidRPr="00D0006B">
              <w:rPr>
                <w:sz w:val="22"/>
                <w:szCs w:val="22"/>
                <w:lang w:val="lt-LT"/>
              </w:rPr>
              <w:lastRenderedPageBreak/>
              <w:t>Terminas</w:t>
            </w:r>
          </w:p>
        </w:tc>
        <w:tc>
          <w:tcPr>
            <w:tcW w:w="1900" w:type="dxa"/>
            <w:vAlign w:val="center"/>
          </w:tcPr>
          <w:p w14:paraId="5D7EEC54"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Iki 7 metų</w:t>
            </w:r>
          </w:p>
        </w:tc>
        <w:tc>
          <w:tcPr>
            <w:tcW w:w="1901" w:type="dxa"/>
            <w:vAlign w:val="center"/>
          </w:tcPr>
          <w:p w14:paraId="693D2BAE" w14:textId="61C899B2" w:rsidR="00643CB4" w:rsidRPr="00D0006B" w:rsidRDefault="00643CB4" w:rsidP="00CC1409">
            <w:pPr>
              <w:spacing w:line="276" w:lineRule="auto"/>
              <w:ind w:firstLine="0"/>
              <w:jc w:val="center"/>
              <w:rPr>
                <w:sz w:val="22"/>
                <w:szCs w:val="22"/>
                <w:lang w:val="lt-LT"/>
              </w:rPr>
            </w:pPr>
            <w:r w:rsidRPr="00D0006B">
              <w:rPr>
                <w:sz w:val="22"/>
                <w:szCs w:val="22"/>
                <w:lang w:val="lt-LT"/>
              </w:rPr>
              <w:t>iki 5 metų (</w:t>
            </w:r>
            <w:r w:rsidR="00B82974">
              <w:rPr>
                <w:sz w:val="22"/>
                <w:szCs w:val="22"/>
                <w:lang w:val="lt-LT"/>
              </w:rPr>
              <w:t>kai kuriais</w:t>
            </w:r>
            <w:r w:rsidRPr="00D0006B">
              <w:rPr>
                <w:sz w:val="22"/>
                <w:szCs w:val="22"/>
                <w:lang w:val="lt-LT"/>
              </w:rPr>
              <w:t xml:space="preserve"> atvejais iki 10-15 metų)</w:t>
            </w:r>
          </w:p>
        </w:tc>
        <w:tc>
          <w:tcPr>
            <w:tcW w:w="1901" w:type="dxa"/>
            <w:vAlign w:val="center"/>
          </w:tcPr>
          <w:p w14:paraId="6AC191E4" w14:textId="67BD1C66" w:rsidR="00643CB4" w:rsidRPr="00D0006B" w:rsidRDefault="00643CB4" w:rsidP="00CC1409">
            <w:pPr>
              <w:spacing w:line="276" w:lineRule="auto"/>
              <w:ind w:firstLine="0"/>
              <w:jc w:val="center"/>
              <w:rPr>
                <w:sz w:val="22"/>
                <w:szCs w:val="22"/>
                <w:lang w:val="lt-LT"/>
              </w:rPr>
            </w:pPr>
            <w:r w:rsidRPr="00D0006B">
              <w:rPr>
                <w:sz w:val="22"/>
                <w:szCs w:val="22"/>
                <w:lang w:val="lt-LT"/>
              </w:rPr>
              <w:t>iki 10 metų (</w:t>
            </w:r>
            <w:r w:rsidR="00B82974">
              <w:rPr>
                <w:sz w:val="22"/>
                <w:szCs w:val="22"/>
                <w:lang w:val="lt-LT"/>
              </w:rPr>
              <w:t>kai kuriais</w:t>
            </w:r>
            <w:r w:rsidRPr="00D0006B">
              <w:rPr>
                <w:sz w:val="22"/>
                <w:szCs w:val="22"/>
                <w:lang w:val="lt-LT"/>
              </w:rPr>
              <w:t xml:space="preserve"> atvejais iki 15 metų)</w:t>
            </w:r>
          </w:p>
        </w:tc>
        <w:tc>
          <w:tcPr>
            <w:tcW w:w="1901" w:type="dxa"/>
            <w:vAlign w:val="center"/>
          </w:tcPr>
          <w:p w14:paraId="1F06D64F"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iki 5 metų</w:t>
            </w:r>
          </w:p>
        </w:tc>
      </w:tr>
      <w:tr w:rsidR="00643CB4" w:rsidRPr="00D0006B" w14:paraId="0FC1D4FC" w14:textId="77777777" w:rsidTr="00E24002">
        <w:trPr>
          <w:trHeight w:val="20"/>
        </w:trPr>
        <w:tc>
          <w:tcPr>
            <w:tcW w:w="1900" w:type="dxa"/>
            <w:vAlign w:val="center"/>
          </w:tcPr>
          <w:p w14:paraId="2D568FAC" w14:textId="77777777" w:rsidR="00643CB4" w:rsidRPr="00D0006B" w:rsidRDefault="00643CB4" w:rsidP="00CC1409">
            <w:pPr>
              <w:spacing w:line="276" w:lineRule="auto"/>
              <w:ind w:firstLine="0"/>
              <w:jc w:val="left"/>
              <w:rPr>
                <w:sz w:val="22"/>
                <w:szCs w:val="22"/>
                <w:lang w:val="lt-LT"/>
              </w:rPr>
            </w:pPr>
            <w:r w:rsidRPr="00D0006B">
              <w:rPr>
                <w:sz w:val="22"/>
                <w:szCs w:val="22"/>
                <w:lang w:val="lt-LT"/>
              </w:rPr>
              <w:t>Paskolos kaina</w:t>
            </w:r>
          </w:p>
        </w:tc>
        <w:tc>
          <w:tcPr>
            <w:tcW w:w="1900" w:type="dxa"/>
            <w:vAlign w:val="center"/>
          </w:tcPr>
          <w:p w14:paraId="6CD27F17"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 xml:space="preserve">2,9 marža + 3 mėn. </w:t>
            </w:r>
            <w:proofErr w:type="spellStart"/>
            <w:r w:rsidRPr="00D0006B">
              <w:rPr>
                <w:sz w:val="22"/>
                <w:szCs w:val="22"/>
                <w:lang w:val="lt-LT"/>
              </w:rPr>
              <w:t>Euribor</w:t>
            </w:r>
            <w:proofErr w:type="spellEnd"/>
          </w:p>
        </w:tc>
        <w:tc>
          <w:tcPr>
            <w:tcW w:w="1901" w:type="dxa"/>
            <w:vAlign w:val="center"/>
          </w:tcPr>
          <w:p w14:paraId="62628BBE"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 xml:space="preserve">3,5 proc. +3 mėn. </w:t>
            </w:r>
            <w:proofErr w:type="spellStart"/>
            <w:r w:rsidRPr="00D0006B">
              <w:rPr>
                <w:sz w:val="22"/>
                <w:szCs w:val="22"/>
                <w:lang w:val="lt-LT"/>
              </w:rPr>
              <w:t>Euribor</w:t>
            </w:r>
            <w:proofErr w:type="spellEnd"/>
          </w:p>
        </w:tc>
        <w:tc>
          <w:tcPr>
            <w:tcW w:w="1901" w:type="dxa"/>
            <w:vAlign w:val="center"/>
          </w:tcPr>
          <w:p w14:paraId="7997D18F"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 xml:space="preserve">3,9 marža + 3 mėn. </w:t>
            </w:r>
            <w:proofErr w:type="spellStart"/>
            <w:r w:rsidRPr="00D0006B">
              <w:rPr>
                <w:sz w:val="22"/>
                <w:szCs w:val="22"/>
                <w:lang w:val="lt-LT"/>
              </w:rPr>
              <w:t>Euribor</w:t>
            </w:r>
            <w:proofErr w:type="spellEnd"/>
          </w:p>
        </w:tc>
        <w:tc>
          <w:tcPr>
            <w:tcW w:w="1901" w:type="dxa"/>
            <w:vAlign w:val="center"/>
          </w:tcPr>
          <w:p w14:paraId="504F5D79"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 xml:space="preserve">4 proc. + 3 mėn. </w:t>
            </w:r>
            <w:proofErr w:type="spellStart"/>
            <w:r w:rsidRPr="00D0006B">
              <w:rPr>
                <w:sz w:val="22"/>
                <w:szCs w:val="22"/>
                <w:lang w:val="lt-LT"/>
              </w:rPr>
              <w:t>Euribor</w:t>
            </w:r>
            <w:proofErr w:type="spellEnd"/>
          </w:p>
        </w:tc>
      </w:tr>
      <w:tr w:rsidR="00643CB4" w:rsidRPr="00D0006B" w14:paraId="4D232188" w14:textId="77777777" w:rsidTr="00E24002">
        <w:trPr>
          <w:trHeight w:val="20"/>
        </w:trPr>
        <w:tc>
          <w:tcPr>
            <w:tcW w:w="1900" w:type="dxa"/>
            <w:vAlign w:val="center"/>
          </w:tcPr>
          <w:p w14:paraId="1A147BD9" w14:textId="77777777" w:rsidR="00643CB4" w:rsidRPr="00D0006B" w:rsidRDefault="00643CB4" w:rsidP="00CC1409">
            <w:pPr>
              <w:spacing w:line="276" w:lineRule="auto"/>
              <w:ind w:firstLine="0"/>
              <w:jc w:val="left"/>
              <w:rPr>
                <w:sz w:val="22"/>
                <w:szCs w:val="22"/>
                <w:lang w:val="lt-LT"/>
              </w:rPr>
            </w:pPr>
            <w:r w:rsidRPr="00D0006B">
              <w:rPr>
                <w:sz w:val="22"/>
                <w:szCs w:val="22"/>
                <w:lang w:val="lt-LT"/>
              </w:rPr>
              <w:t>Užstato reikalavimas</w:t>
            </w:r>
          </w:p>
        </w:tc>
        <w:tc>
          <w:tcPr>
            <w:tcW w:w="1900" w:type="dxa"/>
            <w:vAlign w:val="center"/>
          </w:tcPr>
          <w:p w14:paraId="1EE0056E"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Iki 20 tūkst. Eur užstato nereikia</w:t>
            </w:r>
          </w:p>
        </w:tc>
        <w:tc>
          <w:tcPr>
            <w:tcW w:w="1901" w:type="dxa"/>
            <w:vAlign w:val="center"/>
          </w:tcPr>
          <w:p w14:paraId="133D1F63"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Reikalauja visada</w:t>
            </w:r>
          </w:p>
        </w:tc>
        <w:tc>
          <w:tcPr>
            <w:tcW w:w="1901" w:type="dxa"/>
            <w:vAlign w:val="center"/>
          </w:tcPr>
          <w:p w14:paraId="2AE9C4F3"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iki 15 tūkst. Eur užstato nereikia</w:t>
            </w:r>
          </w:p>
        </w:tc>
        <w:tc>
          <w:tcPr>
            <w:tcW w:w="1901" w:type="dxa"/>
            <w:vAlign w:val="center"/>
          </w:tcPr>
          <w:p w14:paraId="653569A7" w14:textId="77777777" w:rsidR="00643CB4" w:rsidRPr="00D0006B" w:rsidRDefault="00643CB4" w:rsidP="00CC1409">
            <w:pPr>
              <w:spacing w:line="276" w:lineRule="auto"/>
              <w:ind w:firstLine="0"/>
              <w:jc w:val="center"/>
              <w:rPr>
                <w:sz w:val="22"/>
                <w:szCs w:val="22"/>
                <w:lang w:val="lt-LT"/>
              </w:rPr>
            </w:pPr>
            <w:r w:rsidRPr="00D0006B">
              <w:rPr>
                <w:sz w:val="22"/>
                <w:szCs w:val="22"/>
                <w:lang w:val="lt-LT"/>
              </w:rPr>
              <w:t>Reikalaujama visada</w:t>
            </w:r>
          </w:p>
        </w:tc>
      </w:tr>
    </w:tbl>
    <w:p w14:paraId="02418D0E" w14:textId="5CF773FB" w:rsidR="00643CB4" w:rsidRPr="003C0378" w:rsidRDefault="00643CB4" w:rsidP="00643CB4">
      <w:pPr>
        <w:spacing w:after="0"/>
        <w:ind w:firstLine="0"/>
        <w:jc w:val="left"/>
        <w:rPr>
          <w:rFonts w:cs="Times New Roman"/>
          <w:sz w:val="20"/>
          <w:szCs w:val="20"/>
        </w:rPr>
      </w:pPr>
      <w:r w:rsidRPr="003C0378">
        <w:rPr>
          <w:rFonts w:cs="Times New Roman"/>
          <w:sz w:val="20"/>
          <w:szCs w:val="20"/>
        </w:rPr>
        <w:t>Šaltinis: sudaryta Vertintojų.</w:t>
      </w:r>
    </w:p>
    <w:p w14:paraId="27CD12FA" w14:textId="1C2958D9" w:rsidR="00643CB4" w:rsidRPr="002E65A5" w:rsidRDefault="0AA1DC48" w:rsidP="00643CB4">
      <w:pPr>
        <w:spacing w:line="276" w:lineRule="auto"/>
        <w:ind w:firstLine="562"/>
      </w:pPr>
      <w:r w:rsidRPr="38882E92">
        <w:rPr>
          <w:b/>
          <w:bCs/>
        </w:rPr>
        <w:t>Siūlomi standartizuoti AEI finansavimo produktai įvardintomis (2023 m. kovo–balandžio mėn.) sąlygomis nėra itin patrauklūs verslo subjektams, t. y. nėra fiksuojama reikšminga faktinė šių produktų paklausa sudarant finansavimo sutartis</w:t>
      </w:r>
      <w:r>
        <w:t>. 2023 m. kovo–balandžio mėn. nukritus elektros kainoms rinkoje iki 0,10–0,14 Eur/kWh ženkliai suprastėjo projektų atsiperkamumas – esant tokioms kainoms AEI investicijos atsiperka tik per 18–10 metų (žr. jautrumo analizės skyrelį). Siūlomomis kredito įstaigų sąlygomis projektai atsipirktų per paskolos laikotarpį tik tuomet jeigu elektros kainos būtų 2022 m. lapkričio</w:t>
      </w:r>
      <w:r w:rsidR="7668301D">
        <w:t>–</w:t>
      </w:r>
      <w:r>
        <w:t>gruodžio lygyje ir siektų 0,24–0,28 Eur/kWh. Kredito įstaigų atstovai pripažįsta, kad finansavimo apimtys pagal standartizuotus produktus yra labai mažos – finansavimo kreipėsi ribotas skaičius įmonių. Be neadekvataus</w:t>
      </w:r>
      <w:r w:rsidR="00B82974">
        <w:t xml:space="preserve"> </w:t>
      </w:r>
      <w:r>
        <w:t>projekto atsipirkimo laikotarpio, kredito įstaigos įvardino ir kitas nepakankamo projektų srauto priežastis: mažų verčių AEI projektus įmonės yra linkusios įgyvendinti savo lėšomis, AEI komponentė neretai yra integruota į stambesnio pobūdžio įmonės infrastruktūrinius projektus, stipresnės įmonės AEI plėtrai panaudoja jau egzistuojančias finansavimo sutartis su KĮ.</w:t>
      </w:r>
    </w:p>
    <w:p w14:paraId="015DBFD7" w14:textId="2B22AD06" w:rsidR="00643CB4" w:rsidRPr="002E65A5" w:rsidRDefault="00643CB4" w:rsidP="00643CB4">
      <w:pPr>
        <w:spacing w:line="276" w:lineRule="auto"/>
        <w:ind w:firstLine="562"/>
      </w:pPr>
      <w:r w:rsidRPr="002E65A5">
        <w:t>Taip pat svarbu pastebėti, kad tokias standartizuotas paskolas teikia tik kelios Lietuvoje veikiančios kredito įstaigos. Dėl administracinės naštos AEI projektų, kurių vertė neviršija 75 000–100 000 Eur, finansavimas yra nepatrauklus. Jeigu projekto vertė viršija 75 000 Eur, finansavimo sąlygos yra nustat</w:t>
      </w:r>
      <w:r>
        <w:t>om</w:t>
      </w:r>
      <w:r w:rsidRPr="002E65A5">
        <w:t>os individualiai, tačiau pagrindinis kriterijus paskolų gavimui yra tinkama skolininko finansinė būklė ir „adekvatus“ pinigų srautas, kuris turi leisti vykdyti paskolinius įsipareigojimus. Vis dėlto remiantis kredito įstaigų nuomone, net jeigu projekto vertė ir viršija 75 000 Eur, tokios apimties projektus vidutinės ir didelės įmonės yra linkusios finansuoti nuosavomis lėšomis. Įmonės į bankus kreipiasi tik dėl ženkliai didesnių investicijų, tačiau tada jau yra labai siauras įmonių, kurios gali įgyvendinti tokios apimties projektus</w:t>
      </w:r>
      <w:r>
        <w:t xml:space="preserve">, </w:t>
      </w:r>
      <w:r w:rsidRPr="002E65A5">
        <w:t>ratas.</w:t>
      </w:r>
    </w:p>
    <w:p w14:paraId="04955C5F" w14:textId="0FDBA83C" w:rsidR="00643CB4" w:rsidRDefault="00643CB4" w:rsidP="00643CB4">
      <w:pPr>
        <w:spacing w:line="276" w:lineRule="auto"/>
        <w:ind w:firstLine="562"/>
      </w:pPr>
      <w:r w:rsidRPr="002E65A5">
        <w:t xml:space="preserve">Kitos finansų įstaigos, kaip: kredito unijos, alternatyvūs finansuotojai, taip pat gali pasiūlyti finansavimą, tačiau jų siūlomo finansavimo kaina neretai viršija ir 10 proc. metinių palūkanų 5–7 metų laikotarpiui. Kaip jau buvo nurodyta jautrumo analizės skyrelyje, esant tokiai metinei palūkanų normai ir dabartinėmis elektros kainoms (0,10–0,14 Eur/kWh), projektų atsiperkamumo laikotarpis ženkliai viršija paskolų laikotarpį. </w:t>
      </w:r>
      <w:r w:rsidRPr="002E65A5">
        <w:rPr>
          <w:b/>
          <w:bCs/>
        </w:rPr>
        <w:t>Tad alternatyvių finansuotojų siūlomos finansavimo sąlygos taip pat nėra patrauklios verslo subjektams.</w:t>
      </w:r>
      <w:r w:rsidRPr="002E65A5">
        <w:t xml:space="preserve"> </w:t>
      </w:r>
    </w:p>
    <w:p w14:paraId="76DA683D" w14:textId="5EAD2357" w:rsidR="00643CB4" w:rsidRDefault="00842C28" w:rsidP="00643CB4">
      <w:pPr>
        <w:spacing w:line="276" w:lineRule="auto"/>
        <w:ind w:firstLine="562"/>
      </w:pPr>
      <w:r>
        <w:t>Apibendrinant galima teigti, kad tiek standartizuoti, tiek nestandartizuoti finansiniai produktai rinkoje nėra patrauklūs verslo subjektams. Finansų įstaigos labai išimtinais atvejais</w:t>
      </w:r>
      <w:r w:rsidR="00223A07">
        <w:t xml:space="preserve"> teikia paskolas</w:t>
      </w:r>
      <w:r>
        <w:t xml:space="preserve"> ilgesniam laikotarpiui. Nors finansų įstaigos teigė, kad egzistuojančios garantijų priemonės padeda spręsti užstato reikalavimus, </w:t>
      </w:r>
      <w:r w:rsidR="00223A07">
        <w:t>anksčiau atlikti tyrimai</w:t>
      </w:r>
      <w:r w:rsidR="00223A07">
        <w:rPr>
          <w:rStyle w:val="Puslapioinaosnuoroda"/>
        </w:rPr>
        <w:footnoteReference w:id="46"/>
      </w:r>
      <w:r w:rsidR="00223A07">
        <w:t xml:space="preserve"> rodo, kad didžioji dalis smulkaus ir vidutinio verslo įmonių negauna finansavimo dėl per griežtų užstato reikalavimų. Taip pat pastebėtina, kad didėjančios palūkanų normos</w:t>
      </w:r>
      <w:r w:rsidR="00123E81">
        <w:t xml:space="preserve"> ir egzistuojanti ribota finansų įstaigų konkurencija Lietuvoje</w:t>
      </w:r>
      <w:r w:rsidR="00223A07">
        <w:t xml:space="preserve"> didina skolinimosi kainas ir mažina projektų įgyvendinimo patrauklumą. Atsižv</w:t>
      </w:r>
      <w:r w:rsidR="00123E81">
        <w:t xml:space="preserve">elgiant į šių veiksnių visumą galima teigti, </w:t>
      </w:r>
      <w:r w:rsidR="00643CB4" w:rsidRPr="00D068DE">
        <w:rPr>
          <w:b/>
          <w:bCs/>
        </w:rPr>
        <w:t xml:space="preserve">kad pagrindinė rinkos </w:t>
      </w:r>
      <w:r w:rsidR="00643CB4" w:rsidRPr="00D068DE">
        <w:rPr>
          <w:rFonts w:cs="Times New Roman"/>
          <w:b/>
          <w:bCs/>
        </w:rPr>
        <w:lastRenderedPageBreak/>
        <w:t>nepakankamumo priežastis verslo tikslinėje grupėje –</w:t>
      </w:r>
      <w:r w:rsidR="00643CB4">
        <w:rPr>
          <w:rFonts w:cs="Times New Roman"/>
          <w:b/>
          <w:bCs/>
        </w:rPr>
        <w:t xml:space="preserve"> </w:t>
      </w:r>
      <w:r w:rsidR="00643CB4" w:rsidRPr="00D068DE">
        <w:rPr>
          <w:rFonts w:cs="Times New Roman"/>
          <w:b/>
          <w:bCs/>
        </w:rPr>
        <w:t>patrauklaus finansinio produkto / investavimo schemos</w:t>
      </w:r>
      <w:r w:rsidR="00643CB4">
        <w:rPr>
          <w:rFonts w:cs="Times New Roman"/>
          <w:b/>
          <w:bCs/>
        </w:rPr>
        <w:t xml:space="preserve"> trūkumas</w:t>
      </w:r>
      <w:r w:rsidR="00643CB4">
        <w:rPr>
          <w:rFonts w:cs="Times New Roman"/>
          <w:b/>
        </w:rPr>
        <w:t>.</w:t>
      </w:r>
    </w:p>
    <w:p w14:paraId="33DDE013" w14:textId="77777777" w:rsidR="00643CB4" w:rsidRPr="00133BE9" w:rsidRDefault="00643CB4" w:rsidP="00643CB4">
      <w:pPr>
        <w:pStyle w:val="Antrat1"/>
        <w:numPr>
          <w:ilvl w:val="1"/>
          <w:numId w:val="3"/>
        </w:numPr>
        <w:rPr>
          <w:rFonts w:cs="Times New Roman"/>
        </w:rPr>
      </w:pPr>
      <w:bookmarkStart w:id="178" w:name="_Toc166139842"/>
      <w:bookmarkStart w:id="179" w:name="_Toc170804604"/>
      <w:r>
        <w:rPr>
          <w:rFonts w:cs="Times New Roman"/>
        </w:rPr>
        <w:t>Galimos FP rinkos nepakankamumui spręsti</w:t>
      </w:r>
      <w:bookmarkEnd w:id="178"/>
      <w:bookmarkEnd w:id="179"/>
    </w:p>
    <w:p w14:paraId="61EA12BD" w14:textId="77777777" w:rsidR="00643CB4" w:rsidRDefault="00643CB4" w:rsidP="00643CB4">
      <w:pPr>
        <w:spacing w:line="276" w:lineRule="auto"/>
        <w:ind w:firstLine="562"/>
      </w:pPr>
      <w:r w:rsidRPr="003C0378">
        <w:t xml:space="preserve">Atsižvelgiant į aukščiau identifikuotas priežastis, kurios </w:t>
      </w:r>
      <w:r>
        <w:t>lemia</w:t>
      </w:r>
      <w:r w:rsidRPr="003C0378">
        <w:t xml:space="preserve"> rinkos nepakankamumą</w:t>
      </w:r>
      <w:r>
        <w:t xml:space="preserve"> bei</w:t>
      </w:r>
      <w:r w:rsidRPr="003C0378">
        <w:t xml:space="preserve"> siekiant įvertinti tinkamiausią finansinį produktą ir optimal</w:t>
      </w:r>
      <w:r>
        <w:t>ų</w:t>
      </w:r>
      <w:r w:rsidRPr="003C0378">
        <w:t xml:space="preserve"> investavimo</w:t>
      </w:r>
      <w:r>
        <w:t xml:space="preserve"> dizainą ir </w:t>
      </w:r>
      <w:r w:rsidRPr="003C0378">
        <w:t>strategiją, kuri atlieptų kiekvienos tikslinės grupės poreikius, vertintojai pirmiausiai atliko finansinių priemonių apžvalgą</w:t>
      </w:r>
      <w:r>
        <w:t>,</w:t>
      </w:r>
      <w:r w:rsidRPr="003C0378">
        <w:t xml:space="preserve"> </w:t>
      </w:r>
      <w:r>
        <w:t>įvertinančią</w:t>
      </w:r>
      <w:r w:rsidRPr="003C0378">
        <w:t>, koks finansinis produktas yra tinkamiausias AEI plėtros užtikrinimui. Vertintojai nevertino rizikos kapitalo priemonių galimybės, nes šių priemonių įgyvendinimas nėra perspektyvus / tinkamas AEI gamybinių pajėgumų investicijų finansavimui</w:t>
      </w:r>
      <w:r>
        <w:rPr>
          <w:rStyle w:val="Puslapioinaosnuoroda"/>
        </w:rPr>
        <w:footnoteReference w:id="47"/>
      </w:r>
      <w:r w:rsidRPr="003C0378">
        <w:t>.</w:t>
      </w:r>
    </w:p>
    <w:p w14:paraId="6BDDD4B1" w14:textId="77777777" w:rsidR="00643CB4" w:rsidRPr="003C0378" w:rsidRDefault="00643CB4" w:rsidP="00643CB4">
      <w:pPr>
        <w:pStyle w:val="Antrat2"/>
      </w:pPr>
      <w:bookmarkStart w:id="180" w:name="_Toc166139843"/>
      <w:bookmarkStart w:id="181" w:name="_Toc170804605"/>
      <w:r>
        <w:t>Garantijos</w:t>
      </w:r>
      <w:bookmarkEnd w:id="180"/>
      <w:bookmarkEnd w:id="181"/>
    </w:p>
    <w:p w14:paraId="38358A0E" w14:textId="77777777" w:rsidR="00643CB4" w:rsidRPr="003C0378" w:rsidRDefault="00643CB4" w:rsidP="00643CB4">
      <w:pPr>
        <w:spacing w:line="276" w:lineRule="auto"/>
        <w:ind w:firstLine="562"/>
      </w:pPr>
      <w:r w:rsidRPr="00F0383D">
        <w:rPr>
          <w:bCs/>
        </w:rPr>
        <w:t>Garantijos</w:t>
      </w:r>
      <w:r w:rsidRPr="003C0378">
        <w:rPr>
          <w:b/>
        </w:rPr>
        <w:t xml:space="preserve"> </w:t>
      </w:r>
      <w:r w:rsidRPr="003C0378">
        <w:t>kaip FP yra naudojamas</w:t>
      </w:r>
      <w:r>
        <w:t xml:space="preserve"> </w:t>
      </w:r>
      <w:r w:rsidRPr="003C0378">
        <w:t>tuomet, kai projektai yra finansiškai gyvybingi, tačiau turimas skolininko užstatas nėra pakankamas / tinkamas siekiant sumažinti riziką iki kreditoriui priimtino rizikos lygio.</w:t>
      </w:r>
      <w:r>
        <w:t xml:space="preserve"> Garantijos yra tiek užtikrinimo priemonių, kaip užstato, pakaitalas ar papildas, tiek kredito rizikos mažinimo priemonė.</w:t>
      </w:r>
      <w:r w:rsidRPr="003C0378">
        <w:t xml:space="preserve"> Garantijos gali būti individualios arba portfelinės. Individualia garantija paprastai yra dengiama nuo 30 iki 80 proc. pirmos paskolos dalies grąžinim</w:t>
      </w:r>
      <w:r>
        <w:t>o</w:t>
      </w:r>
      <w:r w:rsidRPr="003C0378">
        <w:t xml:space="preserve"> finansų įstaigai, kai likusi paskolos dalis yra dengiama paskolos gavėjo pasiūlytais užstatais. </w:t>
      </w:r>
      <w:r>
        <w:t xml:space="preserve">Lietuvoje INVEGA individualias garantijas teikia įvairaus profilio įmonėms: smulkioms, vidutinėms ir didelėms. </w:t>
      </w:r>
    </w:p>
    <w:p w14:paraId="78FE0962" w14:textId="1557470A" w:rsidR="00643CB4" w:rsidRDefault="00643CB4" w:rsidP="00643CB4">
      <w:pPr>
        <w:spacing w:line="276" w:lineRule="auto"/>
        <w:ind w:firstLine="562"/>
      </w:pPr>
      <w:r w:rsidRPr="003C0378">
        <w:t>Be individualių valstybės garantijų, INVEGA administruoja ir portfelinių garantijų priemones, taip pat skirtas nepatrauklaus ar nepakankamo užstato problemai spręsti ir teikiamas už smulkiojo ir vidutinio verslo subjektų imamus kredito</w:t>
      </w:r>
      <w:r>
        <w:t>, lizingo ir faktoringo</w:t>
      </w:r>
      <w:r w:rsidRPr="003C0378">
        <w:t xml:space="preserve"> sandorius. Portfelinę garantiją įmonei pagal INVEG</w:t>
      </w:r>
      <w:r>
        <w:t>OS</w:t>
      </w:r>
      <w:r w:rsidRPr="003C0378">
        <w:t xml:space="preserve"> nustatytus reikalavimus vadovaudamasi savo vidinėmis tvarkomis ir procedūromis suteikia </w:t>
      </w:r>
      <w:r w:rsidR="00873308">
        <w:t>finansų įstaigos</w:t>
      </w:r>
      <w:r w:rsidRPr="003C0378">
        <w:t xml:space="preserve">. </w:t>
      </w:r>
    </w:p>
    <w:p w14:paraId="119DA0DD" w14:textId="1EC03928" w:rsidR="000755E0" w:rsidRDefault="00D41441" w:rsidP="00B40F41">
      <w:pPr>
        <w:spacing w:line="276" w:lineRule="auto"/>
        <w:ind w:firstLine="562"/>
        <w:rPr>
          <w:b/>
        </w:rPr>
      </w:pPr>
      <w:r w:rsidRPr="00C01646">
        <w:rPr>
          <w:bCs/>
        </w:rPr>
        <w:t xml:space="preserve">Remiantis interviu su kredito įstaigomis medžiaga, šiuo metu veikiančios INVEGA garantinės priemonės iš esmės yra pakankamos ir padeda spręsti nepakankamo užstato problemas verslo tikslinėje grupėje. </w:t>
      </w:r>
      <w:r w:rsidRPr="00EC2921">
        <w:rPr>
          <w:b/>
        </w:rPr>
        <w:t xml:space="preserve">Vis dėlto, egzistuojančios garantinės priemonės nėra pakankamos spręsti identifikuoto </w:t>
      </w:r>
      <w:r w:rsidR="009E5FEC">
        <w:rPr>
          <w:b/>
        </w:rPr>
        <w:t xml:space="preserve">AEI </w:t>
      </w:r>
      <w:r w:rsidRPr="00EC2921">
        <w:rPr>
          <w:b/>
        </w:rPr>
        <w:t xml:space="preserve">finansavimo trūkumo iki </w:t>
      </w:r>
      <w:r w:rsidRPr="00B135A3">
        <w:rPr>
          <w:b/>
        </w:rPr>
        <w:t>2030 m</w:t>
      </w:r>
      <w:r w:rsidRPr="008276B3">
        <w:rPr>
          <w:b/>
        </w:rPr>
        <w:t>.</w:t>
      </w:r>
      <w:r w:rsidR="003B2DA6">
        <w:rPr>
          <w:bCs/>
        </w:rPr>
        <w:t xml:space="preserve">, </w:t>
      </w:r>
      <w:r w:rsidR="003B2DA6" w:rsidRPr="002128E0">
        <w:rPr>
          <w:b/>
        </w:rPr>
        <w:t xml:space="preserve">kadangi </w:t>
      </w:r>
      <w:r>
        <w:rPr>
          <w:b/>
        </w:rPr>
        <w:t>egzistuojančios garantijos</w:t>
      </w:r>
      <w:r w:rsidR="003B2DA6">
        <w:rPr>
          <w:b/>
        </w:rPr>
        <w:t xml:space="preserve"> iš esmės</w:t>
      </w:r>
      <w:r>
        <w:rPr>
          <w:b/>
        </w:rPr>
        <w:t xml:space="preserve"> nesprendžia nepatrauklių finansavimo sąlygų verslo</w:t>
      </w:r>
      <w:r w:rsidR="003B2DA6">
        <w:rPr>
          <w:b/>
        </w:rPr>
        <w:t xml:space="preserve"> </w:t>
      </w:r>
      <w:r w:rsidR="00B40F41">
        <w:rPr>
          <w:b/>
        </w:rPr>
        <w:t>tikslinei grupei</w:t>
      </w:r>
      <w:r>
        <w:rPr>
          <w:b/>
        </w:rPr>
        <w:t xml:space="preserve"> problematikos. </w:t>
      </w:r>
    </w:p>
    <w:p w14:paraId="7AA91F35" w14:textId="15246ECD" w:rsidR="00B40F41" w:rsidRPr="00B40F41" w:rsidRDefault="000755E0">
      <w:pPr>
        <w:spacing w:line="276" w:lineRule="auto"/>
        <w:ind w:firstLine="562"/>
        <w:rPr>
          <w:bCs/>
        </w:rPr>
      </w:pPr>
      <w:r>
        <w:rPr>
          <w:bCs/>
        </w:rPr>
        <w:t>Kaip jau anksčiau buvo minėta, garantijų FP pagrindinis tikslas yra spręsti paskolos gavėjo užstato trūkumo ar nepakankamumo problemą (ir taip mažinti riziką kreditoriui iki priimtino lygio). Tuo tarpu pagrindinė problema</w:t>
      </w:r>
      <w:r w:rsidR="007E562C">
        <w:rPr>
          <w:bCs/>
        </w:rPr>
        <w:t>,</w:t>
      </w:r>
      <w:r>
        <w:rPr>
          <w:bCs/>
        </w:rPr>
        <w:t xml:space="preserve"> su kuria susiduria verslas, siekiantis gauti finansavimą AEI projektams, yra nepatrauklios finansavimo sąlygos </w:t>
      </w:r>
      <w:r w:rsidR="005A33B6">
        <w:rPr>
          <w:bCs/>
        </w:rPr>
        <w:t xml:space="preserve">– esamomis rinkos sąlygomis AEI projektai neatsiperka per </w:t>
      </w:r>
      <w:r>
        <w:rPr>
          <w:bCs/>
        </w:rPr>
        <w:t>vidutinį finansavimo laikotarpį (</w:t>
      </w:r>
      <w:r w:rsidRPr="00B135A3">
        <w:rPr>
          <w:bCs/>
        </w:rPr>
        <w:t>5–10 met</w:t>
      </w:r>
      <w:r>
        <w:rPr>
          <w:bCs/>
        </w:rPr>
        <w:t>ų). Tad papildomos garantijų priemonės kūrimas</w:t>
      </w:r>
      <w:r w:rsidR="0000166A">
        <w:rPr>
          <w:bCs/>
        </w:rPr>
        <w:t xml:space="preserve"> nėra tikslingas, kadangi</w:t>
      </w:r>
      <w:r>
        <w:rPr>
          <w:bCs/>
        </w:rPr>
        <w:t xml:space="preserve"> iš e</w:t>
      </w:r>
      <w:r w:rsidR="0000166A">
        <w:rPr>
          <w:bCs/>
        </w:rPr>
        <w:t xml:space="preserve">smės nespręstų nepatrauklaus finansavimo modelio problematikos – garantijos nepadėtų verslo subjektams užtikrinti spartesnio projektų atsiperkamumo, neužtikrintų ilgesnio paskolų laikotarpių ar kitų, patrauklesnių AEI investicijų sąlygų. </w:t>
      </w:r>
    </w:p>
    <w:p w14:paraId="523D40CB" w14:textId="0ACFE8E3" w:rsidR="00643CB4" w:rsidRPr="00831384" w:rsidRDefault="00CD749F" w:rsidP="00643CB4">
      <w:pPr>
        <w:spacing w:line="276" w:lineRule="auto"/>
        <w:ind w:firstLine="562"/>
        <w:rPr>
          <w:b/>
        </w:rPr>
      </w:pPr>
      <w:r w:rsidRPr="008C16DE">
        <w:t>VJA</w:t>
      </w:r>
      <w:r w:rsidR="00643CB4" w:rsidRPr="00831384">
        <w:t xml:space="preserve"> tikslinėje grupėje ir </w:t>
      </w:r>
      <w:r w:rsidR="00F6739B" w:rsidRPr="00831384">
        <w:t>AIEB</w:t>
      </w:r>
      <w:r w:rsidR="00E14A2F">
        <w:t>,</w:t>
      </w:r>
      <w:r w:rsidR="00E14A2F" w:rsidRPr="00E14A2F">
        <w:t xml:space="preserve"> PEB </w:t>
      </w:r>
      <w:r w:rsidR="00643CB4" w:rsidRPr="00831384">
        <w:t>tikslinėje grupėje garantijų priemonės</w:t>
      </w:r>
      <w:r w:rsidR="0000166A" w:rsidRPr="00831384">
        <w:t xml:space="preserve"> taip pat</w:t>
      </w:r>
      <w:r w:rsidR="00643CB4" w:rsidRPr="00831384">
        <w:t xml:space="preserve"> iš esmės nesprendžia nepakankamo finansavimo problemų. </w:t>
      </w:r>
      <w:r w:rsidR="00F6739B" w:rsidRPr="00831384">
        <w:t>AIEB</w:t>
      </w:r>
      <w:r w:rsidR="00643CB4" w:rsidRPr="00831384">
        <w:t xml:space="preserve"> </w:t>
      </w:r>
      <w:r w:rsidR="00E14A2F" w:rsidRPr="00E14A2F">
        <w:t xml:space="preserve">bei PEB </w:t>
      </w:r>
      <w:r w:rsidR="00643CB4" w:rsidRPr="00831384">
        <w:t xml:space="preserve">klausimu, net ir esant garantijų priemonėms, tikėtina, kad finansų įstaigos nefinansuos šių subjektų tol, kol, panašiai kaip daugiabučių modernizavimo atveju, nebus aiškus įgyvendinimo modelis ir susiformavusi finansavimo praktika. </w:t>
      </w:r>
      <w:r w:rsidRPr="008C16DE">
        <w:t>VJA</w:t>
      </w:r>
      <w:r w:rsidR="00643CB4" w:rsidRPr="00831384">
        <w:t xml:space="preserve"> atveju, garantijų priemonių egzistavimas taip pat nesprendžia nepakankamai patrauklių finansavimo sąlygų</w:t>
      </w:r>
      <w:r w:rsidR="00AD6DF1" w:rsidRPr="00831384">
        <w:t xml:space="preserve"> </w:t>
      </w:r>
      <w:r>
        <w:t>VJA</w:t>
      </w:r>
      <w:r w:rsidR="00643CB4" w:rsidRPr="00831384">
        <w:t xml:space="preserve"> problematikos</w:t>
      </w:r>
      <w:r w:rsidR="0000166A" w:rsidRPr="00831384">
        <w:t xml:space="preserve">, tokios </w:t>
      </w:r>
      <w:r w:rsidR="0000166A" w:rsidRPr="00831384">
        <w:lastRenderedPageBreak/>
        <w:t>kaip aukštos palūkanų normos, trumpas paskolos laikotarpis ir pan.</w:t>
      </w:r>
      <w:r w:rsidR="00643CB4" w:rsidRPr="00831384">
        <w:t xml:space="preserve"> </w:t>
      </w:r>
      <w:r w:rsidR="00643CB4" w:rsidRPr="00831384">
        <w:rPr>
          <w:b/>
        </w:rPr>
        <w:t xml:space="preserve">Atsižvelgiant į pristatytus argumentus, </w:t>
      </w:r>
      <w:r w:rsidR="009E5FEC" w:rsidRPr="00831384">
        <w:rPr>
          <w:b/>
        </w:rPr>
        <w:t xml:space="preserve">garantijų priemonės </w:t>
      </w:r>
      <w:r w:rsidR="00643CB4" w:rsidRPr="00831384">
        <w:rPr>
          <w:b/>
        </w:rPr>
        <w:t xml:space="preserve">nėra tikslinga </w:t>
      </w:r>
      <w:r w:rsidR="00643CB4" w:rsidRPr="008C16DE">
        <w:rPr>
          <w:b/>
        </w:rPr>
        <w:t xml:space="preserve">kurti </w:t>
      </w:r>
      <w:r w:rsidRPr="00181921">
        <w:rPr>
          <w:b/>
        </w:rPr>
        <w:t>VJA</w:t>
      </w:r>
      <w:r w:rsidR="00643CB4" w:rsidRPr="00181921">
        <w:rPr>
          <w:b/>
        </w:rPr>
        <w:t xml:space="preserve"> </w:t>
      </w:r>
      <w:r w:rsidR="00643CB4" w:rsidRPr="00831384">
        <w:rPr>
          <w:b/>
        </w:rPr>
        <w:t xml:space="preserve">ir </w:t>
      </w:r>
      <w:r w:rsidR="00F6739B" w:rsidRPr="00831384">
        <w:rPr>
          <w:b/>
        </w:rPr>
        <w:t>AIEB</w:t>
      </w:r>
      <w:r w:rsidR="00E14A2F">
        <w:t>,</w:t>
      </w:r>
      <w:r w:rsidR="00E14A2F" w:rsidRPr="00E14A2F">
        <w:rPr>
          <w:b/>
        </w:rPr>
        <w:t xml:space="preserve"> PEB</w:t>
      </w:r>
      <w:r w:rsidR="00643CB4" w:rsidRPr="00831384">
        <w:rPr>
          <w:b/>
        </w:rPr>
        <w:t xml:space="preserve"> tikslinė</w:t>
      </w:r>
      <w:r w:rsidR="009E5FEC" w:rsidRPr="00831384">
        <w:rPr>
          <w:b/>
        </w:rPr>
        <w:t>se grupėse.</w:t>
      </w:r>
    </w:p>
    <w:p w14:paraId="6DD995B3" w14:textId="7FE97A6C" w:rsidR="003B2DA6" w:rsidRPr="002128E0" w:rsidRDefault="0000166A">
      <w:pPr>
        <w:spacing w:line="276" w:lineRule="auto"/>
        <w:ind w:firstLine="562"/>
      </w:pPr>
      <w:r w:rsidRPr="003B4716">
        <w:rPr>
          <w:bCs/>
        </w:rPr>
        <w:t xml:space="preserve">Taip pat svarbu pastebėti, kad tiek </w:t>
      </w:r>
      <w:r w:rsidR="00CD749F">
        <w:rPr>
          <w:bCs/>
        </w:rPr>
        <w:t>VJA</w:t>
      </w:r>
      <w:r w:rsidRPr="003B4716">
        <w:rPr>
          <w:bCs/>
        </w:rPr>
        <w:t>, tiek įmonės dažnai yra pernelyg susikoncentravusios į vykdomą pagrindinę veiklą ir nemato poreikio investuoti į AEI pajėgumus.</w:t>
      </w:r>
      <w:r w:rsidR="00AD6DF1" w:rsidRPr="003B4716">
        <w:rPr>
          <w:bCs/>
        </w:rPr>
        <w:t xml:space="preserve"> Dėl šios priežasties labiau „aktyvios“ priemonės, kurios tiesiogiai gerintų</w:t>
      </w:r>
      <w:r w:rsidR="009E5FEC" w:rsidRPr="003B4716">
        <w:rPr>
          <w:bCs/>
        </w:rPr>
        <w:t xml:space="preserve"> </w:t>
      </w:r>
      <w:r w:rsidR="00AD6DF1" w:rsidRPr="003B4716">
        <w:rPr>
          <w:bCs/>
        </w:rPr>
        <w:t>AEI projektų finansavimo sąlygas</w:t>
      </w:r>
      <w:r w:rsidR="009E5FEC" w:rsidRPr="003B4716">
        <w:rPr>
          <w:bCs/>
        </w:rPr>
        <w:t xml:space="preserve"> (kaip antai,</w:t>
      </w:r>
      <w:r w:rsidR="003821FB" w:rsidRPr="003B4716">
        <w:rPr>
          <w:bCs/>
        </w:rPr>
        <w:t xml:space="preserve"> tikslinės paskolos, kurios numatytų ilgesnį paskolos laikotarpį, lankstesnį požiūrį į užstatą ir t.t.</w:t>
      </w:r>
      <w:r w:rsidR="009E5FEC" w:rsidRPr="003B4716">
        <w:rPr>
          <w:bCs/>
        </w:rPr>
        <w:t>)</w:t>
      </w:r>
      <w:r w:rsidR="00AD6DF1" w:rsidRPr="003B4716">
        <w:rPr>
          <w:bCs/>
        </w:rPr>
        <w:t xml:space="preserve"> ir iš finansavimo pasiūlos pusės padarytų AEI projektus patrauklesnius </w:t>
      </w:r>
      <w:r w:rsidR="009E5FEC" w:rsidRPr="003B4716">
        <w:rPr>
          <w:bCs/>
        </w:rPr>
        <w:t xml:space="preserve">projektų įgyvendintojams, yra rekomenduotinos. </w:t>
      </w:r>
      <w:r w:rsidR="00AD6DF1" w:rsidRPr="003B4716">
        <w:rPr>
          <w:bCs/>
        </w:rPr>
        <w:t>Ankstesnė praktika parodė, kad tik labai ribotas įmonių skaičius pasinaudoj</w:t>
      </w:r>
      <w:r w:rsidR="009E5FEC" w:rsidRPr="003B4716">
        <w:rPr>
          <w:bCs/>
        </w:rPr>
        <w:t>a</w:t>
      </w:r>
      <w:r w:rsidR="00AD6DF1" w:rsidRPr="003B4716">
        <w:rPr>
          <w:bCs/>
        </w:rPr>
        <w:t xml:space="preserve"> INVEGA teikiamomis garantijomis AEI ir energetinių efektyvumo projektams finansuoti.</w:t>
      </w:r>
      <w:r w:rsidR="009E5FEC" w:rsidRPr="003B4716">
        <w:rPr>
          <w:bCs/>
        </w:rPr>
        <w:t xml:space="preserve"> </w:t>
      </w:r>
      <w:r w:rsidR="003821FB" w:rsidRPr="003B4716">
        <w:t>Dėl šios priežasties, tikėtina, kad</w:t>
      </w:r>
      <w:r w:rsidR="009E5FEC" w:rsidRPr="003B4716">
        <w:t xml:space="preserve"> nauja garantijų priemonė nebūtų pakankama „išjudinti“ ir paskatinti spartesnį AEI projektų portfelio formavimąsi. AEI projektų portfelio formavimuisi ir „išjudinimui“ tinkamesnė priemonės yra</w:t>
      </w:r>
      <w:r w:rsidR="003821FB" w:rsidRPr="003B4716">
        <w:t xml:space="preserve"> tikslinė</w:t>
      </w:r>
      <w:r w:rsidR="009E5FEC" w:rsidRPr="003B4716">
        <w:t xml:space="preserve"> paskolų FP, kuri toliau ir yra pristatoma.</w:t>
      </w:r>
    </w:p>
    <w:p w14:paraId="12EB8D02" w14:textId="77777777" w:rsidR="00643CB4" w:rsidRPr="003C0378" w:rsidRDefault="00643CB4" w:rsidP="00643CB4">
      <w:pPr>
        <w:pStyle w:val="Antrat2"/>
      </w:pPr>
      <w:bookmarkStart w:id="182" w:name="_Toc166139844"/>
      <w:bookmarkStart w:id="183" w:name="_Toc170804606"/>
      <w:r>
        <w:t>Paskolos</w:t>
      </w:r>
      <w:bookmarkEnd w:id="182"/>
      <w:bookmarkEnd w:id="183"/>
    </w:p>
    <w:p w14:paraId="718D305C" w14:textId="3ACA922C" w:rsidR="00643CB4" w:rsidRPr="003C0378" w:rsidRDefault="0AA1DC48" w:rsidP="38882E92">
      <w:pPr>
        <w:spacing w:line="276" w:lineRule="auto"/>
        <w:ind w:firstLine="562"/>
        <w:rPr>
          <w:b/>
          <w:bCs/>
        </w:rPr>
      </w:pPr>
      <w:r w:rsidRPr="38882E92">
        <w:rPr>
          <w:b/>
          <w:bCs/>
        </w:rPr>
        <w:t>Paskola</w:t>
      </w:r>
      <w:r>
        <w:t xml:space="preserve"> yra pati populiariausia ir paprasčiausia FP, kai pagal sudarytą sutartį tarp skolininko ir kreditoriaus pastarasis įsipareigoja skolininkui suteikti sutartą finansavimą konkrečiam laikotarpiui. Paskolos sutarties laikotarpiu skolininkas įsipareigoja grąžinti pasiskolintą sumą kreditoriui, papildomai sumokant palūkanas, kurios atspindi kreditoriaus pajamas už leidimą skolininkui pasinaudoti kreditoriaus kapitalu. Palūkanų dydis priklauso nuo įvairių veiksnių: kreditoriaus „nekantrumo“ </w:t>
      </w:r>
      <w:r w:rsidR="000840BA">
        <w:t>ir (ar)</w:t>
      </w:r>
      <w:r>
        <w:t xml:space="preserve"> „laiko preferencijų“ (</w:t>
      </w:r>
      <w:r w:rsidRPr="38882E92">
        <w:rPr>
          <w:i/>
          <w:iCs/>
        </w:rPr>
        <w:t>angl</w:t>
      </w:r>
      <w:r w:rsidR="000840BA">
        <w:rPr>
          <w:i/>
          <w:iCs/>
        </w:rPr>
        <w:t>.:</w:t>
      </w:r>
      <w:r w:rsidRPr="38882E92">
        <w:rPr>
          <w:i/>
          <w:iCs/>
        </w:rPr>
        <w:t xml:space="preserve"> </w:t>
      </w:r>
      <w:proofErr w:type="spellStart"/>
      <w:r w:rsidRPr="38882E92">
        <w:rPr>
          <w:i/>
          <w:iCs/>
        </w:rPr>
        <w:t>time</w:t>
      </w:r>
      <w:proofErr w:type="spellEnd"/>
      <w:r w:rsidRPr="38882E92">
        <w:rPr>
          <w:i/>
          <w:iCs/>
        </w:rPr>
        <w:t xml:space="preserve"> </w:t>
      </w:r>
      <w:proofErr w:type="spellStart"/>
      <w:r w:rsidRPr="38882E92">
        <w:rPr>
          <w:i/>
          <w:iCs/>
        </w:rPr>
        <w:t>preference</w:t>
      </w:r>
      <w:proofErr w:type="spellEnd"/>
      <w:r>
        <w:t>) susigrąžinti lėšas, skolininko patikimumo, pinigų politikos</w:t>
      </w:r>
      <w:r w:rsidR="004F4E20">
        <w:t>, paskolos termino</w:t>
      </w:r>
      <w:r>
        <w:t xml:space="preserve"> ir </w:t>
      </w:r>
      <w:r w:rsidR="002A7327">
        <w:t>k</w:t>
      </w:r>
      <w:r w:rsidR="000840BA">
        <w:t>t</w:t>
      </w:r>
      <w:r>
        <w:t>. Kadangi už pasinaudojimą kreditoriaus lėšomis yra mokamos palūkanos, vienas iš pagrindinių kriterijų paskolos FP tinkamumo</w:t>
      </w:r>
      <w:r w:rsidR="00BE373C">
        <w:t xml:space="preserve"> </w:t>
      </w:r>
      <w:r>
        <w:t>AEI projektų finansavimui yra projekto atsiperkamumas, t. y. ar projekto generuojamos ekonominės naudos (</w:t>
      </w:r>
      <w:r w:rsidR="004F4E20">
        <w:t xml:space="preserve"> „pigesnis“ elektros šaltinis</w:t>
      </w:r>
      <w:r>
        <w:t>) yra pakankam</w:t>
      </w:r>
      <w:r w:rsidR="00BE373C">
        <w:t xml:space="preserve">os </w:t>
      </w:r>
      <w:r>
        <w:t>padengti paskolos aptarnavimo kaštus. Kaip buvo pristatyta</w:t>
      </w:r>
      <w:r w:rsidR="00BE373C">
        <w:t xml:space="preserve"> anksčiau (žr. </w:t>
      </w:r>
      <w:r w:rsidR="00BE373C">
        <w:fldChar w:fldCharType="begin"/>
      </w:r>
      <w:r w:rsidR="00BE373C">
        <w:instrText xml:space="preserve"> REF _Ref135381835 \r \h </w:instrText>
      </w:r>
      <w:r w:rsidR="00BE373C">
        <w:fldChar w:fldCharType="separate"/>
      </w:r>
      <w:r w:rsidR="00347605">
        <w:t>3</w:t>
      </w:r>
      <w:r w:rsidR="00BE373C">
        <w:fldChar w:fldCharType="end"/>
      </w:r>
      <w:r w:rsidR="00BE373C">
        <w:t xml:space="preserve"> skyrių), </w:t>
      </w:r>
      <w:r>
        <w:t>AEI projektai yra atsiperkantys. Atsižvelgiant į tai, galima teigti, kad paskolos FP yra tinkamos AEI projektų finansavimui.</w:t>
      </w:r>
      <w:r w:rsidRPr="38882E92">
        <w:rPr>
          <w:b/>
          <w:bCs/>
        </w:rPr>
        <w:t xml:space="preserve"> </w:t>
      </w:r>
      <w:r>
        <w:t>Kitas svarbus kriterijus paskol</w:t>
      </w:r>
      <w:r w:rsidR="006D2E79">
        <w:t>ų</w:t>
      </w:r>
      <w:r>
        <w:t xml:space="preserve"> FP tinkamumui – skolininko kreditingumas. Net jeigu projektas ir yra atsiperkantis, tačiau </w:t>
      </w:r>
      <w:r w:rsidR="00BE373C">
        <w:t>nustatoma</w:t>
      </w:r>
      <w:r>
        <w:t xml:space="preserve"> aukšta rizika, kad skolininkas bankrutuos, bankroto atveju tikėtina, kad kreditorius neatgaus lėšų.  </w:t>
      </w:r>
    </w:p>
    <w:p w14:paraId="1E490B9B" w14:textId="78E4222F" w:rsidR="00643CB4" w:rsidRDefault="00643CB4" w:rsidP="00643CB4">
      <w:pPr>
        <w:spacing w:line="276" w:lineRule="auto"/>
        <w:ind w:firstLine="562"/>
      </w:pPr>
      <w:r w:rsidRPr="003C0378">
        <w:t>Paskolų FP gali būti įgyvendinamos dvejopai. NPĮ gali teikti finansavimą tiesiogiai</w:t>
      </w:r>
      <w:r w:rsidR="00BE373C">
        <w:t xml:space="preserve"> – šiuo</w:t>
      </w:r>
      <w:r w:rsidRPr="003C0378">
        <w:t xml:space="preserve"> finansavimo atveju pati NPĮ atlieka projektų atranką</w:t>
      </w:r>
      <w:r w:rsidR="00FA272F">
        <w:t>,</w:t>
      </w:r>
      <w:r w:rsidRPr="003C0378">
        <w:t xml:space="preserve"> teikia finansavimą</w:t>
      </w:r>
      <w:r w:rsidR="00FA272F">
        <w:t xml:space="preserve"> ir administruoja paskolas</w:t>
      </w:r>
      <w:r w:rsidRPr="003C0378">
        <w:t xml:space="preserve">. </w:t>
      </w:r>
      <w:r w:rsidR="0AA1DC48">
        <w:t xml:space="preserve">Alternatyva tiesioginiam paskolų teikimui yra netiesioginis finansavimas, šiai veiklai pasitelkiant finansų tarpininkus, </w:t>
      </w:r>
      <w:r w:rsidR="00BE373C">
        <w:t>pvz.:</w:t>
      </w:r>
      <w:r w:rsidR="0AA1DC48">
        <w:t xml:space="preserve"> įvairias kredito įstaigas, alternatyvius finansuotojus ir pan. Jeigu paskolų FP yra įgyvendinama netiesiogiai, finansų tarpininkai atlieka tokias funkcijas</w:t>
      </w:r>
      <w:r w:rsidR="00BE373C">
        <w:t>,</w:t>
      </w:r>
      <w:r w:rsidR="0AA1DC48">
        <w:t xml:space="preserve"> kaip investicinių projektų vertinimas, projektų vykdytojų rizikos ir kreditingumo vertinimas, paskolų administravimas ir t.t. </w:t>
      </w:r>
    </w:p>
    <w:p w14:paraId="734F01B0" w14:textId="31A463B7" w:rsidR="00643CB4" w:rsidRPr="006D2E79" w:rsidRDefault="00C7585A" w:rsidP="00643CB4">
      <w:pPr>
        <w:spacing w:line="276" w:lineRule="auto"/>
        <w:ind w:firstLine="562"/>
      </w:pPr>
      <w:r w:rsidRPr="006D2E79">
        <w:t>Įgyvendinant paskolų FP netiesiogiai, f</w:t>
      </w:r>
      <w:r w:rsidR="0AA1DC48" w:rsidRPr="006D2E79">
        <w:t>inansų tarpininkas gali prisidėti nuosavomis lėšomis finansuojant projektus, o tai leidžia padidinti galutinę prieinamų lėšų sumą AEI projektams. Nors privačių lėšų pritraukimo potencialas didesnis</w:t>
      </w:r>
      <w:r w:rsidRPr="006D2E79">
        <w:t xml:space="preserve"> netiesioginių paskolų FP  atveju</w:t>
      </w:r>
      <w:r w:rsidR="0AA1DC48" w:rsidRPr="006D2E79">
        <w:t>, pritrauktino kapitalo kaina gali būti didesnė nei viešojo. Atsižvelgiant į šiuos veiksnius, yra tikimybė, kad finansavimo kaina galutinio naudos gavėjo lygmen</w:t>
      </w:r>
      <w:r w:rsidR="006D2E79">
        <w:t>iu</w:t>
      </w:r>
      <w:r w:rsidR="0AA1DC48" w:rsidRPr="006D2E79">
        <w:t xml:space="preserve"> gali būti didesnė netiesiogiai įgyvendinamų paskolų atveju nei tiesioginių, o siekiant didinti produkto patrauklumą</w:t>
      </w:r>
      <w:r w:rsidR="006D2E79">
        <w:t>,</w:t>
      </w:r>
      <w:r w:rsidR="0AA1DC48" w:rsidRPr="006D2E79">
        <w:t xml:space="preserve"> atsiras poreikis daliniam palūkanų kompensavimui. Vis dėlto</w:t>
      </w:r>
      <w:r w:rsidR="006D2E79">
        <w:t>,</w:t>
      </w:r>
      <w:r w:rsidR="0AA1DC48" w:rsidRPr="006D2E79">
        <w:t xml:space="preserve"> galutinė kaina galutinio naudos gavėjo lygmen</w:t>
      </w:r>
      <w:r w:rsidR="006D2E79">
        <w:t>iu</w:t>
      </w:r>
      <w:r w:rsidR="0AA1DC48" w:rsidRPr="006D2E79">
        <w:t xml:space="preserve"> priklauso ne tik nuo pritrauktino kapitalo kainos, tačiau ir nuo kitų svarbių aspektų, kaip valdymo mokesči</w:t>
      </w:r>
      <w:r w:rsidR="006D2E79">
        <w:t>ai</w:t>
      </w:r>
      <w:r w:rsidR="0AA1DC48" w:rsidRPr="006D2E79">
        <w:t xml:space="preserve"> ir </w:t>
      </w:r>
      <w:r w:rsidR="006D2E79">
        <w:t>kt</w:t>
      </w:r>
      <w:r w:rsidR="0AA1DC48" w:rsidRPr="006D2E79">
        <w:t xml:space="preserve">. </w:t>
      </w:r>
    </w:p>
    <w:p w14:paraId="3900A89C" w14:textId="3B0A89FB" w:rsidR="00643CB4" w:rsidRDefault="006D2E79" w:rsidP="00643CB4">
      <w:pPr>
        <w:spacing w:line="276" w:lineRule="auto"/>
        <w:ind w:firstLine="562"/>
      </w:pPr>
      <w:r>
        <w:t>V</w:t>
      </w:r>
      <w:r w:rsidR="00643CB4">
        <w:t>ienas iš tiesiogiai įgyvendinamos paskolos FP privalumų – galimai lankstesnis požiūris į potencialų galutinį naudos gavėją. Nors NPĮ ir finansų tarpininkai yra reguliuojami Finansų įstaigų įstatymo, o NPĮ savo veikloje riziką vertina labai panašiai kaip ir finansų tarpininkai (t.y. negali skolinti lėšų projektams, kurie yra neatsiperkantys, ar skolininkams, kurių rizikos yra pernelyg aukšt</w:t>
      </w:r>
      <w:r w:rsidR="00457BF4">
        <w:t>o</w:t>
      </w:r>
      <w:r w:rsidR="00643CB4">
        <w:t xml:space="preserve">s ir t.t.), Lietuvoje egzistuojanti kredito įstaigų koncentracija ir ribota konkurencija leidžia kredito įstaigoms „būti </w:t>
      </w:r>
      <w:proofErr w:type="spellStart"/>
      <w:r w:rsidR="00643CB4">
        <w:t>išrankesni</w:t>
      </w:r>
      <w:r>
        <w:t>oms</w:t>
      </w:r>
      <w:proofErr w:type="spellEnd"/>
      <w:r w:rsidR="00643CB4">
        <w:t xml:space="preserve">“ klientų atžvilgiu, o </w:t>
      </w:r>
      <w:r w:rsidR="00643CB4">
        <w:lastRenderedPageBreak/>
        <w:t>tai</w:t>
      </w:r>
      <w:r>
        <w:t xml:space="preserve">, </w:t>
      </w:r>
      <w:r w:rsidR="00643CB4">
        <w:t>atitinkamai</w:t>
      </w:r>
      <w:r>
        <w:t>,</w:t>
      </w:r>
      <w:r w:rsidR="00643CB4">
        <w:t xml:space="preserve"> reiškia mažesnę rizikos toleranciją. </w:t>
      </w:r>
      <w:r>
        <w:t>Pastaroji</w:t>
      </w:r>
      <w:r w:rsidR="00643CB4">
        <w:t xml:space="preserve"> pasireiškia didesnio užstato, didesnio prisidėjimo prie paskolos nuosavomis lėšomis ir kitais reikalavimais skolininkams. Mažesnė rizikos tolerancija ypač pastebima tais laikotarpiais, kai ekonomikoje įsivyrauja didesnis neapibrėžtumas</w:t>
      </w:r>
      <w:r w:rsidR="00643CB4">
        <w:rPr>
          <w:rStyle w:val="Puslapioinaosnuoroda"/>
        </w:rPr>
        <w:footnoteReference w:id="48"/>
      </w:r>
      <w:r w:rsidR="00643CB4">
        <w:t xml:space="preserve">. Tokiu atveju kredito įstaigos gali ženkliai pabloginti finansavimo sąlygas nesusimažinant savo pajamingumo ir taip sumažinti finansavimo prieinamumą. Kadangi konkurencija yra ribota, skolininkai turi priimti siūlomas sąlygas arba ieškoti alternatyvių finansavimo šaltinių, kurių kaina ir reikalavimai dažnu atveju yra dar aukštesni. </w:t>
      </w:r>
    </w:p>
    <w:p w14:paraId="69514342" w14:textId="64123FD9" w:rsidR="00643CB4" w:rsidRPr="00D0006B" w:rsidRDefault="0AA1DC48" w:rsidP="00643CB4">
      <w:pPr>
        <w:spacing w:line="276" w:lineRule="auto"/>
        <w:ind w:firstLine="562"/>
      </w:pPr>
      <w:r>
        <w:t xml:space="preserve">Dar vienas tiesiogiai įgyvendinamų paskolų FP privalumų – lankstesnis požiūris į kai kuriuos </w:t>
      </w:r>
      <w:r w:rsidR="002A7327">
        <w:t>paskolos</w:t>
      </w:r>
      <w:r>
        <w:t xml:space="preserve"> gavėjus. Kredito įstaigos</w:t>
      </w:r>
      <w:r w:rsidR="006D2E79">
        <w:t>,</w:t>
      </w:r>
      <w:r>
        <w:t xml:space="preserve"> teikdamos finansavimą</w:t>
      </w:r>
      <w:r w:rsidR="006D2E79">
        <w:t>,</w:t>
      </w:r>
      <w:r>
        <w:t xml:space="preserve"> griežtai vadovaujasi savo patvirtintomis vidinėmis taisyklėmis ir anksčiau suformuota skolinimo ir rizikos vertinimo praktika. Tad jeigu norima sukurti FP ar finansuotina tikslinė grupė bent dalinai neatitinka anksčiau suformuotų vidinių taisyklių ar finansavimo praktikų, finansų tarpininkai kritiškai vertins galimybę prisidėti prie tokių FP</w:t>
      </w:r>
      <w:r w:rsidR="002A7327">
        <w:t xml:space="preserve"> įgyvendinimo</w:t>
      </w:r>
      <w:r>
        <w:t xml:space="preserve"> ar finansuoti tokias tikslines grupes. Šis aspektas yra ypač svarbus svarstant išorinio finansavimo prieinamumą </w:t>
      </w:r>
      <w:r w:rsidR="4F6BB573">
        <w:t>AIEB</w:t>
      </w:r>
      <w:r w:rsidR="00E14A2F" w:rsidRPr="00E14A2F">
        <w:t xml:space="preserve"> bei PEB</w:t>
      </w:r>
      <w:r>
        <w:t xml:space="preserve">. Kaip jau </w:t>
      </w:r>
      <w:r w:rsidR="002C7FB7">
        <w:t xml:space="preserve">minėta </w:t>
      </w:r>
      <w:r>
        <w:t xml:space="preserve">anksčiau, kredito įstaigos kritiškai vertina galimybę finansuoti </w:t>
      </w:r>
      <w:r w:rsidR="4F6BB573">
        <w:t>AIEB</w:t>
      </w:r>
      <w:r w:rsidR="002F4715" w:rsidRPr="002F4715">
        <w:t xml:space="preserve"> </w:t>
      </w:r>
      <w:r w:rsidR="002F4715">
        <w:t>ar</w:t>
      </w:r>
      <w:r w:rsidR="002F4715" w:rsidRPr="002F4715">
        <w:t xml:space="preserve"> PEB</w:t>
      </w:r>
      <w:r>
        <w:t>, tol kol nėra susiformavusi šios tikslinės grupės finansavimo praktika. Tuo tarpu NPĮ, kuri turi praktikos su netipinių tikslinių grupių finansavimo formavimo praktika (pavyzdžiui, daugiabučių namų modernizavimas), gali lanksčiau atliepti tokių tikslinių grupių poreikius.</w:t>
      </w:r>
    </w:p>
    <w:p w14:paraId="6D8E2BF7" w14:textId="6F196598" w:rsidR="00643CB4" w:rsidRPr="00D0006B" w:rsidRDefault="00643CB4" w:rsidP="00643CB4">
      <w:pPr>
        <w:spacing w:after="0"/>
        <w:ind w:firstLine="0"/>
        <w:jc w:val="left"/>
        <w:rPr>
          <w:rFonts w:cs="Times New Roman"/>
        </w:rPr>
      </w:pPr>
      <w:bookmarkStart w:id="184" w:name="_Toc166139878"/>
      <w:bookmarkStart w:id="185" w:name="_Toc170804644"/>
      <w:r w:rsidRPr="00D0006B">
        <w:rPr>
          <w:rFonts w:cs="Times New Roman"/>
          <w:i/>
          <w:iCs/>
        </w:rPr>
        <w:t xml:space="preserve">Lentelė </w:t>
      </w:r>
      <w:r w:rsidRPr="00D0006B">
        <w:rPr>
          <w:rFonts w:cs="Times New Roman"/>
          <w:i/>
          <w:iCs/>
        </w:rPr>
        <w:fldChar w:fldCharType="begin"/>
      </w:r>
      <w:r w:rsidRPr="00D0006B">
        <w:rPr>
          <w:rFonts w:cs="Times New Roman"/>
          <w:i/>
          <w:iCs/>
        </w:rPr>
        <w:instrText xml:space="preserve"> SEQ Lentelė \* ARABIC </w:instrText>
      </w:r>
      <w:r w:rsidRPr="00D0006B">
        <w:rPr>
          <w:rFonts w:cs="Times New Roman"/>
          <w:i/>
          <w:iCs/>
        </w:rPr>
        <w:fldChar w:fldCharType="separate"/>
      </w:r>
      <w:r w:rsidR="00347605">
        <w:rPr>
          <w:rFonts w:cs="Times New Roman"/>
          <w:i/>
          <w:iCs/>
          <w:noProof/>
        </w:rPr>
        <w:t>28</w:t>
      </w:r>
      <w:r w:rsidRPr="00D0006B">
        <w:rPr>
          <w:rFonts w:cs="Times New Roman"/>
          <w:i/>
          <w:iCs/>
        </w:rPr>
        <w:fldChar w:fldCharType="end"/>
      </w:r>
      <w:r w:rsidRPr="00D0006B">
        <w:rPr>
          <w:rFonts w:cs="Times New Roman"/>
          <w:i/>
          <w:iCs/>
        </w:rPr>
        <w:t>. Paskolų FP vertinimas.</w:t>
      </w:r>
      <w:bookmarkEnd w:id="184"/>
      <w:bookmarkEnd w:id="185"/>
    </w:p>
    <w:tbl>
      <w:tblPr>
        <w:tblStyle w:val="Lentelstinklelis"/>
        <w:tblW w:w="9652" w:type="dxa"/>
        <w:tblLook w:val="04A0" w:firstRow="1" w:lastRow="0" w:firstColumn="1" w:lastColumn="0" w:noHBand="0" w:noVBand="1"/>
      </w:tblPr>
      <w:tblGrid>
        <w:gridCol w:w="3217"/>
        <w:gridCol w:w="3217"/>
        <w:gridCol w:w="3218"/>
      </w:tblGrid>
      <w:tr w:rsidR="00643CB4" w:rsidRPr="00D0006B" w14:paraId="44BDDA51" w14:textId="77777777" w:rsidTr="00E24002">
        <w:trPr>
          <w:trHeight w:val="20"/>
          <w:tblHeader/>
        </w:trPr>
        <w:tc>
          <w:tcPr>
            <w:tcW w:w="3217" w:type="dxa"/>
            <w:vAlign w:val="center"/>
          </w:tcPr>
          <w:p w14:paraId="02399FA4" w14:textId="77777777" w:rsidR="00643CB4" w:rsidRPr="00D0006B" w:rsidRDefault="00643CB4" w:rsidP="00CC1409">
            <w:pPr>
              <w:spacing w:after="0" w:line="276" w:lineRule="auto"/>
              <w:ind w:firstLine="0"/>
              <w:jc w:val="center"/>
              <w:rPr>
                <w:b/>
                <w:bCs/>
                <w:sz w:val="20"/>
                <w:szCs w:val="20"/>
                <w:lang w:val="lt-LT"/>
              </w:rPr>
            </w:pPr>
            <w:r w:rsidRPr="00D0006B">
              <w:rPr>
                <w:b/>
                <w:bCs/>
                <w:sz w:val="20"/>
                <w:szCs w:val="20"/>
                <w:lang w:val="lt-LT"/>
              </w:rPr>
              <w:t>Kriterijus</w:t>
            </w:r>
          </w:p>
        </w:tc>
        <w:tc>
          <w:tcPr>
            <w:tcW w:w="3217" w:type="dxa"/>
            <w:vAlign w:val="center"/>
          </w:tcPr>
          <w:p w14:paraId="77AE0242" w14:textId="77777777" w:rsidR="00643CB4" w:rsidRPr="00D0006B" w:rsidRDefault="00643CB4" w:rsidP="00CC1409">
            <w:pPr>
              <w:spacing w:after="0" w:line="276" w:lineRule="auto"/>
              <w:ind w:firstLine="0"/>
              <w:jc w:val="center"/>
              <w:rPr>
                <w:b/>
                <w:bCs/>
                <w:sz w:val="20"/>
                <w:szCs w:val="20"/>
                <w:lang w:val="lt-LT"/>
              </w:rPr>
            </w:pPr>
            <w:r w:rsidRPr="00D0006B">
              <w:rPr>
                <w:b/>
                <w:bCs/>
                <w:sz w:val="20"/>
                <w:szCs w:val="20"/>
                <w:lang w:val="lt-LT"/>
              </w:rPr>
              <w:t>Tiesioginės paskolos</w:t>
            </w:r>
          </w:p>
        </w:tc>
        <w:tc>
          <w:tcPr>
            <w:tcW w:w="3218" w:type="dxa"/>
            <w:vAlign w:val="center"/>
          </w:tcPr>
          <w:p w14:paraId="69999A35" w14:textId="77777777" w:rsidR="00643CB4" w:rsidRPr="00D0006B" w:rsidRDefault="00643CB4" w:rsidP="00CC1409">
            <w:pPr>
              <w:spacing w:after="0" w:line="276" w:lineRule="auto"/>
              <w:ind w:firstLine="0"/>
              <w:jc w:val="center"/>
              <w:rPr>
                <w:b/>
                <w:bCs/>
                <w:sz w:val="20"/>
                <w:szCs w:val="20"/>
                <w:lang w:val="lt-LT"/>
              </w:rPr>
            </w:pPr>
            <w:r w:rsidRPr="00D0006B">
              <w:rPr>
                <w:b/>
                <w:bCs/>
                <w:sz w:val="20"/>
                <w:szCs w:val="20"/>
                <w:lang w:val="lt-LT"/>
              </w:rPr>
              <w:t>Netiesioginės paskolos</w:t>
            </w:r>
          </w:p>
        </w:tc>
      </w:tr>
      <w:tr w:rsidR="00643CB4" w:rsidRPr="00D0006B" w14:paraId="6AA6DC25" w14:textId="77777777" w:rsidTr="00E24002">
        <w:trPr>
          <w:trHeight w:val="20"/>
        </w:trPr>
        <w:tc>
          <w:tcPr>
            <w:tcW w:w="3217" w:type="dxa"/>
            <w:vAlign w:val="center"/>
          </w:tcPr>
          <w:p w14:paraId="426D20F4" w14:textId="77777777" w:rsidR="00643CB4" w:rsidRPr="00D0006B" w:rsidRDefault="00643CB4" w:rsidP="00CC1409">
            <w:pPr>
              <w:spacing w:after="0" w:line="276" w:lineRule="auto"/>
              <w:ind w:firstLine="0"/>
              <w:jc w:val="left"/>
              <w:rPr>
                <w:b/>
                <w:bCs/>
                <w:sz w:val="20"/>
                <w:szCs w:val="20"/>
                <w:lang w:val="lt-LT"/>
              </w:rPr>
            </w:pPr>
            <w:r w:rsidRPr="00D0006B">
              <w:rPr>
                <w:b/>
                <w:bCs/>
                <w:sz w:val="20"/>
                <w:szCs w:val="20"/>
                <w:lang w:val="lt-LT"/>
              </w:rPr>
              <w:t>GG pasiekiamumas</w:t>
            </w:r>
          </w:p>
        </w:tc>
        <w:tc>
          <w:tcPr>
            <w:tcW w:w="6435" w:type="dxa"/>
            <w:gridSpan w:val="2"/>
            <w:vAlign w:val="center"/>
          </w:tcPr>
          <w:p w14:paraId="6F960E13" w14:textId="77777777" w:rsidR="00643CB4" w:rsidRPr="00D0006B" w:rsidRDefault="00643CB4" w:rsidP="00CC1409">
            <w:pPr>
              <w:spacing w:after="0" w:line="276" w:lineRule="auto"/>
              <w:ind w:firstLine="0"/>
              <w:jc w:val="center"/>
              <w:rPr>
                <w:sz w:val="20"/>
                <w:szCs w:val="20"/>
                <w:lang w:val="lt-LT"/>
              </w:rPr>
            </w:pPr>
            <w:r w:rsidRPr="00D0006B">
              <w:rPr>
                <w:sz w:val="20"/>
                <w:szCs w:val="20"/>
                <w:lang w:val="lt-LT"/>
              </w:rPr>
              <w:t>Priklausomai nuo tikslinės grupės</w:t>
            </w:r>
          </w:p>
        </w:tc>
      </w:tr>
      <w:tr w:rsidR="00643CB4" w:rsidRPr="00D0006B" w14:paraId="479F8F9C" w14:textId="77777777" w:rsidTr="00E24002">
        <w:trPr>
          <w:trHeight w:val="20"/>
        </w:trPr>
        <w:tc>
          <w:tcPr>
            <w:tcW w:w="3217" w:type="dxa"/>
            <w:vAlign w:val="center"/>
          </w:tcPr>
          <w:p w14:paraId="1E58715A" w14:textId="77777777" w:rsidR="00643CB4" w:rsidRPr="00D0006B" w:rsidRDefault="00643CB4" w:rsidP="00CC1409">
            <w:pPr>
              <w:spacing w:after="0" w:line="276" w:lineRule="auto"/>
              <w:ind w:firstLine="0"/>
              <w:jc w:val="left"/>
              <w:rPr>
                <w:b/>
                <w:bCs/>
                <w:sz w:val="20"/>
                <w:szCs w:val="20"/>
                <w:lang w:val="lt-LT"/>
              </w:rPr>
            </w:pPr>
            <w:r w:rsidRPr="00D0006B">
              <w:rPr>
                <w:b/>
                <w:bCs/>
                <w:sz w:val="20"/>
                <w:szCs w:val="20"/>
                <w:lang w:val="lt-LT"/>
              </w:rPr>
              <w:t>Finansavimo kaina GG lygyje</w:t>
            </w:r>
          </w:p>
        </w:tc>
        <w:tc>
          <w:tcPr>
            <w:tcW w:w="6435" w:type="dxa"/>
            <w:gridSpan w:val="2"/>
            <w:vAlign w:val="center"/>
          </w:tcPr>
          <w:p w14:paraId="4201517A" w14:textId="77777777" w:rsidR="00643CB4" w:rsidRPr="00D0006B" w:rsidRDefault="00643CB4" w:rsidP="00CC1409">
            <w:pPr>
              <w:spacing w:after="0" w:line="276" w:lineRule="auto"/>
              <w:ind w:firstLine="0"/>
              <w:jc w:val="center"/>
              <w:rPr>
                <w:sz w:val="20"/>
                <w:szCs w:val="20"/>
                <w:lang w:val="lt-LT"/>
              </w:rPr>
            </w:pPr>
            <w:r w:rsidRPr="00D0006B">
              <w:rPr>
                <w:sz w:val="20"/>
                <w:szCs w:val="20"/>
                <w:lang w:val="lt-LT"/>
              </w:rPr>
              <w:t>Priklauso nuo aplinkybių</w:t>
            </w:r>
          </w:p>
        </w:tc>
      </w:tr>
      <w:tr w:rsidR="00643CB4" w:rsidRPr="00D0006B" w14:paraId="62B7F09E" w14:textId="77777777" w:rsidTr="00E24002">
        <w:trPr>
          <w:trHeight w:val="20"/>
        </w:trPr>
        <w:tc>
          <w:tcPr>
            <w:tcW w:w="3217" w:type="dxa"/>
            <w:vAlign w:val="center"/>
          </w:tcPr>
          <w:p w14:paraId="4F5528CA" w14:textId="77777777" w:rsidR="00643CB4" w:rsidRPr="00D0006B" w:rsidRDefault="00643CB4" w:rsidP="00CC1409">
            <w:pPr>
              <w:spacing w:after="0" w:line="276" w:lineRule="auto"/>
              <w:ind w:firstLine="0"/>
              <w:jc w:val="left"/>
              <w:rPr>
                <w:b/>
                <w:bCs/>
                <w:sz w:val="20"/>
                <w:szCs w:val="20"/>
                <w:lang w:val="lt-LT"/>
              </w:rPr>
            </w:pPr>
            <w:r w:rsidRPr="00D0006B">
              <w:rPr>
                <w:b/>
                <w:bCs/>
                <w:sz w:val="20"/>
                <w:szCs w:val="20"/>
                <w:lang w:val="lt-LT"/>
              </w:rPr>
              <w:t>Papildomų lėšų pritraukimo potencialas</w:t>
            </w:r>
          </w:p>
        </w:tc>
        <w:tc>
          <w:tcPr>
            <w:tcW w:w="6435" w:type="dxa"/>
            <w:gridSpan w:val="2"/>
            <w:vAlign w:val="center"/>
          </w:tcPr>
          <w:p w14:paraId="110AB46A" w14:textId="4076CAEE" w:rsidR="00643CB4" w:rsidRPr="00D0006B" w:rsidRDefault="00643CB4" w:rsidP="00CC1409">
            <w:pPr>
              <w:spacing w:after="0" w:line="276" w:lineRule="auto"/>
              <w:ind w:firstLine="0"/>
              <w:jc w:val="center"/>
              <w:rPr>
                <w:sz w:val="20"/>
                <w:szCs w:val="20"/>
                <w:lang w:val="lt-LT"/>
              </w:rPr>
            </w:pPr>
            <w:r w:rsidRPr="00D0006B">
              <w:rPr>
                <w:sz w:val="20"/>
                <w:szCs w:val="20"/>
                <w:lang w:val="lt-LT"/>
              </w:rPr>
              <w:t>Netiesioginių paskolų atveju potencialas</w:t>
            </w:r>
            <w:r w:rsidR="00CC0CDE">
              <w:rPr>
                <w:sz w:val="20"/>
                <w:szCs w:val="20"/>
                <w:lang w:val="lt-LT"/>
              </w:rPr>
              <w:t xml:space="preserve"> dažniausiai yra</w:t>
            </w:r>
            <w:r w:rsidRPr="00D0006B">
              <w:rPr>
                <w:sz w:val="20"/>
                <w:szCs w:val="20"/>
                <w:lang w:val="lt-LT"/>
              </w:rPr>
              <w:t xml:space="preserve"> didesnis</w:t>
            </w:r>
          </w:p>
        </w:tc>
      </w:tr>
      <w:tr w:rsidR="00643CB4" w:rsidRPr="00D0006B" w14:paraId="3D82D42D" w14:textId="77777777" w:rsidTr="00E24002">
        <w:trPr>
          <w:trHeight w:val="20"/>
        </w:trPr>
        <w:tc>
          <w:tcPr>
            <w:tcW w:w="3217" w:type="dxa"/>
            <w:vAlign w:val="center"/>
          </w:tcPr>
          <w:p w14:paraId="4596BA62" w14:textId="77777777" w:rsidR="00643CB4" w:rsidRPr="00D0006B" w:rsidRDefault="00643CB4" w:rsidP="00CC1409">
            <w:pPr>
              <w:spacing w:after="0" w:line="276" w:lineRule="auto"/>
              <w:ind w:firstLine="0"/>
              <w:jc w:val="left"/>
              <w:rPr>
                <w:b/>
                <w:bCs/>
                <w:sz w:val="20"/>
                <w:szCs w:val="20"/>
                <w:lang w:val="lt-LT"/>
              </w:rPr>
            </w:pPr>
            <w:r w:rsidRPr="00D0006B">
              <w:rPr>
                <w:b/>
                <w:bCs/>
                <w:sz w:val="20"/>
                <w:szCs w:val="20"/>
                <w:lang w:val="lt-LT"/>
              </w:rPr>
              <w:t>Požiūris į / reikalavimai netipiškoms tikslinėms grupėms</w:t>
            </w:r>
          </w:p>
        </w:tc>
        <w:tc>
          <w:tcPr>
            <w:tcW w:w="6435" w:type="dxa"/>
            <w:gridSpan w:val="2"/>
            <w:vAlign w:val="center"/>
          </w:tcPr>
          <w:p w14:paraId="42792B67" w14:textId="77777777" w:rsidR="00643CB4" w:rsidRPr="00D0006B" w:rsidRDefault="00643CB4" w:rsidP="00CC1409">
            <w:pPr>
              <w:spacing w:after="0" w:line="276" w:lineRule="auto"/>
              <w:ind w:firstLine="0"/>
              <w:jc w:val="center"/>
              <w:rPr>
                <w:sz w:val="20"/>
                <w:szCs w:val="20"/>
                <w:lang w:val="lt-LT"/>
              </w:rPr>
            </w:pPr>
            <w:r w:rsidRPr="00D0006B">
              <w:rPr>
                <w:sz w:val="20"/>
                <w:szCs w:val="20"/>
                <w:lang w:val="lt-LT"/>
              </w:rPr>
              <w:t>Tiesioginių paskolų atveju lankstesnis požiūris</w:t>
            </w:r>
          </w:p>
        </w:tc>
      </w:tr>
    </w:tbl>
    <w:p w14:paraId="689CC7FF" w14:textId="2C726984" w:rsidR="00643CB4" w:rsidRPr="00D0006B" w:rsidRDefault="00643CB4">
      <w:pPr>
        <w:spacing w:after="0"/>
        <w:ind w:firstLine="562"/>
        <w:jc w:val="left"/>
        <w:rPr>
          <w:rFonts w:cs="Times New Roman"/>
          <w:sz w:val="20"/>
          <w:szCs w:val="20"/>
        </w:rPr>
      </w:pPr>
      <w:r w:rsidRPr="00D0006B">
        <w:rPr>
          <w:rFonts w:cs="Times New Roman"/>
          <w:sz w:val="20"/>
          <w:szCs w:val="20"/>
        </w:rPr>
        <w:t>Šaltinis: sudaryta Vertintojų.</w:t>
      </w:r>
    </w:p>
    <w:p w14:paraId="61B15E8C" w14:textId="1E5C28B2" w:rsidR="00643CB4" w:rsidRPr="00D0006B" w:rsidRDefault="00643CB4" w:rsidP="00643CB4">
      <w:pPr>
        <w:pStyle w:val="Antrat1"/>
        <w:numPr>
          <w:ilvl w:val="1"/>
          <w:numId w:val="3"/>
        </w:numPr>
        <w:rPr>
          <w:rFonts w:cs="Times New Roman"/>
        </w:rPr>
      </w:pPr>
      <w:bookmarkStart w:id="186" w:name="_Toc166139845"/>
      <w:bookmarkStart w:id="187" w:name="_Toc170804607"/>
      <w:r w:rsidRPr="00D0006B">
        <w:rPr>
          <w:rFonts w:cs="Times New Roman"/>
        </w:rPr>
        <w:t xml:space="preserve">Optimali FP </w:t>
      </w:r>
      <w:r w:rsidR="00F6739B" w:rsidRPr="00D0006B">
        <w:rPr>
          <w:rFonts w:cs="Times New Roman"/>
        </w:rPr>
        <w:t>AIEB</w:t>
      </w:r>
      <w:r w:rsidR="00CA3FC6">
        <w:t>,</w:t>
      </w:r>
      <w:r w:rsidR="00CA3FC6" w:rsidRPr="00CA3FC6">
        <w:rPr>
          <w:rFonts w:cs="Times New Roman"/>
        </w:rPr>
        <w:t xml:space="preserve"> PEB</w:t>
      </w:r>
      <w:r w:rsidR="001F2143">
        <w:rPr>
          <w:rFonts w:cs="Times New Roman"/>
        </w:rPr>
        <w:t>,</w:t>
      </w:r>
      <w:r w:rsidRPr="00D0006B">
        <w:rPr>
          <w:rFonts w:cs="Times New Roman"/>
        </w:rPr>
        <w:t xml:space="preserve"> </w:t>
      </w:r>
      <w:r w:rsidR="00CD749F" w:rsidRPr="00D06D27">
        <w:rPr>
          <w:rFonts w:cs="Times New Roman"/>
        </w:rPr>
        <w:t>VJA</w:t>
      </w:r>
      <w:r w:rsidR="001F2143">
        <w:rPr>
          <w:rFonts w:cs="Times New Roman"/>
        </w:rPr>
        <w:t xml:space="preserve"> ir verslo</w:t>
      </w:r>
      <w:r w:rsidRPr="00D0006B">
        <w:rPr>
          <w:rFonts w:cs="Times New Roman"/>
        </w:rPr>
        <w:t xml:space="preserve"> tikslinėse grupėse</w:t>
      </w:r>
      <w:bookmarkEnd w:id="186"/>
      <w:bookmarkEnd w:id="187"/>
    </w:p>
    <w:p w14:paraId="5C78EB3D" w14:textId="10A150E2" w:rsidR="002D1132" w:rsidRPr="002128E0" w:rsidRDefault="002C7FB7" w:rsidP="002128E0">
      <w:pPr>
        <w:spacing w:line="276" w:lineRule="auto"/>
        <w:ind w:firstLine="562"/>
        <w:rPr>
          <w:b/>
          <w:bCs/>
        </w:rPr>
      </w:pPr>
      <w:r>
        <w:rPr>
          <w:b/>
          <w:bCs/>
        </w:rPr>
        <w:t>Remiantis a</w:t>
      </w:r>
      <w:r w:rsidR="00643CB4" w:rsidRPr="00D0006B">
        <w:rPr>
          <w:b/>
          <w:bCs/>
        </w:rPr>
        <w:t>nksčiau pateikt</w:t>
      </w:r>
      <w:r>
        <w:rPr>
          <w:b/>
          <w:bCs/>
        </w:rPr>
        <w:t>o</w:t>
      </w:r>
      <w:r w:rsidR="00643CB4" w:rsidRPr="00D0006B">
        <w:rPr>
          <w:b/>
          <w:bCs/>
        </w:rPr>
        <w:t xml:space="preserve"> vertinimo ir atliktos analizės</w:t>
      </w:r>
      <w:r>
        <w:rPr>
          <w:b/>
          <w:bCs/>
        </w:rPr>
        <w:t xml:space="preserve"> rezultatais</w:t>
      </w:r>
      <w:r w:rsidR="00643CB4" w:rsidRPr="00D0006B">
        <w:rPr>
          <w:b/>
          <w:bCs/>
        </w:rPr>
        <w:t xml:space="preserve"> galima dar</w:t>
      </w:r>
      <w:r w:rsidR="00C54C37">
        <w:rPr>
          <w:b/>
          <w:bCs/>
        </w:rPr>
        <w:t>yti</w:t>
      </w:r>
      <w:r w:rsidR="00643CB4" w:rsidRPr="00D0006B">
        <w:rPr>
          <w:b/>
          <w:bCs/>
        </w:rPr>
        <w:t xml:space="preserve"> išvad</w:t>
      </w:r>
      <w:r>
        <w:rPr>
          <w:b/>
          <w:bCs/>
        </w:rPr>
        <w:t>ą</w:t>
      </w:r>
      <w:r w:rsidR="00643CB4" w:rsidRPr="00D0006B">
        <w:rPr>
          <w:b/>
          <w:bCs/>
        </w:rPr>
        <w:t xml:space="preserve">, kad tinkamiausia priemonė </w:t>
      </w:r>
      <w:r w:rsidR="00F6739B" w:rsidRPr="00D0006B">
        <w:rPr>
          <w:b/>
          <w:bCs/>
        </w:rPr>
        <w:t>AIEB</w:t>
      </w:r>
      <w:r w:rsidR="000A645B">
        <w:rPr>
          <w:b/>
          <w:bCs/>
        </w:rPr>
        <w:t xml:space="preserve">, </w:t>
      </w:r>
      <w:r w:rsidR="00CA3FC6" w:rsidRPr="00CA3FC6">
        <w:rPr>
          <w:b/>
          <w:bCs/>
        </w:rPr>
        <w:t xml:space="preserve"> PEB</w:t>
      </w:r>
      <w:r w:rsidR="00CA3FC6">
        <w:rPr>
          <w:b/>
          <w:bCs/>
        </w:rPr>
        <w:t>,</w:t>
      </w:r>
      <w:r w:rsidR="00CA3FC6" w:rsidRPr="00CA3FC6">
        <w:rPr>
          <w:b/>
          <w:bCs/>
        </w:rPr>
        <w:t xml:space="preserve"> </w:t>
      </w:r>
      <w:r w:rsidR="00CD749F" w:rsidRPr="00D06D27">
        <w:rPr>
          <w:b/>
          <w:bCs/>
        </w:rPr>
        <w:t>VJA</w:t>
      </w:r>
      <w:r w:rsidR="000A645B">
        <w:rPr>
          <w:b/>
          <w:bCs/>
        </w:rPr>
        <w:t xml:space="preserve"> ir verslo tikslinėse grupėse</w:t>
      </w:r>
      <w:r>
        <w:rPr>
          <w:b/>
          <w:bCs/>
        </w:rPr>
        <w:t>,</w:t>
      </w:r>
      <w:r w:rsidR="000A645B">
        <w:rPr>
          <w:b/>
          <w:bCs/>
        </w:rPr>
        <w:t xml:space="preserve"> yra paskolos. </w:t>
      </w:r>
    </w:p>
    <w:p w14:paraId="3A27EB9B" w14:textId="1D2A54FB" w:rsidR="000E4993" w:rsidRDefault="00CD749F" w:rsidP="002128E0">
      <w:pPr>
        <w:spacing w:line="276" w:lineRule="auto"/>
        <w:ind w:firstLine="562"/>
      </w:pPr>
      <w:r w:rsidRPr="00D06D27">
        <w:rPr>
          <w:b/>
          <w:bCs/>
        </w:rPr>
        <w:t>VJA</w:t>
      </w:r>
      <w:r w:rsidR="00CC0CDE" w:rsidRPr="00D06D27">
        <w:rPr>
          <w:b/>
          <w:bCs/>
        </w:rPr>
        <w:t xml:space="preserve"> tikslinei grupei</w:t>
      </w:r>
      <w:r w:rsidR="00CC0CDE" w:rsidRPr="00D06D27">
        <w:t xml:space="preserve"> paskolos yra labiausiai pažįstamas ir žinomas produktas. Jeigu būtų nuspręsta įgyvendinti tiesiogines paskolas šioje tikslinėje grupėje,</w:t>
      </w:r>
      <w:r w:rsidR="002C7FB7" w:rsidRPr="00D06D27">
        <w:t xml:space="preserve"> </w:t>
      </w:r>
      <w:r w:rsidR="00CC0CDE" w:rsidRPr="00D06D27">
        <w:t>tai leistų</w:t>
      </w:r>
      <w:r w:rsidR="002C7FB7" w:rsidRPr="00D06D27">
        <w:t xml:space="preserve"> </w:t>
      </w:r>
      <w:r w:rsidR="001F2143" w:rsidRPr="00D06D27">
        <w:t>išnaudo</w:t>
      </w:r>
      <w:r w:rsidR="00CC0CDE" w:rsidRPr="00D06D27">
        <w:t xml:space="preserve">ti </w:t>
      </w:r>
      <w:r w:rsidR="00643CB4" w:rsidRPr="00D06D27">
        <w:t xml:space="preserve">bendradarbiavimo tarp NPĮ ir </w:t>
      </w:r>
      <w:r w:rsidRPr="00D06D27">
        <w:t>VJA</w:t>
      </w:r>
      <w:r w:rsidR="00643CB4" w:rsidRPr="00D06D27">
        <w:t>, įgyvendinant Energijos efektyvumo fondo (toliau – ENEF),</w:t>
      </w:r>
      <w:r w:rsidR="00643CB4" w:rsidRPr="00D06D27">
        <w:rPr>
          <w:rStyle w:val="Puslapioinaosnuoroda"/>
        </w:rPr>
        <w:footnoteReference w:id="49"/>
      </w:r>
      <w:r w:rsidR="00643CB4" w:rsidRPr="00D06D27">
        <w:t xml:space="preserve"> patirt</w:t>
      </w:r>
      <w:r w:rsidR="00CC0CDE" w:rsidRPr="00D06D27">
        <w:t>į</w:t>
      </w:r>
      <w:r w:rsidR="00643CB4" w:rsidRPr="00D06D27">
        <w:t xml:space="preserve">. Dar vienas tiesioginio paskolų įgyvendinimo </w:t>
      </w:r>
      <w:r w:rsidRPr="00D06D27">
        <w:t>VJA</w:t>
      </w:r>
      <w:r w:rsidR="00643CB4" w:rsidRPr="00D06D27">
        <w:t xml:space="preserve"> tikslinėje grupėje privalumas – lankstesnis požiūris į skolininką. Kaip jau </w:t>
      </w:r>
      <w:r w:rsidR="002C7FB7" w:rsidRPr="00D06D27">
        <w:t xml:space="preserve">minėta </w:t>
      </w:r>
      <w:r w:rsidR="00643CB4" w:rsidRPr="00D06D27">
        <w:t>anksčiau, viena iš priežasčių</w:t>
      </w:r>
      <w:r w:rsidR="002C7FB7" w:rsidRPr="00D06D27">
        <w:t>,</w:t>
      </w:r>
      <w:r w:rsidR="00643CB4" w:rsidRPr="00D06D27">
        <w:t xml:space="preserve"> kodėl </w:t>
      </w:r>
      <w:r w:rsidRPr="00D06D27">
        <w:t>VJA</w:t>
      </w:r>
      <w:r w:rsidR="00643CB4" w:rsidRPr="00D06D27">
        <w:t xml:space="preserve"> nesikreipia į finansų įstaigas</w:t>
      </w:r>
      <w:r w:rsidR="002C7FB7" w:rsidRPr="00D06D27">
        <w:t>,</w:t>
      </w:r>
      <w:r w:rsidR="00643CB4" w:rsidRPr="00D06D27">
        <w:t xml:space="preserve"> yra nepriimtinos siūlomos finansavimo sąlygos: siūlomos palūkanų normos yra per aukštos, o siūlomų paskolų laikotarpis yra per trumpas. Tad tiesioginių paskolų įgyvendinimas </w:t>
      </w:r>
      <w:r w:rsidRPr="00D06D27">
        <w:t>VJA</w:t>
      </w:r>
      <w:r w:rsidR="00643CB4" w:rsidRPr="00D06D27">
        <w:t xml:space="preserve"> tikslinėje grupėje leistų atliepti šiuos privataus finansavimo trūkumus</w:t>
      </w:r>
      <w:r w:rsidR="002D1132" w:rsidRPr="00D06D27">
        <w:t>.</w:t>
      </w:r>
    </w:p>
    <w:p w14:paraId="69460F8F" w14:textId="28D17C8C" w:rsidR="002D1132" w:rsidRDefault="00F6739B" w:rsidP="000E4993">
      <w:pPr>
        <w:spacing w:line="276" w:lineRule="auto"/>
        <w:ind w:firstLine="562"/>
      </w:pPr>
      <w:r w:rsidRPr="002128E0">
        <w:rPr>
          <w:b/>
          <w:bCs/>
        </w:rPr>
        <w:t>AIEB</w:t>
      </w:r>
      <w:r w:rsidR="00643CB4" w:rsidRPr="002128E0">
        <w:rPr>
          <w:b/>
          <w:bCs/>
        </w:rPr>
        <w:t xml:space="preserve"> </w:t>
      </w:r>
      <w:r w:rsidR="00477B40" w:rsidRPr="00477B40">
        <w:rPr>
          <w:b/>
          <w:bCs/>
        </w:rPr>
        <w:t xml:space="preserve">bei PEB </w:t>
      </w:r>
      <w:r w:rsidR="002D1132" w:rsidRPr="002128E0">
        <w:rPr>
          <w:b/>
          <w:bCs/>
        </w:rPr>
        <w:t>tikslinės grupės atveju</w:t>
      </w:r>
      <w:r w:rsidR="002D1132">
        <w:t xml:space="preserve"> t</w:t>
      </w:r>
      <w:r w:rsidR="000E4993">
        <w:t xml:space="preserve">ik </w:t>
      </w:r>
      <w:r w:rsidR="002D1132">
        <w:t>paskolų FP</w:t>
      </w:r>
      <w:r w:rsidR="000E4993">
        <w:t xml:space="preserve"> leistų užtikrinti sėkmingą modelio išvystymą ir finansavimo užtikrinimą. Jeigu būtų nuspręsta įgyvendinti tiesioginių paskolų FP šioje tikslinėje grupėje, tai leistų išnaudoti NPĮ turimas ekspertines žinias ir įdirbį AEIB modelio vystyme</w:t>
      </w:r>
      <w:r w:rsidR="002C7FB7">
        <w:t xml:space="preserve">, </w:t>
      </w:r>
      <w:r w:rsidR="000E4993">
        <w:t xml:space="preserve">energetinio efektyvumo ir AEI plėtros finansavimo srityje. </w:t>
      </w:r>
      <w:r w:rsidR="00643CB4" w:rsidRPr="00D0006B">
        <w:t>Sėk</w:t>
      </w:r>
      <w:r w:rsidR="000E4993">
        <w:t xml:space="preserve">mingo investavimo </w:t>
      </w:r>
      <w:r w:rsidR="00643CB4" w:rsidRPr="00D0006B">
        <w:t xml:space="preserve">atveju būtų suformuota geroji </w:t>
      </w:r>
      <w:r w:rsidRPr="00D0006B">
        <w:t>AIEB</w:t>
      </w:r>
      <w:r w:rsidR="00477B40" w:rsidRPr="00477B40">
        <w:t xml:space="preserve"> bei PEB</w:t>
      </w:r>
      <w:r w:rsidR="00643CB4" w:rsidRPr="00D0006B">
        <w:t xml:space="preserve"> projektų </w:t>
      </w:r>
      <w:r w:rsidR="00643CB4" w:rsidRPr="00D0006B">
        <w:lastRenderedPageBreak/>
        <w:t xml:space="preserve">finansavimo praktika, o tai atitinkamai reikštų, kad ateityje, panašiai kaip ir </w:t>
      </w:r>
      <w:r w:rsidR="002C7FB7">
        <w:t xml:space="preserve">ankstesniu </w:t>
      </w:r>
      <w:r w:rsidR="00643CB4" w:rsidRPr="00D0006B">
        <w:t>daugiabučių modernizavimo atveju, į finansavimo veiklas galėtų įsitraukti privatūs subjektai.</w:t>
      </w:r>
    </w:p>
    <w:p w14:paraId="3DAD4070" w14:textId="7C0AD40E" w:rsidR="00C56D08" w:rsidRDefault="00C54C37" w:rsidP="00C56D08">
      <w:pPr>
        <w:spacing w:line="276" w:lineRule="auto"/>
        <w:ind w:firstLine="562"/>
      </w:pPr>
      <w:r w:rsidRPr="002128E0">
        <w:rPr>
          <w:b/>
          <w:bCs/>
        </w:rPr>
        <w:t>Verslo tikslinėje grupėje</w:t>
      </w:r>
      <w:r>
        <w:t xml:space="preserve"> paskolos taip pat yra labiausiai pažįstamas ir paprasčiausias produktas. </w:t>
      </w:r>
      <w:r w:rsidR="002C7FB7">
        <w:t>Administraciniu požiūriu, p</w:t>
      </w:r>
      <w:r w:rsidR="00BF0220">
        <w:t xml:space="preserve">askolų FP yra viena iš lengviausiai įgyvendinamų FP priemonės įgyvendintojui. </w:t>
      </w:r>
      <w:r w:rsidR="00C7585A">
        <w:t>Tinkamai suformuotų paskolų FP s</w:t>
      </w:r>
      <w:r w:rsidR="0056089E">
        <w:t>ąlygų visuma leistų tiesiogiai atliepti ir išspręsti egzistuojančio finansavimo trūkumo ir nepatrauklaus finansavimo sąlygų problematiką. Pavyzdžiui, ilgesnis paskolų laikotarpis leistų</w:t>
      </w:r>
      <w:r w:rsidR="00BF0220">
        <w:t xml:space="preserve"> projekto įgyvendintojui pasiekti projekto atsipirkimą per numatytą paskolos laikotarpį ir taip ženkliai padidintų AEI projektų patrauklumą. </w:t>
      </w:r>
      <w:r w:rsidR="00463A99">
        <w:t>Taip pat pastebėtina, kad sėkmingas tikslinės paskolų FP įgyvendinimas AEI srityje prisidėtų prie klimato kaitos tikslų, nacionalinėje strateginėje darbotvarkėje (</w:t>
      </w:r>
      <w:r w:rsidR="002C7FB7">
        <w:t>pvz.</w:t>
      </w:r>
      <w:r w:rsidR="00A605A6">
        <w:t>,</w:t>
      </w:r>
      <w:r w:rsidR="00463A99">
        <w:t xml:space="preserve"> </w:t>
      </w:r>
      <w:r w:rsidR="00463A99" w:rsidRPr="003C0378">
        <w:t xml:space="preserve">LR </w:t>
      </w:r>
      <w:r w:rsidR="00463A99">
        <w:t>A</w:t>
      </w:r>
      <w:r w:rsidR="00463A99" w:rsidRPr="003C0378">
        <w:t>tsinaujinančių išteklių energetikos įstatym</w:t>
      </w:r>
      <w:r w:rsidR="00463A99">
        <w:t xml:space="preserve">e) numatytų AEI plėtros tikslų ir verslo konkurencingumo didinimo. </w:t>
      </w:r>
      <w:r w:rsidR="00C56D08">
        <w:t xml:space="preserve"> </w:t>
      </w:r>
    </w:p>
    <w:p w14:paraId="5530D0D2" w14:textId="3ECB0E46" w:rsidR="00674CEA" w:rsidRDefault="00463A99">
      <w:pPr>
        <w:spacing w:line="276" w:lineRule="auto"/>
        <w:ind w:firstLine="562"/>
      </w:pPr>
      <w:r>
        <w:t>Taigi, a</w:t>
      </w:r>
      <w:r w:rsidR="00BF0220">
        <w:t>tsižvelgiant į tai, kad</w:t>
      </w:r>
      <w:r w:rsidR="002C7FB7">
        <w:t>,</w:t>
      </w:r>
      <w:r w:rsidR="00DC2CD7">
        <w:t xml:space="preserve"> kaip parodė anksčiau atlikta analizė, egzistuojantis paskolų finansavimas yra nepatrauklus verslo tikslinei grupei,</w:t>
      </w:r>
      <w:r>
        <w:t xml:space="preserve"> o</w:t>
      </w:r>
      <w:r w:rsidR="00DC2CD7">
        <w:t xml:space="preserve"> dalis verslo subjektų jau yra pasirengę projektus, </w:t>
      </w:r>
      <w:r w:rsidR="00C56D08">
        <w:t xml:space="preserve">pirmiausia </w:t>
      </w:r>
      <w:r w:rsidR="00DC2CD7">
        <w:t xml:space="preserve">galima </w:t>
      </w:r>
      <w:r w:rsidR="00C56D08">
        <w:t xml:space="preserve">būtų </w:t>
      </w:r>
      <w:r w:rsidR="00DC2CD7">
        <w:t>įgyvendinti tiesioginių paskolų FP</w:t>
      </w:r>
      <w:r w:rsidR="001E44DC">
        <w:t xml:space="preserve"> verslo tikslinėje grupėje</w:t>
      </w:r>
      <w:r w:rsidR="00DC2CD7">
        <w:t>.</w:t>
      </w:r>
      <w:r>
        <w:t xml:space="preserve"> Tiesioginių paskolų </w:t>
      </w:r>
      <w:r w:rsidR="00C56D08">
        <w:t>priemonės įgyvendinimas leistų sparčiai ir efektyviai atliepti dabartinį verslo tikslinės grupės poreikį investicijoms į AEI</w:t>
      </w:r>
      <w:r w:rsidR="002C7FB7">
        <w:t>,</w:t>
      </w:r>
      <w:r w:rsidR="00C56D08">
        <w:t xml:space="preserve"> ir taip pagerintų verslo situaciją, esant dideliam neapibrėžtumui dėl energetinių išteklių kainų raidos artimoje ateityje. Įgyvendinus tiesioginių paskolų FP, </w:t>
      </w:r>
      <w:r w:rsidR="00B06A01">
        <w:t xml:space="preserve">matant </w:t>
      </w:r>
      <w:r w:rsidR="00C56D08">
        <w:t>tolimesnį AEI investicijų poreikį</w:t>
      </w:r>
      <w:r w:rsidR="00B06A01">
        <w:t xml:space="preserve"> ir </w:t>
      </w:r>
      <w:r w:rsidR="00861843">
        <w:t>esant palankioms rinkos sąlygoms,</w:t>
      </w:r>
      <w:r w:rsidR="00674CEA">
        <w:t xml:space="preserve"> galėtų būti</w:t>
      </w:r>
      <w:r w:rsidR="00861843">
        <w:t xml:space="preserve"> suformuot</w:t>
      </w:r>
      <w:r w:rsidR="00C56D08">
        <w:t>a</w:t>
      </w:r>
      <w:r w:rsidR="00674CEA">
        <w:t xml:space="preserve"> netiesioginių paskolų / paskolų per FT </w:t>
      </w:r>
      <w:r w:rsidR="00C56D08">
        <w:t>FP.</w:t>
      </w:r>
      <w:r w:rsidR="00674CEA">
        <w:t xml:space="preserve"> </w:t>
      </w:r>
      <w:r w:rsidR="00C56D08">
        <w:t>P</w:t>
      </w:r>
      <w:r w:rsidR="00DC2CD7">
        <w:t>anašiai kaip daugiabučių modernizavimo atveju, NP</w:t>
      </w:r>
      <w:r w:rsidR="00C56D08">
        <w:t>Į</w:t>
      </w:r>
      <w:r w:rsidR="00DC2CD7">
        <w:t xml:space="preserve"> galėtų pradėti teikti paskolas verslo subjektams tol, kol bus parengta įgyvendinti netiesioginių paskolų FP.</w:t>
      </w:r>
      <w:r w:rsidR="00674CEA">
        <w:t xml:space="preserve"> </w:t>
      </w:r>
      <w:r w:rsidR="002C7FB7">
        <w:t>Remiantis atliktų i</w:t>
      </w:r>
      <w:r w:rsidR="00674CEA">
        <w:t xml:space="preserve">nterviu su kredito įstaigomis </w:t>
      </w:r>
      <w:r w:rsidR="002C7FB7">
        <w:t xml:space="preserve">informacija, pastebimas </w:t>
      </w:r>
      <w:r w:rsidR="00674CEA">
        <w:t>kredito įstaigų suinteresuotumas dalyvauti paskolų priemonės įgyvendinime ateityje.</w:t>
      </w:r>
    </w:p>
    <w:p w14:paraId="2F267EDD" w14:textId="3F79091C" w:rsidR="00B06A01" w:rsidRDefault="001E44DC" w:rsidP="002128E0">
      <w:pPr>
        <w:spacing w:line="276" w:lineRule="auto"/>
        <w:ind w:firstLine="562"/>
      </w:pPr>
      <w:r>
        <w:t>Netiesioginių paskolų FP dizainas verslo tikslinėje grupėje galėtų numatyti rizikos pasidalijimo fondo (toliau – RPF steigimą). RPF įgyvendinimas ateityje leistų užtikrinti didesnį lėšų pritraukimo potencialą. Remiantis interviu su kredito įstaigomis</w:t>
      </w:r>
      <w:r w:rsidR="002C7FB7" w:rsidRPr="002C7FB7">
        <w:t xml:space="preserve"> </w:t>
      </w:r>
      <w:r w:rsidR="002C7FB7">
        <w:t>informacija</w:t>
      </w:r>
      <w:r>
        <w:t xml:space="preserve">, kredito įstaigos prie </w:t>
      </w:r>
      <w:r w:rsidR="002C7FB7">
        <w:t>RPF</w:t>
      </w:r>
      <w:r>
        <w:t xml:space="preserve">, kuriame pirminiai nuostoliai būtų dengiami viešomis lėšomis, galėtų prisidėti santykiu 1:1. Pavyzdžiui, jeigu priemonės formuotojas įneštų pradinius 50 mln. Eur, tai privatus finansuotojas galėtų pridėti papildomus 50 mln. RPF įgyvendinimas taip pat potencialiai leistų užtikrinti mažesnę kainą </w:t>
      </w:r>
      <w:r w:rsidR="00674CEA">
        <w:t xml:space="preserve">galutiniams paskolos gavėjams ir praplėstų egzistuojančių kredito įstaigų </w:t>
      </w:r>
      <w:r w:rsidRPr="00D0006B">
        <w:t xml:space="preserve">standartizuotų produktų tolerancijos ribas, o tai padarytų produktus patrauklesnius verslo tikslinei grupei ir užtikrintų projekto srauto formavimą. Pavyzdžiui, </w:t>
      </w:r>
      <w:r w:rsidR="00674CEA">
        <w:t>remiantis interviu su KĮ</w:t>
      </w:r>
      <w:r w:rsidR="002C7FB7">
        <w:t xml:space="preserve"> informacija</w:t>
      </w:r>
      <w:r w:rsidR="00674CEA">
        <w:t xml:space="preserve">, </w:t>
      </w:r>
      <w:r w:rsidRPr="00D0006B">
        <w:t>pirminių nuostolių padengimas iš viešųjų lėšų leistų atsisakyti užstato reikalavimų ir taip paskatintų daugiau labai mažų ir mažų įmonių kreiptis</w:t>
      </w:r>
      <w:r w:rsidR="002C7FB7">
        <w:t xml:space="preserve"> dėl</w:t>
      </w:r>
      <w:r w:rsidRPr="00D0006B">
        <w:t xml:space="preserve"> finansavimo. Viešojo finansavimo prieinamumas</w:t>
      </w:r>
      <w:r w:rsidR="00674CEA">
        <w:t xml:space="preserve"> ir „maišymas“ su privačiu finansavimu</w:t>
      </w:r>
      <w:r w:rsidRPr="00D0006B">
        <w:t xml:space="preserve"> taip pat leistų sumažinti siūlomą palūkanų normą, o tai taip pat paskatintų didesnį projektų srautą, taigi, iš esmės spręstų anksčiau identifikuotas nepatrauklių finansavimo sąlygų problemas.</w:t>
      </w:r>
      <w:r w:rsidR="00B06A01">
        <w:t xml:space="preserve"> </w:t>
      </w:r>
    </w:p>
    <w:p w14:paraId="79D3A7D6" w14:textId="6B8708EC" w:rsidR="00B06A01" w:rsidRDefault="00B06A01" w:rsidP="002128E0">
      <w:pPr>
        <w:spacing w:line="276" w:lineRule="auto"/>
        <w:ind w:firstLine="562"/>
        <w:rPr>
          <w:rFonts w:cs="Times New Roman"/>
        </w:rPr>
      </w:pPr>
      <w:r>
        <w:t xml:space="preserve">Svarbu atkreipti dėmesį, kad 2 skyrelyje atlikto verslo investicijų paklausos vertinimo pagrindas yra reprezentatyvi anketinė apklausa, kuri buvo atlikta </w:t>
      </w:r>
      <w:r w:rsidRPr="38882E92">
        <w:rPr>
          <w:rFonts w:cs="Times New Roman"/>
        </w:rPr>
        <w:t xml:space="preserve">2022 </w:t>
      </w:r>
      <w:r w:rsidR="004B72AE">
        <w:rPr>
          <w:rFonts w:cs="Times New Roman"/>
        </w:rPr>
        <w:t xml:space="preserve">m. </w:t>
      </w:r>
      <w:r w:rsidRPr="38882E92">
        <w:rPr>
          <w:rFonts w:cs="Times New Roman"/>
        </w:rPr>
        <w:t>gruodžio 27</w:t>
      </w:r>
      <w:r w:rsidR="004B72AE">
        <w:rPr>
          <w:rFonts w:cs="Times New Roman"/>
        </w:rPr>
        <w:t xml:space="preserve"> d. </w:t>
      </w:r>
      <w:r w:rsidRPr="38882E92">
        <w:rPr>
          <w:rFonts w:cs="Times New Roman"/>
        </w:rPr>
        <w:t>–</w:t>
      </w:r>
      <w:r w:rsidR="004B72AE">
        <w:rPr>
          <w:rFonts w:cs="Times New Roman"/>
        </w:rPr>
        <w:t xml:space="preserve"> </w:t>
      </w:r>
      <w:r w:rsidRPr="38882E92">
        <w:rPr>
          <w:rFonts w:cs="Times New Roman"/>
        </w:rPr>
        <w:t xml:space="preserve">2023 </w:t>
      </w:r>
      <w:r w:rsidR="004B72AE">
        <w:rPr>
          <w:rFonts w:cs="Times New Roman"/>
        </w:rPr>
        <w:t xml:space="preserve">m. </w:t>
      </w:r>
      <w:r w:rsidRPr="38882E92">
        <w:rPr>
          <w:rFonts w:cs="Times New Roman"/>
        </w:rPr>
        <w:t xml:space="preserve">sausio 11 </w:t>
      </w:r>
      <w:r w:rsidR="004B72AE">
        <w:rPr>
          <w:rFonts w:cs="Times New Roman"/>
        </w:rPr>
        <w:t>d</w:t>
      </w:r>
      <w:r w:rsidRPr="38882E92">
        <w:rPr>
          <w:rFonts w:cs="Times New Roman"/>
        </w:rPr>
        <w:t>. Šiuo laikotarpiu buvo stebimos rekordinės elektros energijos kainos</w:t>
      </w:r>
      <w:r w:rsidR="004B72AE">
        <w:rPr>
          <w:rFonts w:cs="Times New Roman"/>
        </w:rPr>
        <w:t>,</w:t>
      </w:r>
      <w:r w:rsidRPr="38882E92">
        <w:rPr>
          <w:rFonts w:cs="Times New Roman"/>
        </w:rPr>
        <w:t xml:space="preserve"> siekusios daugiau nei 0,24 Eur/kWh. Esant tokioms kainoms, natūralu, kad absoliuti dauguma Lietuvos įmonių nurodė pasiryžimą investuoti į AEI pajėgumus. Vis dėlto</w:t>
      </w:r>
      <w:r w:rsidR="004B72AE">
        <w:rPr>
          <w:rFonts w:cs="Times New Roman"/>
        </w:rPr>
        <w:t>,</w:t>
      </w:r>
      <w:r w:rsidRPr="38882E92">
        <w:rPr>
          <w:rFonts w:cs="Times New Roman"/>
        </w:rPr>
        <w:t xml:space="preserve"> šiuo metu (2023 m. kovo</w:t>
      </w:r>
      <w:r w:rsidR="004B72AE">
        <w:rPr>
          <w:rFonts w:cs="Times New Roman"/>
        </w:rPr>
        <w:t xml:space="preserve"> </w:t>
      </w:r>
      <w:r w:rsidRPr="38882E92">
        <w:rPr>
          <w:rFonts w:cs="Times New Roman"/>
        </w:rPr>
        <w:t>–</w:t>
      </w:r>
      <w:r w:rsidR="004B72AE">
        <w:rPr>
          <w:rFonts w:cs="Times New Roman"/>
        </w:rPr>
        <w:t xml:space="preserve"> </w:t>
      </w:r>
      <w:r w:rsidRPr="38882E92">
        <w:rPr>
          <w:rFonts w:cs="Times New Roman"/>
        </w:rPr>
        <w:t xml:space="preserve">balandžio </w:t>
      </w:r>
      <w:r w:rsidR="004B72AE">
        <w:rPr>
          <w:rFonts w:cs="Times New Roman"/>
        </w:rPr>
        <w:t>mėn.</w:t>
      </w:r>
      <w:r w:rsidRPr="38882E92">
        <w:rPr>
          <w:rFonts w:cs="Times New Roman"/>
        </w:rPr>
        <w:t>) esančių kainų lygis yra artimas 2021 m. vasarą stebėtam lygiui</w:t>
      </w:r>
      <w:r w:rsidR="004B72AE">
        <w:rPr>
          <w:rFonts w:cs="Times New Roman"/>
        </w:rPr>
        <w:t>,</w:t>
      </w:r>
      <w:r w:rsidRPr="38882E92">
        <w:rPr>
          <w:rFonts w:cs="Times New Roman"/>
        </w:rPr>
        <w:t xml:space="preserve"> ir</w:t>
      </w:r>
      <w:r w:rsidR="004B72AE">
        <w:rPr>
          <w:rFonts w:cs="Times New Roman"/>
        </w:rPr>
        <w:t>,</w:t>
      </w:r>
      <w:r w:rsidRPr="38882E92">
        <w:rPr>
          <w:rFonts w:cs="Times New Roman"/>
        </w:rPr>
        <w:t xml:space="preserve"> atitinkamai</w:t>
      </w:r>
      <w:r w:rsidR="004B72AE">
        <w:rPr>
          <w:rFonts w:cs="Times New Roman"/>
        </w:rPr>
        <w:t>,</w:t>
      </w:r>
      <w:r w:rsidRPr="38882E92">
        <w:rPr>
          <w:rFonts w:cs="Times New Roman"/>
        </w:rPr>
        <w:t xml:space="preserve"> mažiau palankus</w:t>
      </w:r>
      <w:r w:rsidR="004B72AE">
        <w:rPr>
          <w:rFonts w:cs="Times New Roman"/>
        </w:rPr>
        <w:t xml:space="preserve">, </w:t>
      </w:r>
      <w:r w:rsidRPr="38882E92">
        <w:rPr>
          <w:rFonts w:cs="Times New Roman"/>
        </w:rPr>
        <w:t xml:space="preserve">patrauklus investicijoms į AEI pajėgumus. </w:t>
      </w:r>
      <w:r>
        <w:rPr>
          <w:rFonts w:cs="Times New Roman"/>
        </w:rPr>
        <w:t xml:space="preserve">Atsižvelgiant į riziką, kad </w:t>
      </w:r>
      <w:r w:rsidR="00861843">
        <w:rPr>
          <w:rFonts w:cs="Times New Roman"/>
        </w:rPr>
        <w:t>ateityje galima nukrypti nuo planinės skolinimo projekcijos ir susidurti</w:t>
      </w:r>
      <w:r w:rsidR="004B72AE">
        <w:rPr>
          <w:rFonts w:cs="Times New Roman"/>
        </w:rPr>
        <w:t xml:space="preserve"> su</w:t>
      </w:r>
      <w:r w:rsidR="00861843">
        <w:rPr>
          <w:rFonts w:cs="Times New Roman"/>
        </w:rPr>
        <w:t xml:space="preserve"> lėtesniu nei numatyta paskolų portfelio formavimusi, rekomenduojama numatyti galimybę paskolų FP plėsti paramos gavėjų ratą ir tinkamų finansuoti veiklų sąrašą. Praplėstas paramos gavėjų sąrašas galėtų apimti AEI parkų vystytojus, o finansuotinas veiklų sąrašas įtraukti elektros energijos kaupiklius.</w:t>
      </w:r>
    </w:p>
    <w:p w14:paraId="21F43305" w14:textId="09D7B668" w:rsidR="00B06A01" w:rsidRPr="00D0006B" w:rsidRDefault="00B06A01" w:rsidP="00B06A01">
      <w:pPr>
        <w:spacing w:line="276" w:lineRule="auto"/>
        <w:rPr>
          <w:rFonts w:cs="Times New Roman"/>
        </w:rPr>
      </w:pPr>
      <w:r w:rsidRPr="00D0006B">
        <w:rPr>
          <w:rFonts w:cs="Times New Roman"/>
        </w:rPr>
        <w:t>Sėkminga</w:t>
      </w:r>
      <w:r w:rsidR="00861843">
        <w:rPr>
          <w:rFonts w:cs="Times New Roman"/>
        </w:rPr>
        <w:t>m paskolų</w:t>
      </w:r>
      <w:r w:rsidRPr="00D0006B">
        <w:rPr>
          <w:rFonts w:cs="Times New Roman"/>
        </w:rPr>
        <w:t xml:space="preserve"> priemon</w:t>
      </w:r>
      <w:r w:rsidR="00861843">
        <w:rPr>
          <w:rFonts w:cs="Times New Roman"/>
        </w:rPr>
        <w:t>ių</w:t>
      </w:r>
      <w:r w:rsidRPr="00D0006B">
        <w:rPr>
          <w:rFonts w:cs="Times New Roman"/>
        </w:rPr>
        <w:t xml:space="preserve"> įgyvendinimui</w:t>
      </w:r>
      <w:r w:rsidR="00861843">
        <w:rPr>
          <w:rFonts w:cs="Times New Roman"/>
        </w:rPr>
        <w:t xml:space="preserve"> visose tikslinėse grupėse</w:t>
      </w:r>
      <w:r w:rsidRPr="00D0006B">
        <w:rPr>
          <w:rFonts w:cs="Times New Roman"/>
        </w:rPr>
        <w:t xml:space="preserve"> yra labai svarbios įvairios projektų srauto formavimą skatinančios priemonės. Atsižvelgiant į tai,</w:t>
      </w:r>
      <w:r w:rsidR="00861843">
        <w:rPr>
          <w:rFonts w:cs="Times New Roman"/>
        </w:rPr>
        <w:t xml:space="preserve"> šalia paskolų FP įgyvendinimo taip pat</w:t>
      </w:r>
      <w:r w:rsidRPr="00D0006B">
        <w:rPr>
          <w:rFonts w:cs="Times New Roman"/>
        </w:rPr>
        <w:t xml:space="preserve"> turėtų būti įgyvendinama </w:t>
      </w:r>
      <w:proofErr w:type="spellStart"/>
      <w:r w:rsidRPr="00D0006B">
        <w:rPr>
          <w:rFonts w:cs="Times New Roman"/>
        </w:rPr>
        <w:t>rinkodarinė</w:t>
      </w:r>
      <w:proofErr w:type="spellEnd"/>
      <w:r w:rsidRPr="00D0006B">
        <w:rPr>
          <w:rFonts w:cs="Times New Roman"/>
        </w:rPr>
        <w:t xml:space="preserve"> kompanija, kurios pagrindinis tikslas – parodyti AEI pajėgumų naudą </w:t>
      </w:r>
      <w:r w:rsidRPr="00D0006B">
        <w:rPr>
          <w:rFonts w:cs="Times New Roman"/>
        </w:rPr>
        <w:lastRenderedPageBreak/>
        <w:t>(kaip antai, nepriklausomumas, kainų stabilumas</w:t>
      </w:r>
      <w:r w:rsidR="00861843">
        <w:rPr>
          <w:rFonts w:cs="Times New Roman"/>
        </w:rPr>
        <w:t>)</w:t>
      </w:r>
      <w:r w:rsidR="00E127BF">
        <w:rPr>
          <w:rFonts w:cs="Times New Roman"/>
        </w:rPr>
        <w:t xml:space="preserve"> tikslinėms grupėms</w:t>
      </w:r>
      <w:r w:rsidRPr="00D0006B">
        <w:rPr>
          <w:rFonts w:cs="Times New Roman"/>
        </w:rPr>
        <w:t xml:space="preserve">, sužadinti investicijų paklausą ir taip prisidėti prie </w:t>
      </w:r>
      <w:r w:rsidR="00861843">
        <w:rPr>
          <w:rFonts w:cs="Times New Roman"/>
        </w:rPr>
        <w:t>paskolų FP</w:t>
      </w:r>
      <w:r w:rsidRPr="00D0006B">
        <w:rPr>
          <w:rFonts w:cs="Times New Roman"/>
        </w:rPr>
        <w:t xml:space="preserve"> įgyvendinimo sėkmingumo. Prie investicijų paklausos didinimo ir projektų srauto užtikrinimo taip pat galėtų prisidėti informavimo kompanija </w:t>
      </w:r>
      <w:r w:rsidR="004B72AE">
        <w:rPr>
          <w:rFonts w:cs="Times New Roman"/>
        </w:rPr>
        <w:t>ar</w:t>
      </w:r>
      <w:r w:rsidRPr="00D0006B">
        <w:rPr>
          <w:rFonts w:cs="Times New Roman"/>
        </w:rPr>
        <w:t xml:space="preserve"> iniciatyva, kuri padėtų potencialiems projektų įgyvendintojams sėkmingai parengti projektų paraiškas. </w:t>
      </w:r>
    </w:p>
    <w:p w14:paraId="69F6512B" w14:textId="46762A1A" w:rsidR="00643CB4" w:rsidRPr="00D0006B" w:rsidRDefault="00CD749F" w:rsidP="00643CB4">
      <w:pPr>
        <w:pStyle w:val="Antrat2"/>
      </w:pPr>
      <w:bookmarkStart w:id="188" w:name="_Toc166139846"/>
      <w:bookmarkStart w:id="189" w:name="_Toc170804608"/>
      <w:r w:rsidRPr="008B66EA">
        <w:t>VJA</w:t>
      </w:r>
      <w:r w:rsidR="00643CB4" w:rsidRPr="00D0006B">
        <w:t xml:space="preserve"> ir </w:t>
      </w:r>
      <w:r w:rsidR="00F6739B" w:rsidRPr="00D0006B">
        <w:t>AIEB</w:t>
      </w:r>
      <w:r w:rsidR="00900358">
        <w:t>,</w:t>
      </w:r>
      <w:r w:rsidR="00900358" w:rsidRPr="00900358">
        <w:t xml:space="preserve"> PEB</w:t>
      </w:r>
      <w:r w:rsidR="00643CB4" w:rsidRPr="00D0006B">
        <w:t xml:space="preserve"> investavimo strategijos derinimas su dotacijomis</w:t>
      </w:r>
      <w:bookmarkEnd w:id="188"/>
      <w:bookmarkEnd w:id="189"/>
    </w:p>
    <w:p w14:paraId="2994C80C" w14:textId="1AEBA67B" w:rsidR="00643CB4" w:rsidRPr="0064198A" w:rsidRDefault="00643CB4" w:rsidP="00C9652A">
      <w:pPr>
        <w:spacing w:line="276" w:lineRule="auto"/>
        <w:ind w:firstLine="562"/>
      </w:pPr>
      <w:r w:rsidRPr="0064198A">
        <w:t xml:space="preserve">Siekiant įvertinti poreikį FP derinti su dotacijomis, be jau 3 skyrelyje pristatytos jautrumo analizės, Vertintojai papildomai apžvelgė anksčiau įgyvendintų paramos priemonių patirtį. Žemiau lentelėje yra pateiktas anksčiau įgyvendintų priemonių ir jų finansavimo sąlygų </w:t>
      </w:r>
      <w:r w:rsidR="004B72AE" w:rsidRPr="0064198A">
        <w:t>ir</w:t>
      </w:r>
      <w:r w:rsidRPr="0064198A">
        <w:t xml:space="preserve"> paramos intensyvumo apibendrinimas.</w:t>
      </w:r>
    </w:p>
    <w:p w14:paraId="64FD29BE" w14:textId="77777777" w:rsidR="002D1132" w:rsidRPr="00E24002" w:rsidRDefault="002D1132" w:rsidP="00C9652A">
      <w:pPr>
        <w:spacing w:line="276" w:lineRule="auto"/>
        <w:ind w:firstLine="562"/>
        <w:rPr>
          <w:highlight w:val="yellow"/>
        </w:rPr>
      </w:pPr>
    </w:p>
    <w:p w14:paraId="4BCB3DA4" w14:textId="3D2CD69C" w:rsidR="00643CB4" w:rsidRPr="00D0006B" w:rsidRDefault="00643CB4" w:rsidP="00643CB4">
      <w:pPr>
        <w:keepNext/>
        <w:ind w:firstLine="0"/>
        <w:rPr>
          <w:i/>
        </w:rPr>
      </w:pPr>
      <w:bookmarkStart w:id="190" w:name="_Toc166139879"/>
      <w:bookmarkStart w:id="191" w:name="_Toc170804645"/>
      <w:r w:rsidRPr="0064198A">
        <w:rPr>
          <w:rFonts w:cs="Times New Roman"/>
          <w:i/>
          <w:iCs/>
        </w:rPr>
        <w:t xml:space="preserve">Lentelė </w:t>
      </w:r>
      <w:r w:rsidRPr="0064198A">
        <w:rPr>
          <w:rFonts w:cs="Times New Roman"/>
          <w:i/>
          <w:iCs/>
        </w:rPr>
        <w:fldChar w:fldCharType="begin"/>
      </w:r>
      <w:r w:rsidRPr="0064198A">
        <w:rPr>
          <w:rFonts w:cs="Times New Roman"/>
          <w:i/>
          <w:iCs/>
        </w:rPr>
        <w:instrText xml:space="preserve"> SEQ Lentelė \* ARABIC </w:instrText>
      </w:r>
      <w:r w:rsidRPr="0064198A">
        <w:rPr>
          <w:rFonts w:cs="Times New Roman"/>
          <w:i/>
          <w:iCs/>
        </w:rPr>
        <w:fldChar w:fldCharType="separate"/>
      </w:r>
      <w:r w:rsidR="00347605">
        <w:rPr>
          <w:rFonts w:cs="Times New Roman"/>
          <w:i/>
          <w:iCs/>
          <w:noProof/>
        </w:rPr>
        <w:t>29</w:t>
      </w:r>
      <w:r w:rsidRPr="0064198A">
        <w:rPr>
          <w:rFonts w:cs="Times New Roman"/>
          <w:i/>
          <w:iCs/>
        </w:rPr>
        <w:fldChar w:fldCharType="end"/>
      </w:r>
      <w:r w:rsidRPr="0064198A">
        <w:rPr>
          <w:rFonts w:cs="Times New Roman"/>
          <w:i/>
          <w:iCs/>
        </w:rPr>
        <w:t xml:space="preserve">. Anksčiau įgyvendintos paramos priemonės </w:t>
      </w:r>
      <w:r w:rsidR="00CD749F" w:rsidRPr="00181921">
        <w:rPr>
          <w:rFonts w:cs="Times New Roman"/>
          <w:i/>
          <w:iCs/>
        </w:rPr>
        <w:t>VJA</w:t>
      </w:r>
      <w:r w:rsidRPr="00181921">
        <w:rPr>
          <w:rFonts w:cs="Times New Roman"/>
          <w:i/>
          <w:iCs/>
        </w:rPr>
        <w:t xml:space="preserve"> </w:t>
      </w:r>
      <w:r w:rsidRPr="0064198A">
        <w:rPr>
          <w:rFonts w:cs="Times New Roman"/>
          <w:i/>
          <w:iCs/>
        </w:rPr>
        <w:t>tikslinėje grupėje, jų finansavimo šaltinis, tikslinės grupės ir priemonių intensyvumas</w:t>
      </w:r>
      <w:bookmarkEnd w:id="190"/>
      <w:bookmarkEnd w:id="191"/>
    </w:p>
    <w:tbl>
      <w:tblPr>
        <w:tblStyle w:val="Lentelstinklelis"/>
        <w:tblpPr w:leftFromText="180" w:rightFromText="180" w:vertAnchor="text" w:tblpY="1"/>
        <w:tblOverlap w:val="never"/>
        <w:tblW w:w="0" w:type="auto"/>
        <w:tblLook w:val="04A0" w:firstRow="1" w:lastRow="0" w:firstColumn="1" w:lastColumn="0" w:noHBand="0" w:noVBand="1"/>
      </w:tblPr>
      <w:tblGrid>
        <w:gridCol w:w="1488"/>
        <w:gridCol w:w="1496"/>
        <w:gridCol w:w="2256"/>
        <w:gridCol w:w="1529"/>
        <w:gridCol w:w="2682"/>
      </w:tblGrid>
      <w:tr w:rsidR="00643CB4" w:rsidRPr="00D0006B" w14:paraId="45CC3917" w14:textId="77777777" w:rsidTr="00E24002">
        <w:trPr>
          <w:trHeight w:val="554"/>
          <w:tblHeader/>
        </w:trPr>
        <w:tc>
          <w:tcPr>
            <w:tcW w:w="1488" w:type="dxa"/>
          </w:tcPr>
          <w:p w14:paraId="4F0888C8" w14:textId="77777777" w:rsidR="00643CB4" w:rsidRPr="00D0006B" w:rsidRDefault="00643CB4" w:rsidP="00CC1409">
            <w:pPr>
              <w:spacing w:after="0" w:line="276" w:lineRule="auto"/>
              <w:ind w:firstLine="0"/>
              <w:jc w:val="center"/>
              <w:rPr>
                <w:rFonts w:cs="Times New Roman"/>
                <w:b/>
                <w:sz w:val="20"/>
                <w:szCs w:val="20"/>
                <w:lang w:val="lt-LT"/>
              </w:rPr>
            </w:pPr>
            <w:r w:rsidRPr="00D0006B">
              <w:rPr>
                <w:rFonts w:cs="Times New Roman"/>
                <w:b/>
                <w:sz w:val="20"/>
                <w:szCs w:val="20"/>
                <w:lang w:val="lt-LT"/>
              </w:rPr>
              <w:t>Tikslinė grupė</w:t>
            </w:r>
          </w:p>
        </w:tc>
        <w:tc>
          <w:tcPr>
            <w:tcW w:w="1496" w:type="dxa"/>
          </w:tcPr>
          <w:p w14:paraId="15743015" w14:textId="77777777" w:rsidR="00643CB4" w:rsidRPr="00D0006B" w:rsidRDefault="00643CB4" w:rsidP="00CC1409">
            <w:pPr>
              <w:spacing w:after="0" w:line="276" w:lineRule="auto"/>
              <w:ind w:firstLine="0"/>
              <w:jc w:val="center"/>
              <w:rPr>
                <w:rFonts w:cs="Times New Roman"/>
                <w:b/>
                <w:sz w:val="20"/>
                <w:szCs w:val="20"/>
                <w:lang w:val="lt-LT"/>
              </w:rPr>
            </w:pPr>
            <w:r w:rsidRPr="00D0006B">
              <w:rPr>
                <w:rFonts w:cs="Times New Roman"/>
                <w:b/>
                <w:sz w:val="20"/>
                <w:szCs w:val="20"/>
                <w:lang w:val="lt-LT"/>
              </w:rPr>
              <w:t>Finansavimo šaltinis</w:t>
            </w:r>
          </w:p>
        </w:tc>
        <w:tc>
          <w:tcPr>
            <w:tcW w:w="2256" w:type="dxa"/>
          </w:tcPr>
          <w:p w14:paraId="25655DC9" w14:textId="77777777" w:rsidR="00643CB4" w:rsidRPr="00D0006B" w:rsidRDefault="00643CB4" w:rsidP="00CC1409">
            <w:pPr>
              <w:spacing w:after="0" w:line="276" w:lineRule="auto"/>
              <w:ind w:firstLine="0"/>
              <w:jc w:val="center"/>
              <w:rPr>
                <w:rFonts w:cs="Times New Roman"/>
                <w:b/>
                <w:sz w:val="20"/>
                <w:szCs w:val="20"/>
                <w:lang w:val="lt-LT"/>
              </w:rPr>
            </w:pPr>
            <w:r w:rsidRPr="00D0006B">
              <w:rPr>
                <w:rFonts w:cs="Times New Roman"/>
                <w:b/>
                <w:sz w:val="20"/>
                <w:szCs w:val="20"/>
                <w:lang w:val="lt-LT"/>
              </w:rPr>
              <w:t>Paramos priemonės</w:t>
            </w:r>
          </w:p>
        </w:tc>
        <w:tc>
          <w:tcPr>
            <w:tcW w:w="1529" w:type="dxa"/>
          </w:tcPr>
          <w:p w14:paraId="3CCBBEC9" w14:textId="77777777" w:rsidR="00643CB4" w:rsidRPr="00D0006B" w:rsidRDefault="00643CB4" w:rsidP="00CC1409">
            <w:pPr>
              <w:spacing w:after="0" w:line="276" w:lineRule="auto"/>
              <w:ind w:firstLine="0"/>
              <w:jc w:val="center"/>
              <w:rPr>
                <w:rFonts w:cs="Times New Roman"/>
                <w:b/>
                <w:sz w:val="20"/>
                <w:szCs w:val="20"/>
                <w:lang w:val="lt-LT"/>
              </w:rPr>
            </w:pPr>
            <w:r w:rsidRPr="00D0006B">
              <w:rPr>
                <w:rFonts w:cs="Times New Roman"/>
                <w:b/>
                <w:sz w:val="20"/>
                <w:szCs w:val="20"/>
                <w:lang w:val="lt-LT"/>
              </w:rPr>
              <w:t>Paramos tipas</w:t>
            </w:r>
          </w:p>
        </w:tc>
        <w:tc>
          <w:tcPr>
            <w:tcW w:w="2682" w:type="dxa"/>
          </w:tcPr>
          <w:p w14:paraId="6F630BE5" w14:textId="77777777" w:rsidR="00643CB4" w:rsidRPr="00D0006B" w:rsidRDefault="00643CB4" w:rsidP="00CC1409">
            <w:pPr>
              <w:spacing w:after="0" w:line="276" w:lineRule="auto"/>
              <w:ind w:firstLine="0"/>
              <w:jc w:val="center"/>
              <w:rPr>
                <w:rFonts w:cs="Times New Roman"/>
                <w:b/>
                <w:sz w:val="20"/>
                <w:szCs w:val="20"/>
                <w:lang w:val="lt-LT"/>
              </w:rPr>
            </w:pPr>
            <w:r w:rsidRPr="00D0006B">
              <w:rPr>
                <w:rFonts w:cs="Times New Roman"/>
                <w:b/>
                <w:sz w:val="20"/>
                <w:szCs w:val="20"/>
                <w:lang w:val="lt-LT"/>
              </w:rPr>
              <w:t>Paramos intensyvumas</w:t>
            </w:r>
          </w:p>
        </w:tc>
      </w:tr>
      <w:tr w:rsidR="00643CB4" w:rsidRPr="00D0006B" w14:paraId="077CB414" w14:textId="77777777" w:rsidTr="00E24002">
        <w:trPr>
          <w:trHeight w:val="2507"/>
        </w:trPr>
        <w:tc>
          <w:tcPr>
            <w:tcW w:w="1488" w:type="dxa"/>
          </w:tcPr>
          <w:p w14:paraId="53413830" w14:textId="592F8134" w:rsidR="00643CB4" w:rsidRPr="00E24002" w:rsidRDefault="00CD749F" w:rsidP="004B72AE">
            <w:pPr>
              <w:spacing w:after="0" w:line="276" w:lineRule="auto"/>
              <w:ind w:firstLine="0"/>
              <w:rPr>
                <w:sz w:val="20"/>
                <w:highlight w:val="yellow"/>
                <w:lang w:val="lt-LT"/>
              </w:rPr>
            </w:pPr>
            <w:r w:rsidRPr="008B66EA">
              <w:rPr>
                <w:rFonts w:cs="Times New Roman"/>
                <w:sz w:val="20"/>
                <w:szCs w:val="20"/>
                <w:lang w:val="lt-LT"/>
              </w:rPr>
              <w:t>VJA</w:t>
            </w:r>
            <w:r w:rsidR="00643CB4" w:rsidRPr="008B66EA">
              <w:rPr>
                <w:rFonts w:cs="Times New Roman"/>
                <w:sz w:val="20"/>
                <w:szCs w:val="20"/>
                <w:lang w:val="lt-LT"/>
              </w:rPr>
              <w:t xml:space="preserve"> </w:t>
            </w:r>
          </w:p>
        </w:tc>
        <w:tc>
          <w:tcPr>
            <w:tcW w:w="1496" w:type="dxa"/>
          </w:tcPr>
          <w:p w14:paraId="0815690D" w14:textId="77777777" w:rsidR="00643CB4" w:rsidRPr="0064198A" w:rsidRDefault="00643CB4" w:rsidP="004B72AE">
            <w:pPr>
              <w:spacing w:after="0" w:line="276" w:lineRule="auto"/>
              <w:ind w:firstLine="0"/>
              <w:rPr>
                <w:rFonts w:cs="Times New Roman"/>
                <w:sz w:val="20"/>
                <w:szCs w:val="20"/>
                <w:lang w:val="lt-LT"/>
              </w:rPr>
            </w:pPr>
            <w:r w:rsidRPr="0064198A">
              <w:rPr>
                <w:rFonts w:cs="Times New Roman"/>
                <w:sz w:val="20"/>
                <w:szCs w:val="20"/>
                <w:lang w:val="lt-LT"/>
              </w:rPr>
              <w:t>Klimato kaitos programa</w:t>
            </w:r>
          </w:p>
        </w:tc>
        <w:tc>
          <w:tcPr>
            <w:tcW w:w="2256" w:type="dxa"/>
          </w:tcPr>
          <w:p w14:paraId="5F81815B" w14:textId="77777777" w:rsidR="00643CB4" w:rsidRDefault="00643CB4" w:rsidP="004B72AE">
            <w:pPr>
              <w:spacing w:after="0" w:line="276" w:lineRule="auto"/>
              <w:ind w:firstLine="0"/>
              <w:rPr>
                <w:rFonts w:cs="Times New Roman"/>
                <w:sz w:val="20"/>
                <w:szCs w:val="20"/>
                <w:lang w:val="lt-LT"/>
              </w:rPr>
            </w:pPr>
            <w:r w:rsidRPr="0064198A">
              <w:rPr>
                <w:rFonts w:cs="Times New Roman"/>
                <w:sz w:val="20"/>
                <w:szCs w:val="20"/>
                <w:lang w:val="lt-LT"/>
              </w:rPr>
              <w:t>Atsinaujinančių energijos išteklių (saulės, vėjo) panaudojimas valstybės, savivaldybių, tradicinių religinių bendruomenių, religinių bendrijų ar centrų elektros energijos poreikiams</w:t>
            </w:r>
          </w:p>
          <w:p w14:paraId="3E350F48" w14:textId="77777777" w:rsidR="00F15DA1" w:rsidRDefault="00F15DA1" w:rsidP="004B72AE">
            <w:pPr>
              <w:spacing w:after="0" w:line="276" w:lineRule="auto"/>
              <w:ind w:firstLine="0"/>
              <w:rPr>
                <w:rFonts w:cs="Times New Roman"/>
                <w:sz w:val="20"/>
                <w:szCs w:val="20"/>
                <w:lang w:val="lt-LT"/>
              </w:rPr>
            </w:pPr>
          </w:p>
          <w:p w14:paraId="386BC282" w14:textId="77777777" w:rsidR="00F15DA1" w:rsidRPr="0064198A" w:rsidRDefault="00F15DA1" w:rsidP="004B72AE">
            <w:pPr>
              <w:spacing w:after="0" w:line="276" w:lineRule="auto"/>
              <w:ind w:firstLine="0"/>
              <w:rPr>
                <w:rFonts w:cs="Times New Roman"/>
                <w:sz w:val="20"/>
                <w:szCs w:val="20"/>
                <w:lang w:val="lt-LT"/>
              </w:rPr>
            </w:pPr>
          </w:p>
        </w:tc>
        <w:tc>
          <w:tcPr>
            <w:tcW w:w="1529" w:type="dxa"/>
          </w:tcPr>
          <w:p w14:paraId="1911C434" w14:textId="77777777" w:rsidR="00643CB4" w:rsidRPr="0064198A" w:rsidRDefault="0AA1DC48" w:rsidP="004B72AE">
            <w:pPr>
              <w:spacing w:after="0" w:line="276" w:lineRule="auto"/>
              <w:ind w:firstLine="0"/>
              <w:rPr>
                <w:rFonts w:cs="Times New Roman"/>
                <w:sz w:val="20"/>
                <w:szCs w:val="20"/>
                <w:lang w:val="lt-LT"/>
              </w:rPr>
            </w:pPr>
            <w:r w:rsidRPr="0064198A">
              <w:rPr>
                <w:rFonts w:cs="Times New Roman"/>
                <w:sz w:val="20"/>
                <w:szCs w:val="20"/>
                <w:lang w:val="lt-LT"/>
              </w:rPr>
              <w:t>Dotacija</w:t>
            </w:r>
          </w:p>
        </w:tc>
        <w:tc>
          <w:tcPr>
            <w:tcW w:w="2682" w:type="dxa"/>
          </w:tcPr>
          <w:p w14:paraId="59A0C399" w14:textId="1E035ABD" w:rsidR="00643CB4" w:rsidRPr="0064198A" w:rsidRDefault="001F2143" w:rsidP="004B72AE">
            <w:pPr>
              <w:spacing w:after="0" w:line="276" w:lineRule="auto"/>
              <w:ind w:firstLine="0"/>
              <w:rPr>
                <w:rFonts w:cs="Times New Roman"/>
                <w:sz w:val="20"/>
                <w:szCs w:val="20"/>
                <w:lang w:val="lt-LT"/>
              </w:rPr>
            </w:pPr>
            <w:r w:rsidRPr="0064198A">
              <w:rPr>
                <w:rFonts w:cs="Times New Roman"/>
                <w:sz w:val="20"/>
                <w:szCs w:val="20"/>
                <w:lang w:val="lt-LT"/>
              </w:rPr>
              <w:t>D</w:t>
            </w:r>
            <w:r w:rsidR="00674CEA" w:rsidRPr="0064198A">
              <w:rPr>
                <w:rFonts w:cs="Times New Roman"/>
                <w:sz w:val="20"/>
                <w:szCs w:val="20"/>
                <w:lang w:val="lt-LT"/>
              </w:rPr>
              <w:t>otacijos</w:t>
            </w:r>
            <w:r w:rsidRPr="0064198A">
              <w:rPr>
                <w:rFonts w:cs="Times New Roman"/>
                <w:sz w:val="20"/>
                <w:szCs w:val="20"/>
                <w:lang w:val="lt-LT"/>
              </w:rPr>
              <w:t xml:space="preserve"> </w:t>
            </w:r>
            <w:r w:rsidR="00643CB4" w:rsidRPr="0064198A">
              <w:rPr>
                <w:rFonts w:cs="Times New Roman"/>
                <w:sz w:val="20"/>
                <w:szCs w:val="20"/>
                <w:lang w:val="lt-LT"/>
              </w:rPr>
              <w:t>fiksuotasis įkainis, skiriamas už 1 kW įrengtosios galios saulės ar vėjo elektrinei įsigyti ar įrengti, yra: saulės elektrinei – 794 Eur/kW su PVM (656 Eur/kW be PVM); vėjo elektrinei – 1321 Eur/kW su PVM (1092 Eur/kW be PVM).</w:t>
            </w:r>
          </w:p>
        </w:tc>
      </w:tr>
    </w:tbl>
    <w:p w14:paraId="56152188" w14:textId="77777777" w:rsidR="00643CB4" w:rsidRDefault="00643CB4" w:rsidP="00643CB4">
      <w:pPr>
        <w:spacing w:line="276" w:lineRule="auto"/>
        <w:rPr>
          <w:i/>
          <w:iCs/>
          <w:sz w:val="20"/>
          <w:szCs w:val="20"/>
        </w:rPr>
      </w:pPr>
      <w:r w:rsidRPr="003C0378">
        <w:rPr>
          <w:i/>
          <w:iCs/>
          <w:sz w:val="20"/>
          <w:szCs w:val="20"/>
        </w:rPr>
        <w:t>Šaltinis: sudaryta vertintojų.</w:t>
      </w:r>
    </w:p>
    <w:p w14:paraId="4E5BCEA0" w14:textId="0E7C9511" w:rsidR="008A613D" w:rsidRPr="00AA0399" w:rsidRDefault="008A613D" w:rsidP="008A613D">
      <w:pPr>
        <w:spacing w:line="276" w:lineRule="auto"/>
      </w:pPr>
      <w:r w:rsidRPr="00AA0399">
        <w:t>Tokios formos, kokią dabar planuojama steigti, AIEB</w:t>
      </w:r>
      <w:r w:rsidR="00616783" w:rsidRPr="00616783">
        <w:t xml:space="preserve"> bei PEB</w:t>
      </w:r>
      <w:r w:rsidRPr="00AA0399">
        <w:t xml:space="preserve"> anksčiau nebuvo gavusios jokios paramos. Tuo tarpu </w:t>
      </w:r>
      <w:r w:rsidR="00CD749F" w:rsidRPr="00181921">
        <w:t>VJA</w:t>
      </w:r>
      <w:r w:rsidRPr="00181921">
        <w:t xml:space="preserve"> </w:t>
      </w:r>
      <w:r w:rsidRPr="00AA0399">
        <w:t>galėjo pretenduoti į paramą pagal priemonės</w:t>
      </w:r>
      <w:r w:rsidR="00643CB4" w:rsidRPr="00AA0399">
        <w:t xml:space="preserve"> „Atsinaujinančių energijos išteklių (saulės, vėjo) panaudojimas valstybės, savivaldybių, tradicinių religinių bendruomenių, religinių bendrijų ar centrų elektros energijos poreikiams“</w:t>
      </w:r>
      <w:r w:rsidRPr="00AA0399">
        <w:t xml:space="preserve"> paramą. </w:t>
      </w:r>
      <w:r w:rsidR="00BA68FE" w:rsidRPr="00AA0399">
        <w:t xml:space="preserve">Parama buvo teikiama kaip dotacija, o dotacijos buvo mokamos taikant fiksuotą įkainį, kuris siekė 656 Eur/kW be PVM saulės elektrinių atveju ir 1092 Eur/kW be PVM vėjo elektrinių atveju. Darant prielaidą, kad 1 kW saulės ir vėjo pajėgumų priemonių įgyvendinimo metu kainavo apie 1000 Eur be PVM, o vėjo apie 1600 Eur be PVM, priemonės „Atsinaujinančių energijos išteklių (saulės, vėjo) panaudojimas valstybės, savivaldybių, tradicinių religinių bendruomenių, religinių bendrijų ar centrų elektros energijos poreikiams“ efektyvus dotacijos intensyvumas galėjo siekti maždaug 61–68 proc. </w:t>
      </w:r>
    </w:p>
    <w:p w14:paraId="520F8050" w14:textId="35D92F7D" w:rsidR="00BA68FE" w:rsidRPr="00AA0399" w:rsidRDefault="0AA1DC48" w:rsidP="00BA68FE">
      <w:pPr>
        <w:spacing w:line="276" w:lineRule="auto"/>
      </w:pPr>
      <w:r w:rsidRPr="00AA0399">
        <w:t>Anksčiau įgyvendintų priemonių patirtis indikuoja, kad</w:t>
      </w:r>
      <w:r w:rsidRPr="001A20C8">
        <w:t xml:space="preserve"> </w:t>
      </w:r>
      <w:r w:rsidR="00CD749F" w:rsidRPr="001A20C8">
        <w:t>VJA</w:t>
      </w:r>
      <w:r w:rsidR="1FAFBC6A" w:rsidRPr="001A20C8">
        <w:t xml:space="preserve"> </w:t>
      </w:r>
      <w:r w:rsidR="1FAFBC6A" w:rsidRPr="00AA0399">
        <w:t xml:space="preserve">gavo pakankamai aukštą dotaciją projektų įgyvendinimui. Vis dėlto, jautrumo analizė indikuoja, kad siekiant projektų atsiperkamumo per </w:t>
      </w:r>
      <w:r w:rsidR="1FAFBC6A" w:rsidRPr="00E24002">
        <w:t xml:space="preserve">15 m., būtų reikalinga 20–40 proc. siekianti dotacija. </w:t>
      </w:r>
      <w:r w:rsidRPr="00AA0399">
        <w:t xml:space="preserve">Tokio lygio dotacijos suteikimas užtikrintų projektų atsiperkamumą per </w:t>
      </w:r>
      <w:r w:rsidRPr="00E24002">
        <w:t xml:space="preserve">15 </w:t>
      </w:r>
      <w:r w:rsidR="004B72AE" w:rsidRPr="00E24002">
        <w:t>m.</w:t>
      </w:r>
      <w:r w:rsidRPr="00AA0399">
        <w:t xml:space="preserve"> ir</w:t>
      </w:r>
      <w:r w:rsidR="004B72AE" w:rsidRPr="00AA0399">
        <w:t>,</w:t>
      </w:r>
      <w:r w:rsidRPr="00AA0399">
        <w:t xml:space="preserve"> tikėtina</w:t>
      </w:r>
      <w:r w:rsidR="004B72AE" w:rsidRPr="00AA0399">
        <w:t>,</w:t>
      </w:r>
      <w:r w:rsidRPr="00AA0399">
        <w:t xml:space="preserve"> paskatintų projektų srauto spartesnį formavimą</w:t>
      </w:r>
      <w:r w:rsidR="1FAFBC6A" w:rsidRPr="00AA0399">
        <w:t xml:space="preserve"> dėl didesnių paskatų </w:t>
      </w:r>
      <w:r w:rsidR="00CD749F" w:rsidRPr="001A20C8">
        <w:t>VJA</w:t>
      </w:r>
      <w:r w:rsidR="1FAFBC6A" w:rsidRPr="00AA0399">
        <w:t>.</w:t>
      </w:r>
      <w:r w:rsidRPr="00AA0399">
        <w:t xml:space="preserve"> </w:t>
      </w:r>
    </w:p>
    <w:p w14:paraId="0531BF8A" w14:textId="68A605EB" w:rsidR="00B06A01" w:rsidRPr="00AA0399" w:rsidRDefault="00B06A01">
      <w:pPr>
        <w:spacing w:line="276" w:lineRule="auto"/>
      </w:pPr>
      <w:r w:rsidRPr="00AA0399">
        <w:t xml:space="preserve">20–40 proc. siekiančią dotaciją taip pat rekomenduojama teikti ir AEIB tikslinės grupės atveju. </w:t>
      </w:r>
      <w:r w:rsidR="00643CB4" w:rsidRPr="00AA0399">
        <w:t>Svarbu pastebėti, kad</w:t>
      </w:r>
      <w:r w:rsidR="004B72AE" w:rsidRPr="00AA0399">
        <w:t>,</w:t>
      </w:r>
      <w:r w:rsidR="00643CB4" w:rsidRPr="00AA0399">
        <w:t xml:space="preserve"> kaip parodė jautrumo analizė, jeigu steigiama </w:t>
      </w:r>
      <w:r w:rsidR="00F6739B" w:rsidRPr="00AA0399">
        <w:t>AIEB</w:t>
      </w:r>
      <w:r w:rsidR="00616783" w:rsidRPr="00616783">
        <w:t xml:space="preserve"> </w:t>
      </w:r>
      <w:r w:rsidR="00616783">
        <w:t>ar</w:t>
      </w:r>
      <w:r w:rsidR="00616783" w:rsidRPr="00616783">
        <w:t xml:space="preserve"> PEB</w:t>
      </w:r>
      <w:r w:rsidR="00643CB4" w:rsidRPr="00AA0399">
        <w:t xml:space="preserve"> numato pasidalinti nauda su energetinį skurdą patiriančiais namų ūkiais, tai rekomenduojamas dotacijos intensyvumas turėtų siekti atiduotinų AEI pajėgumų dalį, tačiau neviršijant valstybės pagalbos ribų, numatytų valstybės pagalbos taisyklėse. Pavyzdžiui, jeigu planuojama paskirstyti 25 proc. pajėgumų, tai dotacijos intensyvumas turėtų siekti 25 proc. </w:t>
      </w:r>
    </w:p>
    <w:p w14:paraId="338B3E4F" w14:textId="67FFB090" w:rsidR="00643CB4" w:rsidRPr="00AA0399" w:rsidRDefault="00643CB4">
      <w:pPr>
        <w:spacing w:line="276" w:lineRule="auto"/>
      </w:pPr>
      <w:r w:rsidRPr="00AA0399">
        <w:lastRenderedPageBreak/>
        <w:t>Vis dėlto</w:t>
      </w:r>
      <w:r w:rsidR="004B72AE" w:rsidRPr="00AA0399">
        <w:t>,</w:t>
      </w:r>
      <w:r w:rsidRPr="00AA0399">
        <w:t xml:space="preserve"> optimalų dotacijų dydį</w:t>
      </w:r>
      <w:r w:rsidR="00B06A01" w:rsidRPr="00AA0399">
        <w:t xml:space="preserve"> abiejų tikslinių grupių atveju</w:t>
      </w:r>
      <w:r w:rsidRPr="00AA0399">
        <w:t xml:space="preserve"> turėtų nustatyti priemonės formuotojas</w:t>
      </w:r>
      <w:r w:rsidR="004B72AE" w:rsidRPr="00AA0399">
        <w:t>,</w:t>
      </w:r>
      <w:r w:rsidRPr="00AA0399">
        <w:t xml:space="preserve"> atsižvelgiant į tuo metu esančias rinkos sąlygas</w:t>
      </w:r>
      <w:r w:rsidR="00C919F7" w:rsidRPr="00AA0399">
        <w:t xml:space="preserve"> ir</w:t>
      </w:r>
      <w:r w:rsidRPr="00AA0399">
        <w:t xml:space="preserve"> poreikį didinti investicijų aprėptį.</w:t>
      </w:r>
      <w:r w:rsidR="00B06A01" w:rsidRPr="00AA0399">
        <w:t xml:space="preserve"> Taip pat pastebėtina, kad esant ribotoms dotacijos skyrimo galimybėms ar pasikeitus situacijai rinkoje (</w:t>
      </w:r>
      <w:r w:rsidR="004B72AE" w:rsidRPr="00AA0399">
        <w:t>pvz.</w:t>
      </w:r>
      <w:r w:rsidR="006A3C1E">
        <w:t>,</w:t>
      </w:r>
      <w:r w:rsidR="00B06A01" w:rsidRPr="00AA0399">
        <w:t xml:space="preserve"> ženkliai nukritus elektros kainoms ar pan.) ir sumažėjus projektų patrauklumui, rekomenduojama numatyti galimybę prailginti paskolos terminą iki 20–25 </w:t>
      </w:r>
      <w:r w:rsidR="004B72AE" w:rsidRPr="00AA0399">
        <w:t>m</w:t>
      </w:r>
      <w:r w:rsidR="00B06A01" w:rsidRPr="00AA0399">
        <w:t>.</w:t>
      </w:r>
      <w:r w:rsidR="00CC530F" w:rsidRPr="00AA0399">
        <w:t xml:space="preserve">, tačiau atsižvelgiant, </w:t>
      </w:r>
      <w:r w:rsidR="00CC530F" w:rsidRPr="00E24002">
        <w:t>kad paskolos laikotarpis negali viršyti naudingo investicijos tarnavimo laikotarpio.</w:t>
      </w:r>
    </w:p>
    <w:p w14:paraId="11DCDB9B" w14:textId="66B2142D" w:rsidR="00643CB4" w:rsidRPr="00D0006B" w:rsidRDefault="00643CB4" w:rsidP="00643CB4">
      <w:pPr>
        <w:spacing w:line="276" w:lineRule="auto"/>
        <w:sectPr w:rsidR="00643CB4" w:rsidRPr="00D0006B" w:rsidSect="00C234E6">
          <w:pgSz w:w="11906" w:h="16838"/>
          <w:pgMar w:top="1701" w:right="567" w:bottom="1134" w:left="1701" w:header="567" w:footer="567" w:gutter="0"/>
          <w:cols w:space="1296"/>
          <w:docGrid w:linePitch="360"/>
        </w:sectPr>
      </w:pPr>
    </w:p>
    <w:p w14:paraId="23505497" w14:textId="6B96F32C" w:rsidR="0056379A" w:rsidRPr="00D0006B" w:rsidRDefault="00600240" w:rsidP="00C9652A">
      <w:pPr>
        <w:spacing w:line="276" w:lineRule="auto"/>
        <w:ind w:firstLine="562"/>
      </w:pPr>
      <w:bookmarkStart w:id="192" w:name="_Toc126051410"/>
      <w:bookmarkStart w:id="193" w:name="_Toc166139880"/>
      <w:bookmarkStart w:id="194" w:name="_Toc170804646"/>
      <w:r w:rsidRPr="00D0006B">
        <w:rPr>
          <w:rFonts w:cs="Times New Roman"/>
          <w:i/>
          <w:iCs/>
        </w:rPr>
        <w:lastRenderedPageBreak/>
        <w:t xml:space="preserve">Lentelė </w:t>
      </w:r>
      <w:r w:rsidRPr="00D0006B">
        <w:rPr>
          <w:rFonts w:cs="Times New Roman"/>
          <w:i/>
          <w:iCs/>
        </w:rPr>
        <w:fldChar w:fldCharType="begin"/>
      </w:r>
      <w:r w:rsidRPr="00D0006B">
        <w:rPr>
          <w:rFonts w:cs="Times New Roman"/>
          <w:i/>
          <w:iCs/>
        </w:rPr>
        <w:instrText xml:space="preserve"> SEQ Lentelė \* ARABIC </w:instrText>
      </w:r>
      <w:r w:rsidRPr="00D0006B">
        <w:rPr>
          <w:rFonts w:cs="Times New Roman"/>
          <w:i/>
          <w:iCs/>
        </w:rPr>
        <w:fldChar w:fldCharType="separate"/>
      </w:r>
      <w:r w:rsidR="00347605">
        <w:rPr>
          <w:rFonts w:cs="Times New Roman"/>
          <w:i/>
          <w:iCs/>
          <w:noProof/>
        </w:rPr>
        <w:t>30</w:t>
      </w:r>
      <w:r w:rsidRPr="00D0006B">
        <w:rPr>
          <w:rFonts w:cs="Times New Roman"/>
          <w:i/>
          <w:iCs/>
        </w:rPr>
        <w:fldChar w:fldCharType="end"/>
      </w:r>
      <w:r w:rsidRPr="00D0006B">
        <w:rPr>
          <w:rFonts w:cs="Times New Roman"/>
          <w:i/>
          <w:iCs/>
        </w:rPr>
        <w:t>. Rekomenduojama investavimo strategija AEI projektams</w:t>
      </w:r>
      <w:bookmarkEnd w:id="192"/>
      <w:bookmarkEnd w:id="193"/>
      <w:bookmarkEnd w:id="194"/>
    </w:p>
    <w:tbl>
      <w:tblPr>
        <w:tblStyle w:val="Lentelstinklelis"/>
        <w:tblW w:w="14809" w:type="dxa"/>
        <w:tblLayout w:type="fixed"/>
        <w:tblLook w:val="04A0" w:firstRow="1" w:lastRow="0" w:firstColumn="1" w:lastColumn="0" w:noHBand="0" w:noVBand="1"/>
      </w:tblPr>
      <w:tblGrid>
        <w:gridCol w:w="1403"/>
        <w:gridCol w:w="1404"/>
        <w:gridCol w:w="1922"/>
        <w:gridCol w:w="2477"/>
        <w:gridCol w:w="4386"/>
        <w:gridCol w:w="3217"/>
      </w:tblGrid>
      <w:tr w:rsidR="00E127BF" w:rsidRPr="00D0006B" w14:paraId="12C6172F" w14:textId="0BF37740" w:rsidTr="00E24002">
        <w:trPr>
          <w:trHeight w:val="15"/>
        </w:trPr>
        <w:tc>
          <w:tcPr>
            <w:tcW w:w="1403" w:type="dxa"/>
            <w:vAlign w:val="center"/>
          </w:tcPr>
          <w:p w14:paraId="0AF99A2C" w14:textId="542E1A70" w:rsidR="00E127BF" w:rsidRPr="00D0006B" w:rsidRDefault="00E127BF" w:rsidP="000C6260">
            <w:pPr>
              <w:spacing w:after="0" w:line="276" w:lineRule="auto"/>
              <w:ind w:firstLine="0"/>
              <w:jc w:val="center"/>
              <w:rPr>
                <w:rFonts w:cs="Times New Roman"/>
                <w:b/>
                <w:bCs/>
                <w:sz w:val="18"/>
                <w:szCs w:val="18"/>
                <w:lang w:val="lt-LT"/>
              </w:rPr>
            </w:pPr>
            <w:r w:rsidRPr="00D0006B">
              <w:rPr>
                <w:rFonts w:cs="Times New Roman"/>
                <w:b/>
                <w:bCs/>
                <w:sz w:val="18"/>
                <w:szCs w:val="18"/>
                <w:lang w:val="lt-LT"/>
              </w:rPr>
              <w:t>Tikslinė grupė</w:t>
            </w:r>
          </w:p>
        </w:tc>
        <w:tc>
          <w:tcPr>
            <w:tcW w:w="1404" w:type="dxa"/>
          </w:tcPr>
          <w:p w14:paraId="72B015EC" w14:textId="246263C1" w:rsidR="00E127BF" w:rsidRPr="00D0006B" w:rsidRDefault="00E127BF">
            <w:pPr>
              <w:spacing w:after="0" w:line="276" w:lineRule="auto"/>
              <w:ind w:firstLine="0"/>
              <w:jc w:val="center"/>
              <w:rPr>
                <w:rFonts w:cs="Times New Roman"/>
                <w:b/>
                <w:bCs/>
                <w:sz w:val="18"/>
                <w:szCs w:val="18"/>
                <w:lang w:val="lt-LT"/>
              </w:rPr>
            </w:pPr>
            <w:r w:rsidRPr="00D0006B">
              <w:rPr>
                <w:rFonts w:cs="Times New Roman"/>
                <w:b/>
                <w:bCs/>
                <w:sz w:val="18"/>
                <w:szCs w:val="18"/>
                <w:lang w:val="lt-LT"/>
              </w:rPr>
              <w:t>FP</w:t>
            </w:r>
          </w:p>
        </w:tc>
        <w:tc>
          <w:tcPr>
            <w:tcW w:w="1922" w:type="dxa"/>
            <w:vAlign w:val="center"/>
          </w:tcPr>
          <w:p w14:paraId="249C49AD" w14:textId="2A35AF91" w:rsidR="00E127BF" w:rsidRPr="00D0006B" w:rsidRDefault="00E127BF" w:rsidP="000C6260">
            <w:pPr>
              <w:spacing w:after="0" w:line="276" w:lineRule="auto"/>
              <w:ind w:firstLine="0"/>
              <w:jc w:val="center"/>
              <w:rPr>
                <w:rFonts w:cs="Times New Roman"/>
                <w:b/>
                <w:bCs/>
                <w:sz w:val="18"/>
                <w:szCs w:val="18"/>
                <w:lang w:val="lt-LT"/>
              </w:rPr>
            </w:pPr>
            <w:r w:rsidRPr="00D0006B">
              <w:rPr>
                <w:rFonts w:cs="Times New Roman"/>
                <w:b/>
                <w:bCs/>
                <w:sz w:val="18"/>
                <w:szCs w:val="18"/>
                <w:lang w:val="lt-LT"/>
              </w:rPr>
              <w:t>Investuojamų viešų lėšų suma</w:t>
            </w:r>
          </w:p>
        </w:tc>
        <w:tc>
          <w:tcPr>
            <w:tcW w:w="2477" w:type="dxa"/>
            <w:vAlign w:val="center"/>
          </w:tcPr>
          <w:p w14:paraId="4DC058B3" w14:textId="6B393BB7" w:rsidR="00E127BF" w:rsidRPr="00D0006B" w:rsidRDefault="00E127BF" w:rsidP="000C6260">
            <w:pPr>
              <w:spacing w:after="0" w:line="276" w:lineRule="auto"/>
              <w:ind w:firstLine="0"/>
              <w:jc w:val="center"/>
              <w:rPr>
                <w:rFonts w:cs="Times New Roman"/>
                <w:b/>
                <w:bCs/>
                <w:sz w:val="18"/>
                <w:szCs w:val="18"/>
                <w:lang w:val="lt-LT"/>
              </w:rPr>
            </w:pPr>
            <w:r w:rsidRPr="00D0006B">
              <w:rPr>
                <w:rFonts w:cs="Times New Roman"/>
                <w:b/>
                <w:bCs/>
                <w:sz w:val="18"/>
                <w:szCs w:val="18"/>
                <w:lang w:val="lt-LT"/>
              </w:rPr>
              <w:t>Paskolos terminas</w:t>
            </w:r>
          </w:p>
        </w:tc>
        <w:tc>
          <w:tcPr>
            <w:tcW w:w="4386" w:type="dxa"/>
            <w:vAlign w:val="center"/>
          </w:tcPr>
          <w:p w14:paraId="6DBEB1F6" w14:textId="4E642A24" w:rsidR="00E127BF" w:rsidRPr="00D0006B" w:rsidRDefault="00E127BF" w:rsidP="000C6260">
            <w:pPr>
              <w:spacing w:after="0" w:line="276" w:lineRule="auto"/>
              <w:ind w:firstLine="0"/>
              <w:jc w:val="center"/>
              <w:rPr>
                <w:rFonts w:cs="Times New Roman"/>
                <w:b/>
                <w:bCs/>
                <w:sz w:val="18"/>
                <w:szCs w:val="18"/>
                <w:lang w:val="lt-LT"/>
              </w:rPr>
            </w:pPr>
            <w:r w:rsidRPr="00D0006B">
              <w:rPr>
                <w:rFonts w:cs="Times New Roman"/>
                <w:b/>
                <w:bCs/>
                <w:sz w:val="18"/>
                <w:szCs w:val="18"/>
                <w:lang w:val="lt-LT"/>
              </w:rPr>
              <w:t>Papildomos paskatos / derinimas su kitomis priemonėmis</w:t>
            </w:r>
          </w:p>
        </w:tc>
        <w:tc>
          <w:tcPr>
            <w:tcW w:w="3217" w:type="dxa"/>
            <w:vAlign w:val="center"/>
          </w:tcPr>
          <w:p w14:paraId="16329ADC" w14:textId="73B18E1A" w:rsidR="00E127BF" w:rsidRPr="00D0006B" w:rsidRDefault="00E127BF" w:rsidP="000C6260">
            <w:pPr>
              <w:spacing w:after="0" w:line="276" w:lineRule="auto"/>
              <w:ind w:firstLine="0"/>
              <w:jc w:val="center"/>
              <w:rPr>
                <w:rFonts w:cs="Times New Roman"/>
                <w:b/>
                <w:bCs/>
                <w:sz w:val="18"/>
                <w:szCs w:val="18"/>
                <w:lang w:val="lt-LT"/>
              </w:rPr>
            </w:pPr>
            <w:r w:rsidRPr="00D0006B">
              <w:rPr>
                <w:rFonts w:cs="Times New Roman"/>
                <w:b/>
                <w:bCs/>
                <w:sz w:val="18"/>
                <w:szCs w:val="18"/>
                <w:lang w:val="lt-LT"/>
              </w:rPr>
              <w:t>GG</w:t>
            </w:r>
          </w:p>
        </w:tc>
      </w:tr>
      <w:tr w:rsidR="00E127BF" w:rsidRPr="00D0006B" w14:paraId="7CD6EE0D" w14:textId="2E6B9DC6" w:rsidTr="007863F6">
        <w:trPr>
          <w:trHeight w:val="1866"/>
        </w:trPr>
        <w:tc>
          <w:tcPr>
            <w:tcW w:w="1403" w:type="dxa"/>
            <w:vAlign w:val="center"/>
          </w:tcPr>
          <w:p w14:paraId="54741CFF" w14:textId="2A771539" w:rsidR="00E127BF" w:rsidRPr="00D0006B" w:rsidRDefault="00E127BF" w:rsidP="00C9652A">
            <w:pPr>
              <w:spacing w:after="0" w:line="276" w:lineRule="auto"/>
              <w:ind w:firstLine="0"/>
              <w:jc w:val="left"/>
              <w:rPr>
                <w:rFonts w:cs="Times New Roman"/>
                <w:sz w:val="18"/>
                <w:szCs w:val="18"/>
                <w:lang w:val="lt-LT"/>
              </w:rPr>
            </w:pPr>
            <w:r w:rsidRPr="00D0006B">
              <w:rPr>
                <w:rFonts w:cs="Times New Roman"/>
                <w:sz w:val="18"/>
                <w:szCs w:val="18"/>
                <w:lang w:val="lt-LT"/>
              </w:rPr>
              <w:t>Verslas (labai mažos, mažos įmonės, vidutinės ir didelės įmonės)</w:t>
            </w:r>
          </w:p>
        </w:tc>
        <w:tc>
          <w:tcPr>
            <w:tcW w:w="1404" w:type="dxa"/>
            <w:vMerge w:val="restart"/>
            <w:vAlign w:val="center"/>
          </w:tcPr>
          <w:p w14:paraId="5CD6F706" w14:textId="62B673D2" w:rsidR="00E127BF" w:rsidRPr="00D0006B" w:rsidRDefault="00E127BF" w:rsidP="002128E0">
            <w:pPr>
              <w:spacing w:after="0" w:line="276" w:lineRule="auto"/>
              <w:ind w:firstLine="0"/>
              <w:jc w:val="center"/>
              <w:rPr>
                <w:rFonts w:cs="Times New Roman"/>
                <w:sz w:val="18"/>
                <w:szCs w:val="18"/>
                <w:lang w:val="lt-LT"/>
              </w:rPr>
            </w:pPr>
            <w:r>
              <w:rPr>
                <w:rFonts w:cs="Times New Roman"/>
                <w:sz w:val="18"/>
                <w:szCs w:val="18"/>
                <w:lang w:val="lt-LT"/>
              </w:rPr>
              <w:t>Paskolos</w:t>
            </w:r>
          </w:p>
        </w:tc>
        <w:tc>
          <w:tcPr>
            <w:tcW w:w="1922" w:type="dxa"/>
            <w:vMerge w:val="restart"/>
            <w:vAlign w:val="center"/>
          </w:tcPr>
          <w:p w14:paraId="3F1A00C4" w14:textId="39EACF41"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Rekomenduojama pasinaudoti EGADP suteikta galimybe pasiskolinti papildomas lėšas paskoloms. Šias lėšas galima būtų panaudoti identifikuotų tikslinių grupių finansavimui.</w:t>
            </w:r>
          </w:p>
          <w:p w14:paraId="058941F3" w14:textId="3B93292C"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Lėšų pasiskirstymą tarp tikslinių grupių turėtų numatyti priemonės formuotojas. Vis dėlto, svarbu pastebėti, kad „stringant“ vienos tikslinės grupės finansavimui, turi būti sudaryta galimybė tos tikslinės grupės lėšas perskirstyti kitoms tikslinėms grupėms, kuriose projektai yra sėkmingiau finansuojami.</w:t>
            </w:r>
          </w:p>
        </w:tc>
        <w:tc>
          <w:tcPr>
            <w:tcW w:w="2477" w:type="dxa"/>
            <w:vAlign w:val="center"/>
          </w:tcPr>
          <w:p w14:paraId="73554CAE" w14:textId="550ED0FD"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 xml:space="preserve">Optimalų paskolos terminą turėtų numatyti priemonės formuotojas. </w:t>
            </w:r>
          </w:p>
        </w:tc>
        <w:tc>
          <w:tcPr>
            <w:tcW w:w="4386" w:type="dxa"/>
            <w:vAlign w:val="center"/>
          </w:tcPr>
          <w:p w14:paraId="6246794F" w14:textId="1518DB58" w:rsidR="00E127BF" w:rsidRPr="00D0006B" w:rsidRDefault="00E127BF" w:rsidP="004B72AE">
            <w:pPr>
              <w:spacing w:after="0" w:line="276" w:lineRule="auto"/>
              <w:ind w:firstLine="0"/>
              <w:rPr>
                <w:rFonts w:cs="Times New Roman"/>
                <w:sz w:val="18"/>
                <w:szCs w:val="18"/>
                <w:lang w:val="lt-LT"/>
              </w:rPr>
            </w:pPr>
            <w:r>
              <w:rPr>
                <w:rFonts w:cs="Times New Roman"/>
                <w:sz w:val="18"/>
                <w:szCs w:val="18"/>
                <w:lang w:val="lt-LT"/>
              </w:rPr>
              <w:t>Esant galimybėms, galimas derinimas su dotacijomis. Derinimas su dotacijomis prisidėtų prie spartesnio projektų srauto formavimo</w:t>
            </w:r>
            <w:r w:rsidR="00644909">
              <w:rPr>
                <w:rFonts w:cs="Times New Roman"/>
                <w:sz w:val="18"/>
                <w:szCs w:val="18"/>
                <w:lang w:val="lt-LT"/>
              </w:rPr>
              <w:t xml:space="preserve">, </w:t>
            </w:r>
            <w:r w:rsidR="00644909" w:rsidRPr="00D0006B">
              <w:rPr>
                <w:rFonts w:cs="Times New Roman"/>
                <w:sz w:val="18"/>
                <w:szCs w:val="18"/>
                <w:lang w:val="lt-LT"/>
              </w:rPr>
              <w:t>tačiau neviršijant valstybės pagalbos ribų, numatytų Valstybės pagalbos taisyklėse.</w:t>
            </w:r>
          </w:p>
        </w:tc>
        <w:tc>
          <w:tcPr>
            <w:tcW w:w="3217" w:type="dxa"/>
            <w:vAlign w:val="center"/>
          </w:tcPr>
          <w:p w14:paraId="71908314" w14:textId="0F775830" w:rsidR="00E127BF" w:rsidRPr="00D0006B" w:rsidRDefault="00E127BF" w:rsidP="004B72AE">
            <w:pPr>
              <w:spacing w:after="0" w:line="276" w:lineRule="auto"/>
              <w:ind w:firstLine="0"/>
              <w:rPr>
                <w:rFonts w:cs="Times New Roman"/>
                <w:sz w:val="18"/>
                <w:szCs w:val="18"/>
                <w:lang w:val="lt-LT"/>
              </w:rPr>
            </w:pPr>
            <w:r w:rsidRPr="2B4978C5">
              <w:rPr>
                <w:rFonts w:cs="Times New Roman"/>
                <w:sz w:val="18"/>
                <w:szCs w:val="18"/>
                <w:lang w:val="lt-LT"/>
              </w:rPr>
              <w:t>Lietuvoje veikiantys verslo subjektai</w:t>
            </w:r>
          </w:p>
        </w:tc>
      </w:tr>
      <w:tr w:rsidR="00E127BF" w:rsidRPr="00D0006B" w14:paraId="251E527D" w14:textId="636DCD8E" w:rsidTr="004B72AE">
        <w:trPr>
          <w:trHeight w:val="1409"/>
        </w:trPr>
        <w:tc>
          <w:tcPr>
            <w:tcW w:w="1403" w:type="dxa"/>
            <w:vAlign w:val="center"/>
          </w:tcPr>
          <w:p w14:paraId="189E6D8E" w14:textId="34744B5C" w:rsidR="00E127BF" w:rsidRPr="00D0006B" w:rsidRDefault="00CD749F" w:rsidP="000C6260">
            <w:pPr>
              <w:spacing w:after="0" w:line="276" w:lineRule="auto"/>
              <w:ind w:firstLine="0"/>
              <w:jc w:val="left"/>
              <w:rPr>
                <w:rFonts w:cs="Times New Roman"/>
                <w:sz w:val="18"/>
                <w:szCs w:val="18"/>
                <w:lang w:val="lt-LT"/>
              </w:rPr>
            </w:pPr>
            <w:r w:rsidRPr="00262E40">
              <w:rPr>
                <w:rFonts w:cs="Times New Roman"/>
                <w:sz w:val="18"/>
                <w:szCs w:val="18"/>
                <w:lang w:val="lt-LT"/>
              </w:rPr>
              <w:t>VJA</w:t>
            </w:r>
          </w:p>
        </w:tc>
        <w:tc>
          <w:tcPr>
            <w:tcW w:w="1404" w:type="dxa"/>
            <w:vMerge/>
            <w:vAlign w:val="center"/>
          </w:tcPr>
          <w:p w14:paraId="5E640152" w14:textId="3CFA7CD7" w:rsidR="00E127BF" w:rsidRPr="00D0006B" w:rsidRDefault="00E127BF">
            <w:pPr>
              <w:spacing w:after="0" w:line="276" w:lineRule="auto"/>
              <w:ind w:firstLine="0"/>
              <w:jc w:val="center"/>
              <w:rPr>
                <w:rFonts w:cs="Times New Roman"/>
                <w:sz w:val="18"/>
                <w:szCs w:val="18"/>
                <w:lang w:val="lt-LT"/>
              </w:rPr>
            </w:pPr>
          </w:p>
        </w:tc>
        <w:tc>
          <w:tcPr>
            <w:tcW w:w="1922" w:type="dxa"/>
            <w:vMerge/>
          </w:tcPr>
          <w:p w14:paraId="10DD92CB" w14:textId="56B48D03" w:rsidR="00E127BF" w:rsidRPr="00D0006B" w:rsidRDefault="00E127BF" w:rsidP="004B72AE">
            <w:pPr>
              <w:spacing w:after="0" w:line="276" w:lineRule="auto"/>
              <w:ind w:firstLine="0"/>
              <w:rPr>
                <w:rFonts w:cs="Times New Roman"/>
                <w:sz w:val="18"/>
                <w:szCs w:val="18"/>
                <w:lang w:val="lt-LT"/>
              </w:rPr>
            </w:pPr>
          </w:p>
        </w:tc>
        <w:tc>
          <w:tcPr>
            <w:tcW w:w="2477" w:type="dxa"/>
            <w:vMerge w:val="restart"/>
            <w:vAlign w:val="center"/>
          </w:tcPr>
          <w:p w14:paraId="1F60954C" w14:textId="6470BADE" w:rsidR="00E127BF" w:rsidRPr="00D0006B" w:rsidRDefault="00E127BF" w:rsidP="00644909">
            <w:pPr>
              <w:spacing w:after="0" w:line="276" w:lineRule="auto"/>
              <w:ind w:firstLine="0"/>
              <w:rPr>
                <w:rFonts w:cs="Times New Roman"/>
                <w:sz w:val="18"/>
                <w:szCs w:val="18"/>
                <w:lang w:val="lt-LT"/>
              </w:rPr>
            </w:pPr>
            <w:r w:rsidRPr="00D0006B">
              <w:rPr>
                <w:rFonts w:cs="Times New Roman"/>
                <w:sz w:val="18"/>
                <w:szCs w:val="18"/>
                <w:lang w:val="lt-LT"/>
              </w:rPr>
              <w:t>Optimalų paskolos terminą turėtų numatyti priemonės formuotojas</w:t>
            </w:r>
            <w:r w:rsidR="00644909">
              <w:rPr>
                <w:rFonts w:cs="Times New Roman"/>
                <w:sz w:val="18"/>
                <w:szCs w:val="18"/>
                <w:lang w:val="lt-LT"/>
              </w:rPr>
              <w:t>.</w:t>
            </w:r>
            <w:r w:rsidRPr="00D0006B">
              <w:rPr>
                <w:rFonts w:cs="Times New Roman"/>
                <w:sz w:val="18"/>
                <w:szCs w:val="18"/>
                <w:lang w:val="lt-LT"/>
              </w:rPr>
              <w:t xml:space="preserve"> </w:t>
            </w:r>
          </w:p>
        </w:tc>
        <w:tc>
          <w:tcPr>
            <w:tcW w:w="4386" w:type="dxa"/>
            <w:vAlign w:val="center"/>
          </w:tcPr>
          <w:p w14:paraId="67DC9FA5" w14:textId="768B0373"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 xml:space="preserve">20–40 proc. dotacijos intensyvumas užtikrintų projektų atsiperkamumą per 15 </w:t>
            </w:r>
            <w:r w:rsidR="004B72AE">
              <w:rPr>
                <w:rFonts w:cs="Times New Roman"/>
                <w:sz w:val="18"/>
                <w:szCs w:val="18"/>
                <w:lang w:val="lt-LT"/>
              </w:rPr>
              <w:t>m</w:t>
            </w:r>
            <w:r w:rsidRPr="00D0006B">
              <w:rPr>
                <w:rFonts w:cs="Times New Roman"/>
                <w:sz w:val="18"/>
                <w:szCs w:val="18"/>
                <w:lang w:val="lt-LT"/>
              </w:rPr>
              <w:t>. Vis dėlto, optimalų dotacijų intensyvumą turėtų numatyti priemonės formuotojas atsižvelgiant į poreikį didinti AEI investicijų aprėptį</w:t>
            </w:r>
            <w:r w:rsidR="00644909">
              <w:rPr>
                <w:rFonts w:cs="Times New Roman"/>
                <w:sz w:val="18"/>
                <w:szCs w:val="18"/>
                <w:lang w:val="lt-LT"/>
              </w:rPr>
              <w:t xml:space="preserve">, </w:t>
            </w:r>
            <w:r w:rsidR="00644909" w:rsidRPr="00D0006B">
              <w:rPr>
                <w:rFonts w:cs="Times New Roman"/>
                <w:sz w:val="18"/>
                <w:szCs w:val="18"/>
                <w:lang w:val="lt-LT"/>
              </w:rPr>
              <w:t>tačiau neviršijant valstybės pagalbos ribų, numatytų Valstybės pagalbos taisyklėse.</w:t>
            </w:r>
          </w:p>
        </w:tc>
        <w:tc>
          <w:tcPr>
            <w:tcW w:w="3217" w:type="dxa"/>
            <w:vAlign w:val="center"/>
          </w:tcPr>
          <w:p w14:paraId="0673B6C0" w14:textId="53BDC7B7" w:rsidR="00E127BF" w:rsidRPr="00E24002" w:rsidRDefault="00BF539D" w:rsidP="004B72AE">
            <w:pPr>
              <w:spacing w:after="0" w:line="276" w:lineRule="auto"/>
              <w:ind w:firstLine="0"/>
              <w:rPr>
                <w:sz w:val="18"/>
                <w:highlight w:val="yellow"/>
                <w:lang w:val="lt-LT"/>
              </w:rPr>
            </w:pPr>
            <w:r>
              <w:rPr>
                <w:rFonts w:cs="Times New Roman"/>
                <w:sz w:val="18"/>
                <w:szCs w:val="18"/>
                <w:lang w:val="lt-LT"/>
              </w:rPr>
              <w:t xml:space="preserve">VJA </w:t>
            </w:r>
            <w:r w:rsidR="00E127BF" w:rsidRPr="00814103">
              <w:rPr>
                <w:rFonts w:cs="Times New Roman"/>
                <w:sz w:val="18"/>
                <w:szCs w:val="18"/>
                <w:lang w:val="lt-LT"/>
              </w:rPr>
              <w:t>(Turto bankas, savivaldybių administracijos, valstybinės įmonės, universitetai, kolegijos ir t.t.)</w:t>
            </w:r>
          </w:p>
        </w:tc>
      </w:tr>
      <w:tr w:rsidR="00E127BF" w:rsidRPr="00D0006B" w14:paraId="5A274C4B" w14:textId="2036A863" w:rsidTr="007863F6">
        <w:trPr>
          <w:trHeight w:val="15"/>
        </w:trPr>
        <w:tc>
          <w:tcPr>
            <w:tcW w:w="1403" w:type="dxa"/>
            <w:vAlign w:val="center"/>
          </w:tcPr>
          <w:p w14:paraId="174F5669" w14:textId="054D7A8D" w:rsidR="00E127BF" w:rsidRPr="00D0006B" w:rsidRDefault="00E127BF" w:rsidP="000C6260">
            <w:pPr>
              <w:spacing w:after="0" w:line="276" w:lineRule="auto"/>
              <w:ind w:firstLine="0"/>
              <w:jc w:val="left"/>
              <w:rPr>
                <w:rFonts w:cs="Times New Roman"/>
                <w:sz w:val="18"/>
                <w:szCs w:val="18"/>
                <w:lang w:val="lt-LT"/>
              </w:rPr>
            </w:pPr>
            <w:r w:rsidRPr="00D0006B">
              <w:rPr>
                <w:rFonts w:cs="Times New Roman"/>
                <w:sz w:val="18"/>
                <w:szCs w:val="18"/>
                <w:lang w:val="lt-LT"/>
              </w:rPr>
              <w:t>AIEB</w:t>
            </w:r>
            <w:r w:rsidR="00296B5D">
              <w:t xml:space="preserve"> </w:t>
            </w:r>
            <w:r w:rsidR="00296B5D" w:rsidRPr="00296B5D">
              <w:rPr>
                <w:rFonts w:cs="Times New Roman"/>
                <w:sz w:val="18"/>
                <w:szCs w:val="18"/>
                <w:lang w:val="lt-LT"/>
              </w:rPr>
              <w:t>bei PEB</w:t>
            </w:r>
          </w:p>
        </w:tc>
        <w:tc>
          <w:tcPr>
            <w:tcW w:w="1404" w:type="dxa"/>
            <w:vMerge/>
          </w:tcPr>
          <w:p w14:paraId="5F4D0B90" w14:textId="77777777" w:rsidR="00E127BF" w:rsidRPr="00D0006B" w:rsidRDefault="00E127BF" w:rsidP="000C6260">
            <w:pPr>
              <w:spacing w:after="0" w:line="276" w:lineRule="auto"/>
              <w:ind w:firstLine="0"/>
              <w:rPr>
                <w:rFonts w:cs="Times New Roman"/>
                <w:sz w:val="18"/>
                <w:szCs w:val="18"/>
                <w:lang w:val="lt-LT"/>
              </w:rPr>
            </w:pPr>
          </w:p>
        </w:tc>
        <w:tc>
          <w:tcPr>
            <w:tcW w:w="1922" w:type="dxa"/>
            <w:vMerge/>
          </w:tcPr>
          <w:p w14:paraId="59B2BB2E" w14:textId="7936B7E7" w:rsidR="00E127BF" w:rsidRPr="00D0006B" w:rsidRDefault="00E127BF" w:rsidP="004B72AE">
            <w:pPr>
              <w:spacing w:after="0" w:line="276" w:lineRule="auto"/>
              <w:ind w:firstLine="0"/>
              <w:rPr>
                <w:rFonts w:cs="Times New Roman"/>
                <w:sz w:val="18"/>
                <w:szCs w:val="18"/>
                <w:lang w:val="lt-LT"/>
              </w:rPr>
            </w:pPr>
          </w:p>
        </w:tc>
        <w:tc>
          <w:tcPr>
            <w:tcW w:w="2477" w:type="dxa"/>
            <w:vMerge/>
          </w:tcPr>
          <w:p w14:paraId="49B71FEC" w14:textId="7D508C65" w:rsidR="00E127BF" w:rsidRPr="00D0006B" w:rsidRDefault="00E127BF" w:rsidP="004B72AE">
            <w:pPr>
              <w:spacing w:after="0" w:line="276" w:lineRule="auto"/>
              <w:ind w:firstLine="0"/>
              <w:rPr>
                <w:rFonts w:cs="Times New Roman"/>
                <w:sz w:val="18"/>
                <w:szCs w:val="18"/>
                <w:lang w:val="lt-LT"/>
              </w:rPr>
            </w:pPr>
          </w:p>
        </w:tc>
        <w:tc>
          <w:tcPr>
            <w:tcW w:w="4386" w:type="dxa"/>
            <w:vAlign w:val="center"/>
          </w:tcPr>
          <w:p w14:paraId="1C589026" w14:textId="7C1AC628"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 xml:space="preserve">20–40 proc. dotacijos intensyvumas užtikrintų projektų atsiperkamumą per 15 </w:t>
            </w:r>
            <w:r w:rsidR="004B72AE">
              <w:rPr>
                <w:rFonts w:cs="Times New Roman"/>
                <w:sz w:val="18"/>
                <w:szCs w:val="18"/>
                <w:lang w:val="lt-LT"/>
              </w:rPr>
              <w:t>m</w:t>
            </w:r>
            <w:r w:rsidRPr="00D0006B">
              <w:rPr>
                <w:rFonts w:cs="Times New Roman"/>
                <w:sz w:val="18"/>
                <w:szCs w:val="18"/>
                <w:lang w:val="lt-LT"/>
              </w:rPr>
              <w:t>. Vis dėlto, optimalų dotacijų intensyvumą turėtų numatyti priemonės formuotojas atsižvelgiant į poreikį didinti AEI investicijų aprėptį</w:t>
            </w:r>
            <w:r w:rsidR="00A46FFB">
              <w:rPr>
                <w:rFonts w:cs="Times New Roman"/>
                <w:sz w:val="18"/>
                <w:szCs w:val="18"/>
                <w:lang w:val="lt-LT"/>
              </w:rPr>
              <w:t>.</w:t>
            </w:r>
            <w:r w:rsidRPr="00D0006B">
              <w:rPr>
                <w:rFonts w:cs="Times New Roman"/>
                <w:sz w:val="18"/>
                <w:szCs w:val="18"/>
                <w:lang w:val="lt-LT"/>
              </w:rPr>
              <w:t xml:space="preserve"> Jeigu steigiama AIEB </w:t>
            </w:r>
            <w:r w:rsidR="004048AA">
              <w:rPr>
                <w:rFonts w:cs="Times New Roman"/>
                <w:sz w:val="18"/>
                <w:szCs w:val="18"/>
                <w:lang w:val="lt-LT"/>
              </w:rPr>
              <w:t>ar</w:t>
            </w:r>
            <w:r w:rsidR="00296B5D" w:rsidRPr="00296B5D">
              <w:rPr>
                <w:rFonts w:cs="Times New Roman"/>
                <w:sz w:val="18"/>
                <w:szCs w:val="18"/>
                <w:lang w:val="lt-LT"/>
              </w:rPr>
              <w:t xml:space="preserve"> PEB </w:t>
            </w:r>
            <w:r w:rsidRPr="00D0006B">
              <w:rPr>
                <w:rFonts w:cs="Times New Roman"/>
                <w:sz w:val="18"/>
                <w:szCs w:val="18"/>
                <w:lang w:val="lt-LT"/>
              </w:rPr>
              <w:t xml:space="preserve">numato pasidalinti nauda su energetinį nepriteklių patiriančiais namų ūkiais, tai rekomenduojamas dotacijos intensyvumas turėtų siekti atiduotinų AEI pajėgumų dalį, tačiau neviršijant valstybės pagalbos ribų, numatytų Valstybės pagalbos taisyklėse. </w:t>
            </w:r>
          </w:p>
        </w:tc>
        <w:tc>
          <w:tcPr>
            <w:tcW w:w="3217" w:type="dxa"/>
            <w:vAlign w:val="center"/>
          </w:tcPr>
          <w:p w14:paraId="6BE6A020" w14:textId="3DDC5432" w:rsidR="00E127BF" w:rsidRPr="00D0006B" w:rsidRDefault="00E127BF" w:rsidP="004B72AE">
            <w:pPr>
              <w:spacing w:after="0" w:line="276" w:lineRule="auto"/>
              <w:ind w:firstLine="0"/>
              <w:rPr>
                <w:rFonts w:cs="Times New Roman"/>
                <w:sz w:val="18"/>
                <w:szCs w:val="18"/>
                <w:lang w:val="lt-LT"/>
              </w:rPr>
            </w:pPr>
            <w:r w:rsidRPr="00D0006B">
              <w:rPr>
                <w:rFonts w:cs="Times New Roman"/>
                <w:sz w:val="18"/>
                <w:szCs w:val="18"/>
                <w:lang w:val="lt-LT"/>
              </w:rPr>
              <w:t>Energetinį nepriteklių patiriantys asmenys, savivaldybių administracijos, AIEB</w:t>
            </w:r>
            <w:r w:rsidR="00C26801">
              <w:t xml:space="preserve"> </w:t>
            </w:r>
            <w:r w:rsidR="00C26801">
              <w:rPr>
                <w:rFonts w:cs="Times New Roman"/>
                <w:sz w:val="18"/>
                <w:szCs w:val="18"/>
                <w:lang w:val="lt-LT"/>
              </w:rPr>
              <w:t>ar</w:t>
            </w:r>
            <w:r w:rsidR="00C26801" w:rsidRPr="00C26801">
              <w:rPr>
                <w:rFonts w:cs="Times New Roman"/>
                <w:sz w:val="18"/>
                <w:szCs w:val="18"/>
                <w:lang w:val="lt-LT"/>
              </w:rPr>
              <w:t xml:space="preserve"> PEB</w:t>
            </w:r>
            <w:r w:rsidRPr="00D0006B">
              <w:rPr>
                <w:rFonts w:cs="Times New Roman"/>
                <w:sz w:val="18"/>
                <w:szCs w:val="18"/>
                <w:lang w:val="lt-LT"/>
              </w:rPr>
              <w:t xml:space="preserve"> nariai</w:t>
            </w:r>
          </w:p>
        </w:tc>
      </w:tr>
    </w:tbl>
    <w:p w14:paraId="5AFC3701" w14:textId="77777777" w:rsidR="00600240" w:rsidRPr="00D0006B" w:rsidRDefault="00600240" w:rsidP="00600240">
      <w:pPr>
        <w:keepNext/>
        <w:ind w:firstLine="562"/>
        <w:jc w:val="left"/>
        <w:rPr>
          <w:rFonts w:cs="Times New Roman"/>
          <w:sz w:val="20"/>
          <w:szCs w:val="20"/>
        </w:rPr>
      </w:pPr>
      <w:r w:rsidRPr="00D0006B">
        <w:rPr>
          <w:rFonts w:cs="Times New Roman"/>
          <w:sz w:val="20"/>
          <w:szCs w:val="20"/>
        </w:rPr>
        <w:t>Šaltinis: sudaryta Vertintojų</w:t>
      </w:r>
    </w:p>
    <w:p w14:paraId="3BD932D6" w14:textId="77777777" w:rsidR="00582F52" w:rsidRPr="00D0006B" w:rsidRDefault="00582F52" w:rsidP="00516B3E">
      <w:pPr>
        <w:spacing w:line="276" w:lineRule="auto"/>
        <w:ind w:firstLine="0"/>
        <w:sectPr w:rsidR="00582F52" w:rsidRPr="00D0006B" w:rsidSect="00C234E6">
          <w:pgSz w:w="16838" w:h="11906" w:orient="landscape"/>
          <w:pgMar w:top="1701" w:right="1701" w:bottom="567" w:left="1134" w:header="567" w:footer="567" w:gutter="0"/>
          <w:cols w:space="1296"/>
          <w:docGrid w:linePitch="360"/>
        </w:sectPr>
      </w:pPr>
    </w:p>
    <w:p w14:paraId="63F789C5" w14:textId="2F0FF219" w:rsidR="00103D8D" w:rsidRPr="00D0006B" w:rsidRDefault="00AC09CA" w:rsidP="00AB673E">
      <w:pPr>
        <w:pStyle w:val="Antrat1"/>
        <w:numPr>
          <w:ilvl w:val="0"/>
          <w:numId w:val="3"/>
        </w:numPr>
        <w:ind w:left="360"/>
        <w:rPr>
          <w:rFonts w:cs="Times New Roman"/>
        </w:rPr>
      </w:pPr>
      <w:bookmarkStart w:id="195" w:name="_Toc126051372"/>
      <w:bookmarkStart w:id="196" w:name="_Toc166139847"/>
      <w:bookmarkStart w:id="197" w:name="_Toc170804609"/>
      <w:r w:rsidRPr="00D0006B">
        <w:rPr>
          <w:rFonts w:cs="Times New Roman"/>
        </w:rPr>
        <w:lastRenderedPageBreak/>
        <w:t>Sverto efekto skaičiavimas</w:t>
      </w:r>
      <w:bookmarkEnd w:id="195"/>
      <w:bookmarkEnd w:id="196"/>
      <w:bookmarkEnd w:id="197"/>
    </w:p>
    <w:p w14:paraId="2A6D2395" w14:textId="4E02BE7E" w:rsidR="00103D8D" w:rsidRPr="00D0006B" w:rsidRDefault="00103D8D" w:rsidP="007F69DE">
      <w:pPr>
        <w:spacing w:line="276" w:lineRule="auto"/>
        <w:ind w:firstLine="562"/>
        <w:rPr>
          <w:rFonts w:cs="Times New Roman"/>
        </w:rPr>
      </w:pPr>
      <w:r w:rsidRPr="00D0006B">
        <w:t>Šiame skyriuje pateikiamas numatomo sverto efekto skaičiavimas skyriuje siūlomoms investavimo strategijoms ir FP. Sverto efektas buvo paskaičiuotas remiantis 20</w:t>
      </w:r>
      <w:r w:rsidR="000F48A4" w:rsidRPr="00D0006B">
        <w:t>21</w:t>
      </w:r>
      <w:r w:rsidRPr="00D0006B">
        <w:t>–202</w:t>
      </w:r>
      <w:r w:rsidR="000F48A4" w:rsidRPr="00D0006B">
        <w:t>7</w:t>
      </w:r>
      <w:r w:rsidRPr="00D0006B">
        <w:t xml:space="preserve"> m. ES SF lėšomis planuojamų finansuoti finansinių instrumentų </w:t>
      </w:r>
      <w:proofErr w:type="spellStart"/>
      <w:r w:rsidRPr="00D0006B">
        <w:rPr>
          <w:i/>
          <w:iCs/>
        </w:rPr>
        <w:t>ex</w:t>
      </w:r>
      <w:proofErr w:type="spellEnd"/>
      <w:r w:rsidRPr="00D0006B">
        <w:rPr>
          <w:i/>
          <w:iCs/>
        </w:rPr>
        <w:t xml:space="preserve"> </w:t>
      </w:r>
      <w:proofErr w:type="spellStart"/>
      <w:r w:rsidRPr="00D0006B">
        <w:rPr>
          <w:i/>
          <w:iCs/>
        </w:rPr>
        <w:t>ante</w:t>
      </w:r>
      <w:proofErr w:type="spellEnd"/>
      <w:r w:rsidRPr="00D0006B">
        <w:rPr>
          <w:i/>
          <w:iCs/>
        </w:rPr>
        <w:t xml:space="preserve"> </w:t>
      </w:r>
      <w:r w:rsidRPr="00D0006B">
        <w:t>vertinimo metodologija ir EK parengtomis gairėmis, skirtomis ES valstybėms narėms FP vertinimo ataskaitoms pateikti. Pagal Finansinio reglamento 140 straipsnio ir 223 straipsnio dalis</w:t>
      </w:r>
      <w:r w:rsidR="004B72AE">
        <w:t>,</w:t>
      </w:r>
      <w:r w:rsidRPr="00D0006B">
        <w:t xml:space="preserve"> sverto efektas apskaičiuojamas sudėjus visą GNG prieinamą finansavimo sumą ir padalinus ją iš ES SF skirtų lėšų.</w:t>
      </w:r>
      <w:r w:rsidRPr="00D0006B">
        <w:rPr>
          <w:rFonts w:cs="Times New Roman"/>
        </w:rPr>
        <w:t xml:space="preserve"> </w:t>
      </w:r>
    </w:p>
    <w:p w14:paraId="0ABB39D5" w14:textId="279268C6" w:rsidR="004E7225" w:rsidRPr="00D0006B" w:rsidRDefault="00103D8D" w:rsidP="007F69DE">
      <w:pPr>
        <w:spacing w:line="276" w:lineRule="auto"/>
        <w:ind w:firstLine="562"/>
      </w:pPr>
      <w:r w:rsidRPr="00D0006B">
        <w:t>Sverto efektas yra suprantamas kaip kiekybinis metodas, skirtas įvertinti FP sukuriamą pridėtinę vertę.</w:t>
      </w:r>
      <w:r w:rsidR="00462DDE" w:rsidRPr="00D0006B">
        <w:t xml:space="preserve"> Žemiau lentelėje yra pateikti sverto efektai skirtingoms tikslinėms grupėms.</w:t>
      </w:r>
      <w:r w:rsidR="004E7225" w:rsidRPr="00D0006B">
        <w:t xml:space="preserve"> </w:t>
      </w:r>
    </w:p>
    <w:p w14:paraId="576B4778" w14:textId="5362333C" w:rsidR="00103D8D" w:rsidRPr="00D0006B" w:rsidRDefault="00103D8D" w:rsidP="00103D8D">
      <w:pPr>
        <w:ind w:firstLine="0"/>
      </w:pPr>
      <w:bookmarkStart w:id="198" w:name="_Toc126051411"/>
      <w:bookmarkStart w:id="199" w:name="_Toc166139881"/>
      <w:bookmarkStart w:id="200" w:name="_Toc170804647"/>
      <w:r w:rsidRPr="00D0006B">
        <w:rPr>
          <w:rFonts w:cs="Times New Roman"/>
          <w:i/>
          <w:iCs/>
        </w:rPr>
        <w:t xml:space="preserve">Lentelė </w:t>
      </w:r>
      <w:r w:rsidRPr="00D0006B">
        <w:rPr>
          <w:rFonts w:cs="Times New Roman"/>
          <w:i/>
          <w:iCs/>
        </w:rPr>
        <w:fldChar w:fldCharType="begin"/>
      </w:r>
      <w:r w:rsidRPr="00D0006B">
        <w:rPr>
          <w:rFonts w:cs="Times New Roman"/>
          <w:i/>
          <w:iCs/>
        </w:rPr>
        <w:instrText xml:space="preserve"> SEQ Lentelė \* ARABIC </w:instrText>
      </w:r>
      <w:r w:rsidRPr="00D0006B">
        <w:rPr>
          <w:rFonts w:cs="Times New Roman"/>
          <w:i/>
          <w:iCs/>
        </w:rPr>
        <w:fldChar w:fldCharType="separate"/>
      </w:r>
      <w:r w:rsidR="00347605">
        <w:rPr>
          <w:rFonts w:cs="Times New Roman"/>
          <w:i/>
          <w:iCs/>
          <w:noProof/>
        </w:rPr>
        <w:t>31</w:t>
      </w:r>
      <w:r w:rsidRPr="00D0006B">
        <w:rPr>
          <w:rFonts w:cs="Times New Roman"/>
          <w:i/>
          <w:iCs/>
        </w:rPr>
        <w:fldChar w:fldCharType="end"/>
      </w:r>
      <w:r w:rsidRPr="00D0006B">
        <w:rPr>
          <w:rFonts w:cs="Times New Roman"/>
          <w:i/>
          <w:iCs/>
        </w:rPr>
        <w:t>. Sverto efekto rodiklis</w:t>
      </w:r>
      <w:bookmarkEnd w:id="198"/>
      <w:bookmarkEnd w:id="199"/>
      <w:bookmarkEnd w:id="200"/>
    </w:p>
    <w:tbl>
      <w:tblPr>
        <w:tblStyle w:val="Lentelstinklelis"/>
        <w:tblW w:w="9772" w:type="dxa"/>
        <w:tblLook w:val="04A0" w:firstRow="1" w:lastRow="0" w:firstColumn="1" w:lastColumn="0" w:noHBand="0" w:noVBand="1"/>
      </w:tblPr>
      <w:tblGrid>
        <w:gridCol w:w="2015"/>
        <w:gridCol w:w="1362"/>
        <w:gridCol w:w="2077"/>
        <w:gridCol w:w="2438"/>
        <w:gridCol w:w="1880"/>
      </w:tblGrid>
      <w:tr w:rsidR="001B4717" w:rsidRPr="00D0006B" w14:paraId="3F65DAD9" w14:textId="77777777" w:rsidTr="00E24002">
        <w:trPr>
          <w:trHeight w:val="766"/>
        </w:trPr>
        <w:tc>
          <w:tcPr>
            <w:tcW w:w="2015" w:type="dxa"/>
            <w:vAlign w:val="center"/>
          </w:tcPr>
          <w:p w14:paraId="6A458A3C" w14:textId="3AF6AA26" w:rsidR="001B4717" w:rsidRPr="00D0006B" w:rsidRDefault="001B4717" w:rsidP="000C6260">
            <w:pPr>
              <w:spacing w:after="0"/>
              <w:ind w:firstLine="0"/>
              <w:jc w:val="center"/>
              <w:rPr>
                <w:b/>
                <w:bCs/>
                <w:sz w:val="20"/>
                <w:szCs w:val="20"/>
                <w:lang w:val="lt-LT"/>
              </w:rPr>
            </w:pPr>
            <w:r w:rsidRPr="00D0006B">
              <w:rPr>
                <w:b/>
                <w:bCs/>
                <w:sz w:val="20"/>
                <w:szCs w:val="20"/>
                <w:lang w:val="lt-LT"/>
              </w:rPr>
              <w:t>Tikslinė grupė</w:t>
            </w:r>
          </w:p>
        </w:tc>
        <w:tc>
          <w:tcPr>
            <w:tcW w:w="1362" w:type="dxa"/>
            <w:vAlign w:val="center"/>
          </w:tcPr>
          <w:p w14:paraId="08D5021B" w14:textId="505FF67F" w:rsidR="001B4717" w:rsidRPr="00D0006B" w:rsidRDefault="001B4717" w:rsidP="000C6260">
            <w:pPr>
              <w:spacing w:after="0"/>
              <w:ind w:firstLine="0"/>
              <w:jc w:val="center"/>
              <w:rPr>
                <w:b/>
                <w:bCs/>
                <w:sz w:val="20"/>
                <w:szCs w:val="20"/>
                <w:lang w:val="lt-LT"/>
              </w:rPr>
            </w:pPr>
            <w:r w:rsidRPr="00D0006B">
              <w:rPr>
                <w:b/>
                <w:bCs/>
                <w:sz w:val="20"/>
                <w:szCs w:val="20"/>
                <w:lang w:val="lt-LT"/>
              </w:rPr>
              <w:t>Investicijų projekto vertė</w:t>
            </w:r>
          </w:p>
        </w:tc>
        <w:tc>
          <w:tcPr>
            <w:tcW w:w="2077" w:type="dxa"/>
            <w:vAlign w:val="center"/>
          </w:tcPr>
          <w:p w14:paraId="6EBE8545" w14:textId="37765416" w:rsidR="001B4717" w:rsidRPr="00D0006B" w:rsidRDefault="001B4717" w:rsidP="000C6260">
            <w:pPr>
              <w:spacing w:after="0"/>
              <w:ind w:firstLine="0"/>
              <w:jc w:val="center"/>
              <w:rPr>
                <w:b/>
                <w:bCs/>
                <w:sz w:val="20"/>
                <w:szCs w:val="20"/>
                <w:lang w:val="lt-LT"/>
              </w:rPr>
            </w:pPr>
            <w:r w:rsidRPr="00D0006B">
              <w:rPr>
                <w:b/>
                <w:bCs/>
                <w:sz w:val="20"/>
                <w:szCs w:val="20"/>
                <w:lang w:val="lt-LT"/>
              </w:rPr>
              <w:t>Projekto įgyvendintojo nuosavas indėlis</w:t>
            </w:r>
          </w:p>
        </w:tc>
        <w:tc>
          <w:tcPr>
            <w:tcW w:w="2438" w:type="dxa"/>
          </w:tcPr>
          <w:p w14:paraId="15A7829F" w14:textId="69B6A49B" w:rsidR="001B4717" w:rsidRPr="00D0006B" w:rsidRDefault="001B4717" w:rsidP="000C6260">
            <w:pPr>
              <w:spacing w:after="0"/>
              <w:ind w:firstLine="0"/>
              <w:jc w:val="center"/>
              <w:rPr>
                <w:b/>
                <w:bCs/>
                <w:sz w:val="20"/>
                <w:szCs w:val="20"/>
                <w:lang w:val="lt-LT"/>
              </w:rPr>
            </w:pPr>
            <w:r w:rsidRPr="00D0006B">
              <w:rPr>
                <w:b/>
                <w:bCs/>
                <w:sz w:val="20"/>
                <w:szCs w:val="20"/>
                <w:lang w:val="lt-LT"/>
              </w:rPr>
              <w:t>Viešų lėšų dalis</w:t>
            </w:r>
          </w:p>
        </w:tc>
        <w:tc>
          <w:tcPr>
            <w:tcW w:w="1880" w:type="dxa"/>
            <w:vAlign w:val="center"/>
          </w:tcPr>
          <w:p w14:paraId="1E0BA280" w14:textId="5A2341FE" w:rsidR="001B4717" w:rsidRPr="00D0006B" w:rsidRDefault="001B4717" w:rsidP="000C6260">
            <w:pPr>
              <w:spacing w:after="0"/>
              <w:ind w:firstLine="0"/>
              <w:jc w:val="center"/>
              <w:rPr>
                <w:b/>
                <w:bCs/>
                <w:sz w:val="20"/>
                <w:szCs w:val="20"/>
                <w:lang w:val="lt-LT"/>
              </w:rPr>
            </w:pPr>
            <w:r w:rsidRPr="00D0006B">
              <w:rPr>
                <w:b/>
                <w:bCs/>
                <w:sz w:val="20"/>
                <w:szCs w:val="20"/>
                <w:lang w:val="lt-LT"/>
              </w:rPr>
              <w:t>Sverto efektas</w:t>
            </w:r>
          </w:p>
        </w:tc>
      </w:tr>
      <w:tr w:rsidR="001B4717" w:rsidRPr="00D0006B" w14:paraId="071640E8" w14:textId="77777777" w:rsidTr="00E24002">
        <w:trPr>
          <w:trHeight w:val="531"/>
        </w:trPr>
        <w:tc>
          <w:tcPr>
            <w:tcW w:w="2015" w:type="dxa"/>
            <w:vAlign w:val="center"/>
          </w:tcPr>
          <w:p w14:paraId="41898236" w14:textId="7B7D9286" w:rsidR="001B4717" w:rsidRPr="00D0006B" w:rsidRDefault="001B4717" w:rsidP="004B72AE">
            <w:pPr>
              <w:spacing w:after="0"/>
              <w:ind w:firstLine="0"/>
              <w:rPr>
                <w:sz w:val="20"/>
                <w:szCs w:val="20"/>
                <w:lang w:val="lt-LT"/>
              </w:rPr>
            </w:pPr>
            <w:r w:rsidRPr="00D0006B">
              <w:rPr>
                <w:sz w:val="20"/>
                <w:szCs w:val="20"/>
                <w:lang w:val="lt-LT"/>
              </w:rPr>
              <w:t>Labai mažos ir mažos įmonės</w:t>
            </w:r>
          </w:p>
        </w:tc>
        <w:tc>
          <w:tcPr>
            <w:tcW w:w="1362" w:type="dxa"/>
            <w:vMerge w:val="restart"/>
            <w:vAlign w:val="center"/>
          </w:tcPr>
          <w:p w14:paraId="5355211E" w14:textId="0407FAA4" w:rsidR="001B4717" w:rsidRPr="00D0006B" w:rsidRDefault="001B4717" w:rsidP="004B72AE">
            <w:pPr>
              <w:spacing w:after="0"/>
              <w:ind w:firstLine="0"/>
              <w:jc w:val="center"/>
              <w:rPr>
                <w:sz w:val="20"/>
                <w:szCs w:val="20"/>
                <w:lang w:val="lt-LT"/>
              </w:rPr>
            </w:pPr>
            <w:r w:rsidRPr="00D0006B">
              <w:rPr>
                <w:sz w:val="20"/>
                <w:szCs w:val="20"/>
                <w:lang w:val="lt-LT"/>
              </w:rPr>
              <w:t>1</w:t>
            </w:r>
          </w:p>
        </w:tc>
        <w:tc>
          <w:tcPr>
            <w:tcW w:w="2077" w:type="dxa"/>
            <w:vAlign w:val="center"/>
          </w:tcPr>
          <w:p w14:paraId="03E44B07" w14:textId="39E3E77C" w:rsidR="001B4717" w:rsidRPr="00D0006B" w:rsidRDefault="001B4717" w:rsidP="004B72AE">
            <w:pPr>
              <w:spacing w:after="0"/>
              <w:ind w:firstLine="0"/>
              <w:jc w:val="center"/>
              <w:rPr>
                <w:sz w:val="20"/>
                <w:szCs w:val="20"/>
                <w:lang w:val="lt-LT"/>
              </w:rPr>
            </w:pPr>
            <w:r w:rsidRPr="00D0006B">
              <w:rPr>
                <w:sz w:val="20"/>
                <w:szCs w:val="20"/>
                <w:lang w:val="lt-LT"/>
              </w:rPr>
              <w:t>0</w:t>
            </w:r>
            <w:r>
              <w:rPr>
                <w:sz w:val="20"/>
                <w:szCs w:val="20"/>
                <w:lang w:val="lt-LT"/>
              </w:rPr>
              <w:t xml:space="preserve"> proc.</w:t>
            </w:r>
          </w:p>
        </w:tc>
        <w:tc>
          <w:tcPr>
            <w:tcW w:w="2438" w:type="dxa"/>
          </w:tcPr>
          <w:p w14:paraId="0C403A35" w14:textId="018D9F0A" w:rsidR="001B4717" w:rsidRPr="00D0006B" w:rsidRDefault="001B4717" w:rsidP="00B5088A">
            <w:pPr>
              <w:spacing w:after="0"/>
              <w:ind w:firstLine="0"/>
              <w:jc w:val="center"/>
              <w:rPr>
                <w:bCs/>
                <w:sz w:val="20"/>
                <w:szCs w:val="20"/>
                <w:lang w:val="lt-LT"/>
              </w:rPr>
            </w:pPr>
            <w:r>
              <w:rPr>
                <w:bCs/>
                <w:sz w:val="20"/>
                <w:szCs w:val="20"/>
                <w:lang w:val="lt-LT"/>
              </w:rPr>
              <w:t xml:space="preserve">100 </w:t>
            </w:r>
            <w:proofErr w:type="spellStart"/>
            <w:r>
              <w:rPr>
                <w:bCs/>
                <w:sz w:val="20"/>
                <w:szCs w:val="20"/>
                <w:lang w:val="lt-LT"/>
              </w:rPr>
              <w:t>proc</w:t>
            </w:r>
            <w:proofErr w:type="spellEnd"/>
            <w:r>
              <w:rPr>
                <w:bCs/>
                <w:sz w:val="20"/>
                <w:szCs w:val="20"/>
                <w:lang w:val="lt-LT"/>
              </w:rPr>
              <w:t>,</w:t>
            </w:r>
          </w:p>
        </w:tc>
        <w:tc>
          <w:tcPr>
            <w:tcW w:w="1880" w:type="dxa"/>
            <w:vAlign w:val="center"/>
          </w:tcPr>
          <w:p w14:paraId="681EF7D3" w14:textId="311AFE34" w:rsidR="001B4717" w:rsidRPr="00D0006B" w:rsidRDefault="001B4717" w:rsidP="004B72AE">
            <w:pPr>
              <w:spacing w:after="0"/>
              <w:ind w:firstLine="0"/>
              <w:jc w:val="center"/>
              <w:rPr>
                <w:b/>
                <w:bCs/>
                <w:sz w:val="20"/>
                <w:szCs w:val="20"/>
                <w:lang w:val="lt-LT"/>
              </w:rPr>
            </w:pPr>
            <w:r>
              <w:rPr>
                <w:b/>
                <w:bCs/>
                <w:sz w:val="20"/>
                <w:szCs w:val="20"/>
                <w:lang w:val="lt-LT"/>
              </w:rPr>
              <w:t>1</w:t>
            </w:r>
          </w:p>
        </w:tc>
      </w:tr>
      <w:tr w:rsidR="001B4717" w:rsidRPr="00D0006B" w14:paraId="57DEF10E" w14:textId="77777777" w:rsidTr="00E24002">
        <w:trPr>
          <w:trHeight w:val="531"/>
        </w:trPr>
        <w:tc>
          <w:tcPr>
            <w:tcW w:w="2015" w:type="dxa"/>
            <w:vAlign w:val="center"/>
          </w:tcPr>
          <w:p w14:paraId="7BC4C34B" w14:textId="63B42809" w:rsidR="001B4717" w:rsidRPr="00D0006B" w:rsidRDefault="001B4717" w:rsidP="004B72AE">
            <w:pPr>
              <w:spacing w:after="0"/>
              <w:ind w:firstLine="0"/>
              <w:rPr>
                <w:sz w:val="20"/>
                <w:szCs w:val="20"/>
                <w:lang w:val="lt-LT"/>
              </w:rPr>
            </w:pPr>
            <w:r w:rsidRPr="00D0006B">
              <w:rPr>
                <w:sz w:val="20"/>
                <w:szCs w:val="20"/>
                <w:lang w:val="lt-LT"/>
              </w:rPr>
              <w:t>Vidutinės ir didelės įmonės</w:t>
            </w:r>
          </w:p>
        </w:tc>
        <w:tc>
          <w:tcPr>
            <w:tcW w:w="1362" w:type="dxa"/>
            <w:vMerge/>
          </w:tcPr>
          <w:p w14:paraId="46850B3B" w14:textId="77777777" w:rsidR="001B4717" w:rsidRPr="00D0006B" w:rsidRDefault="001B4717" w:rsidP="004B72AE">
            <w:pPr>
              <w:spacing w:after="0"/>
              <w:ind w:firstLine="0"/>
              <w:rPr>
                <w:sz w:val="20"/>
                <w:szCs w:val="20"/>
                <w:lang w:val="lt-LT"/>
              </w:rPr>
            </w:pPr>
          </w:p>
        </w:tc>
        <w:tc>
          <w:tcPr>
            <w:tcW w:w="2077" w:type="dxa"/>
            <w:vAlign w:val="center"/>
          </w:tcPr>
          <w:p w14:paraId="790CC15A" w14:textId="262A0A37" w:rsidR="001B4717" w:rsidRPr="00D0006B" w:rsidRDefault="001B4717" w:rsidP="004B72AE">
            <w:pPr>
              <w:spacing w:after="0"/>
              <w:ind w:firstLine="0"/>
              <w:rPr>
                <w:sz w:val="20"/>
                <w:szCs w:val="20"/>
                <w:lang w:val="lt-LT"/>
              </w:rPr>
            </w:pPr>
            <w:r w:rsidRPr="00D0006B">
              <w:rPr>
                <w:sz w:val="20"/>
                <w:szCs w:val="20"/>
                <w:lang w:val="lt-LT"/>
              </w:rPr>
              <w:t>Ne mažiau kaip 25</w:t>
            </w:r>
            <w:r>
              <w:rPr>
                <w:sz w:val="20"/>
                <w:szCs w:val="20"/>
                <w:lang w:val="lt-LT"/>
              </w:rPr>
              <w:t xml:space="preserve"> proc.</w:t>
            </w:r>
          </w:p>
        </w:tc>
        <w:tc>
          <w:tcPr>
            <w:tcW w:w="2438" w:type="dxa"/>
          </w:tcPr>
          <w:p w14:paraId="51E3CE3C" w14:textId="6DE92CBA" w:rsidR="001B4717" w:rsidRPr="004B72AE" w:rsidRDefault="001B4717" w:rsidP="00B5088A">
            <w:pPr>
              <w:spacing w:after="0"/>
              <w:ind w:firstLine="0"/>
              <w:jc w:val="center"/>
              <w:rPr>
                <w:bCs/>
                <w:sz w:val="20"/>
                <w:szCs w:val="20"/>
                <w:lang w:val="lt-LT"/>
              </w:rPr>
            </w:pPr>
            <w:r>
              <w:rPr>
                <w:bCs/>
                <w:sz w:val="20"/>
                <w:szCs w:val="20"/>
                <w:lang w:val="lt-LT"/>
              </w:rPr>
              <w:t>75 proc.</w:t>
            </w:r>
          </w:p>
        </w:tc>
        <w:tc>
          <w:tcPr>
            <w:tcW w:w="1880" w:type="dxa"/>
            <w:vAlign w:val="center"/>
          </w:tcPr>
          <w:p w14:paraId="7962A19D" w14:textId="2565C6F2" w:rsidR="001B4717" w:rsidRPr="00D0006B" w:rsidRDefault="002977AA" w:rsidP="004B72AE">
            <w:pPr>
              <w:spacing w:after="0"/>
              <w:ind w:firstLine="0"/>
              <w:jc w:val="center"/>
              <w:rPr>
                <w:b/>
                <w:bCs/>
                <w:sz w:val="20"/>
                <w:szCs w:val="20"/>
                <w:lang w:val="lt-LT"/>
              </w:rPr>
            </w:pPr>
            <w:r>
              <w:rPr>
                <w:b/>
                <w:bCs/>
                <w:sz w:val="20"/>
                <w:szCs w:val="20"/>
                <w:lang w:val="lt-LT"/>
              </w:rPr>
              <w:t>1,33</w:t>
            </w:r>
          </w:p>
        </w:tc>
      </w:tr>
      <w:tr w:rsidR="001B4717" w:rsidRPr="00D0006B" w14:paraId="7CC39CCB" w14:textId="77777777" w:rsidTr="00B5088A">
        <w:trPr>
          <w:trHeight w:val="531"/>
        </w:trPr>
        <w:tc>
          <w:tcPr>
            <w:tcW w:w="2015" w:type="dxa"/>
            <w:vAlign w:val="center"/>
          </w:tcPr>
          <w:p w14:paraId="1ED28B04" w14:textId="32A394FE" w:rsidR="001B4717" w:rsidRPr="00D0006B" w:rsidRDefault="00CD749F" w:rsidP="004B72AE">
            <w:pPr>
              <w:spacing w:after="0"/>
              <w:ind w:firstLine="0"/>
              <w:rPr>
                <w:sz w:val="20"/>
                <w:szCs w:val="20"/>
                <w:lang w:val="lt-LT"/>
              </w:rPr>
            </w:pPr>
            <w:r w:rsidRPr="00237BC6">
              <w:rPr>
                <w:sz w:val="20"/>
                <w:szCs w:val="20"/>
                <w:lang w:val="lt-LT"/>
              </w:rPr>
              <w:t>VJA</w:t>
            </w:r>
          </w:p>
        </w:tc>
        <w:tc>
          <w:tcPr>
            <w:tcW w:w="1362" w:type="dxa"/>
            <w:vMerge/>
          </w:tcPr>
          <w:p w14:paraId="0E2BE5A2" w14:textId="77777777" w:rsidR="001B4717" w:rsidRPr="00D0006B" w:rsidRDefault="001B4717" w:rsidP="004B72AE">
            <w:pPr>
              <w:spacing w:after="0"/>
              <w:ind w:firstLine="0"/>
              <w:rPr>
                <w:sz w:val="20"/>
                <w:szCs w:val="20"/>
                <w:lang w:val="lt-LT"/>
              </w:rPr>
            </w:pPr>
          </w:p>
        </w:tc>
        <w:tc>
          <w:tcPr>
            <w:tcW w:w="2077" w:type="dxa"/>
            <w:vMerge w:val="restart"/>
            <w:vAlign w:val="center"/>
          </w:tcPr>
          <w:p w14:paraId="45152EC6" w14:textId="4C8DF0A1" w:rsidR="001B4717" w:rsidRPr="00D0006B" w:rsidRDefault="002977AA" w:rsidP="00B5088A">
            <w:pPr>
              <w:spacing w:after="0"/>
              <w:ind w:firstLine="0"/>
              <w:jc w:val="center"/>
              <w:rPr>
                <w:sz w:val="20"/>
                <w:szCs w:val="20"/>
                <w:lang w:val="lt-LT"/>
              </w:rPr>
            </w:pPr>
            <w:r>
              <w:rPr>
                <w:sz w:val="20"/>
                <w:szCs w:val="20"/>
                <w:lang w:val="lt-LT"/>
              </w:rPr>
              <w:t>Projekto įgyvendintojas prisideda sumokėdamas PVM (21 proc.)</w:t>
            </w:r>
          </w:p>
        </w:tc>
        <w:tc>
          <w:tcPr>
            <w:tcW w:w="2438" w:type="dxa"/>
            <w:vMerge w:val="restart"/>
            <w:vAlign w:val="center"/>
          </w:tcPr>
          <w:p w14:paraId="5C2AC0CF" w14:textId="7C552B99" w:rsidR="001B4717" w:rsidRPr="00D0006B" w:rsidRDefault="002977AA" w:rsidP="00B5088A">
            <w:pPr>
              <w:spacing w:after="0"/>
              <w:ind w:firstLine="0"/>
              <w:jc w:val="center"/>
              <w:rPr>
                <w:bCs/>
                <w:sz w:val="20"/>
                <w:szCs w:val="20"/>
                <w:lang w:val="lt-LT"/>
              </w:rPr>
            </w:pPr>
            <w:r>
              <w:rPr>
                <w:bCs/>
                <w:sz w:val="20"/>
                <w:szCs w:val="20"/>
              </w:rPr>
              <w:t>82,6 proc.</w:t>
            </w:r>
            <w:r>
              <w:rPr>
                <w:rStyle w:val="Puslapioinaosnuoroda"/>
                <w:bCs/>
                <w:sz w:val="20"/>
                <w:szCs w:val="20"/>
              </w:rPr>
              <w:footnoteReference w:id="50"/>
            </w:r>
          </w:p>
        </w:tc>
        <w:tc>
          <w:tcPr>
            <w:tcW w:w="1880" w:type="dxa"/>
            <w:vMerge w:val="restart"/>
            <w:vAlign w:val="center"/>
          </w:tcPr>
          <w:p w14:paraId="58B0413D" w14:textId="6A7687FD" w:rsidR="001B4717" w:rsidRPr="00D0006B" w:rsidRDefault="001B4717" w:rsidP="004B72AE">
            <w:pPr>
              <w:spacing w:after="0"/>
              <w:ind w:firstLine="0"/>
              <w:jc w:val="center"/>
              <w:rPr>
                <w:b/>
                <w:bCs/>
                <w:sz w:val="20"/>
                <w:szCs w:val="20"/>
                <w:lang w:val="lt-LT"/>
              </w:rPr>
            </w:pPr>
            <w:r w:rsidRPr="00D0006B">
              <w:rPr>
                <w:b/>
                <w:bCs/>
                <w:sz w:val="20"/>
                <w:szCs w:val="20"/>
                <w:lang w:val="lt-LT"/>
              </w:rPr>
              <w:t>1,</w:t>
            </w:r>
            <w:r>
              <w:rPr>
                <w:b/>
                <w:bCs/>
                <w:sz w:val="20"/>
                <w:szCs w:val="20"/>
                <w:lang w:val="lt-LT"/>
              </w:rPr>
              <w:t>21</w:t>
            </w:r>
          </w:p>
        </w:tc>
      </w:tr>
      <w:tr w:rsidR="001B4717" w:rsidRPr="00D0006B" w14:paraId="1CBBC40F" w14:textId="77777777" w:rsidTr="00E24002">
        <w:trPr>
          <w:trHeight w:val="296"/>
        </w:trPr>
        <w:tc>
          <w:tcPr>
            <w:tcW w:w="2015" w:type="dxa"/>
            <w:vAlign w:val="center"/>
          </w:tcPr>
          <w:p w14:paraId="77631D91" w14:textId="59EE78A7" w:rsidR="001B4717" w:rsidRPr="00D0006B" w:rsidRDefault="001B4717" w:rsidP="000C6260">
            <w:pPr>
              <w:spacing w:after="0"/>
              <w:ind w:firstLine="0"/>
              <w:jc w:val="left"/>
              <w:rPr>
                <w:sz w:val="20"/>
                <w:szCs w:val="20"/>
                <w:lang w:val="lt-LT"/>
              </w:rPr>
            </w:pPr>
            <w:r w:rsidRPr="00D0006B">
              <w:rPr>
                <w:sz w:val="20"/>
                <w:szCs w:val="20"/>
                <w:lang w:val="lt-LT"/>
              </w:rPr>
              <w:t>AIEB</w:t>
            </w:r>
            <w:r w:rsidR="009E7775">
              <w:t xml:space="preserve"> </w:t>
            </w:r>
            <w:r w:rsidR="009E7775" w:rsidRPr="009E7775">
              <w:rPr>
                <w:sz w:val="20"/>
                <w:szCs w:val="20"/>
                <w:lang w:val="lt-LT"/>
              </w:rPr>
              <w:t>bei PEB</w:t>
            </w:r>
          </w:p>
        </w:tc>
        <w:tc>
          <w:tcPr>
            <w:tcW w:w="1362" w:type="dxa"/>
            <w:vMerge/>
          </w:tcPr>
          <w:p w14:paraId="30722D67" w14:textId="77777777" w:rsidR="001B4717" w:rsidRPr="00D0006B" w:rsidRDefault="001B4717" w:rsidP="000C6260">
            <w:pPr>
              <w:spacing w:after="0"/>
              <w:ind w:firstLine="0"/>
              <w:rPr>
                <w:sz w:val="20"/>
                <w:szCs w:val="20"/>
                <w:lang w:val="lt-LT"/>
              </w:rPr>
            </w:pPr>
          </w:p>
        </w:tc>
        <w:tc>
          <w:tcPr>
            <w:tcW w:w="2077" w:type="dxa"/>
            <w:vMerge/>
          </w:tcPr>
          <w:p w14:paraId="27448749" w14:textId="0C446BD5" w:rsidR="001B4717" w:rsidRPr="00D0006B" w:rsidRDefault="001B4717" w:rsidP="000C6260">
            <w:pPr>
              <w:spacing w:after="0"/>
              <w:ind w:firstLine="0"/>
              <w:rPr>
                <w:sz w:val="20"/>
                <w:szCs w:val="20"/>
                <w:lang w:val="lt-LT"/>
              </w:rPr>
            </w:pPr>
          </w:p>
        </w:tc>
        <w:tc>
          <w:tcPr>
            <w:tcW w:w="2438" w:type="dxa"/>
            <w:vMerge/>
          </w:tcPr>
          <w:p w14:paraId="2CB659CB" w14:textId="77777777" w:rsidR="001B4717" w:rsidRPr="00D0006B" w:rsidRDefault="001B4717" w:rsidP="000C6260">
            <w:pPr>
              <w:spacing w:after="0"/>
              <w:ind w:firstLine="0"/>
              <w:rPr>
                <w:sz w:val="20"/>
                <w:szCs w:val="20"/>
                <w:lang w:val="lt-LT"/>
              </w:rPr>
            </w:pPr>
          </w:p>
        </w:tc>
        <w:tc>
          <w:tcPr>
            <w:tcW w:w="1880" w:type="dxa"/>
            <w:vMerge/>
          </w:tcPr>
          <w:p w14:paraId="0B06BE36" w14:textId="6F33AE65" w:rsidR="001B4717" w:rsidRPr="00D0006B" w:rsidRDefault="001B4717" w:rsidP="000C6260">
            <w:pPr>
              <w:spacing w:after="0"/>
              <w:ind w:firstLine="0"/>
              <w:rPr>
                <w:sz w:val="20"/>
                <w:szCs w:val="20"/>
                <w:lang w:val="lt-LT"/>
              </w:rPr>
            </w:pPr>
          </w:p>
        </w:tc>
      </w:tr>
    </w:tbl>
    <w:p w14:paraId="3CC5D689" w14:textId="77777777" w:rsidR="00103D8D" w:rsidRPr="00D0006B" w:rsidRDefault="00103D8D" w:rsidP="00103D8D">
      <w:pPr>
        <w:keepNext/>
        <w:ind w:firstLine="562"/>
        <w:jc w:val="left"/>
        <w:rPr>
          <w:rFonts w:cs="Times New Roman"/>
          <w:sz w:val="20"/>
          <w:szCs w:val="20"/>
        </w:rPr>
      </w:pPr>
      <w:r w:rsidRPr="00D0006B">
        <w:rPr>
          <w:rFonts w:cs="Times New Roman"/>
          <w:sz w:val="20"/>
          <w:szCs w:val="20"/>
        </w:rPr>
        <w:t>Šaltinis: sudaryta Vertintojų</w:t>
      </w:r>
    </w:p>
    <w:p w14:paraId="5C56D2DD" w14:textId="414A6990" w:rsidR="00103D8D" w:rsidRPr="00D0006B" w:rsidRDefault="00103D8D" w:rsidP="00103D8D">
      <w:pPr>
        <w:ind w:firstLine="0"/>
        <w:sectPr w:rsidR="00103D8D" w:rsidRPr="00D0006B" w:rsidSect="00C234E6">
          <w:pgSz w:w="11906" w:h="16838"/>
          <w:pgMar w:top="1701" w:right="567" w:bottom="1134" w:left="1701" w:header="567" w:footer="567" w:gutter="0"/>
          <w:cols w:space="1296"/>
          <w:docGrid w:linePitch="360"/>
        </w:sectPr>
      </w:pPr>
    </w:p>
    <w:p w14:paraId="757D339C" w14:textId="60B6E54B" w:rsidR="00F10C7D" w:rsidRPr="00D0006B" w:rsidRDefault="001A5A99" w:rsidP="00AB673E">
      <w:pPr>
        <w:pStyle w:val="Antrat1"/>
        <w:numPr>
          <w:ilvl w:val="0"/>
          <w:numId w:val="3"/>
        </w:numPr>
        <w:ind w:left="360"/>
        <w:rPr>
          <w:rFonts w:cs="Times New Roman"/>
        </w:rPr>
      </w:pPr>
      <w:bookmarkStart w:id="201" w:name="_Toc126051373"/>
      <w:bookmarkStart w:id="202" w:name="_Toc166139848"/>
      <w:bookmarkStart w:id="203" w:name="_Toc170804610"/>
      <w:r w:rsidRPr="00D0006B">
        <w:rPr>
          <w:rFonts w:cs="Times New Roman"/>
        </w:rPr>
        <w:lastRenderedPageBreak/>
        <w:t>Siūlymai dėl finansinių priemonių stebėsenos rodiklių</w:t>
      </w:r>
      <w:bookmarkEnd w:id="201"/>
      <w:bookmarkEnd w:id="202"/>
      <w:bookmarkEnd w:id="203"/>
    </w:p>
    <w:p w14:paraId="3C6DE947" w14:textId="77777777" w:rsidR="00E94F45" w:rsidRPr="00D0006B" w:rsidRDefault="00E94F45" w:rsidP="00E94F45">
      <w:r w:rsidRPr="00D0006B">
        <w:t>Šiame skyriuje pateikiami siūlytinų investavimo strategijų siektinų rodiklių pavyzdžiai. Informacija yra pateikiama pagal siūlytinas investavimo strategijas. Siektinas rekomenduotinų rodiklių reikšmes turėtų nustatyti priemonių formuotojai ir valdytojai, atsižvelgiant į tuo metu esančias rinkos sąlygas ir siekius.</w:t>
      </w:r>
    </w:p>
    <w:p w14:paraId="528372B5" w14:textId="06E61055" w:rsidR="00005ACD" w:rsidRPr="00D0006B" w:rsidRDefault="00E94F45" w:rsidP="00E94F45">
      <w:pPr>
        <w:keepNext/>
        <w:ind w:firstLine="0"/>
        <w:rPr>
          <w:rFonts w:cs="Times New Roman"/>
          <w:i/>
          <w:iCs/>
        </w:rPr>
      </w:pPr>
      <w:bookmarkStart w:id="204" w:name="_Toc126051412"/>
      <w:bookmarkStart w:id="205" w:name="_Toc166139882"/>
      <w:bookmarkStart w:id="206" w:name="_Toc170804648"/>
      <w:r w:rsidRPr="00D0006B">
        <w:rPr>
          <w:rFonts w:cs="Times New Roman"/>
          <w:i/>
          <w:iCs/>
        </w:rPr>
        <w:t xml:space="preserve">Lentelė </w:t>
      </w:r>
      <w:r w:rsidRPr="00D0006B">
        <w:rPr>
          <w:rFonts w:cs="Times New Roman"/>
          <w:i/>
          <w:iCs/>
        </w:rPr>
        <w:fldChar w:fldCharType="begin"/>
      </w:r>
      <w:r w:rsidRPr="00D0006B">
        <w:rPr>
          <w:rFonts w:cs="Times New Roman"/>
          <w:i/>
          <w:iCs/>
        </w:rPr>
        <w:instrText xml:space="preserve"> SEQ Lentelė \* ARABIC </w:instrText>
      </w:r>
      <w:r w:rsidRPr="00D0006B">
        <w:rPr>
          <w:rFonts w:cs="Times New Roman"/>
          <w:i/>
          <w:iCs/>
        </w:rPr>
        <w:fldChar w:fldCharType="separate"/>
      </w:r>
      <w:r w:rsidR="00347605">
        <w:rPr>
          <w:rFonts w:cs="Times New Roman"/>
          <w:i/>
          <w:iCs/>
          <w:noProof/>
        </w:rPr>
        <w:t>32</w:t>
      </w:r>
      <w:r w:rsidRPr="00D0006B">
        <w:rPr>
          <w:rFonts w:cs="Times New Roman"/>
          <w:i/>
          <w:iCs/>
        </w:rPr>
        <w:fldChar w:fldCharType="end"/>
      </w:r>
      <w:r w:rsidRPr="00D0006B">
        <w:rPr>
          <w:rFonts w:cs="Times New Roman"/>
          <w:i/>
          <w:iCs/>
        </w:rPr>
        <w:t>. Siūlomi investavimo strategijų stebėsenos rodikliai</w:t>
      </w:r>
      <w:bookmarkEnd w:id="204"/>
      <w:bookmarkEnd w:id="205"/>
      <w:bookmarkEnd w:id="206"/>
    </w:p>
    <w:tbl>
      <w:tblPr>
        <w:tblStyle w:val="Lentelstinklelis"/>
        <w:tblW w:w="5161" w:type="pct"/>
        <w:tblLook w:val="04A0" w:firstRow="1" w:lastRow="0" w:firstColumn="1" w:lastColumn="0" w:noHBand="0" w:noVBand="1"/>
      </w:tblPr>
      <w:tblGrid>
        <w:gridCol w:w="2117"/>
        <w:gridCol w:w="2753"/>
        <w:gridCol w:w="3467"/>
        <w:gridCol w:w="2340"/>
        <w:gridCol w:w="3767"/>
      </w:tblGrid>
      <w:tr w:rsidR="00005ACD" w:rsidRPr="00D0006B" w14:paraId="2D5B0CE8" w14:textId="77777777" w:rsidTr="00E24002">
        <w:trPr>
          <w:trHeight w:val="19"/>
          <w:tblHeader/>
        </w:trPr>
        <w:tc>
          <w:tcPr>
            <w:tcW w:w="733" w:type="pct"/>
            <w:vAlign w:val="center"/>
          </w:tcPr>
          <w:p w14:paraId="306F689C" w14:textId="77777777" w:rsidR="00005ACD" w:rsidRPr="00D0006B" w:rsidRDefault="00005ACD" w:rsidP="00F81B46">
            <w:pPr>
              <w:spacing w:after="0"/>
              <w:ind w:firstLine="0"/>
              <w:jc w:val="center"/>
              <w:rPr>
                <w:b/>
                <w:sz w:val="20"/>
                <w:szCs w:val="20"/>
                <w:lang w:val="lt-LT"/>
              </w:rPr>
            </w:pPr>
            <w:r w:rsidRPr="00D0006B">
              <w:rPr>
                <w:b/>
                <w:sz w:val="20"/>
                <w:szCs w:val="20"/>
                <w:lang w:val="lt-LT"/>
              </w:rPr>
              <w:t>Tikslinė grupė</w:t>
            </w:r>
          </w:p>
        </w:tc>
        <w:tc>
          <w:tcPr>
            <w:tcW w:w="953" w:type="pct"/>
            <w:vAlign w:val="center"/>
          </w:tcPr>
          <w:p w14:paraId="3D0D08A8" w14:textId="77777777" w:rsidR="00005ACD" w:rsidRPr="00D0006B" w:rsidRDefault="00005ACD" w:rsidP="00F81B46">
            <w:pPr>
              <w:spacing w:after="0"/>
              <w:ind w:firstLine="0"/>
              <w:jc w:val="center"/>
              <w:rPr>
                <w:b/>
                <w:sz w:val="20"/>
                <w:szCs w:val="20"/>
                <w:lang w:val="lt-LT"/>
              </w:rPr>
            </w:pPr>
            <w:r w:rsidRPr="00D0006B">
              <w:rPr>
                <w:b/>
                <w:sz w:val="20"/>
                <w:szCs w:val="20"/>
                <w:lang w:val="lt-LT"/>
              </w:rPr>
              <w:t>Stebėsenos rodiklių pavadinimas</w:t>
            </w:r>
          </w:p>
        </w:tc>
        <w:tc>
          <w:tcPr>
            <w:tcW w:w="1200" w:type="pct"/>
            <w:vAlign w:val="center"/>
          </w:tcPr>
          <w:p w14:paraId="3811E2A8" w14:textId="77777777" w:rsidR="00005ACD" w:rsidRPr="00D0006B" w:rsidRDefault="00005ACD" w:rsidP="00F81B46">
            <w:pPr>
              <w:spacing w:after="0"/>
              <w:ind w:firstLine="0"/>
              <w:jc w:val="center"/>
              <w:rPr>
                <w:b/>
                <w:sz w:val="20"/>
                <w:szCs w:val="20"/>
                <w:lang w:val="lt-LT"/>
              </w:rPr>
            </w:pPr>
            <w:r w:rsidRPr="00D0006B">
              <w:rPr>
                <w:b/>
                <w:sz w:val="20"/>
                <w:szCs w:val="20"/>
                <w:lang w:val="lt-LT"/>
              </w:rPr>
              <w:t>Rodiklio apibūdinimas</w:t>
            </w:r>
          </w:p>
        </w:tc>
        <w:tc>
          <w:tcPr>
            <w:tcW w:w="810" w:type="pct"/>
            <w:vAlign w:val="center"/>
          </w:tcPr>
          <w:p w14:paraId="213127C4" w14:textId="77777777" w:rsidR="00005ACD" w:rsidRPr="00D0006B" w:rsidRDefault="00005ACD" w:rsidP="00F81B46">
            <w:pPr>
              <w:spacing w:after="0"/>
              <w:ind w:firstLine="0"/>
              <w:jc w:val="center"/>
              <w:rPr>
                <w:b/>
                <w:sz w:val="20"/>
                <w:szCs w:val="20"/>
                <w:lang w:val="lt-LT"/>
              </w:rPr>
            </w:pPr>
            <w:r w:rsidRPr="00D0006B">
              <w:rPr>
                <w:b/>
                <w:sz w:val="20"/>
                <w:szCs w:val="20"/>
                <w:lang w:val="lt-LT"/>
              </w:rPr>
              <w:t>Matavimo vnt.</w:t>
            </w:r>
          </w:p>
        </w:tc>
        <w:tc>
          <w:tcPr>
            <w:tcW w:w="1304" w:type="pct"/>
            <w:vAlign w:val="center"/>
          </w:tcPr>
          <w:p w14:paraId="75CF50C8" w14:textId="77777777" w:rsidR="00005ACD" w:rsidRPr="00D0006B" w:rsidRDefault="00005ACD" w:rsidP="00F81B46">
            <w:pPr>
              <w:spacing w:after="0"/>
              <w:ind w:firstLine="0"/>
              <w:jc w:val="center"/>
              <w:rPr>
                <w:b/>
                <w:bCs/>
                <w:sz w:val="20"/>
                <w:szCs w:val="20"/>
                <w:lang w:val="lt-LT"/>
              </w:rPr>
            </w:pPr>
            <w:r w:rsidRPr="00D0006B">
              <w:rPr>
                <w:b/>
                <w:bCs/>
                <w:sz w:val="20"/>
                <w:szCs w:val="20"/>
                <w:lang w:val="lt-LT"/>
              </w:rPr>
              <w:t>Skaičiavimo metodika</w:t>
            </w:r>
          </w:p>
        </w:tc>
      </w:tr>
      <w:tr w:rsidR="00005ACD" w:rsidRPr="00D0006B" w14:paraId="39FC70FA" w14:textId="77777777" w:rsidTr="00E24002">
        <w:trPr>
          <w:trHeight w:val="19"/>
        </w:trPr>
        <w:tc>
          <w:tcPr>
            <w:tcW w:w="733" w:type="pct"/>
            <w:vMerge w:val="restart"/>
            <w:vAlign w:val="center"/>
          </w:tcPr>
          <w:p w14:paraId="190AEAB0" w14:textId="757ACF0A" w:rsidR="00005ACD" w:rsidRPr="00D0006B" w:rsidRDefault="00005ACD" w:rsidP="004B72AE">
            <w:pPr>
              <w:spacing w:after="0"/>
              <w:ind w:firstLine="0"/>
              <w:rPr>
                <w:sz w:val="20"/>
                <w:szCs w:val="20"/>
                <w:lang w:val="lt-LT"/>
              </w:rPr>
            </w:pPr>
            <w:r w:rsidRPr="00D0006B">
              <w:rPr>
                <w:sz w:val="20"/>
                <w:szCs w:val="20"/>
                <w:lang w:val="lt-LT"/>
              </w:rPr>
              <w:t xml:space="preserve">Verslo </w:t>
            </w:r>
          </w:p>
        </w:tc>
        <w:tc>
          <w:tcPr>
            <w:tcW w:w="953" w:type="pct"/>
            <w:vAlign w:val="center"/>
          </w:tcPr>
          <w:p w14:paraId="52DA2393" w14:textId="3EC9FD89" w:rsidR="00005ACD" w:rsidRPr="00D0006B" w:rsidRDefault="00005ACD" w:rsidP="004B72AE">
            <w:pPr>
              <w:spacing w:after="0"/>
              <w:ind w:firstLine="0"/>
              <w:rPr>
                <w:sz w:val="20"/>
                <w:szCs w:val="20"/>
                <w:lang w:val="lt-LT"/>
              </w:rPr>
            </w:pPr>
            <w:r w:rsidRPr="00D0006B">
              <w:rPr>
                <w:sz w:val="20"/>
                <w:szCs w:val="20"/>
                <w:lang w:val="lt-LT"/>
              </w:rPr>
              <w:t>Sudaryta sutarčių dėl investicinės paramos teikimo plėtoti naujus elektros energijos gamybos iš atsinaujinančių energijos išteklių pajėgumus įmonėse</w:t>
            </w:r>
            <w:r w:rsidR="003C0378" w:rsidRPr="00D0006B">
              <w:rPr>
                <w:sz w:val="20"/>
                <w:szCs w:val="20"/>
                <w:lang w:val="lt-LT"/>
              </w:rPr>
              <w:t xml:space="preserve"> </w:t>
            </w:r>
            <w:r w:rsidRPr="00D0006B">
              <w:rPr>
                <w:sz w:val="20"/>
                <w:szCs w:val="20"/>
                <w:lang w:val="lt-LT"/>
              </w:rPr>
              <w:t>(iš kurių: labai mažos, mažos, vidutinės ir didelės)</w:t>
            </w:r>
          </w:p>
        </w:tc>
        <w:tc>
          <w:tcPr>
            <w:tcW w:w="1200" w:type="pct"/>
            <w:vAlign w:val="center"/>
          </w:tcPr>
          <w:p w14:paraId="15939CBD" w14:textId="66104B5B" w:rsidR="00005ACD" w:rsidRPr="00D0006B" w:rsidRDefault="00005ACD" w:rsidP="004B72AE">
            <w:pPr>
              <w:spacing w:after="0"/>
              <w:ind w:firstLine="0"/>
              <w:rPr>
                <w:sz w:val="20"/>
                <w:szCs w:val="20"/>
                <w:lang w:val="lt-LT"/>
              </w:rPr>
            </w:pPr>
            <w:r w:rsidRPr="00D0006B">
              <w:rPr>
                <w:sz w:val="20"/>
                <w:szCs w:val="20"/>
                <w:lang w:val="lt-LT"/>
              </w:rPr>
              <w:t xml:space="preserve">Skaičiuojama sudarytų investicinės paramos teikimo sutarčių skaičius </w:t>
            </w:r>
          </w:p>
        </w:tc>
        <w:tc>
          <w:tcPr>
            <w:tcW w:w="810" w:type="pct"/>
            <w:vAlign w:val="center"/>
          </w:tcPr>
          <w:p w14:paraId="5AF0CC6F" w14:textId="1A27D30E" w:rsidR="00005ACD" w:rsidRPr="00D0006B" w:rsidRDefault="00005ACD" w:rsidP="004B72AE">
            <w:pPr>
              <w:spacing w:after="0"/>
              <w:ind w:firstLine="0"/>
              <w:rPr>
                <w:sz w:val="20"/>
                <w:szCs w:val="20"/>
                <w:lang w:val="lt-LT"/>
              </w:rPr>
            </w:pPr>
            <w:r w:rsidRPr="00D0006B">
              <w:rPr>
                <w:sz w:val="20"/>
                <w:szCs w:val="20"/>
                <w:lang w:val="lt-LT"/>
              </w:rPr>
              <w:t>Vienetai</w:t>
            </w:r>
          </w:p>
        </w:tc>
        <w:tc>
          <w:tcPr>
            <w:tcW w:w="1304" w:type="pct"/>
            <w:vAlign w:val="center"/>
          </w:tcPr>
          <w:p w14:paraId="62DFACFE" w14:textId="04D87045" w:rsidR="00005ACD" w:rsidRPr="00D0006B" w:rsidRDefault="00005ACD" w:rsidP="004B72AE">
            <w:pPr>
              <w:spacing w:after="0"/>
              <w:ind w:firstLine="0"/>
              <w:rPr>
                <w:sz w:val="20"/>
                <w:szCs w:val="20"/>
                <w:lang w:val="lt-LT"/>
              </w:rPr>
            </w:pPr>
            <w:r w:rsidRPr="00D0006B">
              <w:rPr>
                <w:sz w:val="20"/>
                <w:szCs w:val="20"/>
                <w:lang w:val="lt-LT"/>
              </w:rPr>
              <w:t>Apskaičiuojamas automatiškai, sumuojant pasirašytų sutarčių skaičius</w:t>
            </w:r>
          </w:p>
        </w:tc>
      </w:tr>
      <w:tr w:rsidR="00005ACD" w:rsidRPr="00D0006B" w14:paraId="3688D15E" w14:textId="77777777" w:rsidTr="00E24002">
        <w:trPr>
          <w:trHeight w:val="19"/>
        </w:trPr>
        <w:tc>
          <w:tcPr>
            <w:tcW w:w="733" w:type="pct"/>
            <w:vMerge/>
          </w:tcPr>
          <w:p w14:paraId="24870575" w14:textId="77777777" w:rsidR="00005ACD" w:rsidRPr="00D0006B" w:rsidRDefault="00005ACD" w:rsidP="004B72AE">
            <w:pPr>
              <w:spacing w:after="0"/>
              <w:ind w:firstLine="0"/>
              <w:rPr>
                <w:sz w:val="20"/>
                <w:szCs w:val="20"/>
                <w:lang w:val="lt-LT"/>
              </w:rPr>
            </w:pPr>
          </w:p>
        </w:tc>
        <w:tc>
          <w:tcPr>
            <w:tcW w:w="953" w:type="pct"/>
            <w:vAlign w:val="center"/>
          </w:tcPr>
          <w:p w14:paraId="6AE91CCA" w14:textId="2C7A0118" w:rsidR="00005ACD" w:rsidRPr="00D0006B" w:rsidRDefault="00005ACD" w:rsidP="004B72AE">
            <w:pPr>
              <w:spacing w:after="0"/>
              <w:ind w:firstLine="0"/>
              <w:rPr>
                <w:sz w:val="20"/>
                <w:szCs w:val="20"/>
                <w:lang w:val="lt-LT"/>
              </w:rPr>
            </w:pPr>
            <w:r w:rsidRPr="00D0006B">
              <w:rPr>
                <w:rFonts w:eastAsia="Times New Roman" w:cs="Times New Roman"/>
                <w:iCs/>
                <w:color w:val="000000"/>
                <w:sz w:val="20"/>
                <w:szCs w:val="20"/>
                <w:lang w:val="lt-LT" w:eastAsia="lt-LT"/>
              </w:rPr>
              <w:t xml:space="preserve">Sudarytose sutartyse dėl investicines paramos teikimo plėtoti naujus elektros gamybos iš atsinaujinančių energijos išteklių suplanuoti </w:t>
            </w:r>
            <w:r w:rsidR="000F48A4" w:rsidRPr="00D0006B">
              <w:rPr>
                <w:rFonts w:eastAsia="Times New Roman" w:cs="Times New Roman"/>
                <w:iCs/>
                <w:color w:val="000000"/>
                <w:sz w:val="20"/>
                <w:szCs w:val="20"/>
                <w:lang w:val="lt-LT" w:eastAsia="lt-LT"/>
              </w:rPr>
              <w:t>saulės ir vėjo</w:t>
            </w:r>
            <w:r w:rsidRPr="00D0006B">
              <w:rPr>
                <w:rFonts w:eastAsia="Times New Roman" w:cs="Times New Roman"/>
                <w:iCs/>
                <w:color w:val="000000"/>
                <w:sz w:val="20"/>
                <w:szCs w:val="20"/>
                <w:lang w:val="lt-LT" w:eastAsia="lt-LT"/>
              </w:rPr>
              <w:t xml:space="preserve"> elektrinių pajėgumai</w:t>
            </w:r>
          </w:p>
        </w:tc>
        <w:tc>
          <w:tcPr>
            <w:tcW w:w="1200" w:type="pct"/>
            <w:vAlign w:val="center"/>
          </w:tcPr>
          <w:p w14:paraId="0C024F92" w14:textId="5394CDEF" w:rsidR="00005ACD" w:rsidRPr="00D0006B" w:rsidRDefault="00005ACD" w:rsidP="004B72AE">
            <w:pPr>
              <w:spacing w:after="0"/>
              <w:ind w:firstLine="0"/>
              <w:rPr>
                <w:sz w:val="20"/>
                <w:szCs w:val="20"/>
                <w:lang w:val="lt-LT"/>
              </w:rPr>
            </w:pPr>
            <w:r w:rsidRPr="00D0006B">
              <w:rPr>
                <w:sz w:val="20"/>
                <w:szCs w:val="20"/>
                <w:lang w:val="lt-LT"/>
              </w:rPr>
              <w:t xml:space="preserve">Skaičiuojami suplanuoti </w:t>
            </w:r>
            <w:r w:rsidR="000F48A4" w:rsidRPr="00D0006B">
              <w:rPr>
                <w:sz w:val="20"/>
                <w:szCs w:val="20"/>
                <w:lang w:val="lt-LT"/>
              </w:rPr>
              <w:t>įrengti</w:t>
            </w:r>
            <w:r w:rsidR="003411D6" w:rsidRPr="00D0006B">
              <w:rPr>
                <w:sz w:val="20"/>
                <w:szCs w:val="20"/>
                <w:lang w:val="lt-LT"/>
              </w:rPr>
              <w:t xml:space="preserve"> saulės ir vėjo elektrinių</w:t>
            </w:r>
            <w:r w:rsidR="000F48A4" w:rsidRPr="00D0006B">
              <w:rPr>
                <w:sz w:val="20"/>
                <w:szCs w:val="20"/>
                <w:lang w:val="lt-LT"/>
              </w:rPr>
              <w:t xml:space="preserve"> </w:t>
            </w:r>
            <w:r w:rsidR="003411D6" w:rsidRPr="00D0006B">
              <w:rPr>
                <w:sz w:val="20"/>
                <w:szCs w:val="20"/>
                <w:lang w:val="lt-LT"/>
              </w:rPr>
              <w:t>elektros</w:t>
            </w:r>
            <w:r w:rsidRPr="00D0006B">
              <w:rPr>
                <w:sz w:val="20"/>
                <w:szCs w:val="20"/>
                <w:lang w:val="lt-LT"/>
              </w:rPr>
              <w:t xml:space="preserve"> gamybos pajėgumai </w:t>
            </w:r>
          </w:p>
        </w:tc>
        <w:tc>
          <w:tcPr>
            <w:tcW w:w="810" w:type="pct"/>
            <w:vAlign w:val="center"/>
          </w:tcPr>
          <w:p w14:paraId="4FB353F4" w14:textId="16B31F25" w:rsidR="00005ACD" w:rsidRPr="00D0006B" w:rsidRDefault="00005ACD" w:rsidP="004B72AE">
            <w:pPr>
              <w:spacing w:after="0"/>
              <w:ind w:firstLine="0"/>
              <w:rPr>
                <w:sz w:val="20"/>
                <w:szCs w:val="20"/>
                <w:lang w:val="lt-LT"/>
              </w:rPr>
            </w:pPr>
            <w:r w:rsidRPr="00D0006B">
              <w:rPr>
                <w:sz w:val="20"/>
                <w:szCs w:val="20"/>
                <w:lang w:val="lt-LT"/>
              </w:rPr>
              <w:t>MW</w:t>
            </w:r>
          </w:p>
        </w:tc>
        <w:tc>
          <w:tcPr>
            <w:tcW w:w="1304" w:type="pct"/>
            <w:vAlign w:val="center"/>
          </w:tcPr>
          <w:p w14:paraId="2DA88F29" w14:textId="672F9B53" w:rsidR="00005ACD" w:rsidRPr="00D0006B" w:rsidRDefault="00005ACD" w:rsidP="004B72AE">
            <w:pPr>
              <w:spacing w:after="0"/>
              <w:ind w:firstLine="0"/>
              <w:rPr>
                <w:sz w:val="20"/>
                <w:szCs w:val="20"/>
                <w:lang w:val="lt-LT"/>
              </w:rPr>
            </w:pPr>
            <w:r w:rsidRPr="00D0006B">
              <w:rPr>
                <w:sz w:val="20"/>
                <w:szCs w:val="20"/>
                <w:lang w:val="lt-LT"/>
              </w:rPr>
              <w:t>Apskaičiuojamas automatiškai, sumuojant pasirašytose sutartyse numatytus pastatyti vėjo elektrinių pajėgumus</w:t>
            </w:r>
          </w:p>
        </w:tc>
      </w:tr>
      <w:tr w:rsidR="00005ACD" w:rsidRPr="00D0006B" w14:paraId="2AC575CF" w14:textId="77777777" w:rsidTr="006C0B37">
        <w:trPr>
          <w:trHeight w:val="19"/>
        </w:trPr>
        <w:tc>
          <w:tcPr>
            <w:tcW w:w="733" w:type="pct"/>
            <w:vMerge w:val="restart"/>
            <w:vAlign w:val="center"/>
          </w:tcPr>
          <w:p w14:paraId="5A764B1F" w14:textId="5D187C23" w:rsidR="00005ACD" w:rsidRPr="00E24002" w:rsidRDefault="00CD749F" w:rsidP="004B72AE">
            <w:pPr>
              <w:spacing w:after="0"/>
              <w:ind w:firstLine="0"/>
              <w:rPr>
                <w:sz w:val="20"/>
                <w:highlight w:val="yellow"/>
                <w:lang w:val="lt-LT"/>
              </w:rPr>
            </w:pPr>
            <w:r w:rsidRPr="005819EF">
              <w:rPr>
                <w:sz w:val="20"/>
                <w:szCs w:val="20"/>
                <w:lang w:val="lt-LT"/>
              </w:rPr>
              <w:t>VJA</w:t>
            </w:r>
            <w:r w:rsidR="00005ACD" w:rsidRPr="005819EF">
              <w:rPr>
                <w:sz w:val="20"/>
                <w:szCs w:val="20"/>
                <w:lang w:val="lt-LT"/>
              </w:rPr>
              <w:t xml:space="preserve"> </w:t>
            </w:r>
          </w:p>
        </w:tc>
        <w:tc>
          <w:tcPr>
            <w:tcW w:w="953" w:type="pct"/>
            <w:vAlign w:val="center"/>
          </w:tcPr>
          <w:p w14:paraId="072CBC75" w14:textId="0F5F29CD" w:rsidR="00005ACD" w:rsidRPr="0074777C" w:rsidRDefault="00005ACD" w:rsidP="004B72AE">
            <w:pPr>
              <w:spacing w:after="0"/>
              <w:ind w:firstLine="0"/>
              <w:rPr>
                <w:rFonts w:eastAsia="Times New Roman" w:cs="Times New Roman"/>
                <w:color w:val="000000" w:themeColor="text1"/>
                <w:sz w:val="20"/>
                <w:szCs w:val="20"/>
                <w:lang w:val="lt-LT" w:eastAsia="lt-LT"/>
              </w:rPr>
            </w:pPr>
            <w:r w:rsidRPr="0074777C">
              <w:rPr>
                <w:sz w:val="20"/>
                <w:szCs w:val="20"/>
                <w:lang w:val="lt-LT"/>
              </w:rPr>
              <w:t xml:space="preserve">Sudaryta sutarčių dėl investicinės paramos teikimo plėtoti naujus elektros energijos gamybos iš atsinaujinančių energijos išteklių pajėgumus </w:t>
            </w:r>
            <w:r w:rsidR="00CD749F">
              <w:rPr>
                <w:sz w:val="20"/>
                <w:szCs w:val="20"/>
                <w:lang w:val="lt-LT"/>
              </w:rPr>
              <w:t>VJA</w:t>
            </w:r>
            <w:r w:rsidRPr="0074777C">
              <w:rPr>
                <w:sz w:val="20"/>
                <w:szCs w:val="20"/>
                <w:lang w:val="lt-LT"/>
              </w:rPr>
              <w:t xml:space="preserve"> tikslinėje grupėje</w:t>
            </w:r>
          </w:p>
        </w:tc>
        <w:tc>
          <w:tcPr>
            <w:tcW w:w="1200" w:type="pct"/>
            <w:vAlign w:val="center"/>
          </w:tcPr>
          <w:p w14:paraId="5A467FF6" w14:textId="2B6A990A" w:rsidR="00005ACD" w:rsidRPr="0074777C" w:rsidRDefault="00005ACD" w:rsidP="004B72AE">
            <w:pPr>
              <w:spacing w:after="0"/>
              <w:ind w:firstLine="0"/>
              <w:rPr>
                <w:sz w:val="20"/>
                <w:szCs w:val="20"/>
                <w:lang w:val="lt-LT"/>
              </w:rPr>
            </w:pPr>
            <w:r w:rsidRPr="0074777C">
              <w:rPr>
                <w:sz w:val="20"/>
                <w:szCs w:val="20"/>
                <w:lang w:val="lt-LT"/>
              </w:rPr>
              <w:t xml:space="preserve">Skaičiuojama sudarytų investicinės paramos teikimo sutarčių skaičius </w:t>
            </w:r>
          </w:p>
        </w:tc>
        <w:tc>
          <w:tcPr>
            <w:tcW w:w="810" w:type="pct"/>
            <w:vAlign w:val="center"/>
          </w:tcPr>
          <w:p w14:paraId="5DA7E7B1" w14:textId="337DD3B9" w:rsidR="00005ACD" w:rsidRPr="0074777C" w:rsidRDefault="00005ACD" w:rsidP="004B72AE">
            <w:pPr>
              <w:spacing w:after="0"/>
              <w:ind w:firstLine="0"/>
              <w:rPr>
                <w:sz w:val="20"/>
                <w:szCs w:val="20"/>
                <w:lang w:val="lt-LT"/>
              </w:rPr>
            </w:pPr>
            <w:r w:rsidRPr="0074777C">
              <w:rPr>
                <w:sz w:val="20"/>
                <w:szCs w:val="20"/>
                <w:lang w:val="lt-LT"/>
              </w:rPr>
              <w:t>Vienetai</w:t>
            </w:r>
          </w:p>
        </w:tc>
        <w:tc>
          <w:tcPr>
            <w:tcW w:w="1304" w:type="pct"/>
            <w:vAlign w:val="center"/>
          </w:tcPr>
          <w:p w14:paraId="0D705DA7" w14:textId="7D3037CB" w:rsidR="00005ACD" w:rsidRPr="0074777C" w:rsidRDefault="00005ACD" w:rsidP="004B72AE">
            <w:pPr>
              <w:spacing w:after="0"/>
              <w:ind w:firstLine="0"/>
              <w:rPr>
                <w:sz w:val="20"/>
                <w:szCs w:val="20"/>
                <w:lang w:val="lt-LT"/>
              </w:rPr>
            </w:pPr>
            <w:r w:rsidRPr="0074777C">
              <w:rPr>
                <w:sz w:val="20"/>
                <w:szCs w:val="20"/>
                <w:lang w:val="lt-LT"/>
              </w:rPr>
              <w:t>Apskaičiuojamas automatiškai, sumuojant pasirašytų sutarčių skaičius</w:t>
            </w:r>
          </w:p>
        </w:tc>
      </w:tr>
      <w:tr w:rsidR="00005ACD" w:rsidRPr="00D0006B" w14:paraId="371A498D" w14:textId="77777777" w:rsidTr="00E24002">
        <w:trPr>
          <w:trHeight w:val="19"/>
        </w:trPr>
        <w:tc>
          <w:tcPr>
            <w:tcW w:w="733" w:type="pct"/>
            <w:vMerge/>
            <w:vAlign w:val="center"/>
          </w:tcPr>
          <w:p w14:paraId="1294C6BC" w14:textId="77777777" w:rsidR="00005ACD" w:rsidRPr="00E24002" w:rsidRDefault="00005ACD" w:rsidP="004B72AE">
            <w:pPr>
              <w:spacing w:after="0"/>
              <w:ind w:firstLine="0"/>
              <w:rPr>
                <w:sz w:val="20"/>
                <w:highlight w:val="yellow"/>
                <w:lang w:val="lt-LT"/>
              </w:rPr>
            </w:pPr>
          </w:p>
        </w:tc>
        <w:tc>
          <w:tcPr>
            <w:tcW w:w="953" w:type="pct"/>
            <w:vAlign w:val="center"/>
          </w:tcPr>
          <w:p w14:paraId="7098DB08" w14:textId="2CA3A44A" w:rsidR="00005ACD" w:rsidRPr="0074777C" w:rsidRDefault="003411D6" w:rsidP="004B72AE">
            <w:pPr>
              <w:spacing w:after="0"/>
              <w:ind w:firstLine="0"/>
              <w:rPr>
                <w:sz w:val="20"/>
                <w:szCs w:val="20"/>
                <w:lang w:val="lt-LT"/>
              </w:rPr>
            </w:pPr>
            <w:r w:rsidRPr="0074777C">
              <w:rPr>
                <w:rFonts w:eastAsia="Times New Roman" w:cs="Times New Roman"/>
                <w:iCs/>
                <w:color w:val="000000"/>
                <w:sz w:val="20"/>
                <w:szCs w:val="20"/>
                <w:lang w:val="lt-LT" w:eastAsia="lt-LT"/>
              </w:rPr>
              <w:t>Sudarytose sutartyse dėl investicines paramos teikimo plėtoti naujus elektros gamybos iš atsinaujinančių energijos išteklių suplanuoti saulės ir vėjo elektrinių pajėgumai</w:t>
            </w:r>
          </w:p>
        </w:tc>
        <w:tc>
          <w:tcPr>
            <w:tcW w:w="1200" w:type="pct"/>
            <w:vAlign w:val="center"/>
          </w:tcPr>
          <w:p w14:paraId="3317BFB6" w14:textId="1CE2839A" w:rsidR="00005ACD" w:rsidRPr="0074777C" w:rsidRDefault="003411D6" w:rsidP="004B72AE">
            <w:pPr>
              <w:spacing w:after="0"/>
              <w:ind w:firstLine="0"/>
              <w:rPr>
                <w:sz w:val="20"/>
                <w:szCs w:val="20"/>
                <w:lang w:val="lt-LT"/>
              </w:rPr>
            </w:pPr>
            <w:r w:rsidRPr="0074777C">
              <w:rPr>
                <w:sz w:val="20"/>
                <w:szCs w:val="20"/>
                <w:lang w:val="lt-LT"/>
              </w:rPr>
              <w:t xml:space="preserve">Skaičiuojami suplanuoti įrengti saulės ir vėjo elektrinių elektros gamybos pajėgumai </w:t>
            </w:r>
          </w:p>
        </w:tc>
        <w:tc>
          <w:tcPr>
            <w:tcW w:w="810" w:type="pct"/>
            <w:vAlign w:val="center"/>
          </w:tcPr>
          <w:p w14:paraId="3122820F" w14:textId="4FD4BACE" w:rsidR="00005ACD" w:rsidRPr="0074777C" w:rsidRDefault="00005ACD" w:rsidP="004B72AE">
            <w:pPr>
              <w:spacing w:after="0"/>
              <w:ind w:firstLine="0"/>
              <w:rPr>
                <w:sz w:val="20"/>
                <w:szCs w:val="20"/>
                <w:lang w:val="lt-LT"/>
              </w:rPr>
            </w:pPr>
            <w:r w:rsidRPr="0074777C">
              <w:rPr>
                <w:sz w:val="20"/>
                <w:szCs w:val="20"/>
                <w:lang w:val="lt-LT"/>
              </w:rPr>
              <w:t>MW</w:t>
            </w:r>
          </w:p>
        </w:tc>
        <w:tc>
          <w:tcPr>
            <w:tcW w:w="1304" w:type="pct"/>
            <w:vAlign w:val="center"/>
          </w:tcPr>
          <w:p w14:paraId="13E4443B" w14:textId="5CB5496C" w:rsidR="00005ACD" w:rsidRPr="0074777C" w:rsidRDefault="00005ACD" w:rsidP="004B72AE">
            <w:pPr>
              <w:spacing w:after="0"/>
              <w:ind w:firstLine="0"/>
              <w:rPr>
                <w:sz w:val="20"/>
                <w:szCs w:val="20"/>
                <w:lang w:val="lt-LT"/>
              </w:rPr>
            </w:pPr>
            <w:r w:rsidRPr="0074777C">
              <w:rPr>
                <w:sz w:val="20"/>
                <w:szCs w:val="20"/>
                <w:lang w:val="lt-LT"/>
              </w:rPr>
              <w:t>Apskaičiuojamas automatiškai, sumuojant pasirašytose sutartyse numatytus pastatyti vėjo elektrinių pajėgumus</w:t>
            </w:r>
          </w:p>
        </w:tc>
      </w:tr>
      <w:tr w:rsidR="00005ACD" w:rsidRPr="003C0378" w14:paraId="68DAAF2B" w14:textId="77777777" w:rsidTr="00E24002">
        <w:trPr>
          <w:trHeight w:val="19"/>
        </w:trPr>
        <w:tc>
          <w:tcPr>
            <w:tcW w:w="733" w:type="pct"/>
            <w:vMerge w:val="restart"/>
            <w:vAlign w:val="center"/>
          </w:tcPr>
          <w:p w14:paraId="28496DCC" w14:textId="54AB987C" w:rsidR="00005ACD" w:rsidRPr="003C0378" w:rsidRDefault="00F6739B" w:rsidP="004B72AE">
            <w:pPr>
              <w:spacing w:after="0"/>
              <w:ind w:firstLine="0"/>
              <w:rPr>
                <w:sz w:val="20"/>
                <w:szCs w:val="20"/>
                <w:lang w:val="lt-LT"/>
              </w:rPr>
            </w:pPr>
            <w:r>
              <w:rPr>
                <w:sz w:val="20"/>
                <w:szCs w:val="20"/>
                <w:lang w:val="lt-LT"/>
              </w:rPr>
              <w:t>AIEB</w:t>
            </w:r>
            <w:r w:rsidR="00005ACD" w:rsidRPr="003C0378">
              <w:rPr>
                <w:sz w:val="20"/>
                <w:szCs w:val="20"/>
                <w:lang w:val="lt-LT"/>
              </w:rPr>
              <w:t xml:space="preserve"> </w:t>
            </w:r>
            <w:r w:rsidR="009E7775" w:rsidRPr="009E7775">
              <w:rPr>
                <w:sz w:val="20"/>
                <w:szCs w:val="20"/>
                <w:lang w:val="lt-LT"/>
              </w:rPr>
              <w:t>bei PEB</w:t>
            </w:r>
          </w:p>
        </w:tc>
        <w:tc>
          <w:tcPr>
            <w:tcW w:w="953" w:type="pct"/>
            <w:vAlign w:val="center"/>
          </w:tcPr>
          <w:p w14:paraId="2405EE06" w14:textId="50D51BCD" w:rsidR="00005ACD" w:rsidRPr="003C0378" w:rsidRDefault="00005ACD" w:rsidP="004B72AE">
            <w:pPr>
              <w:spacing w:after="0"/>
              <w:ind w:firstLine="0"/>
              <w:rPr>
                <w:rFonts w:eastAsia="Times New Roman" w:cs="Times New Roman"/>
                <w:iCs/>
                <w:color w:val="000000"/>
                <w:sz w:val="20"/>
                <w:szCs w:val="20"/>
                <w:lang w:val="lt-LT" w:eastAsia="lt-LT"/>
              </w:rPr>
            </w:pPr>
            <w:r w:rsidRPr="003C0378">
              <w:rPr>
                <w:sz w:val="20"/>
                <w:szCs w:val="20"/>
                <w:lang w:val="lt-LT"/>
              </w:rPr>
              <w:t xml:space="preserve">Sudaryta sutarčių dėl investicinės paramos teikimo </w:t>
            </w:r>
            <w:r w:rsidRPr="003C0378">
              <w:rPr>
                <w:sz w:val="20"/>
                <w:szCs w:val="20"/>
                <w:lang w:val="lt-LT"/>
              </w:rPr>
              <w:lastRenderedPageBreak/>
              <w:t xml:space="preserve">plėtoti naujus elektros energijos gamybos iš atsinaujinančių energijos išteklių pajėgumus </w:t>
            </w:r>
            <w:r w:rsidR="00F6739B">
              <w:rPr>
                <w:sz w:val="20"/>
                <w:szCs w:val="20"/>
                <w:lang w:val="lt-LT"/>
              </w:rPr>
              <w:t>AIEB</w:t>
            </w:r>
            <w:r w:rsidRPr="003C0378">
              <w:rPr>
                <w:sz w:val="20"/>
                <w:szCs w:val="20"/>
                <w:lang w:val="lt-LT"/>
              </w:rPr>
              <w:t xml:space="preserve"> </w:t>
            </w:r>
            <w:r w:rsidR="009E7775" w:rsidRPr="009E7775">
              <w:rPr>
                <w:sz w:val="20"/>
                <w:szCs w:val="20"/>
                <w:lang w:val="lt-LT"/>
              </w:rPr>
              <w:t xml:space="preserve">bei PEB </w:t>
            </w:r>
            <w:r w:rsidRPr="003C0378">
              <w:rPr>
                <w:sz w:val="20"/>
                <w:szCs w:val="20"/>
                <w:lang w:val="lt-LT"/>
              </w:rPr>
              <w:t>tikslinėje grupėje</w:t>
            </w:r>
          </w:p>
        </w:tc>
        <w:tc>
          <w:tcPr>
            <w:tcW w:w="1200" w:type="pct"/>
            <w:vAlign w:val="center"/>
          </w:tcPr>
          <w:p w14:paraId="12891787" w14:textId="767FA455" w:rsidR="00005ACD" w:rsidRPr="003C0378" w:rsidRDefault="00005ACD" w:rsidP="004B72AE">
            <w:pPr>
              <w:spacing w:after="0"/>
              <w:ind w:firstLine="0"/>
              <w:rPr>
                <w:sz w:val="20"/>
                <w:szCs w:val="20"/>
                <w:lang w:val="lt-LT"/>
              </w:rPr>
            </w:pPr>
            <w:r w:rsidRPr="003C0378">
              <w:rPr>
                <w:sz w:val="20"/>
                <w:szCs w:val="20"/>
                <w:lang w:val="lt-LT"/>
              </w:rPr>
              <w:lastRenderedPageBreak/>
              <w:t xml:space="preserve">Skaičiuojama sudarytų investicinės paramos teikimo sutarčių skaičius </w:t>
            </w:r>
          </w:p>
        </w:tc>
        <w:tc>
          <w:tcPr>
            <w:tcW w:w="810" w:type="pct"/>
            <w:vAlign w:val="center"/>
          </w:tcPr>
          <w:p w14:paraId="30584420" w14:textId="19D04B8A" w:rsidR="00005ACD" w:rsidRPr="003C0378" w:rsidRDefault="00005ACD" w:rsidP="004B72AE">
            <w:pPr>
              <w:spacing w:after="0"/>
              <w:ind w:firstLine="0"/>
              <w:rPr>
                <w:sz w:val="20"/>
                <w:szCs w:val="20"/>
                <w:lang w:val="lt-LT"/>
              </w:rPr>
            </w:pPr>
            <w:r w:rsidRPr="003C0378">
              <w:rPr>
                <w:sz w:val="20"/>
                <w:szCs w:val="20"/>
                <w:lang w:val="lt-LT"/>
              </w:rPr>
              <w:t>Vienetai</w:t>
            </w:r>
          </w:p>
        </w:tc>
        <w:tc>
          <w:tcPr>
            <w:tcW w:w="1304" w:type="pct"/>
            <w:vAlign w:val="center"/>
          </w:tcPr>
          <w:p w14:paraId="453A4E4D" w14:textId="66EEADF2" w:rsidR="00005ACD" w:rsidRPr="003C0378" w:rsidRDefault="00005ACD" w:rsidP="004B72AE">
            <w:pPr>
              <w:spacing w:after="0"/>
              <w:ind w:firstLine="0"/>
              <w:rPr>
                <w:sz w:val="20"/>
                <w:szCs w:val="20"/>
                <w:lang w:val="lt-LT"/>
              </w:rPr>
            </w:pPr>
            <w:r w:rsidRPr="003C0378">
              <w:rPr>
                <w:sz w:val="20"/>
                <w:szCs w:val="20"/>
                <w:lang w:val="lt-LT"/>
              </w:rPr>
              <w:t>Apskaičiuojamas automatiškai, sumuojant pasirašytų sutarčių skaičius</w:t>
            </w:r>
          </w:p>
        </w:tc>
      </w:tr>
      <w:tr w:rsidR="003411D6" w:rsidRPr="003C0378" w14:paraId="23B597A1" w14:textId="77777777" w:rsidTr="00E24002">
        <w:trPr>
          <w:trHeight w:val="19"/>
        </w:trPr>
        <w:tc>
          <w:tcPr>
            <w:tcW w:w="733" w:type="pct"/>
            <w:vMerge/>
            <w:vAlign w:val="center"/>
          </w:tcPr>
          <w:p w14:paraId="287F049A" w14:textId="77777777" w:rsidR="003411D6" w:rsidRPr="003C0378" w:rsidRDefault="003411D6" w:rsidP="004B72AE">
            <w:pPr>
              <w:spacing w:after="0"/>
              <w:ind w:firstLine="0"/>
              <w:rPr>
                <w:sz w:val="20"/>
                <w:szCs w:val="20"/>
                <w:lang w:val="lt-LT"/>
              </w:rPr>
            </w:pPr>
          </w:p>
        </w:tc>
        <w:tc>
          <w:tcPr>
            <w:tcW w:w="953" w:type="pct"/>
            <w:vAlign w:val="center"/>
          </w:tcPr>
          <w:p w14:paraId="2BE044B7" w14:textId="3A5B55F0" w:rsidR="003411D6" w:rsidRPr="003C0378" w:rsidRDefault="003411D6" w:rsidP="004B72AE">
            <w:pPr>
              <w:spacing w:after="0"/>
              <w:ind w:firstLine="0"/>
              <w:rPr>
                <w:rFonts w:eastAsia="Times New Roman" w:cs="Times New Roman"/>
                <w:iCs/>
                <w:color w:val="000000"/>
                <w:sz w:val="20"/>
                <w:szCs w:val="20"/>
                <w:lang w:val="lt-LT" w:eastAsia="lt-LT"/>
              </w:rPr>
            </w:pPr>
            <w:r w:rsidRPr="003C0378">
              <w:rPr>
                <w:rFonts w:eastAsia="Times New Roman" w:cs="Times New Roman"/>
                <w:iCs/>
                <w:color w:val="000000"/>
                <w:sz w:val="20"/>
                <w:szCs w:val="20"/>
                <w:lang w:val="lt-LT" w:eastAsia="lt-LT"/>
              </w:rPr>
              <w:t xml:space="preserve">Sudarytose sutartyse dėl investicines paramos teikimo plėtoti naujus elektros gamybos iš atsinaujinančių energijos išteklių suplanuoti </w:t>
            </w:r>
            <w:r>
              <w:rPr>
                <w:rFonts w:eastAsia="Times New Roman" w:cs="Times New Roman"/>
                <w:iCs/>
                <w:color w:val="000000"/>
                <w:sz w:val="20"/>
                <w:szCs w:val="20"/>
                <w:lang w:val="lt-LT" w:eastAsia="lt-LT"/>
              </w:rPr>
              <w:t>saulės ir vėjo</w:t>
            </w:r>
            <w:r w:rsidRPr="003C0378">
              <w:rPr>
                <w:rFonts w:eastAsia="Times New Roman" w:cs="Times New Roman"/>
                <w:iCs/>
                <w:color w:val="000000"/>
                <w:sz w:val="20"/>
                <w:szCs w:val="20"/>
                <w:lang w:val="lt-LT" w:eastAsia="lt-LT"/>
              </w:rPr>
              <w:t xml:space="preserve"> elektrinių pajėgumai</w:t>
            </w:r>
          </w:p>
        </w:tc>
        <w:tc>
          <w:tcPr>
            <w:tcW w:w="1200" w:type="pct"/>
            <w:vAlign w:val="center"/>
          </w:tcPr>
          <w:p w14:paraId="55B8DFDE" w14:textId="5CFCB52C" w:rsidR="003411D6" w:rsidRPr="003C0378" w:rsidRDefault="003411D6" w:rsidP="004B72AE">
            <w:pPr>
              <w:spacing w:after="0"/>
              <w:ind w:firstLine="0"/>
              <w:rPr>
                <w:sz w:val="20"/>
                <w:szCs w:val="20"/>
                <w:lang w:val="lt-LT"/>
              </w:rPr>
            </w:pPr>
            <w:r w:rsidRPr="003C0378">
              <w:rPr>
                <w:sz w:val="20"/>
                <w:szCs w:val="20"/>
                <w:lang w:val="lt-LT"/>
              </w:rPr>
              <w:t xml:space="preserve">Skaičiuojami suplanuoti </w:t>
            </w:r>
            <w:r>
              <w:rPr>
                <w:sz w:val="20"/>
                <w:szCs w:val="20"/>
                <w:lang w:val="lt-LT"/>
              </w:rPr>
              <w:t>įrengti saulės ir vėjo elektrinių elektros</w:t>
            </w:r>
            <w:r w:rsidRPr="003C0378">
              <w:rPr>
                <w:sz w:val="20"/>
                <w:szCs w:val="20"/>
                <w:lang w:val="lt-LT"/>
              </w:rPr>
              <w:t xml:space="preserve"> gamybos pajėgumai </w:t>
            </w:r>
          </w:p>
        </w:tc>
        <w:tc>
          <w:tcPr>
            <w:tcW w:w="810" w:type="pct"/>
            <w:vAlign w:val="center"/>
          </w:tcPr>
          <w:p w14:paraId="30713B1D" w14:textId="28FBEEBA" w:rsidR="003411D6" w:rsidRPr="003C0378" w:rsidRDefault="003411D6" w:rsidP="004B72AE">
            <w:pPr>
              <w:spacing w:after="0"/>
              <w:ind w:firstLine="0"/>
              <w:rPr>
                <w:sz w:val="20"/>
                <w:szCs w:val="20"/>
                <w:lang w:val="lt-LT"/>
              </w:rPr>
            </w:pPr>
            <w:r w:rsidRPr="003C0378">
              <w:rPr>
                <w:sz w:val="20"/>
                <w:szCs w:val="20"/>
                <w:lang w:val="lt-LT"/>
              </w:rPr>
              <w:t>MW</w:t>
            </w:r>
          </w:p>
        </w:tc>
        <w:tc>
          <w:tcPr>
            <w:tcW w:w="1304" w:type="pct"/>
            <w:vAlign w:val="center"/>
          </w:tcPr>
          <w:p w14:paraId="02F59DDB" w14:textId="491CD19C" w:rsidR="003411D6" w:rsidRPr="003C0378" w:rsidRDefault="003411D6" w:rsidP="004B72AE">
            <w:pPr>
              <w:spacing w:after="0"/>
              <w:ind w:firstLine="0"/>
              <w:rPr>
                <w:sz w:val="20"/>
                <w:szCs w:val="20"/>
                <w:lang w:val="lt-LT"/>
              </w:rPr>
            </w:pPr>
            <w:r w:rsidRPr="003C0378">
              <w:rPr>
                <w:sz w:val="20"/>
                <w:szCs w:val="20"/>
                <w:lang w:val="lt-LT"/>
              </w:rPr>
              <w:t>Apskaičiuojamas automatiškai, sumuojant pasirašytose sutartyse numatytus pastatyti vėjo elektrinių pajėgumus</w:t>
            </w:r>
          </w:p>
        </w:tc>
      </w:tr>
    </w:tbl>
    <w:p w14:paraId="22CB9365" w14:textId="77777777" w:rsidR="000F1A78" w:rsidRPr="003C0378" w:rsidRDefault="000F1A78" w:rsidP="000F1A78">
      <w:pPr>
        <w:keepNext/>
        <w:ind w:firstLine="562"/>
        <w:jc w:val="left"/>
        <w:rPr>
          <w:rFonts w:cs="Times New Roman"/>
          <w:sz w:val="20"/>
          <w:szCs w:val="20"/>
        </w:rPr>
      </w:pPr>
      <w:r w:rsidRPr="003C0378">
        <w:rPr>
          <w:rFonts w:cs="Times New Roman"/>
          <w:sz w:val="20"/>
          <w:szCs w:val="20"/>
        </w:rPr>
        <w:t>Šaltinis: sudaryta Vertintojų</w:t>
      </w:r>
    </w:p>
    <w:p w14:paraId="60230FF9" w14:textId="77777777" w:rsidR="000F1A78" w:rsidRPr="003C0378" w:rsidRDefault="000F1A78" w:rsidP="00F10C7D">
      <w:pPr>
        <w:sectPr w:rsidR="000F1A78" w:rsidRPr="003C0378" w:rsidSect="00C234E6">
          <w:pgSz w:w="16838" w:h="11906" w:orient="landscape"/>
          <w:pgMar w:top="1701" w:right="1701" w:bottom="567" w:left="1134" w:header="567" w:footer="567" w:gutter="0"/>
          <w:cols w:space="1296"/>
          <w:docGrid w:linePitch="360"/>
        </w:sectPr>
      </w:pPr>
    </w:p>
    <w:p w14:paraId="3C28A3E4" w14:textId="0D43481F" w:rsidR="000F1A78" w:rsidRPr="003C0378" w:rsidRDefault="000F1A78" w:rsidP="000F1A78">
      <w:pPr>
        <w:pStyle w:val="Antrat1"/>
        <w:numPr>
          <w:ilvl w:val="0"/>
          <w:numId w:val="0"/>
        </w:numPr>
        <w:ind w:left="360"/>
        <w:rPr>
          <w:rFonts w:cs="Times New Roman"/>
        </w:rPr>
      </w:pPr>
      <w:bookmarkStart w:id="207" w:name="_Toc126051374"/>
      <w:bookmarkStart w:id="208" w:name="_Toc166139849"/>
      <w:bookmarkStart w:id="209" w:name="_Toc170804611"/>
      <w:r w:rsidRPr="003C0378">
        <w:rPr>
          <w:rFonts w:cs="Times New Roman"/>
        </w:rPr>
        <w:lastRenderedPageBreak/>
        <w:t xml:space="preserve">Priedas 1. </w:t>
      </w:r>
      <w:r w:rsidRPr="003C0378">
        <w:t>Pusiau struktūruotų</w:t>
      </w:r>
      <w:r w:rsidR="00005ACD" w:rsidRPr="003C0378">
        <w:t xml:space="preserve"> </w:t>
      </w:r>
      <w:r w:rsidR="004B72AE">
        <w:t>ir</w:t>
      </w:r>
      <w:r w:rsidR="00005ACD" w:rsidRPr="003C0378">
        <w:t xml:space="preserve"> nestruktūruotų </w:t>
      </w:r>
      <w:r w:rsidRPr="003C0378">
        <w:t>interviu respondentų s</w:t>
      </w:r>
      <w:r w:rsidRPr="003C0378">
        <w:rPr>
          <w:rFonts w:cs="Times New Roman"/>
        </w:rPr>
        <w:t>ąrašas</w:t>
      </w:r>
      <w:bookmarkEnd w:id="207"/>
      <w:bookmarkEnd w:id="208"/>
      <w:bookmarkEnd w:id="2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352"/>
        <w:gridCol w:w="3954"/>
      </w:tblGrid>
      <w:tr w:rsidR="00C1198E" w:rsidRPr="003C0378" w14:paraId="4E99761F" w14:textId="77777777" w:rsidTr="00E24002">
        <w:trPr>
          <w:trHeight w:val="19"/>
        </w:trPr>
        <w:tc>
          <w:tcPr>
            <w:tcW w:w="1206" w:type="pct"/>
            <w:shd w:val="clear" w:color="auto" w:fill="auto"/>
            <w:vAlign w:val="center"/>
            <w:hideMark/>
          </w:tcPr>
          <w:p w14:paraId="2BE1F311" w14:textId="77777777" w:rsidR="000F1A78" w:rsidRPr="003C0378" w:rsidRDefault="000F1A78"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INTERVIU ATLIKIMO DATA</w:t>
            </w:r>
          </w:p>
        </w:tc>
        <w:tc>
          <w:tcPr>
            <w:tcW w:w="1741" w:type="pct"/>
            <w:shd w:val="clear" w:color="auto" w:fill="auto"/>
            <w:vAlign w:val="center"/>
            <w:hideMark/>
          </w:tcPr>
          <w:p w14:paraId="1636A826" w14:textId="326FD21C" w:rsidR="000F1A78" w:rsidRPr="003C0378" w:rsidRDefault="00BB4DC2"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 xml:space="preserve">INTERVIU </w:t>
            </w:r>
            <w:r w:rsidR="000F1A78" w:rsidRPr="003C0378">
              <w:rPr>
                <w:rFonts w:eastAsia="Times New Roman" w:cs="Times New Roman"/>
                <w:b/>
                <w:bCs/>
                <w:color w:val="000000"/>
                <w:sz w:val="20"/>
                <w:szCs w:val="20"/>
              </w:rPr>
              <w:t>RESPONDENTAS</w:t>
            </w:r>
          </w:p>
        </w:tc>
        <w:tc>
          <w:tcPr>
            <w:tcW w:w="2053" w:type="pct"/>
            <w:shd w:val="clear" w:color="auto" w:fill="auto"/>
            <w:vAlign w:val="center"/>
            <w:hideMark/>
          </w:tcPr>
          <w:p w14:paraId="49DD6C88" w14:textId="77777777" w:rsidR="000F1A78" w:rsidRPr="003C0378" w:rsidRDefault="000F1A78" w:rsidP="000C6260">
            <w:pPr>
              <w:spacing w:after="0"/>
              <w:ind w:firstLine="0"/>
              <w:jc w:val="center"/>
              <w:rPr>
                <w:rFonts w:eastAsia="Times New Roman" w:cs="Times New Roman"/>
                <w:b/>
                <w:bCs/>
                <w:color w:val="000000"/>
                <w:sz w:val="20"/>
                <w:szCs w:val="20"/>
              </w:rPr>
            </w:pPr>
            <w:r w:rsidRPr="003C0378">
              <w:rPr>
                <w:rFonts w:eastAsia="Times New Roman" w:cs="Times New Roman"/>
                <w:b/>
                <w:bCs/>
                <w:color w:val="000000"/>
                <w:sz w:val="20"/>
                <w:szCs w:val="20"/>
              </w:rPr>
              <w:t>ATSTOVAUJAMA INSTITUCIJA</w:t>
            </w:r>
          </w:p>
        </w:tc>
      </w:tr>
      <w:tr w:rsidR="00C1198E" w:rsidRPr="003C0378" w14:paraId="16922357" w14:textId="77777777" w:rsidTr="00E24002">
        <w:trPr>
          <w:trHeight w:val="19"/>
        </w:trPr>
        <w:tc>
          <w:tcPr>
            <w:tcW w:w="1206" w:type="pct"/>
            <w:shd w:val="clear" w:color="auto" w:fill="auto"/>
            <w:noWrap/>
            <w:vAlign w:val="center"/>
            <w:hideMark/>
          </w:tcPr>
          <w:p w14:paraId="70555F7F" w14:textId="5FE405B4"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2022–12–27</w:t>
            </w:r>
          </w:p>
        </w:tc>
        <w:tc>
          <w:tcPr>
            <w:tcW w:w="1741" w:type="pct"/>
            <w:shd w:val="clear" w:color="auto" w:fill="auto"/>
            <w:noWrap/>
            <w:vAlign w:val="center"/>
            <w:hideMark/>
          </w:tcPr>
          <w:p w14:paraId="77E91F40" w14:textId="77777777"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Mindaugas Sinkevičius</w:t>
            </w:r>
          </w:p>
          <w:p w14:paraId="2A0A4D81" w14:textId="77777777"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Inga </w:t>
            </w:r>
            <w:proofErr w:type="spellStart"/>
            <w:r w:rsidRPr="003C0378">
              <w:rPr>
                <w:rFonts w:eastAsia="Times New Roman" w:cs="Times New Roman"/>
                <w:color w:val="000000"/>
                <w:sz w:val="20"/>
                <w:szCs w:val="20"/>
              </w:rPr>
              <w:t>Liutkevičiūtė</w:t>
            </w:r>
            <w:proofErr w:type="spellEnd"/>
          </w:p>
          <w:p w14:paraId="163D7BFB" w14:textId="3908C9AF"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Ernestas </w:t>
            </w:r>
            <w:proofErr w:type="spellStart"/>
            <w:r w:rsidRPr="003C0378">
              <w:rPr>
                <w:rFonts w:eastAsia="Times New Roman" w:cs="Times New Roman"/>
                <w:color w:val="000000"/>
                <w:sz w:val="20"/>
                <w:szCs w:val="20"/>
              </w:rPr>
              <w:t>Česokas</w:t>
            </w:r>
            <w:proofErr w:type="spellEnd"/>
          </w:p>
        </w:tc>
        <w:tc>
          <w:tcPr>
            <w:tcW w:w="2053" w:type="pct"/>
            <w:shd w:val="clear" w:color="auto" w:fill="auto"/>
            <w:noWrap/>
            <w:vAlign w:val="center"/>
            <w:hideMark/>
          </w:tcPr>
          <w:p w14:paraId="4FCA14F0" w14:textId="20F58944"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VĮ „Turto bankas“</w:t>
            </w:r>
          </w:p>
        </w:tc>
      </w:tr>
      <w:tr w:rsidR="00C1198E" w:rsidRPr="003C0378" w14:paraId="126DF9E5" w14:textId="77777777" w:rsidTr="00E24002">
        <w:trPr>
          <w:trHeight w:val="19"/>
        </w:trPr>
        <w:tc>
          <w:tcPr>
            <w:tcW w:w="1206" w:type="pct"/>
            <w:shd w:val="clear" w:color="auto" w:fill="auto"/>
            <w:noWrap/>
            <w:vAlign w:val="center"/>
            <w:hideMark/>
          </w:tcPr>
          <w:p w14:paraId="7F628683" w14:textId="59719E4F" w:rsidR="000F1A78" w:rsidRPr="003C0378" w:rsidRDefault="000F1A78"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w:t>
            </w:r>
            <w:r w:rsidR="00C1198E" w:rsidRPr="003C0378">
              <w:rPr>
                <w:rFonts w:eastAsia="Times New Roman" w:cs="Times New Roman"/>
                <w:color w:val="000000"/>
                <w:sz w:val="20"/>
                <w:szCs w:val="20"/>
              </w:rPr>
              <w:t>01–03</w:t>
            </w:r>
          </w:p>
        </w:tc>
        <w:tc>
          <w:tcPr>
            <w:tcW w:w="1741" w:type="pct"/>
            <w:shd w:val="clear" w:color="auto" w:fill="auto"/>
            <w:noWrap/>
            <w:vAlign w:val="center"/>
            <w:hideMark/>
          </w:tcPr>
          <w:p w14:paraId="01CF3B7E" w14:textId="507B686F"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Martynas Nagevičius</w:t>
            </w:r>
          </w:p>
        </w:tc>
        <w:tc>
          <w:tcPr>
            <w:tcW w:w="2053" w:type="pct"/>
            <w:shd w:val="clear" w:color="auto" w:fill="auto"/>
            <w:noWrap/>
            <w:vAlign w:val="center"/>
            <w:hideMark/>
          </w:tcPr>
          <w:p w14:paraId="0629F378" w14:textId="600C94C3"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Lietuvos atsinaujinančių išteklių konfederacija</w:t>
            </w:r>
          </w:p>
        </w:tc>
      </w:tr>
      <w:tr w:rsidR="00C1198E" w:rsidRPr="003C0378" w14:paraId="6949CAB5" w14:textId="77777777" w:rsidTr="00E24002">
        <w:trPr>
          <w:trHeight w:val="19"/>
        </w:trPr>
        <w:tc>
          <w:tcPr>
            <w:tcW w:w="1206" w:type="pct"/>
            <w:shd w:val="clear" w:color="auto" w:fill="auto"/>
            <w:noWrap/>
            <w:vAlign w:val="center"/>
            <w:hideMark/>
          </w:tcPr>
          <w:p w14:paraId="2018929C" w14:textId="30384C7C"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2023–01–05</w:t>
            </w:r>
          </w:p>
        </w:tc>
        <w:tc>
          <w:tcPr>
            <w:tcW w:w="1741" w:type="pct"/>
            <w:shd w:val="clear" w:color="auto" w:fill="auto"/>
            <w:vAlign w:val="center"/>
            <w:hideMark/>
          </w:tcPr>
          <w:p w14:paraId="5745629F" w14:textId="77777777"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Dovilė </w:t>
            </w:r>
            <w:proofErr w:type="spellStart"/>
            <w:r w:rsidRPr="003C0378">
              <w:rPr>
                <w:rFonts w:eastAsia="Times New Roman" w:cs="Times New Roman"/>
                <w:color w:val="000000"/>
                <w:sz w:val="20"/>
                <w:szCs w:val="20"/>
              </w:rPr>
              <w:t>Kapačinskaitė</w:t>
            </w:r>
            <w:proofErr w:type="spellEnd"/>
          </w:p>
          <w:p w14:paraId="540FD586" w14:textId="77777777" w:rsidR="00C1198E"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Violeta </w:t>
            </w:r>
            <w:proofErr w:type="spellStart"/>
            <w:r w:rsidRPr="003C0378">
              <w:rPr>
                <w:rFonts w:eastAsia="Times New Roman" w:cs="Times New Roman"/>
                <w:color w:val="000000"/>
                <w:sz w:val="20"/>
                <w:szCs w:val="20"/>
              </w:rPr>
              <w:t>Greičiuvienė</w:t>
            </w:r>
            <w:proofErr w:type="spellEnd"/>
          </w:p>
          <w:p w14:paraId="69BD3FC0" w14:textId="69CF7F93" w:rsidR="00C1198E"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Dalia </w:t>
            </w:r>
            <w:proofErr w:type="spellStart"/>
            <w:r w:rsidRPr="003C0378">
              <w:rPr>
                <w:rFonts w:eastAsia="Times New Roman" w:cs="Times New Roman"/>
                <w:color w:val="000000"/>
                <w:sz w:val="20"/>
                <w:szCs w:val="20"/>
              </w:rPr>
              <w:t>Dubovskė</w:t>
            </w:r>
            <w:proofErr w:type="spellEnd"/>
          </w:p>
        </w:tc>
        <w:tc>
          <w:tcPr>
            <w:tcW w:w="2053" w:type="pct"/>
            <w:shd w:val="clear" w:color="auto" w:fill="auto"/>
            <w:noWrap/>
            <w:vAlign w:val="center"/>
            <w:hideMark/>
          </w:tcPr>
          <w:p w14:paraId="1C439F7A" w14:textId="49A0892E"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LR energetikos ministerija</w:t>
            </w:r>
          </w:p>
        </w:tc>
      </w:tr>
      <w:tr w:rsidR="00C1198E" w:rsidRPr="003C0378" w14:paraId="3EB2EAEA" w14:textId="77777777" w:rsidTr="00E24002">
        <w:trPr>
          <w:trHeight w:val="19"/>
        </w:trPr>
        <w:tc>
          <w:tcPr>
            <w:tcW w:w="1206" w:type="pct"/>
            <w:shd w:val="clear" w:color="auto" w:fill="auto"/>
            <w:noWrap/>
            <w:vAlign w:val="center"/>
            <w:hideMark/>
          </w:tcPr>
          <w:p w14:paraId="4EF27538" w14:textId="4D13F76C"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2023–01–19</w:t>
            </w:r>
          </w:p>
        </w:tc>
        <w:tc>
          <w:tcPr>
            <w:tcW w:w="1741" w:type="pct"/>
            <w:shd w:val="clear" w:color="auto" w:fill="auto"/>
            <w:vAlign w:val="center"/>
            <w:hideMark/>
          </w:tcPr>
          <w:p w14:paraId="03512B1B" w14:textId="77777777"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Justinas Bučys</w:t>
            </w:r>
            <w:r w:rsidRPr="003C0378">
              <w:rPr>
                <w:rFonts w:eastAsia="Times New Roman" w:cs="Times New Roman"/>
                <w:color w:val="000000"/>
                <w:sz w:val="20"/>
                <w:szCs w:val="20"/>
              </w:rPr>
              <w:br/>
              <w:t>Renata Adomavičienė</w:t>
            </w:r>
            <w:r w:rsidRPr="003C0378">
              <w:rPr>
                <w:rFonts w:eastAsia="Times New Roman" w:cs="Times New Roman"/>
                <w:color w:val="000000"/>
                <w:sz w:val="20"/>
                <w:szCs w:val="20"/>
              </w:rPr>
              <w:br/>
              <w:t xml:space="preserve">Žaneta </w:t>
            </w:r>
            <w:proofErr w:type="spellStart"/>
            <w:r w:rsidRPr="003C0378">
              <w:rPr>
                <w:rFonts w:eastAsia="Times New Roman" w:cs="Times New Roman"/>
                <w:color w:val="000000"/>
                <w:sz w:val="20"/>
                <w:szCs w:val="20"/>
              </w:rPr>
              <w:t>Maskaliovienė</w:t>
            </w:r>
            <w:proofErr w:type="spellEnd"/>
          </w:p>
          <w:p w14:paraId="4687BBA9" w14:textId="39F128DE" w:rsidR="00C1198E"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Rolandas Marcinkevičius</w:t>
            </w:r>
          </w:p>
        </w:tc>
        <w:tc>
          <w:tcPr>
            <w:tcW w:w="2053" w:type="pct"/>
            <w:shd w:val="clear" w:color="auto" w:fill="auto"/>
            <w:noWrap/>
            <w:vAlign w:val="center"/>
            <w:hideMark/>
          </w:tcPr>
          <w:p w14:paraId="603725D3" w14:textId="5E79D79B" w:rsidR="000F1A78" w:rsidRPr="003C0378" w:rsidRDefault="00C1198E" w:rsidP="000C6260">
            <w:pPr>
              <w:spacing w:after="0"/>
              <w:ind w:firstLine="0"/>
              <w:jc w:val="left"/>
              <w:rPr>
                <w:rFonts w:eastAsia="Times New Roman" w:cs="Times New Roman"/>
                <w:color w:val="000000"/>
                <w:sz w:val="20"/>
                <w:szCs w:val="20"/>
              </w:rPr>
            </w:pPr>
            <w:r w:rsidRPr="003C0378">
              <w:rPr>
                <w:sz w:val="20"/>
                <w:szCs w:val="20"/>
              </w:rPr>
              <w:t>UAB „Viešųjų investicijų plėtros agentūra“</w:t>
            </w:r>
          </w:p>
        </w:tc>
      </w:tr>
      <w:tr w:rsidR="00C1198E" w:rsidRPr="003C0378" w14:paraId="09069C95" w14:textId="77777777" w:rsidTr="00E24002">
        <w:trPr>
          <w:trHeight w:val="19"/>
        </w:trPr>
        <w:tc>
          <w:tcPr>
            <w:tcW w:w="1206" w:type="pct"/>
            <w:shd w:val="clear" w:color="auto" w:fill="auto"/>
            <w:noWrap/>
            <w:vAlign w:val="center"/>
            <w:hideMark/>
          </w:tcPr>
          <w:p w14:paraId="70EAF5FC" w14:textId="1E78861E"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2023–01–25</w:t>
            </w:r>
          </w:p>
        </w:tc>
        <w:tc>
          <w:tcPr>
            <w:tcW w:w="1741" w:type="pct"/>
            <w:shd w:val="clear" w:color="auto" w:fill="auto"/>
            <w:vAlign w:val="center"/>
            <w:hideMark/>
          </w:tcPr>
          <w:p w14:paraId="00EBC2BB" w14:textId="40B59228"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Tadas Norvydas</w:t>
            </w:r>
          </w:p>
        </w:tc>
        <w:tc>
          <w:tcPr>
            <w:tcW w:w="2053" w:type="pct"/>
            <w:shd w:val="clear" w:color="auto" w:fill="auto"/>
            <w:noWrap/>
            <w:hideMark/>
          </w:tcPr>
          <w:p w14:paraId="6F9A2EE9" w14:textId="07E9D657" w:rsidR="000F1A78" w:rsidRPr="003C0378" w:rsidRDefault="00C1198E"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Lietuvos energetikos agentūra</w:t>
            </w:r>
          </w:p>
        </w:tc>
      </w:tr>
      <w:tr w:rsidR="00893D4B" w:rsidRPr="003C0378" w14:paraId="6AE4F55A" w14:textId="77777777" w:rsidTr="00E24002">
        <w:trPr>
          <w:trHeight w:val="19"/>
        </w:trPr>
        <w:tc>
          <w:tcPr>
            <w:tcW w:w="1206" w:type="pct"/>
            <w:shd w:val="clear" w:color="auto" w:fill="auto"/>
            <w:noWrap/>
            <w:vAlign w:val="center"/>
          </w:tcPr>
          <w:p w14:paraId="35D2A5C6" w14:textId="671D8B62" w:rsidR="00893D4B" w:rsidRPr="003C0378" w:rsidRDefault="00893D4B"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2023–02–22</w:t>
            </w:r>
          </w:p>
        </w:tc>
        <w:tc>
          <w:tcPr>
            <w:tcW w:w="1741" w:type="pct"/>
            <w:shd w:val="clear" w:color="auto" w:fill="auto"/>
            <w:vAlign w:val="center"/>
          </w:tcPr>
          <w:p w14:paraId="6D2E6B4D" w14:textId="6B773E72" w:rsidR="00893D4B" w:rsidRPr="003C0378" w:rsidRDefault="00893D4B" w:rsidP="000C6260">
            <w:pPr>
              <w:spacing w:after="0"/>
              <w:ind w:firstLine="0"/>
              <w:jc w:val="left"/>
              <w:rPr>
                <w:rFonts w:eastAsia="Times New Roman" w:cs="Times New Roman"/>
                <w:color w:val="000000"/>
                <w:sz w:val="20"/>
                <w:szCs w:val="20"/>
              </w:rPr>
            </w:pPr>
            <w:proofErr w:type="spellStart"/>
            <w:r w:rsidRPr="003C0378">
              <w:rPr>
                <w:rFonts w:eastAsia="Times New Roman" w:cs="Times New Roman"/>
                <w:color w:val="000000"/>
                <w:sz w:val="20"/>
                <w:szCs w:val="20"/>
              </w:rPr>
              <w:t>Stasilė</w:t>
            </w:r>
            <w:proofErr w:type="spellEnd"/>
            <w:r w:rsidRPr="003C0378">
              <w:rPr>
                <w:rFonts w:eastAsia="Times New Roman" w:cs="Times New Roman"/>
                <w:color w:val="000000"/>
                <w:sz w:val="20"/>
                <w:szCs w:val="20"/>
              </w:rPr>
              <w:t xml:space="preserve"> </w:t>
            </w:r>
            <w:proofErr w:type="spellStart"/>
            <w:r w:rsidRPr="003C0378">
              <w:rPr>
                <w:rFonts w:eastAsia="Times New Roman" w:cs="Times New Roman"/>
                <w:color w:val="000000"/>
                <w:sz w:val="20"/>
                <w:szCs w:val="20"/>
              </w:rPr>
              <w:t>Znutienė</w:t>
            </w:r>
            <w:proofErr w:type="spellEnd"/>
          </w:p>
        </w:tc>
        <w:tc>
          <w:tcPr>
            <w:tcW w:w="2053" w:type="pct"/>
            <w:shd w:val="clear" w:color="auto" w:fill="auto"/>
            <w:noWrap/>
          </w:tcPr>
          <w:p w14:paraId="28D76907" w14:textId="0948221F" w:rsidR="00893D4B" w:rsidRPr="003C0378" w:rsidRDefault="00893D4B"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LR aplinkos ministerija</w:t>
            </w:r>
          </w:p>
        </w:tc>
      </w:tr>
      <w:tr w:rsidR="00893D4B" w:rsidRPr="003C0378" w14:paraId="23C34950" w14:textId="77777777" w:rsidTr="00E24002">
        <w:trPr>
          <w:trHeight w:val="19"/>
        </w:trPr>
        <w:tc>
          <w:tcPr>
            <w:tcW w:w="1206" w:type="pct"/>
            <w:shd w:val="clear" w:color="auto" w:fill="auto"/>
            <w:noWrap/>
            <w:vAlign w:val="center"/>
          </w:tcPr>
          <w:p w14:paraId="5B1B2A62" w14:textId="5C782C24" w:rsidR="00893D4B" w:rsidRPr="003C0378" w:rsidRDefault="00893D4B"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2023–03–02</w:t>
            </w:r>
            <w:r w:rsidR="00A43B24">
              <w:rPr>
                <w:rFonts w:eastAsia="Times New Roman" w:cs="Times New Roman"/>
                <w:color w:val="000000"/>
                <w:sz w:val="20"/>
                <w:szCs w:val="20"/>
              </w:rPr>
              <w:t xml:space="preserve">; </w:t>
            </w:r>
            <w:r w:rsidR="00A43B24">
              <w:rPr>
                <w:rFonts w:eastAsia="Times New Roman" w:cs="Times New Roman"/>
                <w:color w:val="000000"/>
                <w:sz w:val="20"/>
                <w:szCs w:val="20"/>
                <w:lang w:val="en-US"/>
              </w:rPr>
              <w:t>2023–04–19</w:t>
            </w:r>
          </w:p>
        </w:tc>
        <w:tc>
          <w:tcPr>
            <w:tcW w:w="1741" w:type="pct"/>
            <w:shd w:val="clear" w:color="auto" w:fill="auto"/>
            <w:vAlign w:val="center"/>
          </w:tcPr>
          <w:p w14:paraId="3C35E032" w14:textId="00BEA229" w:rsidR="00893D4B" w:rsidRPr="003C0378" w:rsidRDefault="00893D4B"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 xml:space="preserve">Robertas Mikšta, Gediminas Miškinis, Rūta </w:t>
            </w:r>
            <w:proofErr w:type="spellStart"/>
            <w:r w:rsidRPr="003C0378">
              <w:rPr>
                <w:rFonts w:eastAsia="Times New Roman" w:cs="Times New Roman"/>
                <w:color w:val="000000"/>
                <w:sz w:val="20"/>
                <w:szCs w:val="20"/>
              </w:rPr>
              <w:t>Gucu</w:t>
            </w:r>
            <w:proofErr w:type="spellEnd"/>
          </w:p>
        </w:tc>
        <w:tc>
          <w:tcPr>
            <w:tcW w:w="2053" w:type="pct"/>
            <w:shd w:val="clear" w:color="auto" w:fill="auto"/>
            <w:noWrap/>
          </w:tcPr>
          <w:p w14:paraId="79E6BBE5" w14:textId="5F65D3EE" w:rsidR="00893D4B" w:rsidRPr="003C0378" w:rsidRDefault="00893D4B"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AB SEB bankas</w:t>
            </w:r>
          </w:p>
        </w:tc>
      </w:tr>
      <w:tr w:rsidR="00893D4B" w:rsidRPr="003C0378" w14:paraId="08953AC2" w14:textId="77777777" w:rsidTr="00E24002">
        <w:trPr>
          <w:trHeight w:val="19"/>
        </w:trPr>
        <w:tc>
          <w:tcPr>
            <w:tcW w:w="1206" w:type="pct"/>
            <w:shd w:val="clear" w:color="auto" w:fill="auto"/>
            <w:noWrap/>
            <w:vAlign w:val="center"/>
          </w:tcPr>
          <w:p w14:paraId="5B2CEAC3" w14:textId="43A00C40" w:rsidR="00893D4B" w:rsidRPr="00C9652A" w:rsidRDefault="00005ACD" w:rsidP="000C6260">
            <w:pPr>
              <w:spacing w:after="0"/>
              <w:ind w:firstLine="0"/>
              <w:jc w:val="left"/>
              <w:rPr>
                <w:rFonts w:eastAsia="Times New Roman" w:cs="Times New Roman"/>
                <w:color w:val="000000"/>
                <w:sz w:val="20"/>
                <w:szCs w:val="20"/>
                <w:lang w:val="en-US"/>
              </w:rPr>
            </w:pPr>
            <w:r w:rsidRPr="003C0378">
              <w:rPr>
                <w:rFonts w:eastAsia="Times New Roman" w:cs="Times New Roman"/>
                <w:color w:val="000000"/>
                <w:sz w:val="20"/>
                <w:szCs w:val="20"/>
              </w:rPr>
              <w:t>2023–03–03</w:t>
            </w:r>
            <w:r w:rsidR="003411D6">
              <w:rPr>
                <w:rFonts w:eastAsia="Times New Roman" w:cs="Times New Roman"/>
                <w:color w:val="000000"/>
                <w:sz w:val="20"/>
                <w:szCs w:val="20"/>
              </w:rPr>
              <w:t xml:space="preserve">; </w:t>
            </w:r>
            <w:r w:rsidR="003411D6">
              <w:rPr>
                <w:rFonts w:eastAsia="Times New Roman" w:cs="Times New Roman"/>
                <w:color w:val="000000"/>
                <w:sz w:val="20"/>
                <w:szCs w:val="20"/>
                <w:lang w:val="en-US"/>
              </w:rPr>
              <w:t>2023–04–</w:t>
            </w:r>
            <w:r w:rsidR="00A43B24">
              <w:rPr>
                <w:rFonts w:eastAsia="Times New Roman" w:cs="Times New Roman"/>
                <w:color w:val="000000"/>
                <w:sz w:val="20"/>
                <w:szCs w:val="20"/>
                <w:lang w:val="en-US"/>
              </w:rPr>
              <w:t>19</w:t>
            </w:r>
          </w:p>
        </w:tc>
        <w:tc>
          <w:tcPr>
            <w:tcW w:w="1741" w:type="pct"/>
            <w:shd w:val="clear" w:color="auto" w:fill="auto"/>
            <w:vAlign w:val="center"/>
          </w:tcPr>
          <w:p w14:paraId="65372DDA" w14:textId="0DDF0D9C" w:rsidR="00893D4B" w:rsidRPr="003C0378" w:rsidRDefault="00005ACD"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Goda Butkienė, Mindaugas Rudys</w:t>
            </w:r>
          </w:p>
        </w:tc>
        <w:tc>
          <w:tcPr>
            <w:tcW w:w="2053" w:type="pct"/>
            <w:shd w:val="clear" w:color="auto" w:fill="auto"/>
            <w:noWrap/>
          </w:tcPr>
          <w:p w14:paraId="10E6FD6F" w14:textId="3AAB9B79" w:rsidR="00893D4B" w:rsidRPr="003C0378" w:rsidRDefault="00005ACD" w:rsidP="000C6260">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AB Šiaulių bankas</w:t>
            </w:r>
          </w:p>
        </w:tc>
      </w:tr>
      <w:tr w:rsidR="00A43B24" w:rsidRPr="003C0378" w14:paraId="1265A6BC" w14:textId="77777777" w:rsidTr="00E24002">
        <w:trPr>
          <w:trHeight w:val="19"/>
        </w:trPr>
        <w:tc>
          <w:tcPr>
            <w:tcW w:w="1206" w:type="pct"/>
            <w:shd w:val="clear" w:color="auto" w:fill="auto"/>
            <w:noWrap/>
            <w:vAlign w:val="center"/>
          </w:tcPr>
          <w:p w14:paraId="786C8C08" w14:textId="64BAA615" w:rsidR="00A43B24" w:rsidRPr="003C0378" w:rsidRDefault="00A43B24"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2023–04–20; 2023–04–21</w:t>
            </w:r>
          </w:p>
        </w:tc>
        <w:tc>
          <w:tcPr>
            <w:tcW w:w="1741" w:type="pct"/>
            <w:shd w:val="clear" w:color="auto" w:fill="auto"/>
            <w:vAlign w:val="center"/>
          </w:tcPr>
          <w:p w14:paraId="7744FE06" w14:textId="6C4DFF6A" w:rsidR="00A43B24" w:rsidRPr="003C0378" w:rsidRDefault="00A43B24"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 xml:space="preserve">Martynas </w:t>
            </w:r>
            <w:proofErr w:type="spellStart"/>
            <w:r>
              <w:rPr>
                <w:rFonts w:eastAsia="Times New Roman" w:cs="Times New Roman"/>
                <w:color w:val="000000"/>
                <w:sz w:val="20"/>
                <w:szCs w:val="20"/>
              </w:rPr>
              <w:t>Trimonis</w:t>
            </w:r>
            <w:proofErr w:type="spellEnd"/>
            <w:r>
              <w:rPr>
                <w:rFonts w:eastAsia="Times New Roman" w:cs="Times New Roman"/>
                <w:color w:val="000000"/>
                <w:sz w:val="20"/>
                <w:szCs w:val="20"/>
              </w:rPr>
              <w:t>, Ernestas Juozapaitis, Monika Cemnolonskienė</w:t>
            </w:r>
          </w:p>
        </w:tc>
        <w:tc>
          <w:tcPr>
            <w:tcW w:w="2053" w:type="pct"/>
            <w:shd w:val="clear" w:color="auto" w:fill="auto"/>
            <w:noWrap/>
          </w:tcPr>
          <w:p w14:paraId="2CD21468" w14:textId="06305891" w:rsidR="00A43B24" w:rsidRPr="003C0378" w:rsidRDefault="00A43B24"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AB Swedbank</w:t>
            </w:r>
          </w:p>
        </w:tc>
      </w:tr>
      <w:tr w:rsidR="00A43B24" w:rsidRPr="003C0378" w14:paraId="3B83EAF6" w14:textId="77777777" w:rsidTr="00E24002">
        <w:trPr>
          <w:trHeight w:val="19"/>
        </w:trPr>
        <w:tc>
          <w:tcPr>
            <w:tcW w:w="1206" w:type="pct"/>
            <w:shd w:val="clear" w:color="auto" w:fill="auto"/>
            <w:noWrap/>
            <w:vAlign w:val="center"/>
          </w:tcPr>
          <w:p w14:paraId="250E2F15" w14:textId="092F51D7" w:rsidR="00A43B24" w:rsidRPr="00C9652A" w:rsidRDefault="00A43B24" w:rsidP="000C6260">
            <w:pPr>
              <w:spacing w:after="0"/>
              <w:ind w:firstLine="0"/>
              <w:jc w:val="left"/>
              <w:rPr>
                <w:rFonts w:eastAsia="Times New Roman" w:cs="Times New Roman"/>
                <w:color w:val="000000"/>
                <w:sz w:val="20"/>
                <w:szCs w:val="20"/>
                <w:lang w:val="en-US"/>
              </w:rPr>
            </w:pPr>
            <w:r>
              <w:rPr>
                <w:rFonts w:eastAsia="Times New Roman" w:cs="Times New Roman"/>
                <w:color w:val="000000"/>
                <w:sz w:val="20"/>
                <w:szCs w:val="20"/>
              </w:rPr>
              <w:t>2023–04–</w:t>
            </w:r>
            <w:r>
              <w:rPr>
                <w:rFonts w:eastAsia="Times New Roman" w:cs="Times New Roman"/>
                <w:color w:val="000000"/>
                <w:sz w:val="20"/>
                <w:szCs w:val="20"/>
                <w:lang w:val="en-US"/>
              </w:rPr>
              <w:t>19</w:t>
            </w:r>
          </w:p>
        </w:tc>
        <w:tc>
          <w:tcPr>
            <w:tcW w:w="1741" w:type="pct"/>
            <w:shd w:val="clear" w:color="auto" w:fill="auto"/>
            <w:vAlign w:val="center"/>
          </w:tcPr>
          <w:p w14:paraId="2C31037C" w14:textId="0F65D171" w:rsidR="00A43B24" w:rsidRDefault="00A43B24"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 xml:space="preserve">Raimonda </w:t>
            </w:r>
            <w:proofErr w:type="spellStart"/>
            <w:r>
              <w:rPr>
                <w:rFonts w:eastAsia="Times New Roman" w:cs="Times New Roman"/>
                <w:color w:val="000000"/>
                <w:sz w:val="20"/>
                <w:szCs w:val="20"/>
              </w:rPr>
              <w:t>Kaireviči</w:t>
            </w:r>
            <w:r w:rsidR="00D0006B">
              <w:rPr>
                <w:rFonts w:eastAsia="Times New Roman" w:cs="Times New Roman"/>
                <w:color w:val="000000"/>
                <w:sz w:val="20"/>
                <w:szCs w:val="20"/>
              </w:rPr>
              <w:t>ū</w:t>
            </w:r>
            <w:r>
              <w:rPr>
                <w:rFonts w:eastAsia="Times New Roman" w:cs="Times New Roman"/>
                <w:color w:val="000000"/>
                <w:sz w:val="20"/>
                <w:szCs w:val="20"/>
              </w:rPr>
              <w:t>tė</w:t>
            </w:r>
            <w:proofErr w:type="spellEnd"/>
          </w:p>
        </w:tc>
        <w:tc>
          <w:tcPr>
            <w:tcW w:w="2053" w:type="pct"/>
            <w:shd w:val="clear" w:color="auto" w:fill="auto"/>
            <w:noWrap/>
          </w:tcPr>
          <w:p w14:paraId="6F5F7121" w14:textId="57DE7B8A" w:rsidR="00A43B24" w:rsidRDefault="00A43B24" w:rsidP="000C6260">
            <w:pPr>
              <w:spacing w:after="0"/>
              <w:ind w:firstLine="0"/>
              <w:jc w:val="left"/>
              <w:rPr>
                <w:rFonts w:eastAsia="Times New Roman" w:cs="Times New Roman"/>
                <w:color w:val="000000"/>
                <w:sz w:val="20"/>
                <w:szCs w:val="20"/>
              </w:rPr>
            </w:pPr>
            <w:r>
              <w:rPr>
                <w:rFonts w:eastAsia="Times New Roman" w:cs="Times New Roman"/>
                <w:color w:val="000000"/>
                <w:sz w:val="20"/>
                <w:szCs w:val="20"/>
              </w:rPr>
              <w:t>AB Medicinos bankas</w:t>
            </w:r>
          </w:p>
        </w:tc>
      </w:tr>
      <w:tr w:rsidR="00441E6B" w:rsidRPr="003C0378" w14:paraId="69E27923" w14:textId="77777777" w:rsidTr="00465192">
        <w:trPr>
          <w:trHeight w:val="19"/>
        </w:trPr>
        <w:tc>
          <w:tcPr>
            <w:tcW w:w="1206" w:type="pct"/>
            <w:shd w:val="clear" w:color="auto" w:fill="auto"/>
            <w:noWrap/>
            <w:vAlign w:val="center"/>
          </w:tcPr>
          <w:p w14:paraId="38F093EE" w14:textId="2BC48623" w:rsidR="00CF5C4A" w:rsidRDefault="00CF5C4A"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2024–04–25</w:t>
            </w:r>
          </w:p>
        </w:tc>
        <w:tc>
          <w:tcPr>
            <w:tcW w:w="1741" w:type="pct"/>
            <w:shd w:val="clear" w:color="auto" w:fill="auto"/>
            <w:vAlign w:val="center"/>
          </w:tcPr>
          <w:p w14:paraId="3EE8CB44" w14:textId="77777777" w:rsidR="00CF5C4A" w:rsidRDefault="00F00A04" w:rsidP="00CF5C4A">
            <w:pPr>
              <w:spacing w:after="0"/>
              <w:ind w:firstLine="0"/>
              <w:jc w:val="left"/>
              <w:rPr>
                <w:rFonts w:eastAsia="Times New Roman" w:cs="Times New Roman"/>
                <w:color w:val="000000"/>
                <w:sz w:val="20"/>
                <w:szCs w:val="20"/>
              </w:rPr>
            </w:pPr>
            <w:r w:rsidRPr="00F00A04">
              <w:rPr>
                <w:rFonts w:eastAsia="Times New Roman" w:cs="Times New Roman"/>
                <w:color w:val="000000"/>
                <w:sz w:val="20"/>
                <w:szCs w:val="20"/>
              </w:rPr>
              <w:t xml:space="preserve">Dovilė </w:t>
            </w:r>
            <w:proofErr w:type="spellStart"/>
            <w:r w:rsidRPr="00F00A04">
              <w:rPr>
                <w:rFonts w:eastAsia="Times New Roman" w:cs="Times New Roman"/>
                <w:color w:val="000000"/>
                <w:sz w:val="20"/>
                <w:szCs w:val="20"/>
              </w:rPr>
              <w:t>Kapačinskaitė</w:t>
            </w:r>
            <w:proofErr w:type="spellEnd"/>
          </w:p>
          <w:p w14:paraId="0067E336" w14:textId="6799E2D6" w:rsidR="00F00A04" w:rsidRDefault="00F00A04" w:rsidP="00CF5C4A">
            <w:pPr>
              <w:spacing w:after="0"/>
              <w:ind w:firstLine="0"/>
              <w:jc w:val="left"/>
              <w:rPr>
                <w:rFonts w:eastAsia="Times New Roman" w:cs="Times New Roman"/>
                <w:color w:val="000000"/>
                <w:sz w:val="20"/>
                <w:szCs w:val="20"/>
              </w:rPr>
            </w:pPr>
            <w:r w:rsidRPr="00F00A04">
              <w:rPr>
                <w:rFonts w:eastAsia="Times New Roman" w:cs="Times New Roman"/>
                <w:color w:val="000000"/>
                <w:sz w:val="20"/>
                <w:szCs w:val="20"/>
              </w:rPr>
              <w:t xml:space="preserve">Violeta </w:t>
            </w:r>
            <w:proofErr w:type="spellStart"/>
            <w:r w:rsidRPr="00F00A04">
              <w:rPr>
                <w:rFonts w:eastAsia="Times New Roman" w:cs="Times New Roman"/>
                <w:color w:val="000000"/>
                <w:sz w:val="20"/>
                <w:szCs w:val="20"/>
              </w:rPr>
              <w:t>Greičiuvienė</w:t>
            </w:r>
            <w:proofErr w:type="spellEnd"/>
          </w:p>
        </w:tc>
        <w:tc>
          <w:tcPr>
            <w:tcW w:w="2053" w:type="pct"/>
            <w:shd w:val="clear" w:color="auto" w:fill="auto"/>
            <w:noWrap/>
            <w:vAlign w:val="center"/>
          </w:tcPr>
          <w:p w14:paraId="2C84489D" w14:textId="6ADCB138" w:rsidR="00CF5C4A" w:rsidRDefault="00F00A04" w:rsidP="00465192">
            <w:pPr>
              <w:spacing w:after="0"/>
              <w:ind w:firstLine="0"/>
              <w:jc w:val="left"/>
              <w:rPr>
                <w:rFonts w:eastAsia="Times New Roman" w:cs="Times New Roman"/>
                <w:color w:val="000000"/>
                <w:sz w:val="20"/>
                <w:szCs w:val="20"/>
              </w:rPr>
            </w:pPr>
            <w:r w:rsidRPr="003C0378">
              <w:rPr>
                <w:rFonts w:eastAsia="Times New Roman" w:cs="Times New Roman"/>
                <w:color w:val="000000"/>
                <w:sz w:val="20"/>
                <w:szCs w:val="20"/>
              </w:rPr>
              <w:t>LR energetikos ministerija</w:t>
            </w:r>
          </w:p>
        </w:tc>
      </w:tr>
      <w:tr w:rsidR="00441E6B" w:rsidRPr="003C0378" w14:paraId="66C6D00B" w14:textId="77777777" w:rsidTr="00CF5C4A">
        <w:trPr>
          <w:trHeight w:val="19"/>
        </w:trPr>
        <w:tc>
          <w:tcPr>
            <w:tcW w:w="1206" w:type="pct"/>
            <w:shd w:val="clear" w:color="auto" w:fill="auto"/>
            <w:noWrap/>
            <w:vAlign w:val="center"/>
          </w:tcPr>
          <w:p w14:paraId="1BE1F62A" w14:textId="50505438" w:rsidR="00CF5C4A" w:rsidRDefault="00CF5C4A"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2024–04–25</w:t>
            </w:r>
          </w:p>
        </w:tc>
        <w:tc>
          <w:tcPr>
            <w:tcW w:w="1741" w:type="pct"/>
            <w:shd w:val="clear" w:color="auto" w:fill="auto"/>
            <w:vAlign w:val="center"/>
          </w:tcPr>
          <w:p w14:paraId="46AD5D08" w14:textId="3EDD23C9" w:rsidR="00CF5C4A" w:rsidRDefault="00835EAD" w:rsidP="00CF5C4A">
            <w:pPr>
              <w:spacing w:after="0"/>
              <w:ind w:firstLine="0"/>
              <w:jc w:val="left"/>
              <w:rPr>
                <w:rFonts w:eastAsia="Times New Roman" w:cs="Times New Roman"/>
                <w:color w:val="000000"/>
                <w:sz w:val="20"/>
                <w:szCs w:val="20"/>
              </w:rPr>
            </w:pPr>
            <w:r w:rsidRPr="00835EAD">
              <w:rPr>
                <w:rFonts w:eastAsia="Times New Roman" w:cs="Times New Roman"/>
                <w:color w:val="000000"/>
                <w:sz w:val="20"/>
                <w:szCs w:val="20"/>
              </w:rPr>
              <w:t xml:space="preserve">Vaidas </w:t>
            </w:r>
            <w:proofErr w:type="spellStart"/>
            <w:r w:rsidRPr="00835EAD">
              <w:rPr>
                <w:rFonts w:eastAsia="Times New Roman" w:cs="Times New Roman"/>
                <w:color w:val="000000"/>
                <w:sz w:val="20"/>
                <w:szCs w:val="20"/>
              </w:rPr>
              <w:t>Daktariūnas</w:t>
            </w:r>
            <w:proofErr w:type="spellEnd"/>
          </w:p>
        </w:tc>
        <w:tc>
          <w:tcPr>
            <w:tcW w:w="2053" w:type="pct"/>
            <w:shd w:val="clear" w:color="auto" w:fill="auto"/>
            <w:noWrap/>
          </w:tcPr>
          <w:p w14:paraId="03D6E975" w14:textId="7E41FCBB" w:rsidR="00CF5C4A" w:rsidRDefault="00835EAD" w:rsidP="00CF5C4A">
            <w:pPr>
              <w:spacing w:after="0"/>
              <w:ind w:firstLine="0"/>
              <w:jc w:val="left"/>
              <w:rPr>
                <w:rFonts w:eastAsia="Times New Roman" w:cs="Times New Roman"/>
                <w:color w:val="000000"/>
                <w:sz w:val="20"/>
                <w:szCs w:val="20"/>
              </w:rPr>
            </w:pPr>
            <w:r w:rsidRPr="00835EAD">
              <w:rPr>
                <w:rFonts w:eastAsia="Times New Roman" w:cs="Times New Roman"/>
                <w:color w:val="000000"/>
                <w:sz w:val="20"/>
                <w:szCs w:val="20"/>
              </w:rPr>
              <w:t>UAB „Investicijų ir verslo garantijos“</w:t>
            </w:r>
          </w:p>
        </w:tc>
      </w:tr>
      <w:tr w:rsidR="00441E6B" w:rsidRPr="003C0378" w14:paraId="581BB718" w14:textId="77777777" w:rsidTr="00CF5C4A">
        <w:trPr>
          <w:trHeight w:val="19"/>
        </w:trPr>
        <w:tc>
          <w:tcPr>
            <w:tcW w:w="1206" w:type="pct"/>
            <w:shd w:val="clear" w:color="auto" w:fill="auto"/>
            <w:noWrap/>
            <w:vAlign w:val="center"/>
          </w:tcPr>
          <w:p w14:paraId="74282C15" w14:textId="756ECF7C" w:rsidR="00CF5C4A" w:rsidRDefault="00CF5C4A"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2024–04–30</w:t>
            </w:r>
          </w:p>
        </w:tc>
        <w:tc>
          <w:tcPr>
            <w:tcW w:w="1741" w:type="pct"/>
            <w:shd w:val="clear" w:color="auto" w:fill="auto"/>
            <w:vAlign w:val="center"/>
          </w:tcPr>
          <w:p w14:paraId="443005A9" w14:textId="05E25FFF" w:rsidR="00CF5C4A" w:rsidRDefault="00DE3590" w:rsidP="00CF5C4A">
            <w:pPr>
              <w:spacing w:after="0"/>
              <w:ind w:firstLine="0"/>
              <w:jc w:val="left"/>
              <w:rPr>
                <w:rFonts w:eastAsia="Times New Roman" w:cs="Times New Roman"/>
                <w:color w:val="000000"/>
                <w:sz w:val="20"/>
                <w:szCs w:val="20"/>
              </w:rPr>
            </w:pPr>
            <w:r w:rsidRPr="00DE3590">
              <w:rPr>
                <w:rFonts w:eastAsia="Times New Roman" w:cs="Times New Roman"/>
                <w:color w:val="000000"/>
                <w:sz w:val="20"/>
                <w:szCs w:val="20"/>
              </w:rPr>
              <w:t>Dovilė Sujetaitė</w:t>
            </w:r>
          </w:p>
        </w:tc>
        <w:tc>
          <w:tcPr>
            <w:tcW w:w="2053" w:type="pct"/>
            <w:shd w:val="clear" w:color="auto" w:fill="auto"/>
            <w:noWrap/>
          </w:tcPr>
          <w:p w14:paraId="0155EAC2" w14:textId="7ED0A786" w:rsidR="00CF5C4A" w:rsidRDefault="00DE3590" w:rsidP="00CF5C4A">
            <w:pPr>
              <w:spacing w:after="0"/>
              <w:ind w:firstLine="0"/>
              <w:jc w:val="left"/>
              <w:rPr>
                <w:rFonts w:eastAsia="Times New Roman" w:cs="Times New Roman"/>
                <w:color w:val="000000"/>
                <w:sz w:val="20"/>
                <w:szCs w:val="20"/>
              </w:rPr>
            </w:pPr>
            <w:r w:rsidRPr="00DE3590">
              <w:rPr>
                <w:rFonts w:eastAsia="Times New Roman" w:cs="Times New Roman"/>
                <w:color w:val="000000"/>
                <w:sz w:val="20"/>
                <w:szCs w:val="20"/>
              </w:rPr>
              <w:t>Lietuvos savivaldybių asociacija</w:t>
            </w:r>
          </w:p>
        </w:tc>
      </w:tr>
      <w:tr w:rsidR="00441E6B" w:rsidRPr="003C0378" w14:paraId="22EC255D" w14:textId="77777777" w:rsidTr="0056323E">
        <w:trPr>
          <w:trHeight w:val="19"/>
        </w:trPr>
        <w:tc>
          <w:tcPr>
            <w:tcW w:w="1206" w:type="pct"/>
            <w:shd w:val="clear" w:color="auto" w:fill="auto"/>
            <w:noWrap/>
            <w:vAlign w:val="center"/>
          </w:tcPr>
          <w:p w14:paraId="12A550CC" w14:textId="3715F76B" w:rsidR="00CF5C4A" w:rsidRDefault="00CF5C4A"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2024–04–30</w:t>
            </w:r>
          </w:p>
        </w:tc>
        <w:tc>
          <w:tcPr>
            <w:tcW w:w="1741" w:type="pct"/>
            <w:shd w:val="clear" w:color="auto" w:fill="auto"/>
            <w:vAlign w:val="center"/>
          </w:tcPr>
          <w:p w14:paraId="488227E6" w14:textId="77777777" w:rsidR="00CF5C4A" w:rsidRDefault="0056323E" w:rsidP="00CF5C4A">
            <w:pPr>
              <w:spacing w:after="0"/>
              <w:ind w:firstLine="0"/>
              <w:jc w:val="left"/>
              <w:rPr>
                <w:rFonts w:eastAsia="Times New Roman" w:cs="Times New Roman"/>
                <w:color w:val="000000"/>
                <w:sz w:val="20"/>
                <w:szCs w:val="20"/>
              </w:rPr>
            </w:pPr>
            <w:r w:rsidRPr="0056323E">
              <w:rPr>
                <w:rFonts w:eastAsia="Times New Roman" w:cs="Times New Roman"/>
                <w:color w:val="000000"/>
                <w:sz w:val="20"/>
                <w:szCs w:val="20"/>
              </w:rPr>
              <w:t xml:space="preserve">Ernestas </w:t>
            </w:r>
            <w:proofErr w:type="spellStart"/>
            <w:r w:rsidRPr="0056323E">
              <w:rPr>
                <w:rFonts w:eastAsia="Times New Roman" w:cs="Times New Roman"/>
                <w:color w:val="000000"/>
                <w:sz w:val="20"/>
                <w:szCs w:val="20"/>
              </w:rPr>
              <w:t>Česokas</w:t>
            </w:r>
            <w:proofErr w:type="spellEnd"/>
          </w:p>
          <w:p w14:paraId="6B1955E2" w14:textId="3ECAA3D6" w:rsidR="0056323E" w:rsidRDefault="0056323E" w:rsidP="00CF5C4A">
            <w:pPr>
              <w:spacing w:after="0"/>
              <w:ind w:firstLine="0"/>
              <w:jc w:val="left"/>
              <w:rPr>
                <w:rFonts w:eastAsia="Times New Roman" w:cs="Times New Roman"/>
                <w:color w:val="000000"/>
                <w:sz w:val="20"/>
                <w:szCs w:val="20"/>
              </w:rPr>
            </w:pPr>
            <w:r w:rsidRPr="0056323E">
              <w:rPr>
                <w:rFonts w:eastAsia="Times New Roman" w:cs="Times New Roman"/>
                <w:color w:val="000000"/>
                <w:sz w:val="20"/>
                <w:szCs w:val="20"/>
              </w:rPr>
              <w:t xml:space="preserve">Edgaras </w:t>
            </w:r>
            <w:proofErr w:type="spellStart"/>
            <w:r w:rsidRPr="0056323E">
              <w:rPr>
                <w:rFonts w:eastAsia="Times New Roman" w:cs="Times New Roman"/>
                <w:color w:val="000000"/>
                <w:sz w:val="20"/>
                <w:szCs w:val="20"/>
              </w:rPr>
              <w:t>Reut</w:t>
            </w:r>
            <w:proofErr w:type="spellEnd"/>
          </w:p>
        </w:tc>
        <w:tc>
          <w:tcPr>
            <w:tcW w:w="2053" w:type="pct"/>
            <w:shd w:val="clear" w:color="auto" w:fill="auto"/>
            <w:noWrap/>
            <w:vAlign w:val="center"/>
          </w:tcPr>
          <w:p w14:paraId="4600ACA6" w14:textId="1DEEA349" w:rsidR="00CF5C4A" w:rsidRDefault="00DE3590" w:rsidP="0056323E">
            <w:pPr>
              <w:spacing w:after="0"/>
              <w:ind w:firstLine="0"/>
              <w:jc w:val="left"/>
              <w:rPr>
                <w:rFonts w:eastAsia="Times New Roman" w:cs="Times New Roman"/>
                <w:color w:val="000000"/>
                <w:sz w:val="20"/>
                <w:szCs w:val="20"/>
              </w:rPr>
            </w:pPr>
            <w:r w:rsidRPr="00DE3590">
              <w:rPr>
                <w:rFonts w:eastAsia="Times New Roman" w:cs="Times New Roman"/>
                <w:color w:val="000000"/>
                <w:sz w:val="20"/>
                <w:szCs w:val="20"/>
              </w:rPr>
              <w:t>VĮ „Turto bankas“</w:t>
            </w:r>
          </w:p>
        </w:tc>
      </w:tr>
      <w:tr w:rsidR="00F672D4" w:rsidRPr="003C0378" w14:paraId="4AB15050" w14:textId="77777777" w:rsidTr="0056323E">
        <w:trPr>
          <w:trHeight w:val="19"/>
        </w:trPr>
        <w:tc>
          <w:tcPr>
            <w:tcW w:w="1206" w:type="pct"/>
            <w:shd w:val="clear" w:color="auto" w:fill="auto"/>
            <w:noWrap/>
            <w:vAlign w:val="center"/>
          </w:tcPr>
          <w:p w14:paraId="5A2B798B" w14:textId="298D7D17" w:rsidR="00F672D4" w:rsidRDefault="00FA2E8C"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w:t>
            </w:r>
            <w:r w:rsidR="007C191E">
              <w:rPr>
                <w:rFonts w:eastAsia="Times New Roman" w:cs="Times New Roman"/>
                <w:color w:val="000000"/>
                <w:sz w:val="20"/>
                <w:szCs w:val="20"/>
              </w:rPr>
              <w:t>–</w:t>
            </w:r>
            <w:r>
              <w:rPr>
                <w:rFonts w:eastAsia="Times New Roman" w:cs="Times New Roman"/>
                <w:color w:val="000000"/>
                <w:sz w:val="20"/>
                <w:szCs w:val="20"/>
              </w:rPr>
              <w:t>05</w:t>
            </w:r>
            <w:r w:rsidR="007C191E">
              <w:rPr>
                <w:rFonts w:eastAsia="Times New Roman" w:cs="Times New Roman"/>
                <w:color w:val="000000"/>
                <w:sz w:val="20"/>
                <w:szCs w:val="20"/>
              </w:rPr>
              <w:t>–</w:t>
            </w:r>
            <w:r>
              <w:rPr>
                <w:rFonts w:eastAsia="Times New Roman" w:cs="Times New Roman"/>
                <w:color w:val="000000"/>
                <w:sz w:val="20"/>
                <w:szCs w:val="20"/>
              </w:rPr>
              <w:t>02</w:t>
            </w:r>
          </w:p>
        </w:tc>
        <w:tc>
          <w:tcPr>
            <w:tcW w:w="1741" w:type="pct"/>
            <w:shd w:val="clear" w:color="auto" w:fill="auto"/>
            <w:vAlign w:val="center"/>
          </w:tcPr>
          <w:p w14:paraId="50E2B744" w14:textId="63AFF004" w:rsidR="00F672D4" w:rsidRPr="0056323E" w:rsidRDefault="00781186"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Renalda Statkevičiūtė</w:t>
            </w:r>
          </w:p>
        </w:tc>
        <w:tc>
          <w:tcPr>
            <w:tcW w:w="2053" w:type="pct"/>
            <w:shd w:val="clear" w:color="auto" w:fill="auto"/>
            <w:noWrap/>
            <w:vAlign w:val="center"/>
          </w:tcPr>
          <w:p w14:paraId="249D8984" w14:textId="5EFC594F" w:rsidR="00F672D4" w:rsidRPr="00DE3590" w:rsidRDefault="00A17998" w:rsidP="0056323E">
            <w:pPr>
              <w:spacing w:after="0"/>
              <w:ind w:firstLine="0"/>
              <w:jc w:val="left"/>
              <w:rPr>
                <w:rFonts w:eastAsia="Times New Roman" w:cs="Times New Roman"/>
                <w:color w:val="000000"/>
                <w:sz w:val="20"/>
                <w:szCs w:val="20"/>
              </w:rPr>
            </w:pPr>
            <w:r>
              <w:rPr>
                <w:rFonts w:eastAsia="Times New Roman" w:cs="Times New Roman"/>
                <w:color w:val="000000"/>
                <w:sz w:val="20"/>
                <w:szCs w:val="20"/>
              </w:rPr>
              <w:t>Lietuvos policija</w:t>
            </w:r>
          </w:p>
        </w:tc>
      </w:tr>
      <w:tr w:rsidR="00831D1D" w:rsidRPr="003C0378" w14:paraId="3E5E4AA4" w14:textId="77777777" w:rsidTr="0056323E">
        <w:trPr>
          <w:trHeight w:val="19"/>
        </w:trPr>
        <w:tc>
          <w:tcPr>
            <w:tcW w:w="1206" w:type="pct"/>
            <w:shd w:val="clear" w:color="auto" w:fill="auto"/>
            <w:noWrap/>
            <w:vAlign w:val="center"/>
          </w:tcPr>
          <w:p w14:paraId="302021B8" w14:textId="483DA002" w:rsidR="00831D1D" w:rsidRDefault="00FA2E8C"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2024</w:t>
            </w:r>
            <w:r w:rsidR="007C191E">
              <w:rPr>
                <w:rFonts w:eastAsia="Times New Roman" w:cs="Times New Roman"/>
                <w:color w:val="000000"/>
                <w:sz w:val="20"/>
                <w:szCs w:val="20"/>
              </w:rPr>
              <w:t>–</w:t>
            </w:r>
            <w:r>
              <w:rPr>
                <w:rFonts w:eastAsia="Times New Roman" w:cs="Times New Roman"/>
                <w:color w:val="000000"/>
                <w:sz w:val="20"/>
                <w:szCs w:val="20"/>
              </w:rPr>
              <w:t>05</w:t>
            </w:r>
            <w:r w:rsidR="007C191E">
              <w:rPr>
                <w:rFonts w:eastAsia="Times New Roman" w:cs="Times New Roman"/>
                <w:color w:val="000000"/>
                <w:sz w:val="20"/>
                <w:szCs w:val="20"/>
              </w:rPr>
              <w:t>–</w:t>
            </w:r>
            <w:r>
              <w:rPr>
                <w:rFonts w:eastAsia="Times New Roman" w:cs="Times New Roman"/>
                <w:color w:val="000000"/>
                <w:sz w:val="20"/>
                <w:szCs w:val="20"/>
              </w:rPr>
              <w:t>03</w:t>
            </w:r>
          </w:p>
        </w:tc>
        <w:tc>
          <w:tcPr>
            <w:tcW w:w="1741" w:type="pct"/>
            <w:shd w:val="clear" w:color="auto" w:fill="auto"/>
            <w:vAlign w:val="center"/>
          </w:tcPr>
          <w:p w14:paraId="5BBA5381" w14:textId="08E696B8" w:rsidR="00831D1D" w:rsidRDefault="00831D1D" w:rsidP="00CF5C4A">
            <w:pPr>
              <w:spacing w:after="0"/>
              <w:ind w:firstLine="0"/>
              <w:jc w:val="left"/>
              <w:rPr>
                <w:rFonts w:eastAsia="Times New Roman" w:cs="Times New Roman"/>
                <w:color w:val="000000"/>
                <w:sz w:val="20"/>
                <w:szCs w:val="20"/>
              </w:rPr>
            </w:pPr>
            <w:r>
              <w:rPr>
                <w:rFonts w:eastAsia="Times New Roman" w:cs="Times New Roman"/>
                <w:color w:val="000000"/>
                <w:sz w:val="20"/>
                <w:szCs w:val="20"/>
              </w:rPr>
              <w:t xml:space="preserve">Jūratė </w:t>
            </w:r>
            <w:proofErr w:type="spellStart"/>
            <w:r>
              <w:rPr>
                <w:rFonts w:eastAsia="Times New Roman" w:cs="Times New Roman"/>
                <w:color w:val="000000"/>
                <w:sz w:val="20"/>
                <w:szCs w:val="20"/>
              </w:rPr>
              <w:t>Visackaitė</w:t>
            </w:r>
            <w:proofErr w:type="spellEnd"/>
          </w:p>
        </w:tc>
        <w:tc>
          <w:tcPr>
            <w:tcW w:w="2053" w:type="pct"/>
            <w:shd w:val="clear" w:color="auto" w:fill="auto"/>
            <w:noWrap/>
            <w:vAlign w:val="center"/>
          </w:tcPr>
          <w:p w14:paraId="16225688" w14:textId="04AEC48F" w:rsidR="00831D1D" w:rsidRPr="00DE3590" w:rsidRDefault="00831D1D" w:rsidP="0056323E">
            <w:pPr>
              <w:spacing w:after="0"/>
              <w:ind w:firstLine="0"/>
              <w:jc w:val="left"/>
              <w:rPr>
                <w:rFonts w:eastAsia="Times New Roman" w:cs="Times New Roman"/>
                <w:color w:val="000000"/>
                <w:sz w:val="20"/>
                <w:szCs w:val="20"/>
              </w:rPr>
            </w:pPr>
            <w:r>
              <w:rPr>
                <w:rFonts w:eastAsia="Times New Roman" w:cs="Times New Roman"/>
                <w:color w:val="000000"/>
                <w:sz w:val="20"/>
                <w:szCs w:val="20"/>
              </w:rPr>
              <w:t>Vilniaus miesto savivaldybė</w:t>
            </w:r>
          </w:p>
        </w:tc>
      </w:tr>
    </w:tbl>
    <w:p w14:paraId="1471387A" w14:textId="77777777" w:rsidR="000F1A78" w:rsidRPr="003C0378" w:rsidRDefault="000F1A78" w:rsidP="000F1A78"/>
    <w:p w14:paraId="2DC15C0B" w14:textId="77777777" w:rsidR="00C1198E" w:rsidRPr="003C0378" w:rsidRDefault="00C1198E" w:rsidP="00F10C7D">
      <w:pPr>
        <w:sectPr w:rsidR="00C1198E" w:rsidRPr="003C0378" w:rsidSect="00C234E6">
          <w:pgSz w:w="11906" w:h="16838"/>
          <w:pgMar w:top="1701" w:right="567" w:bottom="1134" w:left="1701" w:header="567" w:footer="567" w:gutter="0"/>
          <w:cols w:space="1296"/>
          <w:docGrid w:linePitch="360"/>
        </w:sectPr>
      </w:pPr>
    </w:p>
    <w:p w14:paraId="18CA1A58" w14:textId="17F5DF07" w:rsidR="001A5A99" w:rsidRPr="003C0378" w:rsidRDefault="00C1198E" w:rsidP="00A5450E">
      <w:pPr>
        <w:pStyle w:val="Antrat1"/>
        <w:numPr>
          <w:ilvl w:val="0"/>
          <w:numId w:val="0"/>
        </w:numPr>
        <w:ind w:left="360"/>
        <w:rPr>
          <w:rFonts w:cs="Times New Roman"/>
        </w:rPr>
      </w:pPr>
      <w:bookmarkStart w:id="210" w:name="_Ref126045554"/>
      <w:bookmarkStart w:id="211" w:name="_Ref126045560"/>
      <w:bookmarkStart w:id="212" w:name="_Ref126045611"/>
      <w:bookmarkStart w:id="213" w:name="_Toc126051375"/>
      <w:bookmarkStart w:id="214" w:name="_Toc166139850"/>
      <w:bookmarkStart w:id="215" w:name="_Toc170804612"/>
      <w:r w:rsidRPr="003C0378">
        <w:rPr>
          <w:rFonts w:cs="Times New Roman"/>
        </w:rPr>
        <w:lastRenderedPageBreak/>
        <w:t xml:space="preserve">Priedas 2. </w:t>
      </w:r>
      <w:r w:rsidRPr="003C0378">
        <w:t>Reprezentatyvios anketinės</w:t>
      </w:r>
      <w:r w:rsidR="002F5760" w:rsidRPr="003C0378">
        <w:t xml:space="preserve"> apklausos</w:t>
      </w:r>
      <w:r w:rsidRPr="003C0378">
        <w:t xml:space="preserve"> sudarymo metodologija ir aprašas</w:t>
      </w:r>
      <w:bookmarkEnd w:id="210"/>
      <w:bookmarkEnd w:id="211"/>
      <w:bookmarkEnd w:id="212"/>
      <w:bookmarkEnd w:id="213"/>
      <w:bookmarkEnd w:id="214"/>
      <w:bookmarkEnd w:id="215"/>
    </w:p>
    <w:p w14:paraId="721949AA" w14:textId="368F6162" w:rsidR="00A5450E" w:rsidRPr="003C0378" w:rsidRDefault="00A5450E" w:rsidP="00A5450E">
      <w:pPr>
        <w:spacing w:line="276" w:lineRule="auto"/>
        <w:ind w:firstLine="562"/>
        <w:rPr>
          <w:rFonts w:cs="Times New Roman"/>
        </w:rPr>
      </w:pPr>
      <w:bookmarkStart w:id="216" w:name="_Hlk125969043"/>
      <w:bookmarkEnd w:id="216"/>
      <w:r w:rsidRPr="003C0378">
        <w:rPr>
          <w:rFonts w:cs="Times New Roman"/>
        </w:rPr>
        <w:t xml:space="preserve">Verslo subjektų planuojamų diegti AEI elektrinių pajėgumų paklausai bei elektrinių investicijų poreikiui nustatyti buvo atlikta reprezentatyvi Lietuvos verslo subjektų apklausa, vykdyta 2022 </w:t>
      </w:r>
      <w:r w:rsidR="004B72AE">
        <w:rPr>
          <w:rFonts w:cs="Times New Roman"/>
        </w:rPr>
        <w:t xml:space="preserve">m. </w:t>
      </w:r>
      <w:r w:rsidRPr="003C0378">
        <w:rPr>
          <w:rFonts w:cs="Times New Roman"/>
        </w:rPr>
        <w:t xml:space="preserve">gruodžio 27 </w:t>
      </w:r>
      <w:r w:rsidR="004B72AE">
        <w:rPr>
          <w:rFonts w:cs="Times New Roman"/>
        </w:rPr>
        <w:t>d.</w:t>
      </w:r>
      <w:r w:rsidRPr="003C0378">
        <w:rPr>
          <w:rFonts w:cs="Times New Roman"/>
        </w:rPr>
        <w:t xml:space="preserve">– 2023 </w:t>
      </w:r>
      <w:r w:rsidR="004B72AE">
        <w:rPr>
          <w:rFonts w:cs="Times New Roman"/>
        </w:rPr>
        <w:t xml:space="preserve">m. </w:t>
      </w:r>
      <w:r w:rsidRPr="003C0378">
        <w:rPr>
          <w:rFonts w:cs="Times New Roman"/>
        </w:rPr>
        <w:t xml:space="preserve">sausio 11 </w:t>
      </w:r>
      <w:r w:rsidR="004B72AE">
        <w:rPr>
          <w:rFonts w:cs="Times New Roman"/>
        </w:rPr>
        <w:t>d</w:t>
      </w:r>
      <w:r w:rsidRPr="003C0378">
        <w:rPr>
          <w:rFonts w:cs="Times New Roman"/>
        </w:rPr>
        <w:t xml:space="preserve">. Apklausos metu buvo apklausti 423 verslo subjektai. Apklausą </w:t>
      </w:r>
      <w:r w:rsidR="00ED19D5" w:rsidRPr="003C0378">
        <w:rPr>
          <w:rFonts w:cs="Times New Roman"/>
        </w:rPr>
        <w:t>Vertintojų</w:t>
      </w:r>
      <w:r w:rsidRPr="003C0378">
        <w:rPr>
          <w:rFonts w:cs="Times New Roman"/>
        </w:rPr>
        <w:t xml:space="preserve"> užsakymu įvykdė tyrimų bendrovė „</w:t>
      </w:r>
      <w:proofErr w:type="spellStart"/>
      <w:r w:rsidRPr="003C0378">
        <w:rPr>
          <w:rFonts w:cs="Times New Roman"/>
        </w:rPr>
        <w:t>Nordstar</w:t>
      </w:r>
      <w:proofErr w:type="spellEnd"/>
      <w:r w:rsidRPr="003C0378">
        <w:rPr>
          <w:rFonts w:cs="Times New Roman"/>
        </w:rPr>
        <w:t>“.</w:t>
      </w:r>
    </w:p>
    <w:p w14:paraId="157F648B" w14:textId="46CEBEB0" w:rsidR="00A5450E" w:rsidRPr="003C0378" w:rsidRDefault="00A5450E" w:rsidP="00A5450E">
      <w:pPr>
        <w:spacing w:line="276" w:lineRule="auto"/>
        <w:ind w:firstLine="562"/>
        <w:rPr>
          <w:rFonts w:cs="Times New Roman"/>
        </w:rPr>
      </w:pPr>
      <w:r w:rsidRPr="003C0378">
        <w:rPr>
          <w:rFonts w:cs="Times New Roman"/>
        </w:rPr>
        <w:t xml:space="preserve">Vykdytos apklausos reprezentatyvumas buvo užtikrintas </w:t>
      </w:r>
      <w:r w:rsidRPr="003C0378">
        <w:rPr>
          <w:rFonts w:cs="Times New Roman"/>
          <w:b/>
        </w:rPr>
        <w:t>įmonių pasiskirstymo pagal apskritis</w:t>
      </w:r>
      <w:r w:rsidRPr="003C0378">
        <w:rPr>
          <w:rFonts w:cs="Times New Roman"/>
        </w:rPr>
        <w:t xml:space="preserve">, </w:t>
      </w:r>
      <w:r w:rsidRPr="003C0378">
        <w:rPr>
          <w:rFonts w:cs="Times New Roman"/>
          <w:b/>
        </w:rPr>
        <w:t>įmonių pasiskirstymo pagal ekonominės veiklos sritis</w:t>
      </w:r>
      <w:r w:rsidRPr="003C0378">
        <w:rPr>
          <w:rFonts w:cs="Times New Roman"/>
        </w:rPr>
        <w:t xml:space="preserve">, </w:t>
      </w:r>
      <w:r w:rsidRPr="003C0378">
        <w:rPr>
          <w:rFonts w:cs="Times New Roman"/>
          <w:b/>
        </w:rPr>
        <w:t>taip pat įmonių pasiskirstymo pagal įmonių dydį atžvilgiais (95 proc. patikimumo lygiu)</w:t>
      </w:r>
      <w:r w:rsidRPr="003C0378">
        <w:rPr>
          <w:rFonts w:cs="Times New Roman"/>
        </w:rPr>
        <w:t>. Pavyzdžiui, kaip matoma lentelėje žemiau, iš viso apklaustos buvo 423 įmonės, nors apklausos reprezentatyvumui užtikrinti Lietuvos mastu apklausti reikėtų 400 įmonių. Kaip galima pastebėti, visų dydžių (pagal darbuotojų skaičių) įmonių atveju buvo viršytas apklausos reprezentatyvumui užtikrinti reikalingas respondentų skaičius (t. y. reikalaujama kvota reprezentatyvumui užtikrinti): apklausoje dalyvavo 340 labai mažų įmonių, turinčių 1</w:t>
      </w:r>
      <w:r w:rsidR="003C0378">
        <w:rPr>
          <w:rFonts w:cs="Times New Roman"/>
        </w:rPr>
        <w:t>–</w:t>
      </w:r>
      <w:r w:rsidRPr="003C0378">
        <w:rPr>
          <w:rFonts w:cs="Times New Roman"/>
        </w:rPr>
        <w:t>9 darbuotojus (apklausti reikėjo bent 335), 50 mažų įmonių, turinčių 10</w:t>
      </w:r>
      <w:r w:rsidR="003C0378">
        <w:rPr>
          <w:rFonts w:cs="Times New Roman"/>
        </w:rPr>
        <w:t>–</w:t>
      </w:r>
      <w:r w:rsidRPr="003C0378">
        <w:rPr>
          <w:rFonts w:cs="Times New Roman"/>
        </w:rPr>
        <w:t>49 darbuotojus (reikalaujama kvota – 49), 19 vidutinio dydžio įmonių, turinčių 50</w:t>
      </w:r>
      <w:r w:rsidR="003C0378">
        <w:rPr>
          <w:rFonts w:cs="Times New Roman"/>
        </w:rPr>
        <w:t>–</w:t>
      </w:r>
      <w:r w:rsidRPr="003C0378">
        <w:rPr>
          <w:rFonts w:cs="Times New Roman"/>
        </w:rPr>
        <w:t>249 darbuotojų (reikalaujama kvota – 14) ir 14 didelių įmonių, turinčių 250 ir daugiau darbuotojų</w:t>
      </w:r>
      <w:r w:rsidR="003C0378">
        <w:rPr>
          <w:rFonts w:cs="Times New Roman"/>
        </w:rPr>
        <w:t xml:space="preserve"> </w:t>
      </w:r>
      <w:r w:rsidRPr="003C0378">
        <w:rPr>
          <w:rFonts w:cs="Times New Roman"/>
        </w:rPr>
        <w:t>(reikalaujama kvota reprezentatyvumui – 2).</w:t>
      </w:r>
    </w:p>
    <w:p w14:paraId="5340EB8E" w14:textId="2BE06DFD" w:rsidR="00A5450E" w:rsidRPr="003C0378" w:rsidRDefault="00A5450E" w:rsidP="00A5450E">
      <w:pPr>
        <w:keepNext/>
        <w:ind w:firstLine="0"/>
        <w:rPr>
          <w:rFonts w:cs="Times New Roman"/>
          <w:i/>
          <w:iCs/>
        </w:rPr>
      </w:pPr>
      <w:bookmarkStart w:id="217" w:name="_Toc126051413"/>
      <w:bookmarkStart w:id="218" w:name="_Toc166139883"/>
      <w:bookmarkStart w:id="219" w:name="_Toc170804649"/>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33</w:t>
      </w:r>
      <w:r w:rsidRPr="003C0378">
        <w:rPr>
          <w:rFonts w:cs="Times New Roman"/>
          <w:i/>
          <w:iCs/>
        </w:rPr>
        <w:fldChar w:fldCharType="end"/>
      </w:r>
      <w:r w:rsidRPr="003C0378">
        <w:rPr>
          <w:rFonts w:cs="Times New Roman"/>
          <w:i/>
          <w:iCs/>
        </w:rPr>
        <w:t>. Apklausos respondentų pasiskirstymas pagal įmonių dydį ir reikalaujamas kvotas reprezentatyvumui užtikrinti.</w:t>
      </w:r>
      <w:bookmarkEnd w:id="217"/>
      <w:bookmarkEnd w:id="218"/>
      <w:bookmarkEnd w:id="219"/>
    </w:p>
    <w:tbl>
      <w:tblPr>
        <w:tblStyle w:val="TableGrid1"/>
        <w:tblW w:w="9734" w:type="dxa"/>
        <w:tblLook w:val="04A0" w:firstRow="1" w:lastRow="0" w:firstColumn="1" w:lastColumn="0" w:noHBand="0" w:noVBand="1"/>
      </w:tblPr>
      <w:tblGrid>
        <w:gridCol w:w="2001"/>
        <w:gridCol w:w="1720"/>
        <w:gridCol w:w="1476"/>
        <w:gridCol w:w="2470"/>
        <w:gridCol w:w="2067"/>
      </w:tblGrid>
      <w:tr w:rsidR="00A5450E" w:rsidRPr="003C0378" w14:paraId="478888F5" w14:textId="77777777" w:rsidTr="00E24002">
        <w:trPr>
          <w:trHeight w:val="20"/>
        </w:trPr>
        <w:tc>
          <w:tcPr>
            <w:tcW w:w="2001" w:type="dxa"/>
            <w:noWrap/>
            <w:vAlign w:val="center"/>
            <w:hideMark/>
          </w:tcPr>
          <w:p w14:paraId="0390F84A" w14:textId="77777777" w:rsidR="00A5450E" w:rsidRPr="003C0378" w:rsidRDefault="00A5450E" w:rsidP="000C6260">
            <w:pPr>
              <w:spacing w:after="0" w:line="276" w:lineRule="auto"/>
              <w:ind w:firstLine="0"/>
              <w:jc w:val="center"/>
              <w:rPr>
                <w:rFonts w:cs="Times New Roman"/>
                <w:b/>
                <w:bCs/>
                <w:sz w:val="20"/>
                <w:szCs w:val="20"/>
              </w:rPr>
            </w:pPr>
            <w:r w:rsidRPr="003C0378">
              <w:rPr>
                <w:rFonts w:cs="Times New Roman"/>
                <w:b/>
                <w:bCs/>
                <w:sz w:val="20"/>
                <w:szCs w:val="20"/>
              </w:rPr>
              <w:t>Dydis</w:t>
            </w:r>
          </w:p>
        </w:tc>
        <w:tc>
          <w:tcPr>
            <w:tcW w:w="1720" w:type="dxa"/>
            <w:noWrap/>
            <w:vAlign w:val="center"/>
            <w:hideMark/>
          </w:tcPr>
          <w:p w14:paraId="6B91D432" w14:textId="77777777" w:rsidR="00A5450E" w:rsidRPr="003C0378" w:rsidRDefault="00A5450E" w:rsidP="000C6260">
            <w:pPr>
              <w:spacing w:after="0" w:line="276" w:lineRule="auto"/>
              <w:ind w:firstLine="0"/>
              <w:jc w:val="center"/>
              <w:rPr>
                <w:rFonts w:cs="Times New Roman"/>
                <w:b/>
                <w:bCs/>
                <w:sz w:val="20"/>
                <w:szCs w:val="20"/>
              </w:rPr>
            </w:pPr>
            <w:r w:rsidRPr="003C0378">
              <w:rPr>
                <w:rFonts w:cs="Times New Roman"/>
                <w:b/>
                <w:bCs/>
                <w:sz w:val="20"/>
                <w:szCs w:val="20"/>
              </w:rPr>
              <w:t>Įmonių skaičius Lietuvoje</w:t>
            </w:r>
          </w:p>
        </w:tc>
        <w:tc>
          <w:tcPr>
            <w:tcW w:w="1476" w:type="dxa"/>
            <w:noWrap/>
            <w:vAlign w:val="center"/>
            <w:hideMark/>
          </w:tcPr>
          <w:p w14:paraId="54866D89" w14:textId="77777777" w:rsidR="00A5450E" w:rsidRPr="003C0378" w:rsidRDefault="00A5450E" w:rsidP="000C6260">
            <w:pPr>
              <w:spacing w:after="0" w:line="276" w:lineRule="auto"/>
              <w:ind w:firstLine="0"/>
              <w:jc w:val="center"/>
              <w:rPr>
                <w:rFonts w:cs="Times New Roman"/>
                <w:b/>
                <w:bCs/>
                <w:sz w:val="20"/>
                <w:szCs w:val="20"/>
              </w:rPr>
            </w:pPr>
            <w:r w:rsidRPr="003C0378">
              <w:rPr>
                <w:rFonts w:cs="Times New Roman"/>
                <w:b/>
                <w:bCs/>
                <w:sz w:val="20"/>
                <w:szCs w:val="20"/>
              </w:rPr>
              <w:t>Dalis nuo visų įmonių</w:t>
            </w:r>
          </w:p>
        </w:tc>
        <w:tc>
          <w:tcPr>
            <w:tcW w:w="2470" w:type="dxa"/>
            <w:noWrap/>
            <w:vAlign w:val="center"/>
            <w:hideMark/>
          </w:tcPr>
          <w:p w14:paraId="442505D9" w14:textId="77777777" w:rsidR="00A5450E" w:rsidRPr="003C0378" w:rsidRDefault="00A5450E" w:rsidP="000C6260">
            <w:pPr>
              <w:spacing w:after="0" w:line="276" w:lineRule="auto"/>
              <w:ind w:firstLine="0"/>
              <w:jc w:val="center"/>
              <w:rPr>
                <w:rFonts w:cs="Times New Roman"/>
                <w:b/>
                <w:bCs/>
                <w:sz w:val="20"/>
                <w:szCs w:val="20"/>
              </w:rPr>
            </w:pPr>
            <w:r w:rsidRPr="003C0378">
              <w:rPr>
                <w:rFonts w:cs="Times New Roman"/>
                <w:b/>
                <w:bCs/>
                <w:sz w:val="20"/>
                <w:szCs w:val="20"/>
              </w:rPr>
              <w:t>Reikalaujama kvota reprezentatyvumui</w:t>
            </w:r>
          </w:p>
        </w:tc>
        <w:tc>
          <w:tcPr>
            <w:tcW w:w="2067" w:type="dxa"/>
            <w:noWrap/>
            <w:vAlign w:val="center"/>
            <w:hideMark/>
          </w:tcPr>
          <w:p w14:paraId="5B5E30F2" w14:textId="77777777" w:rsidR="00A5450E" w:rsidRPr="003C0378" w:rsidRDefault="00A5450E" w:rsidP="000C6260">
            <w:pPr>
              <w:spacing w:after="0" w:line="276" w:lineRule="auto"/>
              <w:ind w:firstLine="0"/>
              <w:jc w:val="center"/>
              <w:rPr>
                <w:rFonts w:cs="Times New Roman"/>
                <w:b/>
                <w:bCs/>
                <w:sz w:val="20"/>
                <w:szCs w:val="20"/>
              </w:rPr>
            </w:pPr>
            <w:r w:rsidRPr="003C0378">
              <w:rPr>
                <w:rFonts w:cs="Times New Roman"/>
                <w:b/>
                <w:bCs/>
                <w:sz w:val="20"/>
                <w:szCs w:val="20"/>
              </w:rPr>
              <w:t>Apklaustų įmonių skaičius</w:t>
            </w:r>
          </w:p>
        </w:tc>
      </w:tr>
      <w:tr w:rsidR="00A5450E" w:rsidRPr="003C0378" w14:paraId="476D8614" w14:textId="77777777" w:rsidTr="00E24002">
        <w:trPr>
          <w:trHeight w:val="20"/>
        </w:trPr>
        <w:tc>
          <w:tcPr>
            <w:tcW w:w="2001" w:type="dxa"/>
            <w:hideMark/>
          </w:tcPr>
          <w:p w14:paraId="5BFAFF10" w14:textId="2A3117B9" w:rsidR="00A5450E" w:rsidRPr="003C0378" w:rsidRDefault="00ED19D5" w:rsidP="000C6260">
            <w:pPr>
              <w:spacing w:after="0" w:line="276" w:lineRule="auto"/>
              <w:ind w:firstLine="0"/>
              <w:rPr>
                <w:rFonts w:cs="Times New Roman"/>
                <w:b/>
                <w:bCs/>
                <w:sz w:val="20"/>
                <w:szCs w:val="20"/>
              </w:rPr>
            </w:pPr>
            <w:r w:rsidRPr="003C0378">
              <w:rPr>
                <w:rFonts w:cs="Times New Roman"/>
                <w:b/>
                <w:bCs/>
                <w:sz w:val="20"/>
                <w:szCs w:val="20"/>
              </w:rPr>
              <w:t>Labai mažos įmonės (d</w:t>
            </w:r>
            <w:r w:rsidR="00A5450E" w:rsidRPr="003C0378">
              <w:rPr>
                <w:rFonts w:cs="Times New Roman"/>
                <w:b/>
                <w:bCs/>
                <w:sz w:val="20"/>
                <w:szCs w:val="20"/>
              </w:rPr>
              <w:t>arbuotojų skaičius 1–9</w:t>
            </w:r>
          </w:p>
        </w:tc>
        <w:tc>
          <w:tcPr>
            <w:tcW w:w="1720" w:type="dxa"/>
            <w:noWrap/>
            <w:vAlign w:val="center"/>
            <w:hideMark/>
          </w:tcPr>
          <w:p w14:paraId="4717DD68"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94999</w:t>
            </w:r>
          </w:p>
        </w:tc>
        <w:tc>
          <w:tcPr>
            <w:tcW w:w="1476" w:type="dxa"/>
            <w:noWrap/>
            <w:vAlign w:val="center"/>
            <w:hideMark/>
          </w:tcPr>
          <w:p w14:paraId="7995BB64" w14:textId="03E724E2"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83,7</w:t>
            </w:r>
            <w:r w:rsidR="00B55C94" w:rsidRPr="003C0378">
              <w:rPr>
                <w:rFonts w:cs="Times New Roman"/>
                <w:sz w:val="20"/>
                <w:szCs w:val="20"/>
              </w:rPr>
              <w:t xml:space="preserve"> proc.</w:t>
            </w:r>
          </w:p>
        </w:tc>
        <w:tc>
          <w:tcPr>
            <w:tcW w:w="2470" w:type="dxa"/>
            <w:noWrap/>
            <w:vAlign w:val="center"/>
            <w:hideMark/>
          </w:tcPr>
          <w:p w14:paraId="0042D8A7"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335</w:t>
            </w:r>
          </w:p>
        </w:tc>
        <w:tc>
          <w:tcPr>
            <w:tcW w:w="2067" w:type="dxa"/>
            <w:noWrap/>
            <w:vAlign w:val="center"/>
            <w:hideMark/>
          </w:tcPr>
          <w:p w14:paraId="1F7E32BF"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340</w:t>
            </w:r>
          </w:p>
        </w:tc>
      </w:tr>
      <w:tr w:rsidR="00A5450E" w:rsidRPr="003C0378" w14:paraId="05734ADE" w14:textId="77777777" w:rsidTr="00E24002">
        <w:trPr>
          <w:trHeight w:val="20"/>
        </w:trPr>
        <w:tc>
          <w:tcPr>
            <w:tcW w:w="2001" w:type="dxa"/>
            <w:hideMark/>
          </w:tcPr>
          <w:p w14:paraId="4FBD9A6F" w14:textId="533EB404" w:rsidR="00A5450E" w:rsidRPr="003C0378" w:rsidRDefault="00ED19D5" w:rsidP="000C6260">
            <w:pPr>
              <w:spacing w:after="0" w:line="276" w:lineRule="auto"/>
              <w:ind w:firstLine="0"/>
              <w:rPr>
                <w:rFonts w:cs="Times New Roman"/>
                <w:b/>
                <w:bCs/>
                <w:sz w:val="20"/>
                <w:szCs w:val="20"/>
              </w:rPr>
            </w:pPr>
            <w:r w:rsidRPr="003C0378">
              <w:rPr>
                <w:rFonts w:cs="Times New Roman"/>
                <w:b/>
                <w:bCs/>
                <w:sz w:val="20"/>
                <w:szCs w:val="20"/>
              </w:rPr>
              <w:t>Mažos įmonės (</w:t>
            </w:r>
            <w:r w:rsidR="00F241C4" w:rsidRPr="003C0378">
              <w:rPr>
                <w:rFonts w:cs="Times New Roman"/>
                <w:b/>
                <w:bCs/>
                <w:sz w:val="20"/>
                <w:szCs w:val="20"/>
              </w:rPr>
              <w:t>d</w:t>
            </w:r>
            <w:r w:rsidR="00A5450E" w:rsidRPr="003C0378">
              <w:rPr>
                <w:rFonts w:cs="Times New Roman"/>
                <w:b/>
                <w:bCs/>
                <w:sz w:val="20"/>
                <w:szCs w:val="20"/>
              </w:rPr>
              <w:t>arbuotojų skaičius 10–49</w:t>
            </w:r>
            <w:r w:rsidR="00F241C4" w:rsidRPr="003C0378">
              <w:rPr>
                <w:rFonts w:cs="Times New Roman"/>
                <w:b/>
                <w:bCs/>
                <w:sz w:val="20"/>
                <w:szCs w:val="20"/>
              </w:rPr>
              <w:t>)</w:t>
            </w:r>
          </w:p>
        </w:tc>
        <w:tc>
          <w:tcPr>
            <w:tcW w:w="1720" w:type="dxa"/>
            <w:noWrap/>
            <w:vAlign w:val="center"/>
            <w:hideMark/>
          </w:tcPr>
          <w:p w14:paraId="37DA871D"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14006</w:t>
            </w:r>
          </w:p>
        </w:tc>
        <w:tc>
          <w:tcPr>
            <w:tcW w:w="1476" w:type="dxa"/>
            <w:noWrap/>
            <w:vAlign w:val="center"/>
            <w:hideMark/>
          </w:tcPr>
          <w:p w14:paraId="557E47DD" w14:textId="77CB031D"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12,3</w:t>
            </w:r>
            <w:r w:rsidR="00B55C94" w:rsidRPr="003C0378">
              <w:rPr>
                <w:rFonts w:cs="Times New Roman"/>
                <w:sz w:val="20"/>
                <w:szCs w:val="20"/>
              </w:rPr>
              <w:t xml:space="preserve"> proc.</w:t>
            </w:r>
          </w:p>
        </w:tc>
        <w:tc>
          <w:tcPr>
            <w:tcW w:w="2470" w:type="dxa"/>
            <w:noWrap/>
            <w:vAlign w:val="center"/>
            <w:hideMark/>
          </w:tcPr>
          <w:p w14:paraId="6897CB70"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49</w:t>
            </w:r>
          </w:p>
        </w:tc>
        <w:tc>
          <w:tcPr>
            <w:tcW w:w="2067" w:type="dxa"/>
            <w:noWrap/>
            <w:vAlign w:val="center"/>
            <w:hideMark/>
          </w:tcPr>
          <w:p w14:paraId="226485F2"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50</w:t>
            </w:r>
          </w:p>
        </w:tc>
      </w:tr>
      <w:tr w:rsidR="00A5450E" w:rsidRPr="003C0378" w14:paraId="08871F30" w14:textId="77777777" w:rsidTr="00E24002">
        <w:trPr>
          <w:trHeight w:val="20"/>
        </w:trPr>
        <w:tc>
          <w:tcPr>
            <w:tcW w:w="2001" w:type="dxa"/>
            <w:hideMark/>
          </w:tcPr>
          <w:p w14:paraId="330BD1BC" w14:textId="15E99844" w:rsidR="00A5450E" w:rsidRPr="003C0378" w:rsidRDefault="00F241C4" w:rsidP="000C6260">
            <w:pPr>
              <w:spacing w:after="0" w:line="276" w:lineRule="auto"/>
              <w:ind w:firstLine="0"/>
              <w:rPr>
                <w:rFonts w:cs="Times New Roman"/>
                <w:b/>
                <w:bCs/>
                <w:sz w:val="20"/>
                <w:szCs w:val="20"/>
              </w:rPr>
            </w:pPr>
            <w:r w:rsidRPr="003C0378">
              <w:rPr>
                <w:rFonts w:cs="Times New Roman"/>
                <w:b/>
                <w:bCs/>
                <w:sz w:val="20"/>
                <w:szCs w:val="20"/>
              </w:rPr>
              <w:t>Vidutinės įmonės (d</w:t>
            </w:r>
            <w:r w:rsidR="00A5450E" w:rsidRPr="003C0378">
              <w:rPr>
                <w:rFonts w:cs="Times New Roman"/>
                <w:b/>
                <w:bCs/>
                <w:sz w:val="20"/>
                <w:szCs w:val="20"/>
              </w:rPr>
              <w:t>arbuotojų skaičius 50–249</w:t>
            </w:r>
            <w:r w:rsidRPr="003C0378">
              <w:rPr>
                <w:rFonts w:cs="Times New Roman"/>
                <w:b/>
                <w:bCs/>
                <w:sz w:val="20"/>
                <w:szCs w:val="20"/>
              </w:rPr>
              <w:t>)</w:t>
            </w:r>
          </w:p>
        </w:tc>
        <w:tc>
          <w:tcPr>
            <w:tcW w:w="1720" w:type="dxa"/>
            <w:noWrap/>
            <w:vAlign w:val="center"/>
            <w:hideMark/>
          </w:tcPr>
          <w:p w14:paraId="6779DDC7"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3914</w:t>
            </w:r>
          </w:p>
        </w:tc>
        <w:tc>
          <w:tcPr>
            <w:tcW w:w="1476" w:type="dxa"/>
            <w:noWrap/>
            <w:vAlign w:val="center"/>
            <w:hideMark/>
          </w:tcPr>
          <w:p w14:paraId="493E1C3F" w14:textId="2FB25C61"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3,4</w:t>
            </w:r>
            <w:r w:rsidR="00B55C94" w:rsidRPr="003C0378">
              <w:rPr>
                <w:rFonts w:cs="Times New Roman"/>
                <w:sz w:val="20"/>
                <w:szCs w:val="20"/>
              </w:rPr>
              <w:t xml:space="preserve"> proc.</w:t>
            </w:r>
          </w:p>
        </w:tc>
        <w:tc>
          <w:tcPr>
            <w:tcW w:w="2470" w:type="dxa"/>
            <w:noWrap/>
            <w:vAlign w:val="center"/>
            <w:hideMark/>
          </w:tcPr>
          <w:p w14:paraId="6ECE6783"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14</w:t>
            </w:r>
          </w:p>
        </w:tc>
        <w:tc>
          <w:tcPr>
            <w:tcW w:w="2067" w:type="dxa"/>
            <w:noWrap/>
            <w:vAlign w:val="center"/>
            <w:hideMark/>
          </w:tcPr>
          <w:p w14:paraId="7F66097E"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19</w:t>
            </w:r>
          </w:p>
        </w:tc>
      </w:tr>
      <w:tr w:rsidR="00A5450E" w:rsidRPr="003C0378" w14:paraId="7ED19364" w14:textId="77777777" w:rsidTr="00E24002">
        <w:trPr>
          <w:trHeight w:val="20"/>
        </w:trPr>
        <w:tc>
          <w:tcPr>
            <w:tcW w:w="2001" w:type="dxa"/>
            <w:hideMark/>
          </w:tcPr>
          <w:p w14:paraId="42C42404" w14:textId="55C82BED" w:rsidR="00A5450E" w:rsidRPr="003C0378" w:rsidRDefault="00F241C4" w:rsidP="000C6260">
            <w:pPr>
              <w:spacing w:after="0" w:line="276" w:lineRule="auto"/>
              <w:ind w:firstLine="0"/>
              <w:rPr>
                <w:rFonts w:cs="Times New Roman"/>
                <w:b/>
                <w:bCs/>
                <w:sz w:val="20"/>
                <w:szCs w:val="20"/>
              </w:rPr>
            </w:pPr>
            <w:r w:rsidRPr="003C0378">
              <w:rPr>
                <w:rFonts w:cs="Times New Roman"/>
                <w:b/>
                <w:bCs/>
                <w:sz w:val="20"/>
                <w:szCs w:val="20"/>
              </w:rPr>
              <w:t>Didelės įmonės (d</w:t>
            </w:r>
            <w:r w:rsidR="00A5450E" w:rsidRPr="003C0378">
              <w:rPr>
                <w:rFonts w:cs="Times New Roman"/>
                <w:b/>
                <w:bCs/>
                <w:sz w:val="20"/>
                <w:szCs w:val="20"/>
              </w:rPr>
              <w:t>arbuotojų skaičius 250 ir daugiau</w:t>
            </w:r>
            <w:r w:rsidRPr="003C0378">
              <w:rPr>
                <w:rFonts w:cs="Times New Roman"/>
                <w:b/>
                <w:bCs/>
                <w:sz w:val="20"/>
                <w:szCs w:val="20"/>
              </w:rPr>
              <w:t>)</w:t>
            </w:r>
          </w:p>
        </w:tc>
        <w:tc>
          <w:tcPr>
            <w:tcW w:w="1720" w:type="dxa"/>
            <w:noWrap/>
            <w:vAlign w:val="center"/>
            <w:hideMark/>
          </w:tcPr>
          <w:p w14:paraId="79A69467"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597</w:t>
            </w:r>
          </w:p>
        </w:tc>
        <w:tc>
          <w:tcPr>
            <w:tcW w:w="1476" w:type="dxa"/>
            <w:noWrap/>
            <w:vAlign w:val="center"/>
            <w:hideMark/>
          </w:tcPr>
          <w:p w14:paraId="0698234A" w14:textId="44F0DA62"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0,5</w:t>
            </w:r>
            <w:r w:rsidR="00B55C94" w:rsidRPr="003C0378">
              <w:rPr>
                <w:rFonts w:cs="Times New Roman"/>
                <w:sz w:val="20"/>
                <w:szCs w:val="20"/>
              </w:rPr>
              <w:t xml:space="preserve"> proc.</w:t>
            </w:r>
          </w:p>
        </w:tc>
        <w:tc>
          <w:tcPr>
            <w:tcW w:w="2470" w:type="dxa"/>
            <w:noWrap/>
            <w:vAlign w:val="center"/>
            <w:hideMark/>
          </w:tcPr>
          <w:p w14:paraId="158E88B4"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2</w:t>
            </w:r>
          </w:p>
        </w:tc>
        <w:tc>
          <w:tcPr>
            <w:tcW w:w="2067" w:type="dxa"/>
            <w:noWrap/>
            <w:vAlign w:val="center"/>
            <w:hideMark/>
          </w:tcPr>
          <w:p w14:paraId="181F2B6C"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14</w:t>
            </w:r>
          </w:p>
        </w:tc>
      </w:tr>
      <w:tr w:rsidR="00A5450E" w:rsidRPr="003C0378" w14:paraId="37A04615" w14:textId="77777777" w:rsidTr="00E24002">
        <w:trPr>
          <w:trHeight w:val="20"/>
        </w:trPr>
        <w:tc>
          <w:tcPr>
            <w:tcW w:w="2001" w:type="dxa"/>
            <w:hideMark/>
          </w:tcPr>
          <w:p w14:paraId="49105645" w14:textId="77777777" w:rsidR="00A5450E" w:rsidRPr="003C0378" w:rsidRDefault="00A5450E" w:rsidP="000C6260">
            <w:pPr>
              <w:spacing w:after="0" w:line="276" w:lineRule="auto"/>
              <w:ind w:firstLine="0"/>
              <w:rPr>
                <w:rFonts w:cs="Times New Roman"/>
                <w:b/>
                <w:bCs/>
                <w:sz w:val="20"/>
                <w:szCs w:val="20"/>
              </w:rPr>
            </w:pPr>
            <w:r w:rsidRPr="003C0378">
              <w:rPr>
                <w:rFonts w:cs="Times New Roman"/>
                <w:b/>
                <w:bCs/>
                <w:sz w:val="20"/>
                <w:szCs w:val="20"/>
              </w:rPr>
              <w:t>Visos įmonės</w:t>
            </w:r>
          </w:p>
        </w:tc>
        <w:tc>
          <w:tcPr>
            <w:tcW w:w="1720" w:type="dxa"/>
            <w:noWrap/>
            <w:vAlign w:val="center"/>
            <w:hideMark/>
          </w:tcPr>
          <w:p w14:paraId="12CA611F"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113516</w:t>
            </w:r>
          </w:p>
        </w:tc>
        <w:tc>
          <w:tcPr>
            <w:tcW w:w="1476" w:type="dxa"/>
            <w:noWrap/>
            <w:vAlign w:val="center"/>
            <w:hideMark/>
          </w:tcPr>
          <w:p w14:paraId="78FCA3BF" w14:textId="38FE3E02"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100</w:t>
            </w:r>
          </w:p>
        </w:tc>
        <w:tc>
          <w:tcPr>
            <w:tcW w:w="2470" w:type="dxa"/>
            <w:noWrap/>
            <w:vAlign w:val="center"/>
            <w:hideMark/>
          </w:tcPr>
          <w:p w14:paraId="0F22CD27"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400</w:t>
            </w:r>
          </w:p>
        </w:tc>
        <w:tc>
          <w:tcPr>
            <w:tcW w:w="2067" w:type="dxa"/>
            <w:noWrap/>
            <w:vAlign w:val="center"/>
            <w:hideMark/>
          </w:tcPr>
          <w:p w14:paraId="452500E6" w14:textId="77777777" w:rsidR="00A5450E" w:rsidRPr="003C0378" w:rsidRDefault="00A5450E" w:rsidP="000C6260">
            <w:pPr>
              <w:spacing w:after="0" w:line="276" w:lineRule="auto"/>
              <w:ind w:firstLine="0"/>
              <w:jc w:val="center"/>
              <w:rPr>
                <w:rFonts w:cs="Times New Roman"/>
                <w:sz w:val="20"/>
                <w:szCs w:val="20"/>
              </w:rPr>
            </w:pPr>
            <w:r w:rsidRPr="003C0378">
              <w:rPr>
                <w:rFonts w:cs="Times New Roman"/>
                <w:sz w:val="20"/>
                <w:szCs w:val="20"/>
              </w:rPr>
              <w:t>423</w:t>
            </w:r>
          </w:p>
        </w:tc>
      </w:tr>
    </w:tbl>
    <w:p w14:paraId="1BE89873" w14:textId="49BECEB6" w:rsidR="0053342C" w:rsidRPr="003C0378" w:rsidRDefault="00A5450E" w:rsidP="00ED19D5">
      <w:pPr>
        <w:keepNext/>
        <w:ind w:firstLine="562"/>
        <w:jc w:val="left"/>
        <w:rPr>
          <w:rFonts w:cs="Times New Roman"/>
          <w:sz w:val="20"/>
          <w:szCs w:val="20"/>
        </w:rPr>
      </w:pPr>
      <w:r w:rsidRPr="003C0378">
        <w:rPr>
          <w:rFonts w:cs="Times New Roman"/>
          <w:sz w:val="20"/>
          <w:szCs w:val="20"/>
        </w:rPr>
        <w:t>Šaltinis: sudaryta Vertintojų</w:t>
      </w:r>
      <w:r w:rsidR="0053342C" w:rsidRPr="003C0378">
        <w:rPr>
          <w:rFonts w:cs="Times New Roman"/>
          <w:sz w:val="20"/>
          <w:szCs w:val="20"/>
        </w:rPr>
        <w:t>.</w:t>
      </w:r>
    </w:p>
    <w:p w14:paraId="03138A4B" w14:textId="73C69648" w:rsidR="00A5450E" w:rsidRPr="003C0378" w:rsidRDefault="00A5450E" w:rsidP="00A5450E">
      <w:pPr>
        <w:spacing w:line="276" w:lineRule="auto"/>
        <w:ind w:firstLine="562"/>
        <w:rPr>
          <w:rFonts w:cs="Times New Roman"/>
          <w:iCs/>
        </w:rPr>
      </w:pPr>
      <w:r w:rsidRPr="003C0378">
        <w:rPr>
          <w:rFonts w:cs="Times New Roman"/>
          <w:iCs/>
        </w:rPr>
        <w:t>Respondentų pasiskirstymas pagal ekonominės veiklos sektorių yra pateikiamas žemiau esančioje lentelėje. Kaip galima matyti, apklaustų įmonių proporcingumas</w:t>
      </w:r>
      <w:r w:rsidR="00AB7155" w:rsidRPr="003C0378">
        <w:rPr>
          <w:rFonts w:cs="Times New Roman"/>
          <w:iCs/>
        </w:rPr>
        <w:t xml:space="preserve"> iš esmės</w:t>
      </w:r>
      <w:r w:rsidRPr="003C0378">
        <w:rPr>
          <w:rFonts w:cs="Times New Roman"/>
          <w:iCs/>
        </w:rPr>
        <w:t xml:space="preserve"> atitinka Lietuvoje veikiančių įmonių pasiskirsty</w:t>
      </w:r>
      <w:r w:rsidR="00AB7155" w:rsidRPr="003C0378">
        <w:rPr>
          <w:rFonts w:cs="Times New Roman"/>
          <w:iCs/>
        </w:rPr>
        <w:t>mą pagal ekonominius sektorius</w:t>
      </w:r>
      <w:r w:rsidR="00610337" w:rsidRPr="003C0378">
        <w:rPr>
          <w:rStyle w:val="Puslapioinaosnuoroda"/>
          <w:rFonts w:cs="Times New Roman"/>
          <w:iCs/>
        </w:rPr>
        <w:footnoteReference w:id="51"/>
      </w:r>
      <w:r w:rsidR="00AB7155" w:rsidRPr="003C0378">
        <w:rPr>
          <w:rFonts w:cs="Times New Roman"/>
          <w:iCs/>
        </w:rPr>
        <w:t>. Trečdalio</w:t>
      </w:r>
      <w:r w:rsidRPr="003C0378">
        <w:rPr>
          <w:rFonts w:cs="Times New Roman"/>
          <w:iCs/>
        </w:rPr>
        <w:t xml:space="preserve"> (33 proc.) apklausos dalyvių įmonių veikla priskirtina didmeninės ir mažmeninės prekybos, transporto, apgyvendinimo ir maitinimo paslaugoms. Beveik kas aštuntas (13 proc.) respondentas </w:t>
      </w:r>
      <w:r w:rsidR="00AB7155" w:rsidRPr="003C0378">
        <w:rPr>
          <w:rFonts w:cs="Times New Roman"/>
          <w:iCs/>
        </w:rPr>
        <w:t>veikė</w:t>
      </w:r>
      <w:r w:rsidRPr="003C0378">
        <w:rPr>
          <w:rFonts w:cs="Times New Roman"/>
          <w:iCs/>
        </w:rPr>
        <w:t xml:space="preserve"> profesinės, mokslinės ir techninės veiklos arba administracinės ir aptarnavimo veiklos srityje. Tiek pat (13 proc.) respondentų </w:t>
      </w:r>
      <w:r w:rsidR="00AB7155" w:rsidRPr="003C0378">
        <w:rPr>
          <w:rFonts w:cs="Times New Roman"/>
          <w:iCs/>
        </w:rPr>
        <w:t>veikė</w:t>
      </w:r>
      <w:r w:rsidRPr="003C0378">
        <w:rPr>
          <w:rFonts w:cs="Times New Roman"/>
          <w:iCs/>
        </w:rPr>
        <w:t xml:space="preserve"> meninės, pramoginės ir poilsio organizavimo veiklos arba administracinės ir aptarnavimo veiklos srityje. Vieno iš dešimties (10 proc.) apklaustųjų atstovaujama įmonė </w:t>
      </w:r>
      <w:r w:rsidR="00AB7155" w:rsidRPr="003C0378">
        <w:rPr>
          <w:rFonts w:cs="Times New Roman"/>
          <w:iCs/>
        </w:rPr>
        <w:t>veikė</w:t>
      </w:r>
      <w:r w:rsidRPr="003C0378">
        <w:rPr>
          <w:rFonts w:cs="Times New Roman"/>
          <w:iCs/>
        </w:rPr>
        <w:t xml:space="preserve"> pramonės srityje. Mažiausiai (1 proc.) respondentų </w:t>
      </w:r>
      <w:r w:rsidR="00AB7155" w:rsidRPr="003C0378">
        <w:rPr>
          <w:rFonts w:cs="Times New Roman"/>
          <w:iCs/>
        </w:rPr>
        <w:t>veikė</w:t>
      </w:r>
      <w:r w:rsidRPr="003C0378">
        <w:rPr>
          <w:rFonts w:cs="Times New Roman"/>
          <w:iCs/>
        </w:rPr>
        <w:t xml:space="preserve"> finansinės ir draudimo veiklos srityje, o kiek daugiau (2 proc.) apklausos dalyvių atstovavo žemės ūkio, miškininkystės ir žuvininkystės srities įmones. </w:t>
      </w:r>
    </w:p>
    <w:p w14:paraId="7739FDF0" w14:textId="785990EF" w:rsidR="00AB7155" w:rsidRPr="003C0378" w:rsidRDefault="00A5450E" w:rsidP="00A5450E">
      <w:pPr>
        <w:keepNext/>
        <w:ind w:firstLine="0"/>
        <w:rPr>
          <w:rFonts w:cs="Times New Roman"/>
          <w:i/>
          <w:iCs/>
        </w:rPr>
      </w:pPr>
      <w:bookmarkStart w:id="220" w:name="_Toc126051414"/>
      <w:bookmarkStart w:id="221" w:name="_Toc166139884"/>
      <w:bookmarkStart w:id="222" w:name="_Toc170804650"/>
      <w:r w:rsidRPr="003C0378">
        <w:rPr>
          <w:rFonts w:cs="Times New Roman"/>
          <w:i/>
          <w:iCs/>
        </w:rPr>
        <w:lastRenderedPageBreak/>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34</w:t>
      </w:r>
      <w:r w:rsidRPr="003C0378">
        <w:rPr>
          <w:rFonts w:cs="Times New Roman"/>
          <w:i/>
          <w:iCs/>
        </w:rPr>
        <w:fldChar w:fldCharType="end"/>
      </w:r>
      <w:r w:rsidRPr="003C0378">
        <w:rPr>
          <w:rFonts w:cs="Times New Roman"/>
          <w:i/>
          <w:iCs/>
        </w:rPr>
        <w:t>. Apklausos respondentų pasiskirstymas pagal ekonominės veiklos sektorius</w:t>
      </w:r>
      <w:bookmarkEnd w:id="220"/>
      <w:bookmarkEnd w:id="221"/>
      <w:bookmarkEnd w:id="222"/>
    </w:p>
    <w:tbl>
      <w:tblPr>
        <w:tblStyle w:val="Lentelstinklelis"/>
        <w:tblW w:w="9628" w:type="dxa"/>
        <w:tblLook w:val="04A0" w:firstRow="1" w:lastRow="0" w:firstColumn="1" w:lastColumn="0" w:noHBand="0" w:noVBand="1"/>
      </w:tblPr>
      <w:tblGrid>
        <w:gridCol w:w="3681"/>
        <w:gridCol w:w="1232"/>
        <w:gridCol w:w="1328"/>
        <w:gridCol w:w="798"/>
        <w:gridCol w:w="1106"/>
        <w:gridCol w:w="1483"/>
      </w:tblGrid>
      <w:tr w:rsidR="00AB7155" w:rsidRPr="003C0378" w14:paraId="72CBA40D" w14:textId="37F5BE77" w:rsidTr="00E24002">
        <w:trPr>
          <w:trHeight w:val="20"/>
          <w:tblHeader/>
        </w:trPr>
        <w:tc>
          <w:tcPr>
            <w:tcW w:w="3681" w:type="dxa"/>
            <w:noWrap/>
            <w:vAlign w:val="center"/>
            <w:hideMark/>
          </w:tcPr>
          <w:p w14:paraId="12C1A6D1" w14:textId="06CFCC03" w:rsidR="00AB7155" w:rsidRPr="003C0378" w:rsidRDefault="00AB7155" w:rsidP="000C6260">
            <w:pPr>
              <w:spacing w:after="0"/>
              <w:ind w:firstLine="0"/>
              <w:jc w:val="center"/>
              <w:rPr>
                <w:rFonts w:cs="Times New Roman"/>
                <w:b/>
                <w:sz w:val="20"/>
                <w:szCs w:val="20"/>
                <w:lang w:val="lt-LT"/>
              </w:rPr>
            </w:pPr>
            <w:r w:rsidRPr="003C0378">
              <w:rPr>
                <w:rFonts w:cs="Times New Roman"/>
                <w:b/>
                <w:sz w:val="20"/>
                <w:szCs w:val="20"/>
                <w:lang w:val="lt-LT"/>
              </w:rPr>
              <w:t>Sektorius (NACE klasifikacija)</w:t>
            </w:r>
          </w:p>
        </w:tc>
        <w:tc>
          <w:tcPr>
            <w:tcW w:w="1271" w:type="dxa"/>
            <w:vAlign w:val="center"/>
          </w:tcPr>
          <w:p w14:paraId="6C21F890" w14:textId="0C950463" w:rsidR="00AB7155" w:rsidRPr="003C0378" w:rsidRDefault="00AB7155" w:rsidP="000C6260">
            <w:pPr>
              <w:spacing w:after="0"/>
              <w:ind w:firstLine="0"/>
              <w:jc w:val="center"/>
              <w:rPr>
                <w:rFonts w:cs="Times New Roman"/>
                <w:b/>
                <w:sz w:val="20"/>
                <w:szCs w:val="20"/>
                <w:lang w:val="lt-LT"/>
              </w:rPr>
            </w:pPr>
            <w:r w:rsidRPr="003C0378">
              <w:rPr>
                <w:rFonts w:cs="Times New Roman"/>
                <w:b/>
                <w:sz w:val="20"/>
                <w:szCs w:val="20"/>
                <w:lang w:val="lt-LT"/>
              </w:rPr>
              <w:t>Populiacija</w:t>
            </w:r>
          </w:p>
        </w:tc>
        <w:tc>
          <w:tcPr>
            <w:tcW w:w="1315" w:type="dxa"/>
            <w:vAlign w:val="center"/>
          </w:tcPr>
          <w:p w14:paraId="0D746B6E" w14:textId="7A451F00" w:rsidR="00AB7155" w:rsidRPr="003C0378" w:rsidRDefault="00AB7155" w:rsidP="000C6260">
            <w:pPr>
              <w:spacing w:after="0"/>
              <w:ind w:firstLine="0"/>
              <w:jc w:val="center"/>
              <w:rPr>
                <w:rFonts w:cs="Times New Roman"/>
                <w:b/>
                <w:sz w:val="20"/>
                <w:szCs w:val="20"/>
                <w:lang w:val="lt-LT"/>
              </w:rPr>
            </w:pPr>
            <w:r w:rsidRPr="003C0378">
              <w:rPr>
                <w:rFonts w:cs="Times New Roman"/>
                <w:b/>
                <w:bCs/>
                <w:sz w:val="20"/>
                <w:szCs w:val="20"/>
                <w:lang w:val="lt-LT"/>
              </w:rPr>
              <w:t>Dalis nuo visų įmonių populiacijoje</w:t>
            </w:r>
          </w:p>
        </w:tc>
        <w:tc>
          <w:tcPr>
            <w:tcW w:w="798" w:type="dxa"/>
            <w:noWrap/>
            <w:vAlign w:val="center"/>
            <w:hideMark/>
          </w:tcPr>
          <w:p w14:paraId="2A294DB5" w14:textId="32765E93" w:rsidR="00AB7155" w:rsidRPr="003C0378" w:rsidRDefault="00AB7155" w:rsidP="000C6260">
            <w:pPr>
              <w:spacing w:after="0"/>
              <w:ind w:firstLine="0"/>
              <w:jc w:val="center"/>
              <w:rPr>
                <w:rFonts w:cs="Times New Roman"/>
                <w:b/>
                <w:sz w:val="20"/>
                <w:szCs w:val="20"/>
                <w:lang w:val="lt-LT"/>
              </w:rPr>
            </w:pPr>
            <w:r w:rsidRPr="003C0378">
              <w:rPr>
                <w:rFonts w:cs="Times New Roman"/>
                <w:b/>
                <w:bCs/>
                <w:sz w:val="20"/>
                <w:szCs w:val="20"/>
                <w:lang w:val="lt-LT"/>
              </w:rPr>
              <w:t>Kvota</w:t>
            </w:r>
          </w:p>
        </w:tc>
        <w:tc>
          <w:tcPr>
            <w:tcW w:w="1095" w:type="dxa"/>
            <w:noWrap/>
            <w:vAlign w:val="center"/>
            <w:hideMark/>
          </w:tcPr>
          <w:p w14:paraId="0D96F1EC" w14:textId="5A25E366" w:rsidR="00AB7155" w:rsidRPr="003C0378" w:rsidRDefault="00AB7155" w:rsidP="000C6260">
            <w:pPr>
              <w:spacing w:after="0"/>
              <w:ind w:firstLine="0"/>
              <w:jc w:val="center"/>
              <w:rPr>
                <w:rFonts w:cs="Times New Roman"/>
                <w:b/>
                <w:sz w:val="20"/>
                <w:szCs w:val="20"/>
                <w:lang w:val="lt-LT"/>
              </w:rPr>
            </w:pPr>
            <w:r w:rsidRPr="003C0378">
              <w:rPr>
                <w:rFonts w:cs="Times New Roman"/>
                <w:b/>
                <w:sz w:val="20"/>
                <w:szCs w:val="20"/>
                <w:lang w:val="lt-LT"/>
              </w:rPr>
              <w:t>Apklaustų įmonių skaičius</w:t>
            </w:r>
          </w:p>
        </w:tc>
        <w:tc>
          <w:tcPr>
            <w:tcW w:w="1468" w:type="dxa"/>
          </w:tcPr>
          <w:p w14:paraId="6998B18C" w14:textId="35413B7D" w:rsidR="00AB7155" w:rsidRPr="003C0378" w:rsidRDefault="00AB7155" w:rsidP="000C6260">
            <w:pPr>
              <w:spacing w:after="0"/>
              <w:ind w:firstLine="0"/>
              <w:jc w:val="center"/>
              <w:rPr>
                <w:rFonts w:cs="Times New Roman"/>
                <w:b/>
                <w:sz w:val="20"/>
                <w:szCs w:val="20"/>
                <w:lang w:val="lt-LT"/>
              </w:rPr>
            </w:pPr>
            <w:r w:rsidRPr="003C0378">
              <w:rPr>
                <w:rFonts w:cs="Times New Roman"/>
                <w:b/>
                <w:sz w:val="20"/>
                <w:szCs w:val="20"/>
                <w:lang w:val="lt-LT"/>
              </w:rPr>
              <w:t>Apklaustų pasiskirstymas</w:t>
            </w:r>
          </w:p>
        </w:tc>
      </w:tr>
      <w:tr w:rsidR="00AB7155" w:rsidRPr="003C0378" w14:paraId="3BF9D1B7" w14:textId="21E02B4B" w:rsidTr="00E24002">
        <w:trPr>
          <w:trHeight w:val="20"/>
        </w:trPr>
        <w:tc>
          <w:tcPr>
            <w:tcW w:w="3681" w:type="dxa"/>
            <w:noWrap/>
            <w:hideMark/>
          </w:tcPr>
          <w:p w14:paraId="09618535" w14:textId="75E20E80"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Žemės ūkis, miškininkystė ir žuvininkystė (A)</w:t>
            </w:r>
          </w:p>
        </w:tc>
        <w:tc>
          <w:tcPr>
            <w:tcW w:w="1271" w:type="dxa"/>
            <w:vAlign w:val="center"/>
          </w:tcPr>
          <w:p w14:paraId="180DBC80" w14:textId="7EBDBD1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2352</w:t>
            </w:r>
          </w:p>
        </w:tc>
        <w:tc>
          <w:tcPr>
            <w:tcW w:w="1315" w:type="dxa"/>
            <w:vAlign w:val="center"/>
          </w:tcPr>
          <w:p w14:paraId="22AE29A3" w14:textId="23BB01A1"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2,07</w:t>
            </w:r>
            <w:r w:rsidR="00B55C94" w:rsidRPr="003C0378">
              <w:rPr>
                <w:rFonts w:cs="Times New Roman"/>
                <w:sz w:val="20"/>
                <w:szCs w:val="20"/>
                <w:lang w:val="lt-LT"/>
              </w:rPr>
              <w:t xml:space="preserve"> proc.</w:t>
            </w:r>
          </w:p>
        </w:tc>
        <w:tc>
          <w:tcPr>
            <w:tcW w:w="798" w:type="dxa"/>
            <w:noWrap/>
            <w:vAlign w:val="center"/>
            <w:hideMark/>
          </w:tcPr>
          <w:p w14:paraId="7D3FE6BE" w14:textId="24C1CD9E"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8</w:t>
            </w:r>
          </w:p>
        </w:tc>
        <w:tc>
          <w:tcPr>
            <w:tcW w:w="1095" w:type="dxa"/>
            <w:noWrap/>
            <w:vAlign w:val="center"/>
            <w:hideMark/>
          </w:tcPr>
          <w:p w14:paraId="1783F279" w14:textId="6B85FE71"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8</w:t>
            </w:r>
          </w:p>
        </w:tc>
        <w:tc>
          <w:tcPr>
            <w:tcW w:w="1468" w:type="dxa"/>
            <w:vAlign w:val="center"/>
          </w:tcPr>
          <w:p w14:paraId="2FE99126" w14:textId="4D1052E9"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1,89</w:t>
            </w:r>
            <w:r w:rsidR="00B55C94" w:rsidRPr="003C0378">
              <w:rPr>
                <w:rFonts w:cs="Times New Roman"/>
                <w:color w:val="000000"/>
                <w:sz w:val="20"/>
                <w:szCs w:val="20"/>
                <w:lang w:val="lt-LT"/>
              </w:rPr>
              <w:t xml:space="preserve"> proc.</w:t>
            </w:r>
          </w:p>
        </w:tc>
      </w:tr>
      <w:tr w:rsidR="00AB7155" w:rsidRPr="003C0378" w14:paraId="71EF6739" w14:textId="2E721B6C" w:rsidTr="00E24002">
        <w:trPr>
          <w:trHeight w:val="20"/>
        </w:trPr>
        <w:tc>
          <w:tcPr>
            <w:tcW w:w="3681" w:type="dxa"/>
            <w:noWrap/>
            <w:hideMark/>
          </w:tcPr>
          <w:p w14:paraId="79EF3770" w14:textId="441A7E03"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Pramonė (B_TO_E)</w:t>
            </w:r>
          </w:p>
        </w:tc>
        <w:tc>
          <w:tcPr>
            <w:tcW w:w="1271" w:type="dxa"/>
            <w:vAlign w:val="center"/>
          </w:tcPr>
          <w:p w14:paraId="7E0C071B" w14:textId="500C4DFC"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10002</w:t>
            </w:r>
          </w:p>
        </w:tc>
        <w:tc>
          <w:tcPr>
            <w:tcW w:w="1315" w:type="dxa"/>
            <w:vAlign w:val="center"/>
          </w:tcPr>
          <w:p w14:paraId="62B74E54" w14:textId="4CC6F56B"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8,81</w:t>
            </w:r>
            <w:r w:rsidR="00B55C94" w:rsidRPr="003C0378">
              <w:rPr>
                <w:rFonts w:cs="Times New Roman"/>
                <w:sz w:val="20"/>
                <w:szCs w:val="20"/>
                <w:lang w:val="lt-LT"/>
              </w:rPr>
              <w:t xml:space="preserve"> proc.</w:t>
            </w:r>
          </w:p>
        </w:tc>
        <w:tc>
          <w:tcPr>
            <w:tcW w:w="798" w:type="dxa"/>
            <w:noWrap/>
            <w:vAlign w:val="center"/>
            <w:hideMark/>
          </w:tcPr>
          <w:p w14:paraId="692EBB59" w14:textId="440AF6CF"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35</w:t>
            </w:r>
          </w:p>
        </w:tc>
        <w:tc>
          <w:tcPr>
            <w:tcW w:w="1095" w:type="dxa"/>
            <w:noWrap/>
            <w:vAlign w:val="center"/>
            <w:hideMark/>
          </w:tcPr>
          <w:p w14:paraId="40D62251" w14:textId="3FFCFE04"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43</w:t>
            </w:r>
          </w:p>
        </w:tc>
        <w:tc>
          <w:tcPr>
            <w:tcW w:w="1468" w:type="dxa"/>
            <w:vAlign w:val="center"/>
          </w:tcPr>
          <w:p w14:paraId="6A92D60C" w14:textId="37320D4B"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10,17</w:t>
            </w:r>
            <w:r w:rsidR="00B55C94" w:rsidRPr="003C0378">
              <w:rPr>
                <w:rFonts w:cs="Times New Roman"/>
                <w:color w:val="000000"/>
                <w:sz w:val="20"/>
                <w:szCs w:val="20"/>
                <w:lang w:val="lt-LT"/>
              </w:rPr>
              <w:t xml:space="preserve"> proc.</w:t>
            </w:r>
          </w:p>
        </w:tc>
      </w:tr>
      <w:tr w:rsidR="00AB7155" w:rsidRPr="003C0378" w14:paraId="4D7084B3" w14:textId="1E2A8612" w:rsidTr="00E24002">
        <w:trPr>
          <w:trHeight w:val="20"/>
        </w:trPr>
        <w:tc>
          <w:tcPr>
            <w:tcW w:w="3681" w:type="dxa"/>
            <w:noWrap/>
            <w:hideMark/>
          </w:tcPr>
          <w:p w14:paraId="0857E1D5" w14:textId="7822C3F6"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Statyba (F)</w:t>
            </w:r>
          </w:p>
        </w:tc>
        <w:tc>
          <w:tcPr>
            <w:tcW w:w="1271" w:type="dxa"/>
            <w:vAlign w:val="center"/>
          </w:tcPr>
          <w:p w14:paraId="0A105AED" w14:textId="03189797"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10403</w:t>
            </w:r>
          </w:p>
        </w:tc>
        <w:tc>
          <w:tcPr>
            <w:tcW w:w="1315" w:type="dxa"/>
            <w:vAlign w:val="center"/>
          </w:tcPr>
          <w:p w14:paraId="476B29D4" w14:textId="041402AD"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9,16</w:t>
            </w:r>
            <w:r w:rsidR="00B55C94" w:rsidRPr="003C0378">
              <w:rPr>
                <w:rFonts w:cs="Times New Roman"/>
                <w:sz w:val="20"/>
                <w:szCs w:val="20"/>
                <w:lang w:val="lt-LT"/>
              </w:rPr>
              <w:t xml:space="preserve"> proc.</w:t>
            </w:r>
          </w:p>
        </w:tc>
        <w:tc>
          <w:tcPr>
            <w:tcW w:w="798" w:type="dxa"/>
            <w:noWrap/>
            <w:vAlign w:val="center"/>
            <w:hideMark/>
          </w:tcPr>
          <w:p w14:paraId="2E7F600D" w14:textId="0D820117"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37</w:t>
            </w:r>
          </w:p>
        </w:tc>
        <w:tc>
          <w:tcPr>
            <w:tcW w:w="1095" w:type="dxa"/>
            <w:noWrap/>
            <w:vAlign w:val="center"/>
            <w:hideMark/>
          </w:tcPr>
          <w:p w14:paraId="6794AAFC" w14:textId="7316FC5C"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40</w:t>
            </w:r>
          </w:p>
        </w:tc>
        <w:tc>
          <w:tcPr>
            <w:tcW w:w="1468" w:type="dxa"/>
            <w:vAlign w:val="center"/>
          </w:tcPr>
          <w:p w14:paraId="60660FBE" w14:textId="2A3F1D44"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9,46</w:t>
            </w:r>
            <w:r w:rsidR="00B55C94" w:rsidRPr="003C0378">
              <w:rPr>
                <w:rFonts w:cs="Times New Roman"/>
                <w:color w:val="000000"/>
                <w:sz w:val="20"/>
                <w:szCs w:val="20"/>
                <w:lang w:val="lt-LT"/>
              </w:rPr>
              <w:t xml:space="preserve"> proc.</w:t>
            </w:r>
          </w:p>
        </w:tc>
      </w:tr>
      <w:tr w:rsidR="00AB7155" w:rsidRPr="003C0378" w14:paraId="5A38D927" w14:textId="4676D67F" w:rsidTr="00E24002">
        <w:trPr>
          <w:trHeight w:val="20"/>
        </w:trPr>
        <w:tc>
          <w:tcPr>
            <w:tcW w:w="3681" w:type="dxa"/>
            <w:noWrap/>
            <w:hideMark/>
          </w:tcPr>
          <w:p w14:paraId="709FAA3B" w14:textId="441A28AF"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Didmeninė ir mažmeninė prekyba; transportas; apgyvendinimo ir maitinimo paslaugų veikla (G,H,I)</w:t>
            </w:r>
          </w:p>
        </w:tc>
        <w:tc>
          <w:tcPr>
            <w:tcW w:w="1271" w:type="dxa"/>
            <w:vAlign w:val="center"/>
          </w:tcPr>
          <w:p w14:paraId="439AD841" w14:textId="617C2391"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38122</w:t>
            </w:r>
          </w:p>
        </w:tc>
        <w:tc>
          <w:tcPr>
            <w:tcW w:w="1315" w:type="dxa"/>
            <w:vAlign w:val="center"/>
          </w:tcPr>
          <w:p w14:paraId="5FA70C98" w14:textId="43F8F86B"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33,58</w:t>
            </w:r>
            <w:r w:rsidR="00B55C94" w:rsidRPr="003C0378">
              <w:rPr>
                <w:rFonts w:cs="Times New Roman"/>
                <w:sz w:val="20"/>
                <w:szCs w:val="20"/>
                <w:lang w:val="lt-LT"/>
              </w:rPr>
              <w:t xml:space="preserve"> proc.</w:t>
            </w:r>
          </w:p>
        </w:tc>
        <w:tc>
          <w:tcPr>
            <w:tcW w:w="798" w:type="dxa"/>
            <w:noWrap/>
            <w:vAlign w:val="center"/>
            <w:hideMark/>
          </w:tcPr>
          <w:p w14:paraId="38528628" w14:textId="2A973435"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134</w:t>
            </w:r>
          </w:p>
        </w:tc>
        <w:tc>
          <w:tcPr>
            <w:tcW w:w="1095" w:type="dxa"/>
            <w:noWrap/>
            <w:vAlign w:val="center"/>
            <w:hideMark/>
          </w:tcPr>
          <w:p w14:paraId="50F17596" w14:textId="42BA3BBE"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141</w:t>
            </w:r>
          </w:p>
        </w:tc>
        <w:tc>
          <w:tcPr>
            <w:tcW w:w="1468" w:type="dxa"/>
            <w:vAlign w:val="center"/>
          </w:tcPr>
          <w:p w14:paraId="580FA43F" w14:textId="75B073AC" w:rsidR="00AB7155" w:rsidRPr="003C0378" w:rsidRDefault="00AB7155" w:rsidP="00255DD0">
            <w:pPr>
              <w:spacing w:after="0"/>
              <w:ind w:left="36" w:hanging="36"/>
              <w:jc w:val="center"/>
              <w:rPr>
                <w:rFonts w:cs="Times New Roman"/>
                <w:sz w:val="20"/>
                <w:szCs w:val="20"/>
                <w:lang w:val="lt-LT"/>
              </w:rPr>
            </w:pPr>
            <w:r w:rsidRPr="003C0378">
              <w:rPr>
                <w:rFonts w:cs="Times New Roman"/>
                <w:color w:val="000000"/>
                <w:sz w:val="20"/>
                <w:szCs w:val="20"/>
                <w:lang w:val="lt-LT"/>
              </w:rPr>
              <w:t>33,33</w:t>
            </w:r>
            <w:r w:rsidR="00B55C94" w:rsidRPr="003C0378">
              <w:rPr>
                <w:rFonts w:cs="Times New Roman"/>
                <w:color w:val="000000"/>
                <w:sz w:val="20"/>
                <w:szCs w:val="20"/>
                <w:lang w:val="lt-LT"/>
              </w:rPr>
              <w:t xml:space="preserve"> proc.</w:t>
            </w:r>
          </w:p>
        </w:tc>
      </w:tr>
      <w:tr w:rsidR="00AB7155" w:rsidRPr="003C0378" w14:paraId="45BA93FC" w14:textId="6B1CE41E" w:rsidTr="00E24002">
        <w:trPr>
          <w:trHeight w:val="20"/>
        </w:trPr>
        <w:tc>
          <w:tcPr>
            <w:tcW w:w="3681" w:type="dxa"/>
            <w:noWrap/>
            <w:hideMark/>
          </w:tcPr>
          <w:p w14:paraId="51EF88F4" w14:textId="7CB6DC34"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Informacija ir ryšiai (J)</w:t>
            </w:r>
          </w:p>
        </w:tc>
        <w:tc>
          <w:tcPr>
            <w:tcW w:w="1271" w:type="dxa"/>
            <w:vAlign w:val="center"/>
          </w:tcPr>
          <w:p w14:paraId="5BABBC98" w14:textId="726D55DB"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4051</w:t>
            </w:r>
          </w:p>
        </w:tc>
        <w:tc>
          <w:tcPr>
            <w:tcW w:w="1315" w:type="dxa"/>
            <w:vAlign w:val="center"/>
          </w:tcPr>
          <w:p w14:paraId="244F6A16" w14:textId="30E1E3D4"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3,57</w:t>
            </w:r>
            <w:r w:rsidR="00B55C94" w:rsidRPr="003C0378">
              <w:rPr>
                <w:rFonts w:cs="Times New Roman"/>
                <w:sz w:val="20"/>
                <w:szCs w:val="20"/>
                <w:lang w:val="lt-LT"/>
              </w:rPr>
              <w:t xml:space="preserve"> proc.</w:t>
            </w:r>
          </w:p>
        </w:tc>
        <w:tc>
          <w:tcPr>
            <w:tcW w:w="798" w:type="dxa"/>
            <w:noWrap/>
            <w:vAlign w:val="center"/>
            <w:hideMark/>
          </w:tcPr>
          <w:p w14:paraId="6D65E609" w14:textId="63B4163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14</w:t>
            </w:r>
          </w:p>
        </w:tc>
        <w:tc>
          <w:tcPr>
            <w:tcW w:w="1095" w:type="dxa"/>
            <w:noWrap/>
            <w:vAlign w:val="center"/>
            <w:hideMark/>
          </w:tcPr>
          <w:p w14:paraId="7936C899" w14:textId="020A2E20"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15</w:t>
            </w:r>
          </w:p>
        </w:tc>
        <w:tc>
          <w:tcPr>
            <w:tcW w:w="1468" w:type="dxa"/>
            <w:vAlign w:val="center"/>
          </w:tcPr>
          <w:p w14:paraId="4E684DEE" w14:textId="1C6A6880"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3,55</w:t>
            </w:r>
            <w:r w:rsidR="00B55C94" w:rsidRPr="003C0378">
              <w:rPr>
                <w:rFonts w:cs="Times New Roman"/>
                <w:color w:val="000000"/>
                <w:sz w:val="20"/>
                <w:szCs w:val="20"/>
                <w:lang w:val="lt-LT"/>
              </w:rPr>
              <w:t xml:space="preserve"> proc.</w:t>
            </w:r>
          </w:p>
        </w:tc>
      </w:tr>
      <w:tr w:rsidR="00AB7155" w:rsidRPr="003C0378" w14:paraId="79C49624" w14:textId="12828732" w:rsidTr="00E24002">
        <w:trPr>
          <w:trHeight w:val="20"/>
        </w:trPr>
        <w:tc>
          <w:tcPr>
            <w:tcW w:w="3681" w:type="dxa"/>
            <w:noWrap/>
            <w:hideMark/>
          </w:tcPr>
          <w:p w14:paraId="21CC14DF" w14:textId="41030E03"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Finansinė ir draudimo veikla (K)</w:t>
            </w:r>
          </w:p>
        </w:tc>
        <w:tc>
          <w:tcPr>
            <w:tcW w:w="1271" w:type="dxa"/>
            <w:vAlign w:val="center"/>
          </w:tcPr>
          <w:p w14:paraId="4B6BE8E2" w14:textId="67839DC7"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1306</w:t>
            </w:r>
          </w:p>
        </w:tc>
        <w:tc>
          <w:tcPr>
            <w:tcW w:w="1315" w:type="dxa"/>
            <w:vAlign w:val="center"/>
          </w:tcPr>
          <w:p w14:paraId="0D3BBE0A" w14:textId="2A916A30"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1,15</w:t>
            </w:r>
            <w:r w:rsidR="00B55C94" w:rsidRPr="003C0378">
              <w:rPr>
                <w:rFonts w:cs="Times New Roman"/>
                <w:sz w:val="20"/>
                <w:szCs w:val="20"/>
                <w:lang w:val="lt-LT"/>
              </w:rPr>
              <w:t xml:space="preserve"> proc.</w:t>
            </w:r>
          </w:p>
        </w:tc>
        <w:tc>
          <w:tcPr>
            <w:tcW w:w="798" w:type="dxa"/>
            <w:noWrap/>
            <w:vAlign w:val="center"/>
            <w:hideMark/>
          </w:tcPr>
          <w:p w14:paraId="2D497F30" w14:textId="43294023"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w:t>
            </w:r>
          </w:p>
        </w:tc>
        <w:tc>
          <w:tcPr>
            <w:tcW w:w="1095" w:type="dxa"/>
            <w:noWrap/>
            <w:vAlign w:val="center"/>
            <w:hideMark/>
          </w:tcPr>
          <w:p w14:paraId="77A1158C" w14:textId="78FABAF6"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w:t>
            </w:r>
          </w:p>
        </w:tc>
        <w:tc>
          <w:tcPr>
            <w:tcW w:w="1468" w:type="dxa"/>
            <w:vAlign w:val="center"/>
          </w:tcPr>
          <w:p w14:paraId="34893393" w14:textId="467E64D7"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1,18</w:t>
            </w:r>
            <w:r w:rsidR="00B55C94" w:rsidRPr="003C0378">
              <w:rPr>
                <w:rFonts w:cs="Times New Roman"/>
                <w:color w:val="000000"/>
                <w:sz w:val="20"/>
                <w:szCs w:val="20"/>
                <w:lang w:val="lt-LT"/>
              </w:rPr>
              <w:t xml:space="preserve"> proc.</w:t>
            </w:r>
          </w:p>
        </w:tc>
      </w:tr>
      <w:tr w:rsidR="00AB7155" w:rsidRPr="003C0378" w14:paraId="11461B81" w14:textId="0E8C60E7" w:rsidTr="00E24002">
        <w:trPr>
          <w:trHeight w:val="20"/>
        </w:trPr>
        <w:tc>
          <w:tcPr>
            <w:tcW w:w="3681" w:type="dxa"/>
            <w:noWrap/>
            <w:hideMark/>
          </w:tcPr>
          <w:p w14:paraId="05C0CDB4" w14:textId="3BB7E0AF"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Nekilnojamo turto operacijos (L)</w:t>
            </w:r>
          </w:p>
        </w:tc>
        <w:tc>
          <w:tcPr>
            <w:tcW w:w="1271" w:type="dxa"/>
            <w:vAlign w:val="center"/>
          </w:tcPr>
          <w:p w14:paraId="66851901" w14:textId="3F48D8CC"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5928</w:t>
            </w:r>
          </w:p>
        </w:tc>
        <w:tc>
          <w:tcPr>
            <w:tcW w:w="1315" w:type="dxa"/>
            <w:vAlign w:val="center"/>
          </w:tcPr>
          <w:p w14:paraId="4D69A84A" w14:textId="6DB142E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5,22</w:t>
            </w:r>
            <w:r w:rsidR="00B55C94" w:rsidRPr="003C0378">
              <w:rPr>
                <w:rFonts w:cs="Times New Roman"/>
                <w:sz w:val="20"/>
                <w:szCs w:val="20"/>
                <w:lang w:val="lt-LT"/>
              </w:rPr>
              <w:t xml:space="preserve"> proc.</w:t>
            </w:r>
          </w:p>
        </w:tc>
        <w:tc>
          <w:tcPr>
            <w:tcW w:w="798" w:type="dxa"/>
            <w:noWrap/>
            <w:vAlign w:val="center"/>
            <w:hideMark/>
          </w:tcPr>
          <w:p w14:paraId="50A03826" w14:textId="11638031"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21</w:t>
            </w:r>
          </w:p>
        </w:tc>
        <w:tc>
          <w:tcPr>
            <w:tcW w:w="1095" w:type="dxa"/>
            <w:noWrap/>
            <w:vAlign w:val="center"/>
            <w:hideMark/>
          </w:tcPr>
          <w:p w14:paraId="2D96E7C4" w14:textId="40F4291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21</w:t>
            </w:r>
          </w:p>
        </w:tc>
        <w:tc>
          <w:tcPr>
            <w:tcW w:w="1468" w:type="dxa"/>
            <w:vAlign w:val="center"/>
          </w:tcPr>
          <w:p w14:paraId="3A6E30DF" w14:textId="4BAF8CDE"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4,96</w:t>
            </w:r>
            <w:r w:rsidR="00B55C94" w:rsidRPr="003C0378">
              <w:rPr>
                <w:rFonts w:cs="Times New Roman"/>
                <w:color w:val="000000"/>
                <w:sz w:val="20"/>
                <w:szCs w:val="20"/>
                <w:lang w:val="lt-LT"/>
              </w:rPr>
              <w:t xml:space="preserve"> proc.</w:t>
            </w:r>
          </w:p>
        </w:tc>
      </w:tr>
      <w:tr w:rsidR="00AB7155" w:rsidRPr="003C0378" w14:paraId="0E58409E" w14:textId="3055A245" w:rsidTr="00E24002">
        <w:trPr>
          <w:trHeight w:val="20"/>
        </w:trPr>
        <w:tc>
          <w:tcPr>
            <w:tcW w:w="3681" w:type="dxa"/>
            <w:noWrap/>
            <w:hideMark/>
          </w:tcPr>
          <w:p w14:paraId="4999DA69" w14:textId="7AF343B1"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Profesinė, mokslinė ir techninė veikla; administracinė ir aptarnavimo veikla (M,N)</w:t>
            </w:r>
          </w:p>
        </w:tc>
        <w:tc>
          <w:tcPr>
            <w:tcW w:w="1271" w:type="dxa"/>
            <w:vAlign w:val="center"/>
          </w:tcPr>
          <w:p w14:paraId="45FF9AD9" w14:textId="68B1ED76"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16491</w:t>
            </w:r>
          </w:p>
        </w:tc>
        <w:tc>
          <w:tcPr>
            <w:tcW w:w="1315" w:type="dxa"/>
            <w:vAlign w:val="center"/>
          </w:tcPr>
          <w:p w14:paraId="22D6531A" w14:textId="4D6E8BA0"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14,53</w:t>
            </w:r>
            <w:r w:rsidR="00B55C94" w:rsidRPr="003C0378">
              <w:rPr>
                <w:rFonts w:cs="Times New Roman"/>
                <w:sz w:val="20"/>
                <w:szCs w:val="20"/>
                <w:lang w:val="lt-LT"/>
              </w:rPr>
              <w:t xml:space="preserve"> proc.</w:t>
            </w:r>
          </w:p>
        </w:tc>
        <w:tc>
          <w:tcPr>
            <w:tcW w:w="798" w:type="dxa"/>
            <w:noWrap/>
            <w:vAlign w:val="center"/>
            <w:hideMark/>
          </w:tcPr>
          <w:p w14:paraId="2E5CD0FA" w14:textId="06874124"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58</w:t>
            </w:r>
          </w:p>
        </w:tc>
        <w:tc>
          <w:tcPr>
            <w:tcW w:w="1095" w:type="dxa"/>
            <w:noWrap/>
            <w:vAlign w:val="center"/>
            <w:hideMark/>
          </w:tcPr>
          <w:p w14:paraId="39C9D0B3" w14:textId="3A37782A"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57</w:t>
            </w:r>
          </w:p>
        </w:tc>
        <w:tc>
          <w:tcPr>
            <w:tcW w:w="1468" w:type="dxa"/>
            <w:vAlign w:val="center"/>
          </w:tcPr>
          <w:p w14:paraId="603F00F0" w14:textId="0EA76460"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13,48</w:t>
            </w:r>
            <w:r w:rsidR="00B55C94" w:rsidRPr="003C0378">
              <w:rPr>
                <w:rFonts w:cs="Times New Roman"/>
                <w:color w:val="000000"/>
                <w:sz w:val="20"/>
                <w:szCs w:val="20"/>
                <w:lang w:val="lt-LT"/>
              </w:rPr>
              <w:t xml:space="preserve"> proc.</w:t>
            </w:r>
          </w:p>
        </w:tc>
      </w:tr>
      <w:tr w:rsidR="00AB7155" w:rsidRPr="003C0378" w14:paraId="7D056263" w14:textId="6C13E927" w:rsidTr="00E24002">
        <w:trPr>
          <w:trHeight w:val="20"/>
        </w:trPr>
        <w:tc>
          <w:tcPr>
            <w:tcW w:w="3681" w:type="dxa"/>
            <w:noWrap/>
            <w:hideMark/>
          </w:tcPr>
          <w:p w14:paraId="6AB39BDA" w14:textId="732445F3"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Viešasis valdymas ir gynyba; švietimas; žmonių sveikatos priežiūra ir socialinis darbas (OPQ)</w:t>
            </w:r>
          </w:p>
        </w:tc>
        <w:tc>
          <w:tcPr>
            <w:tcW w:w="1271" w:type="dxa"/>
            <w:vAlign w:val="center"/>
          </w:tcPr>
          <w:p w14:paraId="456DD9E0" w14:textId="0CEFC287"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8249</w:t>
            </w:r>
          </w:p>
        </w:tc>
        <w:tc>
          <w:tcPr>
            <w:tcW w:w="1315" w:type="dxa"/>
            <w:vAlign w:val="center"/>
          </w:tcPr>
          <w:p w14:paraId="6E68D7F3" w14:textId="2E8D4CCE"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7,27</w:t>
            </w:r>
            <w:r w:rsidR="00B55C94" w:rsidRPr="003C0378">
              <w:rPr>
                <w:rFonts w:cs="Times New Roman"/>
                <w:sz w:val="20"/>
                <w:szCs w:val="20"/>
                <w:lang w:val="lt-LT"/>
              </w:rPr>
              <w:t xml:space="preserve"> proc.</w:t>
            </w:r>
          </w:p>
        </w:tc>
        <w:tc>
          <w:tcPr>
            <w:tcW w:w="798" w:type="dxa"/>
            <w:noWrap/>
            <w:vAlign w:val="center"/>
            <w:hideMark/>
          </w:tcPr>
          <w:p w14:paraId="076EEBB7" w14:textId="1D6AB81E"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29</w:t>
            </w:r>
          </w:p>
        </w:tc>
        <w:tc>
          <w:tcPr>
            <w:tcW w:w="1095" w:type="dxa"/>
            <w:noWrap/>
            <w:vAlign w:val="center"/>
            <w:hideMark/>
          </w:tcPr>
          <w:p w14:paraId="45558613" w14:textId="795D7D1D"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37</w:t>
            </w:r>
          </w:p>
        </w:tc>
        <w:tc>
          <w:tcPr>
            <w:tcW w:w="1468" w:type="dxa"/>
            <w:vAlign w:val="center"/>
          </w:tcPr>
          <w:p w14:paraId="52E46192" w14:textId="0637C71F"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8,75</w:t>
            </w:r>
            <w:r w:rsidR="00B55C94" w:rsidRPr="003C0378">
              <w:rPr>
                <w:rFonts w:cs="Times New Roman"/>
                <w:color w:val="000000"/>
                <w:sz w:val="20"/>
                <w:szCs w:val="20"/>
                <w:lang w:val="lt-LT"/>
              </w:rPr>
              <w:t xml:space="preserve"> proc.</w:t>
            </w:r>
          </w:p>
        </w:tc>
      </w:tr>
      <w:tr w:rsidR="00AB7155" w:rsidRPr="003C0378" w14:paraId="34373DEF" w14:textId="1E80072A" w:rsidTr="00E24002">
        <w:trPr>
          <w:trHeight w:val="20"/>
        </w:trPr>
        <w:tc>
          <w:tcPr>
            <w:tcW w:w="3681" w:type="dxa"/>
            <w:noWrap/>
            <w:hideMark/>
          </w:tcPr>
          <w:p w14:paraId="529C67D9" w14:textId="7ECA4614" w:rsidR="00AB7155" w:rsidRPr="003C0378" w:rsidRDefault="00AB7155" w:rsidP="000C6260">
            <w:pPr>
              <w:spacing w:after="0"/>
              <w:ind w:firstLine="0"/>
              <w:rPr>
                <w:rFonts w:cs="Times New Roman"/>
                <w:sz w:val="20"/>
                <w:szCs w:val="20"/>
                <w:lang w:val="lt-LT"/>
              </w:rPr>
            </w:pPr>
            <w:r w:rsidRPr="003C0378">
              <w:rPr>
                <w:rFonts w:cs="Times New Roman"/>
                <w:sz w:val="20"/>
                <w:szCs w:val="20"/>
                <w:lang w:val="lt-LT"/>
              </w:rPr>
              <w:t>Meninė, pramoginė ir poilsio organizavimo veikla, namų ūkio reikmenų remontas ir kitos paslaugos (R_TO_U)</w:t>
            </w:r>
          </w:p>
        </w:tc>
        <w:tc>
          <w:tcPr>
            <w:tcW w:w="1271" w:type="dxa"/>
            <w:vAlign w:val="center"/>
          </w:tcPr>
          <w:p w14:paraId="6099230D" w14:textId="650675C7"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16612</w:t>
            </w:r>
          </w:p>
        </w:tc>
        <w:tc>
          <w:tcPr>
            <w:tcW w:w="1315" w:type="dxa"/>
            <w:vAlign w:val="center"/>
          </w:tcPr>
          <w:p w14:paraId="4E98F6EF" w14:textId="0E7B417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14,63</w:t>
            </w:r>
            <w:r w:rsidR="00B55C94" w:rsidRPr="003C0378">
              <w:rPr>
                <w:rFonts w:cs="Times New Roman"/>
                <w:sz w:val="20"/>
                <w:szCs w:val="20"/>
                <w:lang w:val="lt-LT"/>
              </w:rPr>
              <w:t xml:space="preserve"> proc.</w:t>
            </w:r>
          </w:p>
        </w:tc>
        <w:tc>
          <w:tcPr>
            <w:tcW w:w="798" w:type="dxa"/>
            <w:noWrap/>
            <w:vAlign w:val="center"/>
            <w:hideMark/>
          </w:tcPr>
          <w:p w14:paraId="5548E1A6" w14:textId="2C066CE8"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59</w:t>
            </w:r>
          </w:p>
        </w:tc>
        <w:tc>
          <w:tcPr>
            <w:tcW w:w="1095" w:type="dxa"/>
            <w:noWrap/>
            <w:vAlign w:val="center"/>
            <w:hideMark/>
          </w:tcPr>
          <w:p w14:paraId="680573C5" w14:textId="14F44FE5" w:rsidR="00AB7155" w:rsidRPr="003C0378" w:rsidRDefault="00AB7155" w:rsidP="000C6260">
            <w:pPr>
              <w:spacing w:after="0"/>
              <w:ind w:firstLine="0"/>
              <w:jc w:val="center"/>
              <w:rPr>
                <w:rFonts w:cs="Times New Roman"/>
                <w:sz w:val="20"/>
                <w:szCs w:val="20"/>
                <w:lang w:val="lt-LT"/>
              </w:rPr>
            </w:pPr>
            <w:r w:rsidRPr="003C0378">
              <w:rPr>
                <w:rFonts w:cs="Times New Roman"/>
                <w:sz w:val="20"/>
                <w:szCs w:val="20"/>
                <w:lang w:val="lt-LT"/>
              </w:rPr>
              <w:t>56</w:t>
            </w:r>
          </w:p>
        </w:tc>
        <w:tc>
          <w:tcPr>
            <w:tcW w:w="1468" w:type="dxa"/>
            <w:vAlign w:val="center"/>
          </w:tcPr>
          <w:p w14:paraId="309FAA07" w14:textId="62D7BED8" w:rsidR="00AB7155" w:rsidRPr="003C0378" w:rsidRDefault="00AB7155" w:rsidP="000C6260">
            <w:pPr>
              <w:spacing w:after="0"/>
              <w:ind w:firstLine="0"/>
              <w:jc w:val="center"/>
              <w:rPr>
                <w:rFonts w:cs="Times New Roman"/>
                <w:sz w:val="20"/>
                <w:szCs w:val="20"/>
                <w:lang w:val="lt-LT"/>
              </w:rPr>
            </w:pPr>
            <w:r w:rsidRPr="003C0378">
              <w:rPr>
                <w:rFonts w:cs="Times New Roman"/>
                <w:color w:val="000000"/>
                <w:sz w:val="20"/>
                <w:szCs w:val="20"/>
                <w:lang w:val="lt-LT"/>
              </w:rPr>
              <w:t>13,24</w:t>
            </w:r>
            <w:r w:rsidR="00B55C94" w:rsidRPr="003C0378">
              <w:rPr>
                <w:rFonts w:cs="Times New Roman"/>
                <w:color w:val="000000"/>
                <w:sz w:val="20"/>
                <w:szCs w:val="20"/>
                <w:lang w:val="lt-LT"/>
              </w:rPr>
              <w:t xml:space="preserve"> proc.</w:t>
            </w:r>
          </w:p>
        </w:tc>
      </w:tr>
    </w:tbl>
    <w:p w14:paraId="76E3A785" w14:textId="5FA4A0EF" w:rsidR="0053342C" w:rsidRPr="003C0378" w:rsidRDefault="00A5450E" w:rsidP="00ED19D5">
      <w:pPr>
        <w:keepNext/>
        <w:ind w:firstLine="562"/>
        <w:jc w:val="left"/>
        <w:rPr>
          <w:rFonts w:cs="Times New Roman"/>
          <w:sz w:val="20"/>
          <w:szCs w:val="20"/>
        </w:rPr>
      </w:pPr>
      <w:r w:rsidRPr="003C0378">
        <w:rPr>
          <w:rFonts w:cs="Times New Roman"/>
          <w:sz w:val="20"/>
          <w:szCs w:val="20"/>
        </w:rPr>
        <w:t>Šaltinis: sudaryta Vertintojų</w:t>
      </w:r>
      <w:r w:rsidR="0053342C" w:rsidRPr="003C0378">
        <w:rPr>
          <w:rFonts w:cs="Times New Roman"/>
          <w:sz w:val="20"/>
          <w:szCs w:val="20"/>
        </w:rPr>
        <w:t>.</w:t>
      </w:r>
    </w:p>
    <w:p w14:paraId="378CC95D" w14:textId="24803807" w:rsidR="00702FC8" w:rsidRPr="003C0378" w:rsidRDefault="00702FC8" w:rsidP="00702FC8">
      <w:pPr>
        <w:spacing w:line="276" w:lineRule="auto"/>
        <w:ind w:firstLine="562"/>
        <w:rPr>
          <w:rFonts w:cs="Times New Roman"/>
          <w:iCs/>
        </w:rPr>
      </w:pPr>
      <w:r w:rsidRPr="003C0378">
        <w:t xml:space="preserve">Respondentų pasiskirstymas pagal apskritis yra pateikiamas žemiau esančioje lentelėje. </w:t>
      </w:r>
      <w:r w:rsidRPr="003C0378">
        <w:rPr>
          <w:rFonts w:cs="Times New Roman"/>
          <w:iCs/>
        </w:rPr>
        <w:t>Kaip galima matyti, apklaustų įmonių proporcingumas iš esmės atitinka Lietuvoje veikiančių įmonių pasiskirstymą pagal apskritis. Dviejų iš penkių (41 proc.) apklausoje dalyvavusių respondentų atstovaujamos įmonės yra įsikūrusios Vilniaus apskrityje, o kas penkto (21 proc.) – Kauno apskrityje. Beveik kas aštunto (12 proc.) respondento atstovaujama įmonė yra Klaipėdos apskrityje, o kas keturiolikto (7 proc.) – Šiaulių apskrityje. Mažiausiai (1 proc.) apklausos dalyvių nurodė, jog jų atstovaujama įmonė yra įsikūrusi Tauragės apskrityje, o po 3 proc. respondentų nurodė, jog jų įmonė yra Telšių, Utenos arba Marijampolės apskrityje.</w:t>
      </w:r>
    </w:p>
    <w:p w14:paraId="523E0203" w14:textId="36F2DB56" w:rsidR="00702FC8" w:rsidRPr="003C0378" w:rsidRDefault="00702FC8" w:rsidP="00702FC8">
      <w:pPr>
        <w:keepNext/>
        <w:ind w:firstLine="0"/>
        <w:rPr>
          <w:rFonts w:cs="Times New Roman"/>
          <w:i/>
          <w:iCs/>
        </w:rPr>
      </w:pPr>
      <w:bookmarkStart w:id="223" w:name="_Toc126051415"/>
      <w:bookmarkStart w:id="224" w:name="_Toc166139885"/>
      <w:bookmarkStart w:id="225" w:name="_Toc170804651"/>
      <w:r w:rsidRPr="003C0378">
        <w:rPr>
          <w:rFonts w:cs="Times New Roman"/>
          <w:i/>
          <w:iCs/>
        </w:rPr>
        <w:t xml:space="preserve">Lentelė </w:t>
      </w:r>
      <w:r w:rsidRPr="003C0378">
        <w:rPr>
          <w:rFonts w:cs="Times New Roman"/>
          <w:i/>
          <w:iCs/>
        </w:rPr>
        <w:fldChar w:fldCharType="begin"/>
      </w:r>
      <w:r w:rsidRPr="003C0378">
        <w:rPr>
          <w:rFonts w:cs="Times New Roman"/>
          <w:i/>
          <w:iCs/>
        </w:rPr>
        <w:instrText xml:space="preserve"> SEQ Lentelė \* ARABIC </w:instrText>
      </w:r>
      <w:r w:rsidRPr="003C0378">
        <w:rPr>
          <w:rFonts w:cs="Times New Roman"/>
          <w:i/>
          <w:iCs/>
        </w:rPr>
        <w:fldChar w:fldCharType="separate"/>
      </w:r>
      <w:r w:rsidR="00347605">
        <w:rPr>
          <w:rFonts w:cs="Times New Roman"/>
          <w:i/>
          <w:iCs/>
          <w:noProof/>
        </w:rPr>
        <w:t>35</w:t>
      </w:r>
      <w:r w:rsidRPr="003C0378">
        <w:rPr>
          <w:rFonts w:cs="Times New Roman"/>
          <w:i/>
          <w:iCs/>
        </w:rPr>
        <w:fldChar w:fldCharType="end"/>
      </w:r>
      <w:r w:rsidRPr="003C0378">
        <w:rPr>
          <w:rFonts w:cs="Times New Roman"/>
          <w:i/>
          <w:iCs/>
        </w:rPr>
        <w:t>. Apklausos respondentų pasiskirstymas pagal apskritis</w:t>
      </w:r>
      <w:bookmarkEnd w:id="223"/>
      <w:bookmarkEnd w:id="224"/>
      <w:bookmarkEnd w:id="225"/>
    </w:p>
    <w:tbl>
      <w:tblPr>
        <w:tblStyle w:val="Lentelstinklelis"/>
        <w:tblW w:w="0" w:type="auto"/>
        <w:tblLook w:val="04A0" w:firstRow="1" w:lastRow="0" w:firstColumn="1" w:lastColumn="0" w:noHBand="0" w:noVBand="1"/>
      </w:tblPr>
      <w:tblGrid>
        <w:gridCol w:w="2110"/>
        <w:gridCol w:w="1177"/>
        <w:gridCol w:w="2115"/>
        <w:gridCol w:w="1129"/>
        <w:gridCol w:w="1621"/>
        <w:gridCol w:w="1476"/>
      </w:tblGrid>
      <w:tr w:rsidR="00702FC8" w:rsidRPr="003C0378" w14:paraId="629B9257" w14:textId="77777777" w:rsidTr="00E24002">
        <w:trPr>
          <w:trHeight w:val="199"/>
          <w:tblHeader/>
        </w:trPr>
        <w:tc>
          <w:tcPr>
            <w:tcW w:w="2122" w:type="dxa"/>
            <w:noWrap/>
            <w:vAlign w:val="center"/>
            <w:hideMark/>
          </w:tcPr>
          <w:p w14:paraId="3F9A1912"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Apskritis</w:t>
            </w:r>
          </w:p>
        </w:tc>
        <w:tc>
          <w:tcPr>
            <w:tcW w:w="1134" w:type="dxa"/>
            <w:vAlign w:val="center"/>
            <w:hideMark/>
          </w:tcPr>
          <w:p w14:paraId="15C09757" w14:textId="77777777" w:rsidR="00702FC8" w:rsidRPr="003C0378" w:rsidRDefault="00702FC8" w:rsidP="000C6260">
            <w:pPr>
              <w:spacing w:after="0"/>
              <w:ind w:firstLine="0"/>
              <w:jc w:val="center"/>
              <w:rPr>
                <w:rFonts w:cs="Times New Roman"/>
                <w:b/>
                <w:bCs/>
                <w:sz w:val="20"/>
                <w:szCs w:val="20"/>
                <w:lang w:val="lt-LT"/>
              </w:rPr>
            </w:pPr>
            <w:r w:rsidRPr="003C0378">
              <w:rPr>
                <w:rFonts w:cs="Times New Roman"/>
                <w:b/>
                <w:bCs/>
                <w:sz w:val="20"/>
                <w:szCs w:val="20"/>
                <w:lang w:val="lt-LT"/>
              </w:rPr>
              <w:t>Populiacija</w:t>
            </w:r>
          </w:p>
        </w:tc>
        <w:tc>
          <w:tcPr>
            <w:tcW w:w="2126" w:type="dxa"/>
            <w:vAlign w:val="center"/>
            <w:hideMark/>
          </w:tcPr>
          <w:p w14:paraId="187AA93E" w14:textId="77777777" w:rsidR="00702FC8" w:rsidRPr="003C0378" w:rsidRDefault="00702FC8" w:rsidP="000C6260">
            <w:pPr>
              <w:spacing w:after="0"/>
              <w:ind w:firstLine="0"/>
              <w:jc w:val="center"/>
              <w:rPr>
                <w:rFonts w:cs="Times New Roman"/>
                <w:b/>
                <w:bCs/>
                <w:sz w:val="20"/>
                <w:szCs w:val="20"/>
                <w:lang w:val="lt-LT"/>
              </w:rPr>
            </w:pPr>
            <w:r w:rsidRPr="003C0378">
              <w:rPr>
                <w:rFonts w:cs="Times New Roman"/>
                <w:b/>
                <w:bCs/>
                <w:sz w:val="20"/>
                <w:szCs w:val="20"/>
                <w:lang w:val="lt-LT"/>
              </w:rPr>
              <w:t>Dalis nuo visų įmonių populiacijoje</w:t>
            </w:r>
          </w:p>
        </w:tc>
        <w:tc>
          <w:tcPr>
            <w:tcW w:w="1134" w:type="dxa"/>
            <w:noWrap/>
            <w:vAlign w:val="center"/>
            <w:hideMark/>
          </w:tcPr>
          <w:p w14:paraId="34BB71B0" w14:textId="77777777" w:rsidR="00702FC8" w:rsidRPr="003C0378" w:rsidRDefault="00702FC8" w:rsidP="000C6260">
            <w:pPr>
              <w:spacing w:after="0"/>
              <w:ind w:firstLine="0"/>
              <w:jc w:val="center"/>
              <w:rPr>
                <w:rFonts w:cs="Times New Roman"/>
                <w:b/>
                <w:bCs/>
                <w:sz w:val="20"/>
                <w:szCs w:val="20"/>
                <w:lang w:val="lt-LT"/>
              </w:rPr>
            </w:pPr>
            <w:r w:rsidRPr="003C0378">
              <w:rPr>
                <w:rFonts w:cs="Times New Roman"/>
                <w:b/>
                <w:bCs/>
                <w:sz w:val="20"/>
                <w:szCs w:val="20"/>
                <w:lang w:val="lt-LT"/>
              </w:rPr>
              <w:t>Kvota</w:t>
            </w:r>
          </w:p>
        </w:tc>
        <w:tc>
          <w:tcPr>
            <w:tcW w:w="1629" w:type="dxa"/>
            <w:noWrap/>
            <w:vAlign w:val="center"/>
            <w:hideMark/>
          </w:tcPr>
          <w:p w14:paraId="16052F54" w14:textId="77777777" w:rsidR="00702FC8" w:rsidRPr="003C0378" w:rsidRDefault="00702FC8" w:rsidP="000C6260">
            <w:pPr>
              <w:spacing w:after="0"/>
              <w:ind w:firstLine="0"/>
              <w:jc w:val="center"/>
              <w:rPr>
                <w:rFonts w:cs="Times New Roman"/>
                <w:b/>
                <w:bCs/>
                <w:sz w:val="20"/>
                <w:szCs w:val="20"/>
                <w:lang w:val="lt-LT"/>
              </w:rPr>
            </w:pPr>
            <w:r w:rsidRPr="003C0378">
              <w:rPr>
                <w:rFonts w:cs="Times New Roman"/>
                <w:b/>
                <w:bCs/>
                <w:sz w:val="20"/>
                <w:szCs w:val="20"/>
                <w:lang w:val="lt-LT"/>
              </w:rPr>
              <w:t>Apklaustų įmonių skaičius</w:t>
            </w:r>
          </w:p>
        </w:tc>
        <w:tc>
          <w:tcPr>
            <w:tcW w:w="1483" w:type="dxa"/>
            <w:vAlign w:val="center"/>
            <w:hideMark/>
          </w:tcPr>
          <w:p w14:paraId="5FF55A71" w14:textId="77777777" w:rsidR="00702FC8" w:rsidRPr="003C0378" w:rsidRDefault="00702FC8" w:rsidP="000C6260">
            <w:pPr>
              <w:spacing w:after="0"/>
              <w:ind w:firstLine="0"/>
              <w:jc w:val="center"/>
              <w:rPr>
                <w:rFonts w:cs="Times New Roman"/>
                <w:b/>
                <w:bCs/>
                <w:sz w:val="20"/>
                <w:szCs w:val="20"/>
                <w:lang w:val="lt-LT"/>
              </w:rPr>
            </w:pPr>
            <w:r w:rsidRPr="003C0378">
              <w:rPr>
                <w:rFonts w:cs="Times New Roman"/>
                <w:b/>
                <w:bCs/>
                <w:sz w:val="20"/>
                <w:szCs w:val="20"/>
                <w:lang w:val="lt-LT"/>
              </w:rPr>
              <w:t>Apklaustų pasiskirstymas</w:t>
            </w:r>
          </w:p>
        </w:tc>
      </w:tr>
      <w:tr w:rsidR="00702FC8" w:rsidRPr="003C0378" w14:paraId="27CAEAEA" w14:textId="77777777" w:rsidTr="00E24002">
        <w:trPr>
          <w:trHeight w:val="240"/>
        </w:trPr>
        <w:tc>
          <w:tcPr>
            <w:tcW w:w="2122" w:type="dxa"/>
            <w:noWrap/>
            <w:hideMark/>
          </w:tcPr>
          <w:p w14:paraId="054A0606"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Vilniaus apskritis</w:t>
            </w:r>
          </w:p>
        </w:tc>
        <w:tc>
          <w:tcPr>
            <w:tcW w:w="1134" w:type="dxa"/>
            <w:vAlign w:val="center"/>
            <w:hideMark/>
          </w:tcPr>
          <w:p w14:paraId="03D5D5AC"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46285</w:t>
            </w:r>
          </w:p>
        </w:tc>
        <w:tc>
          <w:tcPr>
            <w:tcW w:w="2126" w:type="dxa"/>
            <w:noWrap/>
            <w:vAlign w:val="center"/>
            <w:hideMark/>
          </w:tcPr>
          <w:p w14:paraId="3D72D185" w14:textId="57129C44"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40,77</w:t>
            </w:r>
            <w:r w:rsidR="00B55C94" w:rsidRPr="003C0378">
              <w:rPr>
                <w:rFonts w:cs="Times New Roman"/>
                <w:sz w:val="20"/>
                <w:szCs w:val="20"/>
                <w:lang w:val="lt-LT"/>
              </w:rPr>
              <w:t xml:space="preserve"> proc.</w:t>
            </w:r>
          </w:p>
        </w:tc>
        <w:tc>
          <w:tcPr>
            <w:tcW w:w="1134" w:type="dxa"/>
            <w:noWrap/>
            <w:vAlign w:val="center"/>
            <w:hideMark/>
          </w:tcPr>
          <w:p w14:paraId="78DCB155"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163</w:t>
            </w:r>
          </w:p>
        </w:tc>
        <w:tc>
          <w:tcPr>
            <w:tcW w:w="1629" w:type="dxa"/>
            <w:noWrap/>
            <w:vAlign w:val="center"/>
            <w:hideMark/>
          </w:tcPr>
          <w:p w14:paraId="458BF7CC"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174</w:t>
            </w:r>
          </w:p>
        </w:tc>
        <w:tc>
          <w:tcPr>
            <w:tcW w:w="1483" w:type="dxa"/>
            <w:noWrap/>
            <w:vAlign w:val="center"/>
            <w:hideMark/>
          </w:tcPr>
          <w:p w14:paraId="25AE38EF" w14:textId="5C7A078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41,23</w:t>
            </w:r>
            <w:r w:rsidR="00B55C94" w:rsidRPr="003C0378">
              <w:rPr>
                <w:rFonts w:cs="Times New Roman"/>
                <w:sz w:val="20"/>
                <w:szCs w:val="20"/>
                <w:lang w:val="lt-LT"/>
              </w:rPr>
              <w:t xml:space="preserve"> proc.</w:t>
            </w:r>
          </w:p>
        </w:tc>
      </w:tr>
      <w:tr w:rsidR="00702FC8" w:rsidRPr="003C0378" w14:paraId="6000BABA" w14:textId="77777777" w:rsidTr="00E24002">
        <w:trPr>
          <w:trHeight w:val="345"/>
        </w:trPr>
        <w:tc>
          <w:tcPr>
            <w:tcW w:w="2122" w:type="dxa"/>
            <w:noWrap/>
            <w:hideMark/>
          </w:tcPr>
          <w:p w14:paraId="2EA2CE6D"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Alytaus apskritis</w:t>
            </w:r>
          </w:p>
        </w:tc>
        <w:tc>
          <w:tcPr>
            <w:tcW w:w="1134" w:type="dxa"/>
            <w:vAlign w:val="center"/>
            <w:hideMark/>
          </w:tcPr>
          <w:p w14:paraId="36D60703"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4065</w:t>
            </w:r>
          </w:p>
        </w:tc>
        <w:tc>
          <w:tcPr>
            <w:tcW w:w="2126" w:type="dxa"/>
            <w:noWrap/>
            <w:vAlign w:val="center"/>
            <w:hideMark/>
          </w:tcPr>
          <w:p w14:paraId="4BD7C8A5" w14:textId="4FA34CE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3,58</w:t>
            </w:r>
            <w:r w:rsidR="00B55C94" w:rsidRPr="003C0378">
              <w:rPr>
                <w:rFonts w:cs="Times New Roman"/>
                <w:sz w:val="20"/>
                <w:szCs w:val="20"/>
                <w:lang w:val="lt-LT"/>
              </w:rPr>
              <w:t xml:space="preserve"> proc.</w:t>
            </w:r>
          </w:p>
        </w:tc>
        <w:tc>
          <w:tcPr>
            <w:tcW w:w="1134" w:type="dxa"/>
            <w:noWrap/>
            <w:vAlign w:val="center"/>
            <w:hideMark/>
          </w:tcPr>
          <w:p w14:paraId="30393184"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14</w:t>
            </w:r>
          </w:p>
        </w:tc>
        <w:tc>
          <w:tcPr>
            <w:tcW w:w="1629" w:type="dxa"/>
            <w:noWrap/>
            <w:vAlign w:val="center"/>
            <w:hideMark/>
          </w:tcPr>
          <w:p w14:paraId="1D2D6B0C"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16</w:t>
            </w:r>
          </w:p>
        </w:tc>
        <w:tc>
          <w:tcPr>
            <w:tcW w:w="1483" w:type="dxa"/>
            <w:noWrap/>
            <w:vAlign w:val="center"/>
            <w:hideMark/>
          </w:tcPr>
          <w:p w14:paraId="727079E2" w14:textId="54F9C1E4"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3,79</w:t>
            </w:r>
            <w:r w:rsidR="00B55C94" w:rsidRPr="003C0378">
              <w:rPr>
                <w:rFonts w:cs="Times New Roman"/>
                <w:sz w:val="20"/>
                <w:szCs w:val="20"/>
                <w:lang w:val="lt-LT"/>
              </w:rPr>
              <w:t xml:space="preserve"> proc.</w:t>
            </w:r>
          </w:p>
        </w:tc>
      </w:tr>
      <w:tr w:rsidR="00702FC8" w:rsidRPr="003C0378" w14:paraId="6F35C62E" w14:textId="77777777" w:rsidTr="00E24002">
        <w:trPr>
          <w:trHeight w:val="270"/>
        </w:trPr>
        <w:tc>
          <w:tcPr>
            <w:tcW w:w="2122" w:type="dxa"/>
            <w:noWrap/>
            <w:hideMark/>
          </w:tcPr>
          <w:p w14:paraId="17085381"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Kauno apskritis</w:t>
            </w:r>
          </w:p>
        </w:tc>
        <w:tc>
          <w:tcPr>
            <w:tcW w:w="1134" w:type="dxa"/>
            <w:vAlign w:val="center"/>
            <w:hideMark/>
          </w:tcPr>
          <w:p w14:paraId="35783EDA"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23169</w:t>
            </w:r>
          </w:p>
        </w:tc>
        <w:tc>
          <w:tcPr>
            <w:tcW w:w="2126" w:type="dxa"/>
            <w:noWrap/>
            <w:vAlign w:val="center"/>
            <w:hideMark/>
          </w:tcPr>
          <w:p w14:paraId="610FF381" w14:textId="148D1F13"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20,41</w:t>
            </w:r>
            <w:r w:rsidR="00B55C94" w:rsidRPr="003C0378">
              <w:rPr>
                <w:rFonts w:cs="Times New Roman"/>
                <w:sz w:val="20"/>
                <w:szCs w:val="20"/>
                <w:lang w:val="lt-LT"/>
              </w:rPr>
              <w:t xml:space="preserve"> proc.</w:t>
            </w:r>
          </w:p>
        </w:tc>
        <w:tc>
          <w:tcPr>
            <w:tcW w:w="1134" w:type="dxa"/>
            <w:noWrap/>
            <w:vAlign w:val="center"/>
            <w:hideMark/>
          </w:tcPr>
          <w:p w14:paraId="3BFD928D"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82</w:t>
            </w:r>
          </w:p>
        </w:tc>
        <w:tc>
          <w:tcPr>
            <w:tcW w:w="1629" w:type="dxa"/>
            <w:noWrap/>
            <w:vAlign w:val="center"/>
            <w:hideMark/>
          </w:tcPr>
          <w:p w14:paraId="09EBFA47"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88</w:t>
            </w:r>
          </w:p>
        </w:tc>
        <w:tc>
          <w:tcPr>
            <w:tcW w:w="1483" w:type="dxa"/>
            <w:noWrap/>
            <w:vAlign w:val="center"/>
            <w:hideMark/>
          </w:tcPr>
          <w:p w14:paraId="3CED1B1C" w14:textId="343C16C3"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20,85</w:t>
            </w:r>
            <w:r w:rsidR="00B55C94" w:rsidRPr="003C0378">
              <w:rPr>
                <w:rFonts w:cs="Times New Roman"/>
                <w:sz w:val="20"/>
                <w:szCs w:val="20"/>
                <w:lang w:val="lt-LT"/>
              </w:rPr>
              <w:t xml:space="preserve"> proc.</w:t>
            </w:r>
          </w:p>
        </w:tc>
      </w:tr>
      <w:tr w:rsidR="00702FC8" w:rsidRPr="003C0378" w14:paraId="180C2067" w14:textId="77777777" w:rsidTr="00E24002">
        <w:trPr>
          <w:trHeight w:val="285"/>
        </w:trPr>
        <w:tc>
          <w:tcPr>
            <w:tcW w:w="2122" w:type="dxa"/>
            <w:noWrap/>
            <w:hideMark/>
          </w:tcPr>
          <w:p w14:paraId="7D00B7B6"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Klaipėdos apskritis</w:t>
            </w:r>
          </w:p>
        </w:tc>
        <w:tc>
          <w:tcPr>
            <w:tcW w:w="1134" w:type="dxa"/>
            <w:vAlign w:val="center"/>
            <w:hideMark/>
          </w:tcPr>
          <w:p w14:paraId="1F94BBA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12730</w:t>
            </w:r>
          </w:p>
        </w:tc>
        <w:tc>
          <w:tcPr>
            <w:tcW w:w="2126" w:type="dxa"/>
            <w:noWrap/>
            <w:vAlign w:val="center"/>
            <w:hideMark/>
          </w:tcPr>
          <w:p w14:paraId="27EEC25E" w14:textId="002524CB"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11,21</w:t>
            </w:r>
            <w:r w:rsidR="00B55C94" w:rsidRPr="003C0378">
              <w:rPr>
                <w:rFonts w:cs="Times New Roman"/>
                <w:sz w:val="20"/>
                <w:szCs w:val="20"/>
                <w:lang w:val="lt-LT"/>
              </w:rPr>
              <w:t xml:space="preserve"> proc.</w:t>
            </w:r>
          </w:p>
        </w:tc>
        <w:tc>
          <w:tcPr>
            <w:tcW w:w="1134" w:type="dxa"/>
            <w:noWrap/>
            <w:vAlign w:val="center"/>
            <w:hideMark/>
          </w:tcPr>
          <w:p w14:paraId="0DA3507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45</w:t>
            </w:r>
          </w:p>
        </w:tc>
        <w:tc>
          <w:tcPr>
            <w:tcW w:w="1629" w:type="dxa"/>
            <w:noWrap/>
            <w:vAlign w:val="center"/>
            <w:hideMark/>
          </w:tcPr>
          <w:p w14:paraId="4D51ACAE"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50</w:t>
            </w:r>
          </w:p>
        </w:tc>
        <w:tc>
          <w:tcPr>
            <w:tcW w:w="1483" w:type="dxa"/>
            <w:noWrap/>
            <w:vAlign w:val="center"/>
            <w:hideMark/>
          </w:tcPr>
          <w:p w14:paraId="515A80CD" w14:textId="463F046F"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11,85</w:t>
            </w:r>
            <w:r w:rsidR="00B55C94" w:rsidRPr="003C0378">
              <w:rPr>
                <w:rFonts w:cs="Times New Roman"/>
                <w:sz w:val="20"/>
                <w:szCs w:val="20"/>
                <w:lang w:val="lt-LT"/>
              </w:rPr>
              <w:t xml:space="preserve"> proc.</w:t>
            </w:r>
          </w:p>
        </w:tc>
      </w:tr>
      <w:tr w:rsidR="00702FC8" w:rsidRPr="003C0378" w14:paraId="25D207AC" w14:textId="77777777" w:rsidTr="00E24002">
        <w:trPr>
          <w:trHeight w:val="285"/>
        </w:trPr>
        <w:tc>
          <w:tcPr>
            <w:tcW w:w="2122" w:type="dxa"/>
            <w:noWrap/>
            <w:hideMark/>
          </w:tcPr>
          <w:p w14:paraId="2443C06C"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Marijampolės apskritis</w:t>
            </w:r>
          </w:p>
        </w:tc>
        <w:tc>
          <w:tcPr>
            <w:tcW w:w="1134" w:type="dxa"/>
            <w:vAlign w:val="center"/>
            <w:hideMark/>
          </w:tcPr>
          <w:p w14:paraId="5639C12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3444</w:t>
            </w:r>
          </w:p>
        </w:tc>
        <w:tc>
          <w:tcPr>
            <w:tcW w:w="2126" w:type="dxa"/>
            <w:noWrap/>
            <w:vAlign w:val="center"/>
            <w:hideMark/>
          </w:tcPr>
          <w:p w14:paraId="00B2FD49" w14:textId="7C9E340C"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3,03</w:t>
            </w:r>
            <w:r w:rsidR="00B55C94" w:rsidRPr="003C0378">
              <w:rPr>
                <w:rFonts w:cs="Times New Roman"/>
                <w:sz w:val="20"/>
                <w:szCs w:val="20"/>
                <w:lang w:val="lt-LT"/>
              </w:rPr>
              <w:t xml:space="preserve"> proc.</w:t>
            </w:r>
          </w:p>
        </w:tc>
        <w:tc>
          <w:tcPr>
            <w:tcW w:w="1134" w:type="dxa"/>
            <w:noWrap/>
            <w:vAlign w:val="center"/>
            <w:hideMark/>
          </w:tcPr>
          <w:p w14:paraId="6DAB9B6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12</w:t>
            </w:r>
          </w:p>
        </w:tc>
        <w:tc>
          <w:tcPr>
            <w:tcW w:w="1629" w:type="dxa"/>
            <w:noWrap/>
            <w:vAlign w:val="center"/>
            <w:hideMark/>
          </w:tcPr>
          <w:p w14:paraId="6B74CB7A"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13</w:t>
            </w:r>
          </w:p>
        </w:tc>
        <w:tc>
          <w:tcPr>
            <w:tcW w:w="1483" w:type="dxa"/>
            <w:noWrap/>
            <w:vAlign w:val="center"/>
            <w:hideMark/>
          </w:tcPr>
          <w:p w14:paraId="7AAEFAA2" w14:textId="13E0C4FE"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3,08</w:t>
            </w:r>
            <w:r w:rsidR="00B55C94" w:rsidRPr="003C0378">
              <w:rPr>
                <w:rFonts w:cs="Times New Roman"/>
                <w:sz w:val="20"/>
                <w:szCs w:val="20"/>
                <w:lang w:val="lt-LT"/>
              </w:rPr>
              <w:t xml:space="preserve"> proc.</w:t>
            </w:r>
          </w:p>
        </w:tc>
      </w:tr>
      <w:tr w:rsidR="00702FC8" w:rsidRPr="003C0378" w14:paraId="03C7AE8E" w14:textId="77777777" w:rsidTr="00E24002">
        <w:trPr>
          <w:trHeight w:val="285"/>
        </w:trPr>
        <w:tc>
          <w:tcPr>
            <w:tcW w:w="2122" w:type="dxa"/>
            <w:noWrap/>
            <w:hideMark/>
          </w:tcPr>
          <w:p w14:paraId="057D1DD7"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Panevėžio apskritis</w:t>
            </w:r>
          </w:p>
        </w:tc>
        <w:tc>
          <w:tcPr>
            <w:tcW w:w="1134" w:type="dxa"/>
            <w:vAlign w:val="center"/>
            <w:hideMark/>
          </w:tcPr>
          <w:p w14:paraId="2BEE781B"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6680</w:t>
            </w:r>
          </w:p>
        </w:tc>
        <w:tc>
          <w:tcPr>
            <w:tcW w:w="2126" w:type="dxa"/>
            <w:noWrap/>
            <w:vAlign w:val="center"/>
            <w:hideMark/>
          </w:tcPr>
          <w:p w14:paraId="768263B8" w14:textId="4DABF311"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5,88</w:t>
            </w:r>
            <w:r w:rsidR="00B55C94" w:rsidRPr="003C0378">
              <w:rPr>
                <w:rFonts w:cs="Times New Roman"/>
                <w:sz w:val="20"/>
                <w:szCs w:val="20"/>
                <w:lang w:val="lt-LT"/>
              </w:rPr>
              <w:t xml:space="preserve"> proc.</w:t>
            </w:r>
          </w:p>
        </w:tc>
        <w:tc>
          <w:tcPr>
            <w:tcW w:w="1134" w:type="dxa"/>
            <w:noWrap/>
            <w:vAlign w:val="center"/>
            <w:hideMark/>
          </w:tcPr>
          <w:p w14:paraId="033887BA"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24</w:t>
            </w:r>
          </w:p>
        </w:tc>
        <w:tc>
          <w:tcPr>
            <w:tcW w:w="1629" w:type="dxa"/>
            <w:noWrap/>
            <w:vAlign w:val="center"/>
            <w:hideMark/>
          </w:tcPr>
          <w:p w14:paraId="2ABBA40B"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23</w:t>
            </w:r>
          </w:p>
        </w:tc>
        <w:tc>
          <w:tcPr>
            <w:tcW w:w="1483" w:type="dxa"/>
            <w:noWrap/>
            <w:vAlign w:val="center"/>
            <w:hideMark/>
          </w:tcPr>
          <w:p w14:paraId="7B90F9AF" w14:textId="77378155"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5,45</w:t>
            </w:r>
            <w:r w:rsidR="00B55C94" w:rsidRPr="003C0378">
              <w:rPr>
                <w:rFonts w:cs="Times New Roman"/>
                <w:sz w:val="20"/>
                <w:szCs w:val="20"/>
                <w:lang w:val="lt-LT"/>
              </w:rPr>
              <w:t xml:space="preserve"> proc.</w:t>
            </w:r>
          </w:p>
        </w:tc>
      </w:tr>
      <w:tr w:rsidR="00702FC8" w:rsidRPr="003C0378" w14:paraId="2991E61D" w14:textId="77777777" w:rsidTr="00E24002">
        <w:trPr>
          <w:trHeight w:val="315"/>
        </w:trPr>
        <w:tc>
          <w:tcPr>
            <w:tcW w:w="2122" w:type="dxa"/>
            <w:noWrap/>
            <w:hideMark/>
          </w:tcPr>
          <w:p w14:paraId="1E803A5B"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Šiaulių apskritis</w:t>
            </w:r>
          </w:p>
        </w:tc>
        <w:tc>
          <w:tcPr>
            <w:tcW w:w="1134" w:type="dxa"/>
            <w:vAlign w:val="center"/>
            <w:hideMark/>
          </w:tcPr>
          <w:p w14:paraId="384B7473"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7818</w:t>
            </w:r>
          </w:p>
        </w:tc>
        <w:tc>
          <w:tcPr>
            <w:tcW w:w="2126" w:type="dxa"/>
            <w:noWrap/>
            <w:vAlign w:val="center"/>
            <w:hideMark/>
          </w:tcPr>
          <w:p w14:paraId="41BF2CE1" w14:textId="19D00360"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6,89</w:t>
            </w:r>
            <w:r w:rsidR="00B55C94" w:rsidRPr="003C0378">
              <w:rPr>
                <w:rFonts w:cs="Times New Roman"/>
                <w:sz w:val="20"/>
                <w:szCs w:val="20"/>
                <w:lang w:val="lt-LT"/>
              </w:rPr>
              <w:t xml:space="preserve"> proc.</w:t>
            </w:r>
          </w:p>
        </w:tc>
        <w:tc>
          <w:tcPr>
            <w:tcW w:w="1134" w:type="dxa"/>
            <w:noWrap/>
            <w:vAlign w:val="center"/>
            <w:hideMark/>
          </w:tcPr>
          <w:p w14:paraId="5E298A0E"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28</w:t>
            </w:r>
          </w:p>
        </w:tc>
        <w:tc>
          <w:tcPr>
            <w:tcW w:w="1629" w:type="dxa"/>
            <w:noWrap/>
            <w:vAlign w:val="center"/>
            <w:hideMark/>
          </w:tcPr>
          <w:p w14:paraId="7AA21E83"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29</w:t>
            </w:r>
          </w:p>
        </w:tc>
        <w:tc>
          <w:tcPr>
            <w:tcW w:w="1483" w:type="dxa"/>
            <w:noWrap/>
            <w:vAlign w:val="center"/>
            <w:hideMark/>
          </w:tcPr>
          <w:p w14:paraId="38798937" w14:textId="0E7C3353"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6,87</w:t>
            </w:r>
            <w:r w:rsidR="00B55C94" w:rsidRPr="003C0378">
              <w:rPr>
                <w:rFonts w:cs="Times New Roman"/>
                <w:sz w:val="20"/>
                <w:szCs w:val="20"/>
                <w:lang w:val="lt-LT"/>
              </w:rPr>
              <w:t xml:space="preserve"> proc.</w:t>
            </w:r>
          </w:p>
        </w:tc>
      </w:tr>
      <w:tr w:rsidR="00702FC8" w:rsidRPr="003C0378" w14:paraId="2CA3DB2C" w14:textId="77777777" w:rsidTr="00E24002">
        <w:trPr>
          <w:trHeight w:val="270"/>
        </w:trPr>
        <w:tc>
          <w:tcPr>
            <w:tcW w:w="2122" w:type="dxa"/>
            <w:noWrap/>
            <w:hideMark/>
          </w:tcPr>
          <w:p w14:paraId="5D35A5EC"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Tauragės apskritis</w:t>
            </w:r>
          </w:p>
        </w:tc>
        <w:tc>
          <w:tcPr>
            <w:tcW w:w="1134" w:type="dxa"/>
            <w:vAlign w:val="center"/>
            <w:hideMark/>
          </w:tcPr>
          <w:p w14:paraId="6E2B4232"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2376</w:t>
            </w:r>
          </w:p>
        </w:tc>
        <w:tc>
          <w:tcPr>
            <w:tcW w:w="2126" w:type="dxa"/>
            <w:noWrap/>
            <w:vAlign w:val="center"/>
            <w:hideMark/>
          </w:tcPr>
          <w:p w14:paraId="0C9774D9" w14:textId="4E94FDC9"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2,09</w:t>
            </w:r>
            <w:r w:rsidR="00B55C94" w:rsidRPr="003C0378">
              <w:rPr>
                <w:rFonts w:cs="Times New Roman"/>
                <w:sz w:val="20"/>
                <w:szCs w:val="20"/>
                <w:lang w:val="lt-LT"/>
              </w:rPr>
              <w:t xml:space="preserve"> proc.</w:t>
            </w:r>
          </w:p>
        </w:tc>
        <w:tc>
          <w:tcPr>
            <w:tcW w:w="1134" w:type="dxa"/>
            <w:noWrap/>
            <w:vAlign w:val="center"/>
            <w:hideMark/>
          </w:tcPr>
          <w:p w14:paraId="296A65E6"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8</w:t>
            </w:r>
          </w:p>
        </w:tc>
        <w:tc>
          <w:tcPr>
            <w:tcW w:w="1629" w:type="dxa"/>
            <w:noWrap/>
            <w:vAlign w:val="center"/>
            <w:hideMark/>
          </w:tcPr>
          <w:p w14:paraId="71D403D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5</w:t>
            </w:r>
          </w:p>
        </w:tc>
        <w:tc>
          <w:tcPr>
            <w:tcW w:w="1483" w:type="dxa"/>
            <w:noWrap/>
            <w:vAlign w:val="center"/>
            <w:hideMark/>
          </w:tcPr>
          <w:p w14:paraId="6DA34BE7" w14:textId="51B08BD3"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1,18</w:t>
            </w:r>
            <w:r w:rsidR="00B55C94" w:rsidRPr="003C0378">
              <w:rPr>
                <w:rFonts w:cs="Times New Roman"/>
                <w:sz w:val="20"/>
                <w:szCs w:val="20"/>
                <w:lang w:val="lt-LT"/>
              </w:rPr>
              <w:t xml:space="preserve"> proc.</w:t>
            </w:r>
          </w:p>
        </w:tc>
      </w:tr>
      <w:tr w:rsidR="00702FC8" w:rsidRPr="003C0378" w14:paraId="769DF1F8" w14:textId="77777777" w:rsidTr="00E24002">
        <w:trPr>
          <w:trHeight w:val="315"/>
        </w:trPr>
        <w:tc>
          <w:tcPr>
            <w:tcW w:w="2122" w:type="dxa"/>
            <w:noWrap/>
            <w:hideMark/>
          </w:tcPr>
          <w:p w14:paraId="251C035F"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Telšių apskritis</w:t>
            </w:r>
          </w:p>
        </w:tc>
        <w:tc>
          <w:tcPr>
            <w:tcW w:w="1134" w:type="dxa"/>
            <w:vAlign w:val="center"/>
            <w:hideMark/>
          </w:tcPr>
          <w:p w14:paraId="3EBA2BED"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3818</w:t>
            </w:r>
          </w:p>
        </w:tc>
        <w:tc>
          <w:tcPr>
            <w:tcW w:w="2126" w:type="dxa"/>
            <w:noWrap/>
            <w:vAlign w:val="center"/>
            <w:hideMark/>
          </w:tcPr>
          <w:p w14:paraId="073409D4" w14:textId="41E65EDF"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3,36</w:t>
            </w:r>
            <w:r w:rsidR="00B55C94" w:rsidRPr="003C0378">
              <w:rPr>
                <w:rFonts w:cs="Times New Roman"/>
                <w:sz w:val="20"/>
                <w:szCs w:val="20"/>
                <w:lang w:val="lt-LT"/>
              </w:rPr>
              <w:t xml:space="preserve"> proc.</w:t>
            </w:r>
          </w:p>
        </w:tc>
        <w:tc>
          <w:tcPr>
            <w:tcW w:w="1134" w:type="dxa"/>
            <w:noWrap/>
            <w:vAlign w:val="center"/>
            <w:hideMark/>
          </w:tcPr>
          <w:p w14:paraId="7269BE9D"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13</w:t>
            </w:r>
          </w:p>
        </w:tc>
        <w:tc>
          <w:tcPr>
            <w:tcW w:w="1629" w:type="dxa"/>
            <w:noWrap/>
            <w:vAlign w:val="center"/>
            <w:hideMark/>
          </w:tcPr>
          <w:p w14:paraId="5DC27A81"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13</w:t>
            </w:r>
          </w:p>
        </w:tc>
        <w:tc>
          <w:tcPr>
            <w:tcW w:w="1483" w:type="dxa"/>
            <w:noWrap/>
            <w:vAlign w:val="center"/>
            <w:hideMark/>
          </w:tcPr>
          <w:p w14:paraId="08E28F3E" w14:textId="4A3D972E"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3,08</w:t>
            </w:r>
            <w:r w:rsidR="00B55C94" w:rsidRPr="003C0378">
              <w:rPr>
                <w:rFonts w:cs="Times New Roman"/>
                <w:sz w:val="20"/>
                <w:szCs w:val="20"/>
                <w:lang w:val="lt-LT"/>
              </w:rPr>
              <w:t xml:space="preserve"> proc.</w:t>
            </w:r>
          </w:p>
        </w:tc>
      </w:tr>
      <w:tr w:rsidR="00702FC8" w:rsidRPr="003C0378" w14:paraId="710E9DB7" w14:textId="77777777" w:rsidTr="00E24002">
        <w:trPr>
          <w:trHeight w:val="255"/>
        </w:trPr>
        <w:tc>
          <w:tcPr>
            <w:tcW w:w="2122" w:type="dxa"/>
            <w:noWrap/>
            <w:hideMark/>
          </w:tcPr>
          <w:p w14:paraId="2458BCFE" w14:textId="77777777" w:rsidR="00702FC8" w:rsidRPr="003C0378" w:rsidRDefault="00702FC8" w:rsidP="000C6260">
            <w:pPr>
              <w:spacing w:after="0"/>
              <w:ind w:firstLine="0"/>
              <w:rPr>
                <w:rFonts w:cs="Times New Roman"/>
                <w:sz w:val="20"/>
                <w:szCs w:val="20"/>
                <w:lang w:val="lt-LT"/>
              </w:rPr>
            </w:pPr>
            <w:r w:rsidRPr="003C0378">
              <w:rPr>
                <w:rFonts w:cs="Times New Roman"/>
                <w:sz w:val="20"/>
                <w:szCs w:val="20"/>
                <w:lang w:val="lt-LT"/>
              </w:rPr>
              <w:t>Utenos apskritis</w:t>
            </w:r>
          </w:p>
        </w:tc>
        <w:tc>
          <w:tcPr>
            <w:tcW w:w="1134" w:type="dxa"/>
            <w:vAlign w:val="center"/>
            <w:hideMark/>
          </w:tcPr>
          <w:p w14:paraId="7B572686"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3131</w:t>
            </w:r>
          </w:p>
        </w:tc>
        <w:tc>
          <w:tcPr>
            <w:tcW w:w="2126" w:type="dxa"/>
            <w:noWrap/>
            <w:vAlign w:val="center"/>
            <w:hideMark/>
          </w:tcPr>
          <w:p w14:paraId="596DE31B" w14:textId="4C66BBBD"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2,76</w:t>
            </w:r>
            <w:r w:rsidR="00B55C94" w:rsidRPr="003C0378">
              <w:rPr>
                <w:rFonts w:cs="Times New Roman"/>
                <w:sz w:val="20"/>
                <w:szCs w:val="20"/>
                <w:lang w:val="lt-LT"/>
              </w:rPr>
              <w:t xml:space="preserve"> proc.</w:t>
            </w:r>
          </w:p>
        </w:tc>
        <w:tc>
          <w:tcPr>
            <w:tcW w:w="1134" w:type="dxa"/>
            <w:noWrap/>
            <w:vAlign w:val="center"/>
            <w:hideMark/>
          </w:tcPr>
          <w:p w14:paraId="67AE6988"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11</w:t>
            </w:r>
          </w:p>
        </w:tc>
        <w:tc>
          <w:tcPr>
            <w:tcW w:w="1629" w:type="dxa"/>
            <w:noWrap/>
            <w:vAlign w:val="center"/>
            <w:hideMark/>
          </w:tcPr>
          <w:p w14:paraId="291387BC" w14:textId="77777777"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11</w:t>
            </w:r>
          </w:p>
        </w:tc>
        <w:tc>
          <w:tcPr>
            <w:tcW w:w="1483" w:type="dxa"/>
            <w:noWrap/>
            <w:vAlign w:val="center"/>
            <w:hideMark/>
          </w:tcPr>
          <w:p w14:paraId="6D4AFE67" w14:textId="6EB3D669" w:rsidR="00702FC8" w:rsidRPr="003C0378" w:rsidRDefault="00702FC8" w:rsidP="000C6260">
            <w:pPr>
              <w:spacing w:after="0"/>
              <w:ind w:firstLine="0"/>
              <w:jc w:val="center"/>
              <w:rPr>
                <w:rFonts w:cs="Times New Roman"/>
                <w:sz w:val="20"/>
                <w:szCs w:val="20"/>
                <w:lang w:val="lt-LT"/>
              </w:rPr>
            </w:pPr>
            <w:r w:rsidRPr="003C0378">
              <w:rPr>
                <w:rFonts w:cs="Times New Roman"/>
                <w:sz w:val="20"/>
                <w:szCs w:val="20"/>
                <w:lang w:val="lt-LT"/>
              </w:rPr>
              <w:t>2,61</w:t>
            </w:r>
            <w:r w:rsidR="00B55C94" w:rsidRPr="003C0378">
              <w:rPr>
                <w:rFonts w:cs="Times New Roman"/>
                <w:sz w:val="20"/>
                <w:szCs w:val="20"/>
                <w:lang w:val="lt-LT"/>
              </w:rPr>
              <w:t xml:space="preserve"> proc.</w:t>
            </w:r>
          </w:p>
        </w:tc>
      </w:tr>
    </w:tbl>
    <w:p w14:paraId="11A3CC9F" w14:textId="0972EBE0" w:rsidR="00ED19D5" w:rsidRPr="003C0378" w:rsidRDefault="00702FC8" w:rsidP="00255DD0">
      <w:pPr>
        <w:widowControl w:val="0"/>
        <w:ind w:firstLine="561"/>
        <w:jc w:val="left"/>
        <w:rPr>
          <w:rFonts w:cs="Times New Roman"/>
          <w:sz w:val="20"/>
          <w:szCs w:val="20"/>
        </w:rPr>
      </w:pPr>
      <w:r w:rsidRPr="003C0378">
        <w:rPr>
          <w:rFonts w:cs="Times New Roman"/>
          <w:sz w:val="20"/>
          <w:szCs w:val="20"/>
        </w:rPr>
        <w:t>Šaltinis: sudaryta Vertintojų</w:t>
      </w:r>
      <w:r w:rsidR="0053342C" w:rsidRPr="003C0378">
        <w:rPr>
          <w:rFonts w:cs="Times New Roman"/>
          <w:sz w:val="20"/>
          <w:szCs w:val="20"/>
        </w:rPr>
        <w:t>.</w:t>
      </w:r>
    </w:p>
    <w:p w14:paraId="18CF976A" w14:textId="57AB7A77" w:rsidR="00ED19D5" w:rsidRPr="003C0378" w:rsidRDefault="00ED19D5" w:rsidP="00255DD0">
      <w:pPr>
        <w:widowControl w:val="0"/>
        <w:spacing w:line="276" w:lineRule="auto"/>
        <w:ind w:firstLine="561"/>
        <w:rPr>
          <w:rFonts w:cs="Times New Roman"/>
        </w:rPr>
      </w:pPr>
      <w:r w:rsidRPr="003C0378">
        <w:rPr>
          <w:rFonts w:cs="Times New Roman"/>
        </w:rPr>
        <w:t xml:space="preserve">Anketinės apklausos rezultatų </w:t>
      </w:r>
      <w:proofErr w:type="spellStart"/>
      <w:r w:rsidRPr="003C0378">
        <w:rPr>
          <w:rFonts w:cs="Times New Roman"/>
        </w:rPr>
        <w:t>ekstrapoliavimas</w:t>
      </w:r>
      <w:proofErr w:type="spellEnd"/>
      <w:r w:rsidRPr="003C0378">
        <w:rPr>
          <w:rFonts w:cs="Times New Roman"/>
        </w:rPr>
        <w:t xml:space="preserve"> vyko keliais etapais. Pirm</w:t>
      </w:r>
      <w:r w:rsidR="003C0378">
        <w:rPr>
          <w:rFonts w:cs="Times New Roman"/>
        </w:rPr>
        <w:t>i</w:t>
      </w:r>
      <w:r w:rsidRPr="003C0378">
        <w:rPr>
          <w:rFonts w:cs="Times New Roman"/>
        </w:rPr>
        <w:t xml:space="preserve">ausia, gautus anketinės apklausos atsakymus Vertintojai padaugino iš populiacijoje esančio konkretaus elemento skaičiaus. </w:t>
      </w:r>
      <w:r w:rsidRPr="003C0378">
        <w:rPr>
          <w:rFonts w:cs="Times New Roman"/>
        </w:rPr>
        <w:lastRenderedPageBreak/>
        <w:t xml:space="preserve">Pavyzdžiui, jeigu 30 proc. mažų įmonių atsakė, kad per ateinančius 5 </w:t>
      </w:r>
      <w:r w:rsidR="003C5EC5">
        <w:rPr>
          <w:rFonts w:cs="Times New Roman"/>
        </w:rPr>
        <w:t>m.</w:t>
      </w:r>
      <w:r w:rsidRPr="003C0378">
        <w:rPr>
          <w:rFonts w:cs="Times New Roman"/>
        </w:rPr>
        <w:t xml:space="preserve"> planuoja įsirengti 10 </w:t>
      </w:r>
      <w:r w:rsidR="00091DD0">
        <w:rPr>
          <w:rFonts w:cs="Times New Roman"/>
        </w:rPr>
        <w:t>k</w:t>
      </w:r>
      <w:r w:rsidR="00843EAE" w:rsidRPr="003C0378">
        <w:rPr>
          <w:rFonts w:cs="Times New Roman"/>
        </w:rPr>
        <w:t>W</w:t>
      </w:r>
      <w:r w:rsidRPr="003C0378">
        <w:rPr>
          <w:rFonts w:cs="Times New Roman"/>
        </w:rPr>
        <w:t xml:space="preserve"> elektrinės pajėgumus, Vertintojai sudaugino 30 proc. iš mažų įmonių populiacijos visoje Lietuvoje</w:t>
      </w:r>
      <w:r w:rsidR="00F241C4" w:rsidRPr="003C0378">
        <w:rPr>
          <w:rFonts w:cs="Times New Roman"/>
        </w:rPr>
        <w:t xml:space="preserve"> (žr. 38 lentelę)</w:t>
      </w:r>
      <w:r w:rsidRPr="003C0378">
        <w:rPr>
          <w:rFonts w:cs="Times New Roman"/>
        </w:rPr>
        <w:t xml:space="preserve">. </w:t>
      </w:r>
      <w:r w:rsidR="00F241C4" w:rsidRPr="003C0378">
        <w:rPr>
          <w:rFonts w:cs="Times New Roman"/>
        </w:rPr>
        <w:t xml:space="preserve">Taip buvo gautas nominalus skaičius įmonių, kurios Lietuvos per ateinančius 5 </w:t>
      </w:r>
      <w:r w:rsidR="003C5EC5">
        <w:rPr>
          <w:rFonts w:cs="Times New Roman"/>
        </w:rPr>
        <w:t>m.</w:t>
      </w:r>
      <w:r w:rsidR="00F241C4" w:rsidRPr="003C0378">
        <w:rPr>
          <w:rFonts w:cs="Times New Roman"/>
        </w:rPr>
        <w:t xml:space="preserve"> planuoja įsirengti 10 </w:t>
      </w:r>
      <w:r w:rsidR="00091DD0">
        <w:rPr>
          <w:rFonts w:cs="Times New Roman"/>
        </w:rPr>
        <w:t>k</w:t>
      </w:r>
      <w:r w:rsidR="00843EAE" w:rsidRPr="003C0378">
        <w:rPr>
          <w:rFonts w:cs="Times New Roman"/>
        </w:rPr>
        <w:t>W</w:t>
      </w:r>
      <w:r w:rsidR="00F241C4" w:rsidRPr="003C0378">
        <w:rPr>
          <w:rFonts w:cs="Times New Roman"/>
        </w:rPr>
        <w:t xml:space="preserve"> elek</w:t>
      </w:r>
      <w:r w:rsidR="003C0378">
        <w:rPr>
          <w:rFonts w:cs="Times New Roman"/>
        </w:rPr>
        <w:t>t</w:t>
      </w:r>
      <w:r w:rsidR="00F241C4" w:rsidRPr="003C0378">
        <w:rPr>
          <w:rFonts w:cs="Times New Roman"/>
        </w:rPr>
        <w:t xml:space="preserve">rines. Gautus skaičius antrame etape Vertintojai padaugino iš 1 </w:t>
      </w:r>
      <w:r w:rsidR="00091DD0">
        <w:rPr>
          <w:rFonts w:cs="Times New Roman"/>
        </w:rPr>
        <w:t>k</w:t>
      </w:r>
      <w:r w:rsidR="00843EAE" w:rsidRPr="003C0378">
        <w:rPr>
          <w:rFonts w:cs="Times New Roman"/>
        </w:rPr>
        <w:t>W</w:t>
      </w:r>
      <w:r w:rsidR="00F241C4" w:rsidRPr="003C0378">
        <w:rPr>
          <w:rFonts w:cs="Times New Roman"/>
        </w:rPr>
        <w:t xml:space="preserve"> įrengimo įkainių. Taip buvo gauta investicijų paklausa ar kitas rodiklis mažų įmonių ar kitoje įmonių grupėje.</w:t>
      </w:r>
    </w:p>
    <w:p w14:paraId="3BB3F943" w14:textId="77777777" w:rsidR="003C0378" w:rsidRPr="003C0378" w:rsidRDefault="003C0378">
      <w:pPr>
        <w:widowControl w:val="0"/>
        <w:spacing w:line="276" w:lineRule="auto"/>
        <w:ind w:firstLine="561"/>
        <w:rPr>
          <w:rFonts w:cs="Times New Roman"/>
        </w:rPr>
      </w:pPr>
    </w:p>
    <w:sectPr w:rsidR="003C0378" w:rsidRPr="003C0378" w:rsidSect="00C234E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E7E67" w14:textId="77777777" w:rsidR="00427FDC" w:rsidRDefault="00427FDC" w:rsidP="0047484A">
      <w:pPr>
        <w:spacing w:before="0" w:after="0"/>
      </w:pPr>
      <w:r>
        <w:separator/>
      </w:r>
    </w:p>
  </w:endnote>
  <w:endnote w:type="continuationSeparator" w:id="0">
    <w:p w14:paraId="727E89F5" w14:textId="77777777" w:rsidR="00427FDC" w:rsidRDefault="00427FDC" w:rsidP="0047484A">
      <w:pPr>
        <w:spacing w:before="0" w:after="0"/>
      </w:pPr>
      <w:r>
        <w:continuationSeparator/>
      </w:r>
    </w:p>
  </w:endnote>
  <w:endnote w:type="continuationNotice" w:id="1">
    <w:p w14:paraId="606BC170" w14:textId="77777777" w:rsidR="00427FDC" w:rsidRDefault="00427F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FranklinGothicDemiIT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Bahnschrift SemiCondensed">
    <w:panose1 w:val="020B0502040204020203"/>
    <w:charset w:val="BA"/>
    <w:family w:val="swiss"/>
    <w:pitch w:val="variable"/>
    <w:sig w:usb0="A00002C7" w:usb1="00000002" w:usb2="00000000" w:usb3="00000000" w:csb0="0000019F" w:csb1="00000000"/>
  </w:font>
  <w:font w:name="DokChampa">
    <w:charset w:val="DE"/>
    <w:family w:val="swiss"/>
    <w:pitch w:val="variable"/>
    <w:sig w:usb0="83000003" w:usb1="00000000" w:usb2="00000000" w:usb3="00000000" w:csb0="00010001" w:csb1="00000000"/>
  </w:font>
  <w:font w:name="CIDFont+F1">
    <w:altName w:val="Times New Roman"/>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94094" w14:textId="0F3DFEA0" w:rsidR="00B135A3" w:rsidRPr="007D3700" w:rsidRDefault="00B135A3">
    <w:pPr>
      <w:pStyle w:val="Porat"/>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Pr>
        <w:noProof/>
        <w:sz w:val="24"/>
        <w:szCs w:val="24"/>
      </w:rPr>
      <w:t>66</w:t>
    </w:r>
    <w:r w:rsidRPr="007D3700">
      <w:rPr>
        <w:noProof/>
        <w:sz w:val="24"/>
        <w:szCs w:val="24"/>
      </w:rPr>
      <w:fldChar w:fldCharType="end"/>
    </w:r>
  </w:p>
  <w:p w14:paraId="544F4342" w14:textId="77777777" w:rsidR="00B135A3" w:rsidRDefault="00B135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173134"/>
      <w:docPartObj>
        <w:docPartGallery w:val="Page Numbers (Bottom of Page)"/>
        <w:docPartUnique/>
      </w:docPartObj>
    </w:sdtPr>
    <w:sdtEndPr/>
    <w:sdtContent>
      <w:p w14:paraId="3BFA3D7C" w14:textId="1517EFFE" w:rsidR="00B135A3" w:rsidRDefault="00B135A3">
        <w:pPr>
          <w:pStyle w:val="Porat"/>
          <w:jc w:val="center"/>
        </w:pPr>
        <w:r>
          <w:fldChar w:fldCharType="begin"/>
        </w:r>
        <w:r>
          <w:instrText>PAGE   \* MERGEFORMAT</w:instrText>
        </w:r>
        <w:r>
          <w:fldChar w:fldCharType="separate"/>
        </w:r>
        <w:r w:rsidR="00D91183">
          <w:rPr>
            <w:noProof/>
          </w:rPr>
          <w:t>7</w:t>
        </w:r>
        <w:r>
          <w:fldChar w:fldCharType="end"/>
        </w:r>
      </w:p>
    </w:sdtContent>
  </w:sdt>
  <w:p w14:paraId="32527C4A" w14:textId="77777777" w:rsidR="00B135A3" w:rsidRDefault="00B135A3" w:rsidP="0080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DA0A9" w14:textId="77777777" w:rsidR="00427FDC" w:rsidRDefault="00427FDC" w:rsidP="0047484A">
      <w:pPr>
        <w:spacing w:before="0" w:after="0"/>
      </w:pPr>
      <w:r>
        <w:separator/>
      </w:r>
    </w:p>
  </w:footnote>
  <w:footnote w:type="continuationSeparator" w:id="0">
    <w:p w14:paraId="454502B5" w14:textId="77777777" w:rsidR="00427FDC" w:rsidRDefault="00427FDC" w:rsidP="0047484A">
      <w:pPr>
        <w:spacing w:before="0" w:after="0"/>
      </w:pPr>
      <w:r>
        <w:continuationSeparator/>
      </w:r>
    </w:p>
  </w:footnote>
  <w:footnote w:type="continuationNotice" w:id="1">
    <w:p w14:paraId="3C363528" w14:textId="77777777" w:rsidR="00427FDC" w:rsidRDefault="00427FDC">
      <w:pPr>
        <w:spacing w:before="0" w:after="0"/>
      </w:pPr>
    </w:p>
  </w:footnote>
  <w:footnote w:id="2">
    <w:p w14:paraId="6FF57825" w14:textId="77777777" w:rsidR="00B135A3" w:rsidRPr="00E11D08" w:rsidRDefault="00B135A3" w:rsidP="00BB4DC2">
      <w:pPr>
        <w:pStyle w:val="Puslapioinaostekstas"/>
        <w:rPr>
          <w:rFonts w:cs="Times New Roman"/>
          <w:sz w:val="16"/>
          <w:szCs w:val="16"/>
          <w:lang w:val="de-AT"/>
        </w:rPr>
      </w:pPr>
      <w:r w:rsidRPr="00E11D08">
        <w:rPr>
          <w:rStyle w:val="Puslapioinaosnuoroda"/>
          <w:rFonts w:cs="Times New Roman"/>
          <w:sz w:val="16"/>
          <w:szCs w:val="16"/>
        </w:rPr>
        <w:footnoteRef/>
      </w:r>
      <w:r w:rsidRPr="00E11D08">
        <w:rPr>
          <w:rFonts w:cs="Times New Roman"/>
          <w:sz w:val="16"/>
          <w:szCs w:val="16"/>
        </w:rPr>
        <w:t xml:space="preserve"> Interviu respondentų sąrašas pateikiamas priede </w:t>
      </w:r>
      <w:r w:rsidRPr="00E11D08">
        <w:rPr>
          <w:rFonts w:cs="Times New Roman"/>
          <w:sz w:val="16"/>
          <w:szCs w:val="16"/>
          <w:lang w:val="de-AT"/>
        </w:rPr>
        <w:t>1.</w:t>
      </w:r>
    </w:p>
  </w:footnote>
  <w:footnote w:id="3">
    <w:p w14:paraId="78D9188E" w14:textId="6E9BBCB3"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Energetinės krizės pasekmės konkurencingumui ir įvairių tikslinių grupių raidai detaliau pristatoma 2.1.2 skyrelyje.</w:t>
      </w:r>
    </w:p>
  </w:footnote>
  <w:footnote w:id="4">
    <w:p w14:paraId="65185B15" w14:textId="3580C0A8" w:rsidR="00B135A3" w:rsidRPr="00E11D08" w:rsidRDefault="00B135A3" w:rsidP="00BB4DC2">
      <w:pPr>
        <w:pStyle w:val="Puslapioinaostekstas"/>
        <w:rPr>
          <w:rFonts w:cs="Times New Roman"/>
          <w:sz w:val="16"/>
          <w:szCs w:val="16"/>
        </w:rPr>
      </w:pPr>
      <w:r w:rsidRPr="00E11D08">
        <w:rPr>
          <w:rStyle w:val="Puslapioinaosnuoroda"/>
          <w:rFonts w:cs="Times New Roman"/>
          <w:sz w:val="16"/>
          <w:szCs w:val="16"/>
        </w:rPr>
        <w:footnoteRef/>
      </w:r>
      <w:r w:rsidRPr="00E11D08">
        <w:rPr>
          <w:rFonts w:cs="Times New Roman"/>
          <w:sz w:val="16"/>
          <w:szCs w:val="16"/>
        </w:rPr>
        <w:t xml:space="preserve"> </w:t>
      </w:r>
      <w:hyperlink r:id="rId1" w:anchor="footnote23" w:history="1">
        <w:r w:rsidRPr="00E11D08">
          <w:rPr>
            <w:rStyle w:val="Hipersaitas"/>
            <w:rFonts w:cs="Times New Roman"/>
            <w:sz w:val="16"/>
            <w:szCs w:val="16"/>
          </w:rPr>
          <w:t>https://eur–lex.europa.eu/legal–content/LT/TXT/HTML/?uri=CELEX:52022DC0230&amp;from=EN#footnote23</w:t>
        </w:r>
      </w:hyperlink>
    </w:p>
  </w:footnote>
  <w:footnote w:id="5">
    <w:p w14:paraId="2F435055" w14:textId="4572A10B"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https://www.litgrid.eu/index.php/energetikos–sistema/elektros–energetikos–sistemos–informacija/elektros–gamybos–ir–vartojimo–balanso–duomenys/2287</w:t>
      </w:r>
    </w:p>
  </w:footnote>
  <w:footnote w:id="6">
    <w:p w14:paraId="7C43E76D" w14:textId="74483BC1"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Pavyzdžiui, </w:t>
      </w:r>
      <w:hyperlink r:id="rId2" w:history="1">
        <w:r w:rsidRPr="00E11D08">
          <w:rPr>
            <w:rStyle w:val="Hipersaitas"/>
            <w:sz w:val="16"/>
            <w:szCs w:val="16"/>
          </w:rPr>
          <w:t>https://www.eparkai.lt/saules–ir–vejo–parku–palyginimas</w:t>
        </w:r>
      </w:hyperlink>
      <w:r w:rsidRPr="00E11D08">
        <w:rPr>
          <w:sz w:val="16"/>
          <w:szCs w:val="16"/>
        </w:rPr>
        <w:t xml:space="preserve">, </w:t>
      </w:r>
      <w:hyperlink r:id="rId3" w:history="1">
        <w:r w:rsidRPr="00E11D08">
          <w:rPr>
            <w:rStyle w:val="Hipersaitas"/>
            <w:sz w:val="16"/>
            <w:szCs w:val="16"/>
          </w:rPr>
          <w:t>https://ens.dk/sites/ens.dk/files/Analyser/technology_data_for_el_and_dh.xlsx</w:t>
        </w:r>
      </w:hyperlink>
      <w:r w:rsidRPr="00E11D08">
        <w:rPr>
          <w:sz w:val="16"/>
          <w:szCs w:val="16"/>
        </w:rPr>
        <w:t xml:space="preserve">; </w:t>
      </w:r>
    </w:p>
  </w:footnote>
  <w:footnote w:id="7">
    <w:p w14:paraId="6E9152FA" w14:textId="0B615D3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Elektrinių įrengimo kaina buvo sudaryta remiantis EM pateiktais duomenimis. EM nurodė, kad jų derybose su EK dėl EGADP ir 2021–2027 m. VP lėšų 1 kW saulės elektrinės kaina siekia 1157 Eur (1400 Eur įskaitant PVM), o vėjo jėgainės 1 kW – 1653 Eur (2000 Eur įskaitant PVM). Atsižvelgiant į tai, kad 2023 m. kainų infliacija sieks 8,4 proc., o 2024 m. – 2,3 proc. (Remiantis Lietuvos banko ir ECB prognozėmis, prieinama </w:t>
      </w:r>
      <w:hyperlink r:id="rId4" w:history="1">
        <w:r w:rsidRPr="00E11D08">
          <w:rPr>
            <w:rStyle w:val="Hipersaitas"/>
            <w:rFonts w:eastAsia="Times New Roman"/>
            <w:sz w:val="16"/>
            <w:szCs w:val="16"/>
          </w:rPr>
          <w:t>https://www.lb.lt/lt/mv–ekonomikos–analize–ir–prognozes</w:t>
        </w:r>
      </w:hyperlink>
      <w:r w:rsidRPr="00E11D08">
        <w:rPr>
          <w:rFonts w:eastAsia="Times New Roman"/>
          <w:color w:val="000000"/>
          <w:sz w:val="16"/>
          <w:szCs w:val="16"/>
        </w:rPr>
        <w:t xml:space="preserve"> bei </w:t>
      </w:r>
      <w:hyperlink r:id="rId5" w:history="1">
        <w:r w:rsidRPr="00E11D08">
          <w:rPr>
            <w:rStyle w:val="Hipersaitas"/>
            <w:rFonts w:eastAsia="Times New Roman"/>
            <w:sz w:val="16"/>
            <w:szCs w:val="16"/>
          </w:rPr>
          <w:t>https://www.ecb.europa.eu/pub/economic–bulletin/html/eb202206.en.html</w:t>
        </w:r>
      </w:hyperlink>
      <w:r w:rsidRPr="00E11D08">
        <w:rPr>
          <w:rFonts w:eastAsia="Times New Roman"/>
          <w:color w:val="000000"/>
          <w:sz w:val="16"/>
          <w:szCs w:val="16"/>
        </w:rPr>
        <w:t>), Vertintojai apskaičiavo, kad ilguoju laikotarpiu galima tikėtis, kad 1 kW saulės pajėgumų kainuos 1552 Eur įskaitant PVM, o vėjo 1 kW – 2218 Eur.</w:t>
      </w:r>
    </w:p>
  </w:footnote>
  <w:footnote w:id="8">
    <w:p w14:paraId="4D310904" w14:textId="4F7A5885" w:rsidR="00B135A3" w:rsidRPr="00E11D08" w:rsidRDefault="00B135A3" w:rsidP="00BB4DC2">
      <w:pPr>
        <w:pStyle w:val="Puslapioinaostekstas"/>
        <w:rPr>
          <w:rFonts w:cs="Times New Roman"/>
          <w:sz w:val="16"/>
          <w:szCs w:val="16"/>
        </w:rPr>
      </w:pPr>
      <w:r w:rsidRPr="00E11D08">
        <w:rPr>
          <w:rStyle w:val="Puslapioinaosnuoroda"/>
          <w:rFonts w:cs="Times New Roman"/>
          <w:sz w:val="16"/>
          <w:szCs w:val="16"/>
        </w:rPr>
        <w:footnoteRef/>
      </w:r>
      <w:r w:rsidRPr="00E11D08">
        <w:rPr>
          <w:rFonts w:cs="Times New Roman"/>
          <w:sz w:val="16"/>
          <w:szCs w:val="16"/>
        </w:rPr>
        <w:t xml:space="preserve"> </w:t>
      </w:r>
      <w:hyperlink r:id="rId6" w:anchor="footnote23" w:history="1">
        <w:r w:rsidRPr="00E11D08">
          <w:rPr>
            <w:rStyle w:val="Hipersaitas"/>
            <w:rFonts w:cs="Times New Roman"/>
            <w:sz w:val="16"/>
            <w:szCs w:val="16"/>
          </w:rPr>
          <w:t>https://eur–lex.europa.eu/legal–content/LT/TXT/HTML/?uri=CELEX:52022DC0230&amp;from=EN#footnote23</w:t>
        </w:r>
      </w:hyperlink>
    </w:p>
  </w:footnote>
  <w:footnote w:id="9">
    <w:p w14:paraId="72F9DA00" w14:textId="5C70ECA0" w:rsidR="00CB35A8" w:rsidRDefault="00CB35A8">
      <w:pPr>
        <w:pStyle w:val="Puslapioinaostekstas"/>
      </w:pPr>
      <w:r>
        <w:rPr>
          <w:rStyle w:val="Puslapioinaosnuoroda"/>
        </w:rPr>
        <w:footnoteRef/>
      </w:r>
      <w:r>
        <w:t xml:space="preserve"> </w:t>
      </w:r>
      <w:r w:rsidRPr="00643AA1">
        <w:rPr>
          <w:sz w:val="16"/>
          <w:szCs w:val="16"/>
        </w:rPr>
        <w:t>Viešieji juridiniai asmenys: valstybės ir savivaldybės įmonės, viešosios įstaigos ir viešieji juridiniai asmenys, atitinkantys pelno nesiekiantiems asmenims nustatytus kriterijus</w:t>
      </w:r>
      <w:r>
        <w:rPr>
          <w:sz w:val="16"/>
          <w:szCs w:val="16"/>
        </w:rPr>
        <w:t>.</w:t>
      </w:r>
    </w:p>
  </w:footnote>
  <w:footnote w:id="10">
    <w:p w14:paraId="3DCCA384" w14:textId="7AB79D60"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ES saulės energetikos strategijoje yra keliami tikslai iki 2025 m. turėti įdiegus 320 GW saulės elektrinių pajėgumus, o iki 2030 m. – 600 GW.</w:t>
      </w:r>
    </w:p>
  </w:footnote>
  <w:footnote w:id="11">
    <w:p w14:paraId="29FA259D" w14:textId="7114A893"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https://ec.europa.eu/docsroom/documents/53134/attachments/1/translations/en/renditions/native</w:t>
      </w:r>
    </w:p>
  </w:footnote>
  <w:footnote w:id="12">
    <w:p w14:paraId="287F27BE" w14:textId="65BF42C8" w:rsidR="00B135A3" w:rsidRPr="00E11D08" w:rsidRDefault="00B135A3" w:rsidP="00BB4DC2">
      <w:pPr>
        <w:pStyle w:val="Puslapioinaostekstas"/>
        <w:ind w:left="567"/>
        <w:rPr>
          <w:sz w:val="16"/>
          <w:szCs w:val="16"/>
        </w:rPr>
      </w:pPr>
      <w:r w:rsidRPr="00E11D08">
        <w:rPr>
          <w:rStyle w:val="Puslapioinaosnuoroda"/>
          <w:sz w:val="16"/>
          <w:szCs w:val="16"/>
        </w:rPr>
        <w:footnoteRef/>
      </w:r>
      <w:r w:rsidRPr="00E11D08">
        <w:rPr>
          <w:sz w:val="16"/>
          <w:szCs w:val="16"/>
        </w:rPr>
        <w:t xml:space="preserve"> Viena iš pirmųjų AIEB buvo </w:t>
      </w:r>
      <w:r w:rsidRPr="00E11D08">
        <w:rPr>
          <w:sz w:val="16"/>
          <w:szCs w:val="16"/>
        </w:rPr>
        <w:t>Tvindkraft vėjo jėgainės projektas, kuriame 1978 m. dalyvavo šimtai žmonių iš Ulfborgo bendruomenės Danijoje. Nuo to laiko energijos bendruomenės ypač išpopuliarėjo Danijoje, Vokietijoje, taip pat kai kuriose Jungtinės Karalystės dalyse. Iki 2012 m. 34 proc. Vokietijoje įrengtų atsinaujinančių energijos išteklių pajėgumų priklausė bendruomenių grupėms.</w:t>
      </w:r>
    </w:p>
  </w:footnote>
  <w:footnote w:id="13">
    <w:p w14:paraId="0784342B" w14:textId="0C078D74"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w:t>
      </w:r>
      <w:hyperlink r:id="rId7" w:history="1">
        <w:r w:rsidRPr="00E11D08">
          <w:rPr>
            <w:rStyle w:val="Hipersaitas"/>
            <w:sz w:val="16"/>
            <w:szCs w:val="16"/>
          </w:rPr>
          <w:t>https://energy.ec.europa.eu/topics/energy–strategy/clean–energy–all–europeans–package_en</w:t>
        </w:r>
      </w:hyperlink>
      <w:r w:rsidRPr="00E11D08">
        <w:rPr>
          <w:sz w:val="16"/>
          <w:szCs w:val="16"/>
        </w:rPr>
        <w:t xml:space="preserve"> </w:t>
      </w:r>
    </w:p>
  </w:footnote>
  <w:footnote w:id="14">
    <w:p w14:paraId="48545185" w14:textId="7CDCF3C3"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EK energetinį nepriteklius apibrėžiamas kaip negebėjimas užtikrinti tinkamo būsto šildymo arba naudotis kitomis būtinosiomis energetikos paslaugomis (remiantis 2011/C 44/09 https://eur–lex.europa.eu/legal–content/LT/TXT/PDF/?uri=OJ:C:2011:044:FULL&amp;from=SK).</w:t>
      </w:r>
    </w:p>
  </w:footnote>
  <w:footnote w:id="15">
    <w:p w14:paraId="6D33B691" w14:textId="4CF8E092" w:rsidR="00B135A3" w:rsidRPr="00E11D08" w:rsidRDefault="00B135A3" w:rsidP="00BB4DC2">
      <w:pPr>
        <w:pStyle w:val="Puslapioinaostekstas"/>
        <w:rPr>
          <w:rFonts w:cs="Times New Roman"/>
          <w:sz w:val="16"/>
          <w:szCs w:val="16"/>
        </w:rPr>
      </w:pPr>
      <w:r w:rsidRPr="00E11D08">
        <w:rPr>
          <w:rStyle w:val="Puslapioinaosnuoroda"/>
          <w:rFonts w:cs="Times New Roman"/>
          <w:sz w:val="16"/>
          <w:szCs w:val="16"/>
        </w:rPr>
        <w:footnoteRef/>
      </w:r>
      <w:r w:rsidRPr="00E11D08">
        <w:rPr>
          <w:rFonts w:cs="Times New Roman"/>
          <w:sz w:val="16"/>
          <w:szCs w:val="16"/>
        </w:rPr>
        <w:t xml:space="preserve"> </w:t>
      </w:r>
      <w:hyperlink r:id="rId8" w:history="1">
        <w:r w:rsidRPr="00E11D08">
          <w:rPr>
            <w:rStyle w:val="Hipersaitas"/>
            <w:rFonts w:cs="Times New Roman"/>
            <w:sz w:val="16"/>
            <w:szCs w:val="16"/>
          </w:rPr>
          <w:t>https://e–seimas.lrs.lt/portal/legalAct/lt/TAD/TAIS.106350/asr</w:t>
        </w:r>
      </w:hyperlink>
    </w:p>
  </w:footnote>
  <w:footnote w:id="16">
    <w:p w14:paraId="73EFC9E4" w14:textId="31591279" w:rsidR="00B135A3" w:rsidRPr="00E11D08" w:rsidRDefault="00B135A3" w:rsidP="00BB4DC2">
      <w:pPr>
        <w:pStyle w:val="Puslapioinaostekstas"/>
        <w:rPr>
          <w:rFonts w:cs="Times New Roman"/>
          <w:sz w:val="16"/>
          <w:szCs w:val="16"/>
        </w:rPr>
      </w:pPr>
      <w:r w:rsidRPr="00E11D08">
        <w:rPr>
          <w:rStyle w:val="Puslapioinaosnuoroda"/>
          <w:rFonts w:cs="Times New Roman"/>
          <w:sz w:val="16"/>
          <w:szCs w:val="16"/>
        </w:rPr>
        <w:footnoteRef/>
      </w:r>
      <w:r w:rsidRPr="00E11D08">
        <w:rPr>
          <w:rFonts w:cs="Times New Roman"/>
          <w:sz w:val="16"/>
          <w:szCs w:val="16"/>
        </w:rPr>
        <w:t xml:space="preserve"> </w:t>
      </w:r>
      <w:hyperlink r:id="rId9" w:history="1">
        <w:r w:rsidRPr="00E11D08">
          <w:rPr>
            <w:rStyle w:val="Hipersaitas"/>
            <w:rFonts w:cs="Times New Roman"/>
            <w:sz w:val="16"/>
            <w:szCs w:val="16"/>
          </w:rPr>
          <w:t>https://eur–lex.europa.eu/legal–content/LT/TXT/?uri=CELEX%3A32018L2001</w:t>
        </w:r>
      </w:hyperlink>
      <w:r w:rsidRPr="00E11D08">
        <w:rPr>
          <w:rFonts w:cs="Times New Roman"/>
          <w:sz w:val="16"/>
          <w:szCs w:val="16"/>
        </w:rPr>
        <w:t xml:space="preserve"> </w:t>
      </w:r>
    </w:p>
  </w:footnote>
  <w:footnote w:id="17">
    <w:p w14:paraId="51211B59" w14:textId="6C895FF5" w:rsidR="00B135A3" w:rsidRPr="00E11D08" w:rsidRDefault="00B135A3" w:rsidP="00BB4DC2">
      <w:pPr>
        <w:pStyle w:val="Puslapioinaostekstas"/>
        <w:rPr>
          <w:rFonts w:cs="Times New Roman"/>
          <w:sz w:val="16"/>
          <w:szCs w:val="16"/>
        </w:rPr>
      </w:pPr>
      <w:r w:rsidRPr="00E11D08">
        <w:rPr>
          <w:rStyle w:val="Puslapioinaosnuoroda"/>
          <w:rFonts w:cs="Times New Roman"/>
          <w:sz w:val="16"/>
          <w:szCs w:val="16"/>
        </w:rPr>
        <w:footnoteRef/>
      </w:r>
      <w:r w:rsidRPr="00E11D08">
        <w:rPr>
          <w:rFonts w:cs="Times New Roman"/>
          <w:sz w:val="16"/>
          <w:szCs w:val="16"/>
        </w:rPr>
        <w:t xml:space="preserve"> </w:t>
      </w:r>
      <w:hyperlink r:id="rId10" w:history="1">
        <w:r w:rsidRPr="00E11D08">
          <w:rPr>
            <w:rStyle w:val="Hipersaitas"/>
            <w:rFonts w:cs="Times New Roman"/>
            <w:sz w:val="16"/>
            <w:szCs w:val="16"/>
          </w:rPr>
          <w:t>https://www.vipa.lt/wp–content/uploads/2021/11/FINAL–powerty_newsletter04_lt–002.pdf</w:t>
        </w:r>
      </w:hyperlink>
      <w:r w:rsidRPr="00E11D08">
        <w:rPr>
          <w:rFonts w:cs="Times New Roman"/>
          <w:sz w:val="16"/>
          <w:szCs w:val="16"/>
        </w:rPr>
        <w:t xml:space="preserve"> </w:t>
      </w:r>
    </w:p>
  </w:footnote>
  <w:footnote w:id="18">
    <w:p w14:paraId="771B0EB1" w14:textId="700B10B1"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Remiantis </w:t>
      </w:r>
      <w:r w:rsidRPr="00E11D08">
        <w:rPr>
          <w:bCs/>
          <w:sz w:val="16"/>
          <w:szCs w:val="16"/>
        </w:rPr>
        <w:t>Lietuvos Respublikos valstybės ir savivaldybių turto valdymo, naudojimo ir disponavimo juo įstatymu.</w:t>
      </w:r>
    </w:p>
  </w:footnote>
  <w:footnote w:id="19">
    <w:p w14:paraId="3FD50684" w14:textId="45A90BFA"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Turto bankas administruoja Valstybės turto informacinės paieškos sistemą, kurioje yra kaupiama informacija </w:t>
      </w:r>
      <w:r w:rsidRPr="00E11D08">
        <w:rPr>
          <w:sz w:val="16"/>
          <w:szCs w:val="16"/>
        </w:rPr>
        <w:t>informacija apie kiekį, išlaikymo sąnaudas ir kitus aspektus, susijusius su valstybės NT. Į šią sistemą pateikia duomenis visi valstybės NT valdytojai. Pateikta informacija ne tik anksčiau paminėtus aspektus, tačiau ir informaciją apie valstybės nekilnojamojo turto galiojančias panaudos, nuomos, patikėjimo sutartis ir apie sudarytas naujas panaudos, nuomos, patikėjimo ir pirkimo – pardavimo sutartis.</w:t>
      </w:r>
    </w:p>
  </w:footnote>
  <w:footnote w:id="20">
    <w:p w14:paraId="6954E884" w14:textId="02B3C5F0"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Remiantis Valstybės kontrolės audito „Savivaldybių nekilnojamo turto valdymas“ ataskaitoje pateikiama informacija. Prieinama https://www.valstybeskontrole.lt/LT/Post/15534/valstybes–kontrole–efektyvesnis–nekilnojamojo–turto–valdymas–savivaldybese–uztik</w:t>
      </w:r>
    </w:p>
  </w:footnote>
  <w:footnote w:id="21">
    <w:p w14:paraId="2C005141" w14:textId="14980700"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IRS įverčiai buvo apskaičiuoti padalinus IRS esančios 19 lentelės duomenis iš IRS esančios 15 lentelės duomenų. </w:t>
      </w:r>
    </w:p>
  </w:footnote>
  <w:footnote w:id="22">
    <w:p w14:paraId="1BB7CA4C" w14:textId="3CBB6BB8" w:rsidR="00B135A3" w:rsidRPr="00E11D08" w:rsidRDefault="00B135A3" w:rsidP="00A83BFD">
      <w:pPr>
        <w:pStyle w:val="Puslapioinaostekstas"/>
        <w:jc w:val="left"/>
        <w:rPr>
          <w:sz w:val="16"/>
          <w:szCs w:val="16"/>
        </w:rPr>
      </w:pPr>
      <w:r w:rsidRPr="00E11D08">
        <w:rPr>
          <w:rStyle w:val="Puslapioinaosnuoroda"/>
          <w:sz w:val="16"/>
          <w:szCs w:val="16"/>
        </w:rPr>
        <w:footnoteRef/>
      </w:r>
      <w:r w:rsidRPr="00E11D08">
        <w:rPr>
          <w:sz w:val="16"/>
          <w:szCs w:val="16"/>
        </w:rPr>
        <w:t xml:space="preserve"> Nors viešai prieinamos informacijos apie elektros suvartojimą, tenkantį vienam </w:t>
      </w:r>
      <w:r w:rsidRPr="00E11D08">
        <w:rPr>
          <w:sz w:val="16"/>
          <w:szCs w:val="16"/>
        </w:rPr>
        <w:t xml:space="preserve">kv.m., yra labai mažai, Airijos statistikos departamentas tokius skaičiavimus atlieka (prieinama: </w:t>
      </w:r>
      <w:hyperlink r:id="rId11" w:history="1">
        <w:r w:rsidRPr="00E11D08">
          <w:rPr>
            <w:rStyle w:val="Hipersaitas"/>
            <w:sz w:val="16"/>
            <w:szCs w:val="16"/>
          </w:rPr>
          <w:t>https://www.cso.ie/en/releasesandpublications/ep/p–ndecber/non–domesticelectricityconsumptionbybuildingenergyratings2021/</w:t>
        </w:r>
      </w:hyperlink>
      <w:r w:rsidRPr="00E11D08">
        <w:rPr>
          <w:sz w:val="16"/>
          <w:szCs w:val="16"/>
        </w:rPr>
        <w:t>). Airijos įverčiai yra labai panašūs į IRS pateikiamus įverčius. Įverčių panašumas suteikia patikimo IRS įverčių tolimesniam naudojimui.</w:t>
      </w:r>
    </w:p>
  </w:footnote>
  <w:footnote w:id="23">
    <w:p w14:paraId="1ABDE535" w14:textId="7571DEC6" w:rsidR="00B135A3" w:rsidRPr="00E11D08" w:rsidRDefault="00B135A3" w:rsidP="00BB4DC2">
      <w:pPr>
        <w:pStyle w:val="Puslapioinaostekstas"/>
        <w:ind w:left="567"/>
        <w:rPr>
          <w:sz w:val="16"/>
          <w:szCs w:val="16"/>
        </w:rPr>
      </w:pPr>
      <w:r w:rsidRPr="00E11D08">
        <w:rPr>
          <w:rStyle w:val="Puslapioinaosnuoroda"/>
          <w:sz w:val="16"/>
          <w:szCs w:val="16"/>
        </w:rPr>
        <w:footnoteRef/>
      </w:r>
      <w:r w:rsidRPr="00E11D08">
        <w:rPr>
          <w:sz w:val="16"/>
          <w:szCs w:val="16"/>
        </w:rPr>
        <w:t xml:space="preserve"> Viena iš pirmųjų AIEB buvo </w:t>
      </w:r>
      <w:r w:rsidRPr="00E11D08">
        <w:rPr>
          <w:sz w:val="16"/>
          <w:szCs w:val="16"/>
        </w:rPr>
        <w:t>Tvindkraft vėjo jėgainės projektas, kuriame 1978 m. dalyvavo šimtai žmonių iš Ulfborgo bendruomenės Danijoje. Nuo to laiko energijos bendruomenės ypač išpopuliarėjo Danijoje, Vokietijoje, taip pat kai kuriose Jungtinės Karalystės dalyse. Iki 2012 m. 34 proc. Vokietijoje įrengtų atsinaujinančių energijos išteklių pajėgumų priklausė bendruomenių grupėms.</w:t>
      </w:r>
    </w:p>
  </w:footnote>
  <w:footnote w:id="24">
    <w:p w14:paraId="79EB4471" w14:textId="53E44CB8"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https://lsta.lt/wp–content/uploads/2019/02/Energetinio–skurdo–rodikliai.pdf</w:t>
      </w:r>
    </w:p>
  </w:footnote>
  <w:footnote w:id="25">
    <w:p w14:paraId="6584D7C3"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Naujausios šių rodiklių reikšmės Lietuvos statistikos departamento duomenų bazėje yra prieinamos už 2020–2021 m. metus.</w:t>
      </w:r>
    </w:p>
  </w:footnote>
  <w:footnote w:id="26">
    <w:p w14:paraId="18C77C5D" w14:textId="10CBC15F"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https://enmin.lrv.lt/uploads/enmin/documents/files/NEKSP%20atnaujinimas_Vidaus%20rinkos%20DG_Energijos%20nepriteklius_0614%20.pdf</w:t>
      </w:r>
    </w:p>
  </w:footnote>
  <w:footnote w:id="27">
    <w:p w14:paraId="39868447" w14:textId="74A8CB0F"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Remiantis interviu su LEA atstovais medžiaga</w:t>
      </w:r>
    </w:p>
  </w:footnote>
  <w:footnote w:id="28">
    <w:p w14:paraId="1A391172" w14:textId="40D0091D"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Tik dalis numatytų investicijų bus skiriamos į elektros gamybai skirta AEI plėtrą.</w:t>
      </w:r>
    </w:p>
  </w:footnote>
  <w:footnote w:id="29">
    <w:p w14:paraId="595FCFF4"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Tik dalis numatytų investicijų skiriamos į elektros gamybai skirtą AEI plėtrą.</w:t>
      </w:r>
    </w:p>
  </w:footnote>
  <w:footnote w:id="30">
    <w:p w14:paraId="4D9145E7" w14:textId="277FD092"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w:t>
      </w:r>
      <w:hyperlink r:id="rId12" w:history="1">
        <w:r w:rsidR="00224D27" w:rsidRPr="009A0CA5">
          <w:rPr>
            <w:rStyle w:val="Hipersaitas"/>
            <w:sz w:val="16"/>
            <w:szCs w:val="16"/>
          </w:rPr>
          <w:t>https://e–seimas.lrs.lt/portal/legalAct/lt/TAP/26a26360cd3511ecb69ea7b9ba9d787b</w:t>
        </w:r>
      </w:hyperlink>
      <w:r w:rsidR="00224D27">
        <w:rPr>
          <w:sz w:val="16"/>
          <w:szCs w:val="16"/>
        </w:rPr>
        <w:t xml:space="preserve"> </w:t>
      </w:r>
    </w:p>
  </w:footnote>
  <w:footnote w:id="31">
    <w:p w14:paraId="2400557F" w14:textId="77777777" w:rsidR="00B135A3" w:rsidRPr="00E11D08" w:rsidRDefault="00B135A3" w:rsidP="00F015E8">
      <w:pPr>
        <w:pStyle w:val="Puslapioinaostekstas"/>
        <w:rPr>
          <w:sz w:val="16"/>
          <w:szCs w:val="16"/>
        </w:rPr>
      </w:pPr>
      <w:r w:rsidRPr="00E11D08">
        <w:rPr>
          <w:rStyle w:val="Puslapioinaosnuoroda"/>
          <w:sz w:val="16"/>
          <w:szCs w:val="16"/>
        </w:rPr>
        <w:footnoteRef/>
      </w:r>
      <w:r w:rsidRPr="00E11D08">
        <w:rPr>
          <w:sz w:val="16"/>
          <w:szCs w:val="16"/>
        </w:rPr>
        <w:t xml:space="preserve"> Iš analizuojamų metų paskolų portfelio vertės atimamas praėjusių metų paskolų portfelio vertė.</w:t>
      </w:r>
    </w:p>
  </w:footnote>
  <w:footnote w:id="32">
    <w:p w14:paraId="64CADA3E"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Tik dalis numatytų investicijų skiriamos į elektros gamybai skirtą AEI plėtrą.</w:t>
      </w:r>
    </w:p>
  </w:footnote>
  <w:footnote w:id="33">
    <w:p w14:paraId="5B9E734A"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Pavyzdžiui, </w:t>
      </w:r>
      <w:hyperlink r:id="rId13" w:history="1">
        <w:r w:rsidRPr="00E11D08">
          <w:rPr>
            <w:rStyle w:val="Hipersaitas"/>
            <w:sz w:val="16"/>
            <w:szCs w:val="16"/>
          </w:rPr>
          <w:t>https://www.irena.org/publications/2022/Jul/Renewable–Power–Generation–Costs–in–2021</w:t>
        </w:r>
      </w:hyperlink>
      <w:r w:rsidRPr="00E11D08">
        <w:rPr>
          <w:sz w:val="16"/>
          <w:szCs w:val="16"/>
        </w:rPr>
        <w:t>. Vėjo elektrinių, statomų sausumoje, išlygintos elektros energijos kainos rodiklio vertės istoriškai ir remiantis 2022 m. duomenimis buvo mažesnės nei saulės jėgainių.</w:t>
      </w:r>
    </w:p>
  </w:footnote>
  <w:footnote w:id="34">
    <w:p w14:paraId="68B9B5EC" w14:textId="013D4D1E"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Šis įkainis atspindi 1 kW nutolusios elektrinės įkainį. Kai elektrinės yra įrenginėjamos nuosavame plote įkainis yra maždaug 5 proc. didesnis (1 213 Eur) remiantis EM pateiktais duomenimis. Vis dėlto, Vertintojai nusprendė pasirinkti žemesnį nutolusios elektrinės įkainį darydami prielaida, kad ilguoju laikotarpiu kainų skirtumai susilygins bei tai, kad dauguma respondentų įsidiegs nutolusių elektrinių pajėgumus.</w:t>
      </w:r>
    </w:p>
  </w:footnote>
  <w:footnote w:id="35">
    <w:p w14:paraId="378508FC"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Remiantis Lietuvos banko ir ECB prognozėmis, prieinama </w:t>
      </w:r>
      <w:hyperlink r:id="rId14" w:history="1">
        <w:r w:rsidRPr="00E11D08">
          <w:rPr>
            <w:rStyle w:val="Hipersaitas"/>
            <w:rFonts w:eastAsia="Times New Roman"/>
            <w:sz w:val="16"/>
            <w:szCs w:val="16"/>
          </w:rPr>
          <w:t>https://www.lb.lt/lt/mv–ekonomikos–analize–ir–prognozes</w:t>
        </w:r>
      </w:hyperlink>
      <w:r w:rsidRPr="00E11D08">
        <w:rPr>
          <w:rFonts w:eastAsia="Times New Roman"/>
          <w:color w:val="000000"/>
          <w:sz w:val="16"/>
          <w:szCs w:val="16"/>
        </w:rPr>
        <w:t xml:space="preserve"> bei </w:t>
      </w:r>
      <w:hyperlink r:id="rId15" w:history="1">
        <w:r w:rsidRPr="00E11D08">
          <w:rPr>
            <w:rStyle w:val="Hipersaitas"/>
            <w:rFonts w:eastAsia="Times New Roman"/>
            <w:sz w:val="16"/>
            <w:szCs w:val="16"/>
          </w:rPr>
          <w:t>https://www.ecb.europa.eu/pub/economic–bulletin/html/eb202206.en.html</w:t>
        </w:r>
      </w:hyperlink>
      <w:r w:rsidRPr="00E11D08">
        <w:rPr>
          <w:rFonts w:eastAsia="Times New Roman"/>
          <w:color w:val="000000"/>
          <w:sz w:val="16"/>
          <w:szCs w:val="16"/>
        </w:rPr>
        <w:t xml:space="preserve">. </w:t>
      </w:r>
    </w:p>
  </w:footnote>
  <w:footnote w:id="36">
    <w:p w14:paraId="05B674C1"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w:t>
      </w:r>
      <w:hyperlink r:id="rId16" w:history="1">
        <w:r w:rsidRPr="00E11D08">
          <w:rPr>
            <w:rStyle w:val="Hipersaitas"/>
            <w:sz w:val="16"/>
            <w:szCs w:val="16"/>
          </w:rPr>
          <w:t>https://ens.dk/sites/ens.dk/files/Analyser/technology_data_for_el_and_dh.xlsx</w:t>
        </w:r>
      </w:hyperlink>
      <w:r w:rsidRPr="00E11D08">
        <w:rPr>
          <w:sz w:val="16"/>
          <w:szCs w:val="16"/>
        </w:rPr>
        <w:t xml:space="preserve">. </w:t>
      </w:r>
    </w:p>
  </w:footnote>
  <w:footnote w:id="37">
    <w:p w14:paraId="43A9D559"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https://enmin.lrv.lt/lt/veiklos–sritys–3/atsinaujinantys–energijos–istekliai/elektros–energija–gaminantys–vartotojai/dazniausiai–uzduodami–klausimai–apie–elektra–gaminancius–vartotojus</w:t>
      </w:r>
    </w:p>
  </w:footnote>
  <w:footnote w:id="38">
    <w:p w14:paraId="656A8AE0"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Pavyzdžiui, </w:t>
      </w:r>
      <w:hyperlink r:id="rId17" w:history="1">
        <w:r w:rsidRPr="00E11D08">
          <w:rPr>
            <w:rStyle w:val="Hipersaitas"/>
            <w:sz w:val="16"/>
            <w:szCs w:val="16"/>
          </w:rPr>
          <w:t>https://www.forbes.com/home–improvement/solar/how–long–do–solar–panels–last/</w:t>
        </w:r>
      </w:hyperlink>
      <w:r w:rsidRPr="00E11D08">
        <w:rPr>
          <w:sz w:val="16"/>
          <w:szCs w:val="16"/>
        </w:rPr>
        <w:t xml:space="preserve"> ar </w:t>
      </w:r>
      <w:hyperlink r:id="rId18" w:history="1">
        <w:r w:rsidRPr="00E11D08">
          <w:rPr>
            <w:rStyle w:val="Hipersaitas"/>
            <w:sz w:val="16"/>
            <w:szCs w:val="16"/>
          </w:rPr>
          <w:t>https://www.nrel.gov/docs/fy12osti/51664.pdf</w:t>
        </w:r>
      </w:hyperlink>
      <w:r w:rsidRPr="00E11D08">
        <w:rPr>
          <w:sz w:val="16"/>
          <w:szCs w:val="16"/>
        </w:rPr>
        <w:t xml:space="preserve">. </w:t>
      </w:r>
    </w:p>
  </w:footnote>
  <w:footnote w:id="39">
    <w:p w14:paraId="435EA185"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w:t>
      </w:r>
      <w:hyperlink r:id="rId19" w:history="1">
        <w:r w:rsidRPr="00E11D08">
          <w:rPr>
            <w:rStyle w:val="Hipersaitas"/>
            <w:sz w:val="16"/>
            <w:szCs w:val="16"/>
          </w:rPr>
          <w:t>https://www.eparkai.lt/saules–ir–vejo–parku–palyginimas</w:t>
        </w:r>
      </w:hyperlink>
      <w:r w:rsidRPr="00E11D08">
        <w:rPr>
          <w:sz w:val="16"/>
          <w:szCs w:val="16"/>
        </w:rPr>
        <w:t xml:space="preserve">. </w:t>
      </w:r>
    </w:p>
  </w:footnote>
  <w:footnote w:id="40">
    <w:p w14:paraId="2067459B" w14:textId="77777777"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Pavyzdžiui, </w:t>
      </w:r>
      <w:hyperlink r:id="rId20" w:history="1">
        <w:r w:rsidRPr="00E11D08">
          <w:rPr>
            <w:rStyle w:val="Hipersaitas"/>
            <w:sz w:val="16"/>
            <w:szCs w:val="16"/>
          </w:rPr>
          <w:t>https://www.nrel.gov/docs/fy12osti/51664.pdf</w:t>
        </w:r>
      </w:hyperlink>
      <w:r w:rsidRPr="00E11D08">
        <w:rPr>
          <w:sz w:val="16"/>
          <w:szCs w:val="16"/>
        </w:rPr>
        <w:t xml:space="preserve"> arba </w:t>
      </w:r>
      <w:hyperlink r:id="rId21" w:history="1">
        <w:r w:rsidRPr="00E11D08">
          <w:rPr>
            <w:rStyle w:val="Hipersaitas"/>
            <w:sz w:val="16"/>
            <w:szCs w:val="16"/>
          </w:rPr>
          <w:t>https://www.nrel.gov/state–local–tribal/blog/posts/stat–faqs–part2–lifetime–of–pv–panels.html</w:t>
        </w:r>
      </w:hyperlink>
      <w:r w:rsidRPr="00E11D08">
        <w:rPr>
          <w:sz w:val="16"/>
          <w:szCs w:val="16"/>
        </w:rPr>
        <w:t xml:space="preserve">. </w:t>
      </w:r>
    </w:p>
  </w:footnote>
  <w:footnote w:id="41">
    <w:p w14:paraId="6EB1990D" w14:textId="77777777" w:rsidR="00B135A3" w:rsidRPr="00E11D08" w:rsidRDefault="00B135A3" w:rsidP="00643CB4">
      <w:pPr>
        <w:pStyle w:val="Puslapioinaostekstas"/>
        <w:rPr>
          <w:sz w:val="16"/>
          <w:szCs w:val="16"/>
        </w:rPr>
      </w:pPr>
      <w:r w:rsidRPr="00E11D08">
        <w:rPr>
          <w:rStyle w:val="Puslapioinaosnuoroda"/>
          <w:sz w:val="16"/>
          <w:szCs w:val="16"/>
        </w:rPr>
        <w:footnoteRef/>
      </w:r>
      <w:r w:rsidRPr="00E11D08">
        <w:rPr>
          <w:sz w:val="16"/>
          <w:szCs w:val="16"/>
        </w:rPr>
        <w:t xml:space="preserve"> Elektrinės greitai nudėvimos, o taip pat elektrinės neturi antrinės rinkos, kurioje elektrinės galėtų būti realizuojamos.</w:t>
      </w:r>
    </w:p>
  </w:footnote>
  <w:footnote w:id="42">
    <w:p w14:paraId="6433FB76" w14:textId="49157EC0" w:rsidR="00B2273A" w:rsidRDefault="00B2273A">
      <w:pPr>
        <w:pStyle w:val="Puslapioinaostekstas"/>
      </w:pPr>
      <w:r w:rsidRPr="007863F6">
        <w:rPr>
          <w:rStyle w:val="Puslapioinaosnuoroda"/>
          <w:sz w:val="16"/>
          <w:szCs w:val="16"/>
        </w:rPr>
        <w:footnoteRef/>
      </w:r>
      <w:r w:rsidRPr="007863F6">
        <w:rPr>
          <w:sz w:val="16"/>
          <w:szCs w:val="16"/>
        </w:rPr>
        <w:t xml:space="preserve"> Šaltinis: </w:t>
      </w:r>
      <w:hyperlink r:id="rId22" w:history="1">
        <w:r w:rsidRPr="007863F6">
          <w:rPr>
            <w:rStyle w:val="Hipersaitas"/>
            <w:sz w:val="16"/>
            <w:szCs w:val="16"/>
          </w:rPr>
          <w:t>https://www.vert.lt/Puslapiai/bendra/Paslaugos/atsinaujinanciu-istekliu-energijos-bendriju-statuso-turetojai.aspx</w:t>
        </w:r>
      </w:hyperlink>
      <w:r w:rsidR="0076337F">
        <w:rPr>
          <w:sz w:val="16"/>
          <w:szCs w:val="16"/>
        </w:rPr>
        <w:t xml:space="preserve"> </w:t>
      </w:r>
    </w:p>
  </w:footnote>
  <w:footnote w:id="43">
    <w:p w14:paraId="6927C2B8" w14:textId="587F2AD1" w:rsidR="00A148ED" w:rsidRDefault="00A148ED">
      <w:pPr>
        <w:pStyle w:val="Puslapioinaostekstas"/>
      </w:pPr>
      <w:r w:rsidRPr="007863F6">
        <w:rPr>
          <w:rStyle w:val="Puslapioinaosnuoroda"/>
          <w:sz w:val="16"/>
          <w:szCs w:val="16"/>
        </w:rPr>
        <w:footnoteRef/>
      </w:r>
      <w:r w:rsidRPr="007863F6">
        <w:rPr>
          <w:sz w:val="16"/>
          <w:szCs w:val="16"/>
        </w:rPr>
        <w:t xml:space="preserve"> </w:t>
      </w:r>
      <w:r w:rsidR="00271DBE">
        <w:rPr>
          <w:sz w:val="16"/>
          <w:szCs w:val="16"/>
        </w:rPr>
        <w:t xml:space="preserve">Šaltinis: </w:t>
      </w:r>
      <w:hyperlink r:id="rId23" w:history="1">
        <w:r w:rsidR="00B2273A" w:rsidRPr="007863F6">
          <w:rPr>
            <w:rStyle w:val="Hipersaitas"/>
            <w:sz w:val="16"/>
            <w:szCs w:val="16"/>
          </w:rPr>
          <w:t>https://www.vert.lt/Puslapiai/bendra/Paslaugos/Pilieciu-energetikos-bendrijos-statuto-turetojas.aspx</w:t>
        </w:r>
      </w:hyperlink>
      <w:r w:rsidR="00271DBE">
        <w:rPr>
          <w:sz w:val="16"/>
          <w:szCs w:val="16"/>
        </w:rPr>
        <w:t xml:space="preserve"> </w:t>
      </w:r>
    </w:p>
  </w:footnote>
  <w:footnote w:id="44">
    <w:p w14:paraId="2E49738C" w14:textId="77777777" w:rsidR="00B135A3" w:rsidRPr="00E11D08" w:rsidRDefault="00B135A3" w:rsidP="00643CB4">
      <w:pPr>
        <w:pStyle w:val="Puslapioinaostekstas"/>
        <w:rPr>
          <w:sz w:val="16"/>
          <w:szCs w:val="16"/>
        </w:rPr>
      </w:pPr>
      <w:r w:rsidRPr="00E11D08">
        <w:rPr>
          <w:rStyle w:val="Puslapioinaosnuoroda"/>
          <w:sz w:val="16"/>
          <w:szCs w:val="16"/>
        </w:rPr>
        <w:footnoteRef/>
      </w:r>
      <w:r w:rsidRPr="00E11D08">
        <w:rPr>
          <w:sz w:val="16"/>
          <w:szCs w:val="16"/>
        </w:rPr>
        <w:t xml:space="preserve"> Remiantis atliktų anketinių apklausų / interviu su finansų įstaigų informacija.</w:t>
      </w:r>
    </w:p>
  </w:footnote>
  <w:footnote w:id="45">
    <w:p w14:paraId="52E28405" w14:textId="77777777" w:rsidR="00B135A3" w:rsidRPr="00E11D08" w:rsidRDefault="00B135A3" w:rsidP="00643CB4">
      <w:pPr>
        <w:pStyle w:val="Puslapioinaostekstas"/>
        <w:rPr>
          <w:sz w:val="16"/>
          <w:szCs w:val="16"/>
        </w:rPr>
      </w:pPr>
    </w:p>
  </w:footnote>
  <w:footnote w:id="46">
    <w:p w14:paraId="189E1859" w14:textId="48BA0DAD" w:rsidR="00B135A3" w:rsidRPr="00E11D08" w:rsidRDefault="00B135A3">
      <w:pPr>
        <w:pStyle w:val="Puslapioinaostekstas"/>
        <w:rPr>
          <w:sz w:val="16"/>
          <w:szCs w:val="16"/>
        </w:rPr>
      </w:pPr>
      <w:r w:rsidRPr="00E11D08">
        <w:rPr>
          <w:rStyle w:val="Puslapioinaosnuoroda"/>
          <w:sz w:val="16"/>
          <w:szCs w:val="16"/>
        </w:rPr>
        <w:footnoteRef/>
      </w:r>
      <w:r w:rsidRPr="00E11D08">
        <w:rPr>
          <w:sz w:val="16"/>
          <w:szCs w:val="16"/>
        </w:rPr>
        <w:t xml:space="preserve"> https://www.lb.lt/uploads/publications/docs/34092_c20fb83cb73fe98683369492592a17b4.pdf</w:t>
      </w:r>
    </w:p>
  </w:footnote>
  <w:footnote w:id="47">
    <w:p w14:paraId="56EF9C91" w14:textId="77777777" w:rsidR="00B135A3" w:rsidRPr="00E11D08" w:rsidRDefault="00B135A3" w:rsidP="00643CB4">
      <w:pPr>
        <w:pStyle w:val="Puslapioinaostekstas"/>
        <w:rPr>
          <w:sz w:val="16"/>
          <w:szCs w:val="16"/>
        </w:rPr>
      </w:pPr>
      <w:r w:rsidRPr="00E11D08">
        <w:rPr>
          <w:rStyle w:val="Puslapioinaosnuoroda"/>
          <w:sz w:val="16"/>
          <w:szCs w:val="16"/>
        </w:rPr>
        <w:footnoteRef/>
      </w:r>
      <w:r w:rsidRPr="00E11D08">
        <w:rPr>
          <w:sz w:val="16"/>
          <w:szCs w:val="16"/>
        </w:rPr>
        <w:t xml:space="preserve"> Rizikos kapitalo finansinės priemonės dažniausiai investuoja į labai aukštos rizikos inovatyvių produktų  / įmonių akcinį kapitalą. Rizikos kapitalo investicijų atveju yra nevengiama rizikos, imantis inovatyvių, dar nežinomų bei neišbandytų sričių finansavimo. Kadangi saulės ir vėjo elektrinių investicijos nėra inovatyvus produktas, o taip pat šių investicijų atveju yra aiškus projektų atsiperkamumas, tai rizikos kapitalo investicijų produktas investicijoms į tradicines AEI technologijas nėra tinkamas.</w:t>
      </w:r>
    </w:p>
  </w:footnote>
  <w:footnote w:id="48">
    <w:p w14:paraId="41563DF8" w14:textId="77777777" w:rsidR="00B135A3" w:rsidRPr="00E24002" w:rsidRDefault="00B135A3" w:rsidP="00643CB4">
      <w:pPr>
        <w:pStyle w:val="Puslapioinaostekstas"/>
        <w:rPr>
          <w:sz w:val="16"/>
          <w:lang w:val="sv-SE"/>
        </w:rPr>
      </w:pPr>
      <w:r w:rsidRPr="00E11D08">
        <w:rPr>
          <w:rStyle w:val="Puslapioinaosnuoroda"/>
          <w:sz w:val="16"/>
          <w:szCs w:val="16"/>
        </w:rPr>
        <w:footnoteRef/>
      </w:r>
      <w:r w:rsidRPr="00E11D08">
        <w:rPr>
          <w:sz w:val="16"/>
          <w:szCs w:val="16"/>
        </w:rPr>
        <w:t xml:space="preserve"> Lietuvos banko „Bankų veiklos apžvalga (2019 m. II ketvirtis)“. Prieinama: </w:t>
      </w:r>
      <w:hyperlink r:id="rId24" w:history="1">
        <w:r w:rsidRPr="00E11D08">
          <w:rPr>
            <w:rStyle w:val="Hipersaitas"/>
            <w:sz w:val="16"/>
            <w:szCs w:val="16"/>
          </w:rPr>
          <w:t>https://www.lb.lt/lt/leidiniai/bankuveiklos-apzvalga-2019-m-ii-ketv</w:t>
        </w:r>
      </w:hyperlink>
      <w:r w:rsidRPr="00E11D08">
        <w:rPr>
          <w:sz w:val="16"/>
          <w:szCs w:val="16"/>
        </w:rPr>
        <w:t xml:space="preserve">, ar Lietuvos banko „Finansinio stabilumo apžvalga“. Prieinama: https://www.lb.lt/uploads/publications/docs/22196_e74bf2c8f8b023a6c81ea30e8987f962.pdf. </w:t>
      </w:r>
    </w:p>
  </w:footnote>
  <w:footnote w:id="49">
    <w:p w14:paraId="24941E06" w14:textId="77777777" w:rsidR="00B135A3" w:rsidRPr="00E11D08" w:rsidRDefault="00B135A3" w:rsidP="00643CB4">
      <w:pPr>
        <w:pStyle w:val="Puslapioinaostekstas"/>
        <w:rPr>
          <w:sz w:val="16"/>
          <w:szCs w:val="16"/>
        </w:rPr>
      </w:pPr>
      <w:r w:rsidRPr="00E11D08">
        <w:rPr>
          <w:rStyle w:val="Puslapioinaosnuoroda"/>
          <w:sz w:val="16"/>
          <w:szCs w:val="16"/>
        </w:rPr>
        <w:footnoteRef/>
      </w:r>
      <w:r w:rsidRPr="00E11D08">
        <w:rPr>
          <w:sz w:val="16"/>
          <w:szCs w:val="16"/>
        </w:rPr>
        <w:t xml:space="preserve"> </w:t>
      </w:r>
      <w:r w:rsidRPr="00E11D08">
        <w:rPr>
          <w:bCs/>
          <w:sz w:val="16"/>
          <w:szCs w:val="16"/>
        </w:rPr>
        <w:t>2015 m. vasario 18 d. trišale sutartimi, sudaryta tarp Lietuvos Respublikos finansų ministerijos, Lietuvos Respublikos energetikos ministerijos ir Viešųjų investicijų plėtros agentūros (VIPA), įsteigtas Energijos efektyvumo fondas (ENEF fondas)</w:t>
      </w:r>
      <w:r w:rsidRPr="00E11D08">
        <w:rPr>
          <w:sz w:val="16"/>
          <w:szCs w:val="16"/>
        </w:rPr>
        <w:t>, </w:t>
      </w:r>
      <w:r w:rsidRPr="00E11D08">
        <w:rPr>
          <w:bCs/>
          <w:sz w:val="16"/>
          <w:szCs w:val="16"/>
        </w:rPr>
        <w:t>finansuojamas Europos regioninės plėtros fondo lėšomis, o VIPA veikia kaip šio fondo valdytoja. ENEF fondo rėmuose įgyvendinama dvi priemonės: centrinės valdžios pastatų modernizavimo finansinė priemonė ir gatvių apšvietimo modernizavimo priemonė.</w:t>
      </w:r>
    </w:p>
  </w:footnote>
  <w:footnote w:id="50">
    <w:p w14:paraId="3F3657D0" w14:textId="71F6B407" w:rsidR="00B135A3" w:rsidRPr="00B5088A" w:rsidRDefault="00B135A3">
      <w:pPr>
        <w:pStyle w:val="Puslapioinaostekstas"/>
        <w:rPr>
          <w:sz w:val="16"/>
          <w:szCs w:val="16"/>
        </w:rPr>
      </w:pPr>
      <w:r w:rsidRPr="00B5088A">
        <w:rPr>
          <w:rStyle w:val="Puslapioinaosnuoroda"/>
          <w:sz w:val="16"/>
          <w:szCs w:val="16"/>
        </w:rPr>
        <w:footnoteRef/>
      </w:r>
      <w:r w:rsidRPr="00B5088A">
        <w:rPr>
          <w:sz w:val="16"/>
          <w:szCs w:val="16"/>
        </w:rPr>
        <w:t xml:space="preserve"> Jeigu projekto vertė, </w:t>
      </w:r>
      <w:r w:rsidRPr="00E24002">
        <w:rPr>
          <w:sz w:val="16"/>
          <w:lang w:val="sv-SE"/>
        </w:rPr>
        <w:t>1</w:t>
      </w:r>
      <w:r w:rsidRPr="00B5088A">
        <w:rPr>
          <w:sz w:val="16"/>
          <w:szCs w:val="16"/>
        </w:rPr>
        <w:t xml:space="preserve">, įskaitant PVM, tai projekto vertė be PVM yra lygi </w:t>
      </w:r>
      <w:r w:rsidRPr="00E24002">
        <w:rPr>
          <w:sz w:val="16"/>
          <w:lang w:val="sv-SE"/>
        </w:rPr>
        <w:t xml:space="preserve">1/1,21 arba 0,826 (daroma prielaida, kad PVM procentas siekia 21 proc.). </w:t>
      </w:r>
    </w:p>
  </w:footnote>
  <w:footnote w:id="51">
    <w:p w14:paraId="2197B266" w14:textId="25099A38" w:rsidR="00B135A3" w:rsidRPr="00E11D08" w:rsidRDefault="00B135A3" w:rsidP="00BB4DC2">
      <w:pPr>
        <w:pStyle w:val="Puslapioinaostekstas"/>
        <w:rPr>
          <w:sz w:val="16"/>
          <w:szCs w:val="16"/>
        </w:rPr>
      </w:pPr>
      <w:r w:rsidRPr="00E11D08">
        <w:rPr>
          <w:rStyle w:val="Puslapioinaosnuoroda"/>
          <w:sz w:val="16"/>
          <w:szCs w:val="16"/>
        </w:rPr>
        <w:footnoteRef/>
      </w:r>
      <w:r w:rsidRPr="00E11D08">
        <w:rPr>
          <w:sz w:val="16"/>
          <w:szCs w:val="16"/>
        </w:rPr>
        <w:t xml:space="preserve"> Įmonių populiacijos pasiskirstymas sudarymas remiantis Statistikos departamento duomenų bazėje prieinamais duomenis apie veikiančius ūkio subjektai 2022 metų pradžioje.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C47BA" w14:textId="77777777" w:rsidR="00D91183" w:rsidRDefault="00D91183" w:rsidP="00D91183">
    <w:pPr>
      <w:autoSpaceDE w:val="0"/>
      <w:autoSpaceDN w:val="0"/>
      <w:adjustRightInd w:val="0"/>
      <w:spacing w:before="0" w:after="0"/>
      <w:ind w:firstLine="0"/>
      <w:jc w:val="right"/>
      <w:rPr>
        <w:rFonts w:ascii="CIDFont+F1" w:hAnsi="CIDFont+F1" w:cs="CIDFont+F1"/>
        <w:sz w:val="24"/>
        <w:szCs w:val="24"/>
      </w:rPr>
    </w:pPr>
    <w:r>
      <w:rPr>
        <w:rFonts w:ascii="CIDFont+F1" w:hAnsi="CIDFont+F1" w:cs="CIDFont+F1"/>
        <w:sz w:val="24"/>
        <w:szCs w:val="24"/>
      </w:rPr>
      <w:t>Patvirtinta:</w:t>
    </w:r>
  </w:p>
  <w:p w14:paraId="70488FCC" w14:textId="073234C4" w:rsidR="00D91183" w:rsidRDefault="00D91183" w:rsidP="00D91183">
    <w:pPr>
      <w:autoSpaceDE w:val="0"/>
      <w:autoSpaceDN w:val="0"/>
      <w:adjustRightInd w:val="0"/>
      <w:spacing w:before="0" w:after="0"/>
      <w:ind w:firstLine="0"/>
      <w:jc w:val="right"/>
      <w:rPr>
        <w:rFonts w:ascii="CIDFont+F1" w:hAnsi="CIDFont+F1" w:cs="CIDFont+F1"/>
        <w:sz w:val="23"/>
        <w:szCs w:val="23"/>
      </w:rPr>
    </w:pPr>
    <w:r>
      <w:rPr>
        <w:rFonts w:ascii="CIDFont+F1" w:hAnsi="CIDFont+F1" w:cs="CIDFont+F1"/>
        <w:sz w:val="23"/>
        <w:szCs w:val="23"/>
      </w:rPr>
      <w:t>202</w:t>
    </w:r>
    <w:r w:rsidR="001F03B6">
      <w:rPr>
        <w:rFonts w:ascii="CIDFont+F1" w:hAnsi="CIDFont+F1" w:cs="CIDFont+F1"/>
        <w:sz w:val="23"/>
        <w:szCs w:val="23"/>
      </w:rPr>
      <w:t>4</w:t>
    </w:r>
    <w:r>
      <w:rPr>
        <w:rFonts w:ascii="CIDFont+F1" w:hAnsi="CIDFont+F1" w:cs="CIDFont+F1"/>
        <w:sz w:val="23"/>
        <w:szCs w:val="23"/>
      </w:rPr>
      <w:t xml:space="preserve"> m. </w:t>
    </w:r>
    <w:r w:rsidR="001F03B6">
      <w:rPr>
        <w:rFonts w:ascii="CIDFont+F1" w:hAnsi="CIDFont+F1" w:cs="CIDFont+F1"/>
        <w:sz w:val="23"/>
        <w:szCs w:val="23"/>
      </w:rPr>
      <w:t>liepos 2</w:t>
    </w:r>
    <w:r>
      <w:rPr>
        <w:rFonts w:ascii="CIDFont+F1" w:hAnsi="CIDFont+F1" w:cs="CIDFont+F1"/>
        <w:sz w:val="23"/>
        <w:szCs w:val="23"/>
      </w:rPr>
      <w:t xml:space="preserve"> d.</w:t>
    </w:r>
  </w:p>
  <w:p w14:paraId="26F10C93" w14:textId="38AB5CC0" w:rsidR="00D91183" w:rsidRDefault="00D91183" w:rsidP="00D91183">
    <w:pPr>
      <w:pStyle w:val="Antrats"/>
      <w:jc w:val="right"/>
    </w:pPr>
    <w:r>
      <w:rPr>
        <w:rFonts w:ascii="CIDFont+F1" w:hAnsi="CIDFont+F1" w:cs="CIDFont+F1"/>
        <w:sz w:val="23"/>
        <w:szCs w:val="23"/>
      </w:rPr>
      <w:t>protokolu Nr. 3</w:t>
    </w:r>
    <w:r w:rsidR="001F03B6">
      <w:rPr>
        <w:rFonts w:ascii="CIDFont+F1" w:hAnsi="CIDFont+F1" w:cs="CIDFont+F1"/>
        <w:sz w:val="23"/>
        <w:szCs w:val="23"/>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135A3" w14:paraId="71251A95" w14:textId="77777777" w:rsidTr="00E24002">
      <w:tc>
        <w:tcPr>
          <w:tcW w:w="3210" w:type="dxa"/>
        </w:tcPr>
        <w:p w14:paraId="7987A435" w14:textId="77777777" w:rsidR="00B135A3" w:rsidRDefault="00B135A3" w:rsidP="00805A2F">
          <w:pPr>
            <w:pStyle w:val="Antrats"/>
            <w:ind w:left="-115"/>
            <w:jc w:val="left"/>
          </w:pPr>
        </w:p>
      </w:tc>
      <w:tc>
        <w:tcPr>
          <w:tcW w:w="3210" w:type="dxa"/>
        </w:tcPr>
        <w:p w14:paraId="63B37BCA" w14:textId="77777777" w:rsidR="00B135A3" w:rsidRDefault="00B135A3" w:rsidP="00805A2F">
          <w:pPr>
            <w:pStyle w:val="Antrats"/>
            <w:jc w:val="center"/>
          </w:pPr>
        </w:p>
      </w:tc>
      <w:tc>
        <w:tcPr>
          <w:tcW w:w="3210" w:type="dxa"/>
        </w:tcPr>
        <w:p w14:paraId="77A0DC01" w14:textId="77777777" w:rsidR="00B135A3" w:rsidRDefault="00B135A3" w:rsidP="00805A2F">
          <w:pPr>
            <w:pStyle w:val="Antrats"/>
            <w:ind w:right="-115"/>
            <w:jc w:val="right"/>
          </w:pPr>
        </w:p>
      </w:tc>
    </w:tr>
  </w:tbl>
  <w:p w14:paraId="3779A8A9" w14:textId="77777777" w:rsidR="00B135A3" w:rsidRDefault="00B135A3" w:rsidP="00805A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05BF4"/>
    <w:multiLevelType w:val="hybridMultilevel"/>
    <w:tmpl w:val="CF70AC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AC3D5F"/>
    <w:multiLevelType w:val="hybridMultilevel"/>
    <w:tmpl w:val="308234C2"/>
    <w:lvl w:ilvl="0" w:tplc="08090001">
      <w:start w:val="1"/>
      <w:numFmt w:val="bullet"/>
      <w:pStyle w:val="Sraassuenkleliais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B723E"/>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 w15:restartNumberingAfterBreak="0">
    <w:nsid w:val="0BCE2143"/>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5" w15:restartNumberingAfterBreak="0">
    <w:nsid w:val="141823DE"/>
    <w:multiLevelType w:val="hybridMultilevel"/>
    <w:tmpl w:val="21FC1A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7" w15:restartNumberingAfterBreak="0">
    <w:nsid w:val="21805FD2"/>
    <w:multiLevelType w:val="hybridMultilevel"/>
    <w:tmpl w:val="837234C6"/>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8" w15:restartNumberingAfterBreak="0">
    <w:nsid w:val="27FC1C31"/>
    <w:multiLevelType w:val="hybridMultilevel"/>
    <w:tmpl w:val="55F8A72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D5305F0"/>
    <w:multiLevelType w:val="hybridMultilevel"/>
    <w:tmpl w:val="70B2D658"/>
    <w:lvl w:ilvl="0" w:tplc="08090001">
      <w:start w:val="1"/>
      <w:numFmt w:val="bullet"/>
      <w:pStyle w:val="Sraassuenkleliais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533D2"/>
    <w:multiLevelType w:val="multilevel"/>
    <w:tmpl w:val="C024A904"/>
    <w:lvl w:ilvl="0">
      <w:start w:val="1"/>
      <w:numFmt w:val="decimal"/>
      <w:pStyle w:val="Antrat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8833823"/>
    <w:multiLevelType w:val="hybridMultilevel"/>
    <w:tmpl w:val="B540E6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3" w15:restartNumberingAfterBreak="0">
    <w:nsid w:val="404029E0"/>
    <w:multiLevelType w:val="hybridMultilevel"/>
    <w:tmpl w:val="09EE49B2"/>
    <w:lvl w:ilvl="0" w:tplc="03D8CC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C79D9"/>
    <w:multiLevelType w:val="multilevel"/>
    <w:tmpl w:val="957AFAB6"/>
    <w:lvl w:ilvl="0">
      <w:start w:val="2"/>
      <w:numFmt w:val="decimal"/>
      <w:pStyle w:val="Sraassuenkleliais2"/>
      <w:lvlText w:val="%1."/>
      <w:lvlJc w:val="left"/>
      <w:pPr>
        <w:ind w:left="720" w:hanging="360"/>
      </w:pPr>
      <w:rPr>
        <w:rFonts w:cs="Arial" w:hint="default"/>
        <w:b/>
        <w:color w:val="821A1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640505"/>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6"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17" w15:restartNumberingAfterBreak="0">
    <w:nsid w:val="543E10FE"/>
    <w:multiLevelType w:val="multilevel"/>
    <w:tmpl w:val="D8721D9C"/>
    <w:lvl w:ilvl="0">
      <w:start w:val="1"/>
      <w:numFmt w:val="decimal"/>
      <w:pStyle w:val="Sraassuenkleliais"/>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4E356BA"/>
    <w:multiLevelType w:val="multilevel"/>
    <w:tmpl w:val="DABC014A"/>
    <w:lvl w:ilvl="0">
      <w:start w:val="1"/>
      <w:numFmt w:val="decimal"/>
      <w:pStyle w:val="Sraassunumeriais"/>
      <w:lvlText w:val="%1."/>
      <w:lvlJc w:val="left"/>
      <w:pPr>
        <w:tabs>
          <w:tab w:val="num" w:pos="346"/>
        </w:tabs>
        <w:ind w:left="346" w:hanging="346"/>
      </w:pPr>
      <w:rPr>
        <w:rFonts w:hint="default"/>
      </w:rPr>
    </w:lvl>
    <w:lvl w:ilvl="1">
      <w:start w:val="1"/>
      <w:numFmt w:val="decimal"/>
      <w:pStyle w:val="Sraassunumeriais2"/>
      <w:lvlText w:val="%2."/>
      <w:lvlJc w:val="left"/>
      <w:pPr>
        <w:tabs>
          <w:tab w:val="num" w:pos="691"/>
        </w:tabs>
        <w:ind w:left="691" w:hanging="345"/>
      </w:pPr>
      <w:rPr>
        <w:rFonts w:hint="default"/>
      </w:rPr>
    </w:lvl>
    <w:lvl w:ilvl="2">
      <w:start w:val="1"/>
      <w:numFmt w:val="decimal"/>
      <w:pStyle w:val="Sraassunumeriais3"/>
      <w:lvlText w:val="%3."/>
      <w:lvlJc w:val="left"/>
      <w:pPr>
        <w:tabs>
          <w:tab w:val="num" w:pos="1037"/>
        </w:tabs>
        <w:ind w:left="1037" w:hanging="346"/>
      </w:pPr>
      <w:rPr>
        <w:rFonts w:hint="default"/>
      </w:rPr>
    </w:lvl>
    <w:lvl w:ilvl="3">
      <w:start w:val="1"/>
      <w:numFmt w:val="decimal"/>
      <w:pStyle w:val="Sraassunumeriais4"/>
      <w:lvlText w:val="%4."/>
      <w:lvlJc w:val="left"/>
      <w:pPr>
        <w:tabs>
          <w:tab w:val="num" w:pos="1382"/>
        </w:tabs>
        <w:ind w:left="1382" w:hanging="345"/>
      </w:pPr>
      <w:rPr>
        <w:rFonts w:hint="default"/>
      </w:rPr>
    </w:lvl>
    <w:lvl w:ilvl="4">
      <w:start w:val="1"/>
      <w:numFmt w:val="decimal"/>
      <w:pStyle w:val="Sraassunumeriais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9" w15:restartNumberingAfterBreak="0">
    <w:nsid w:val="5632140F"/>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0"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1" w15:restartNumberingAfterBreak="0">
    <w:nsid w:val="5A303123"/>
    <w:multiLevelType w:val="hybridMultilevel"/>
    <w:tmpl w:val="57B64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280DE2"/>
    <w:multiLevelType w:val="hybridMultilevel"/>
    <w:tmpl w:val="82A8D85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 w15:restartNumberingAfterBreak="0">
    <w:nsid w:val="608803E5"/>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 w15:restartNumberingAfterBreak="0">
    <w:nsid w:val="688D24B0"/>
    <w:multiLevelType w:val="hybridMultilevel"/>
    <w:tmpl w:val="4802F63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5" w15:restartNumberingAfterBreak="0">
    <w:nsid w:val="696770E9"/>
    <w:multiLevelType w:val="hybridMultilevel"/>
    <w:tmpl w:val="B15C9E2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E271943"/>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7" w15:restartNumberingAfterBreak="0">
    <w:nsid w:val="717B43F2"/>
    <w:multiLevelType w:val="multilevel"/>
    <w:tmpl w:val="20A6E5BC"/>
    <w:lvl w:ilvl="0">
      <w:start w:val="1"/>
      <w:numFmt w:val="bullet"/>
      <w:pStyle w:val="ListBullet1"/>
      <w:lvlText w:val="•"/>
      <w:lvlJc w:val="left"/>
      <w:pPr>
        <w:tabs>
          <w:tab w:val="num" w:pos="346"/>
        </w:tabs>
        <w:ind w:left="346" w:hanging="346"/>
      </w:pPr>
      <w:rPr>
        <w:rFonts w:ascii="Georgia" w:hAnsi="Georgia" w:hint="default"/>
        <w:color w:val="auto"/>
      </w:rPr>
    </w:lvl>
    <w:lvl w:ilvl="1">
      <w:start w:val="1"/>
      <w:numFmt w:val="bullet"/>
      <w:pStyle w:val="ListBullet21"/>
      <w:lvlText w:val="-"/>
      <w:lvlJc w:val="left"/>
      <w:pPr>
        <w:tabs>
          <w:tab w:val="num" w:pos="691"/>
        </w:tabs>
        <w:ind w:left="691" w:hanging="345"/>
      </w:pPr>
      <w:rPr>
        <w:rFonts w:ascii="Arial" w:hAnsi="Arial" w:hint="default"/>
        <w:color w:val="auto"/>
      </w:rPr>
    </w:lvl>
    <w:lvl w:ilvl="2">
      <w:start w:val="1"/>
      <w:numFmt w:val="bullet"/>
      <w:pStyle w:val="ListBullet31"/>
      <w:lvlText w:val="◦"/>
      <w:lvlJc w:val="left"/>
      <w:pPr>
        <w:tabs>
          <w:tab w:val="num" w:pos="1037"/>
        </w:tabs>
        <w:ind w:left="1037" w:hanging="346"/>
      </w:pPr>
      <w:rPr>
        <w:rFonts w:ascii="Georgia" w:hAnsi="Georgia" w:hint="default"/>
        <w:color w:val="auto"/>
      </w:rPr>
    </w:lvl>
    <w:lvl w:ilvl="3">
      <w:start w:val="1"/>
      <w:numFmt w:val="bullet"/>
      <w:pStyle w:val="ListBullet41"/>
      <w:lvlText w:val="›"/>
      <w:lvlJc w:val="left"/>
      <w:pPr>
        <w:tabs>
          <w:tab w:val="num" w:pos="1382"/>
        </w:tabs>
        <w:ind w:left="1382" w:hanging="345"/>
      </w:pPr>
      <w:rPr>
        <w:rFonts w:ascii="Georgia" w:hAnsi="Georgia" w:hint="default"/>
        <w:color w:val="auto"/>
      </w:rPr>
    </w:lvl>
    <w:lvl w:ilvl="4">
      <w:start w:val="1"/>
      <w:numFmt w:val="bullet"/>
      <w:pStyle w:val="ListBullet51"/>
      <w:lvlText w:val="~"/>
      <w:lvlJc w:val="left"/>
      <w:pPr>
        <w:tabs>
          <w:tab w:val="num" w:pos="1728"/>
        </w:tabs>
        <w:ind w:left="1728" w:hanging="346"/>
      </w:pPr>
      <w:rPr>
        <w:rFonts w:ascii="Georgia" w:hAnsi="Georgia" w:hint="default"/>
        <w:color w:val="auto"/>
      </w:rPr>
    </w:lvl>
    <w:lvl w:ilvl="5">
      <w:start w:val="1"/>
      <w:numFmt w:val="bullet"/>
      <w:pStyle w:val="ListBullet6"/>
      <w:lvlText w:val="•"/>
      <w:lvlJc w:val="left"/>
      <w:pPr>
        <w:tabs>
          <w:tab w:val="num" w:pos="2074"/>
        </w:tabs>
        <w:ind w:left="2074" w:hanging="346"/>
      </w:pPr>
      <w:rPr>
        <w:rFonts w:ascii="Georgia" w:hAnsi="Georgia" w:hint="default"/>
        <w:color w:val="auto"/>
      </w:rPr>
    </w:lvl>
    <w:lvl w:ilvl="6">
      <w:start w:val="1"/>
      <w:numFmt w:val="bullet"/>
      <w:pStyle w:val="ListBullet7"/>
      <w:lvlText w:val="-"/>
      <w:lvlJc w:val="left"/>
      <w:pPr>
        <w:tabs>
          <w:tab w:val="num" w:pos="2419"/>
        </w:tabs>
        <w:ind w:left="2419" w:hanging="345"/>
      </w:pPr>
      <w:rPr>
        <w:rFonts w:ascii="Arial" w:hAnsi="Arial" w:hint="default"/>
        <w:color w:val="auto"/>
      </w:rPr>
    </w:lvl>
    <w:lvl w:ilvl="7">
      <w:start w:val="1"/>
      <w:numFmt w:val="bullet"/>
      <w:pStyle w:val="ListBullet8"/>
      <w:lvlText w:val="◦"/>
      <w:lvlJc w:val="left"/>
      <w:pPr>
        <w:tabs>
          <w:tab w:val="num" w:pos="2765"/>
        </w:tabs>
        <w:ind w:left="2765" w:hanging="346"/>
      </w:pPr>
      <w:rPr>
        <w:rFonts w:ascii="Georgia" w:hAnsi="Georgia" w:hint="default"/>
        <w:color w:val="auto"/>
      </w:rPr>
    </w:lvl>
    <w:lvl w:ilvl="8">
      <w:start w:val="1"/>
      <w:numFmt w:val="bullet"/>
      <w:pStyle w:val="ListBullet9"/>
      <w:lvlText w:val="›"/>
      <w:lvlJc w:val="left"/>
      <w:pPr>
        <w:tabs>
          <w:tab w:val="num" w:pos="3110"/>
        </w:tabs>
        <w:ind w:left="3110" w:hanging="345"/>
      </w:pPr>
      <w:rPr>
        <w:rFonts w:ascii="Georgia" w:hAnsi="Georgia" w:hint="default"/>
        <w:color w:val="auto"/>
      </w:rPr>
    </w:lvl>
  </w:abstractNum>
  <w:abstractNum w:abstractNumId="28" w15:restartNumberingAfterBreak="0">
    <w:nsid w:val="75201B92"/>
    <w:multiLevelType w:val="hybridMultilevel"/>
    <w:tmpl w:val="C5F019A8"/>
    <w:lvl w:ilvl="0" w:tplc="08090001">
      <w:start w:val="1"/>
      <w:numFmt w:val="bullet"/>
      <w:pStyle w:val="Sraassuenkleliais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853038611">
    <w:abstractNumId w:val="10"/>
  </w:num>
  <w:num w:numId="2" w16cid:durableId="91321628">
    <w:abstractNumId w:val="0"/>
  </w:num>
  <w:num w:numId="3" w16cid:durableId="1936668551">
    <w:abstractNumId w:val="12"/>
  </w:num>
  <w:num w:numId="4" w16cid:durableId="1189611290">
    <w:abstractNumId w:val="18"/>
  </w:num>
  <w:num w:numId="5" w16cid:durableId="779765744">
    <w:abstractNumId w:val="17"/>
  </w:num>
  <w:num w:numId="6" w16cid:durableId="109588210">
    <w:abstractNumId w:val="14"/>
  </w:num>
  <w:num w:numId="7" w16cid:durableId="511840880">
    <w:abstractNumId w:val="2"/>
  </w:num>
  <w:num w:numId="8" w16cid:durableId="157312049">
    <w:abstractNumId w:val="28"/>
  </w:num>
  <w:num w:numId="9" w16cid:durableId="244921807">
    <w:abstractNumId w:val="9"/>
  </w:num>
  <w:num w:numId="10" w16cid:durableId="593588520">
    <w:abstractNumId w:val="6"/>
  </w:num>
  <w:num w:numId="11" w16cid:durableId="797340239">
    <w:abstractNumId w:val="29"/>
  </w:num>
  <w:num w:numId="12" w16cid:durableId="146174148">
    <w:abstractNumId w:val="20"/>
  </w:num>
  <w:num w:numId="13" w16cid:durableId="900334471">
    <w:abstractNumId w:val="27"/>
  </w:num>
  <w:num w:numId="14" w16cid:durableId="1256671543">
    <w:abstractNumId w:val="16"/>
  </w:num>
  <w:num w:numId="15" w16cid:durableId="582184858">
    <w:abstractNumId w:val="1"/>
  </w:num>
  <w:num w:numId="16" w16cid:durableId="1392073370">
    <w:abstractNumId w:val="11"/>
  </w:num>
  <w:num w:numId="17" w16cid:durableId="1291013494">
    <w:abstractNumId w:val="5"/>
  </w:num>
  <w:num w:numId="18" w16cid:durableId="1608461785">
    <w:abstractNumId w:val="25"/>
  </w:num>
  <w:num w:numId="19" w16cid:durableId="648360145">
    <w:abstractNumId w:val="8"/>
  </w:num>
  <w:num w:numId="20" w16cid:durableId="798228850">
    <w:abstractNumId w:val="21"/>
  </w:num>
  <w:num w:numId="21" w16cid:durableId="792603346">
    <w:abstractNumId w:val="19"/>
  </w:num>
  <w:num w:numId="22" w16cid:durableId="1991209725">
    <w:abstractNumId w:val="15"/>
  </w:num>
  <w:num w:numId="23" w16cid:durableId="646086104">
    <w:abstractNumId w:val="26"/>
  </w:num>
  <w:num w:numId="24" w16cid:durableId="61873340">
    <w:abstractNumId w:val="23"/>
  </w:num>
  <w:num w:numId="25" w16cid:durableId="1408654458">
    <w:abstractNumId w:val="3"/>
  </w:num>
  <w:num w:numId="26" w16cid:durableId="750808275">
    <w:abstractNumId w:val="4"/>
  </w:num>
  <w:num w:numId="27" w16cid:durableId="617030755">
    <w:abstractNumId w:val="13"/>
  </w:num>
  <w:num w:numId="28" w16cid:durableId="2134590586">
    <w:abstractNumId w:val="7"/>
  </w:num>
  <w:num w:numId="29" w16cid:durableId="1028331650">
    <w:abstractNumId w:val="22"/>
  </w:num>
  <w:num w:numId="30" w16cid:durableId="137508344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4A"/>
    <w:rsid w:val="000012E0"/>
    <w:rsid w:val="0000166A"/>
    <w:rsid w:val="00002432"/>
    <w:rsid w:val="00002F46"/>
    <w:rsid w:val="00003237"/>
    <w:rsid w:val="00003F99"/>
    <w:rsid w:val="00005ACD"/>
    <w:rsid w:val="00006D99"/>
    <w:rsid w:val="000100AC"/>
    <w:rsid w:val="0001046F"/>
    <w:rsid w:val="00010899"/>
    <w:rsid w:val="000108E1"/>
    <w:rsid w:val="00011197"/>
    <w:rsid w:val="00011CBD"/>
    <w:rsid w:val="00012A19"/>
    <w:rsid w:val="0001301C"/>
    <w:rsid w:val="000140D0"/>
    <w:rsid w:val="000147D7"/>
    <w:rsid w:val="00014F68"/>
    <w:rsid w:val="000177A5"/>
    <w:rsid w:val="00017E4B"/>
    <w:rsid w:val="00020FD9"/>
    <w:rsid w:val="00021268"/>
    <w:rsid w:val="00021690"/>
    <w:rsid w:val="000226B2"/>
    <w:rsid w:val="00022C99"/>
    <w:rsid w:val="00024089"/>
    <w:rsid w:val="00025460"/>
    <w:rsid w:val="00025A6E"/>
    <w:rsid w:val="00025C21"/>
    <w:rsid w:val="00025D57"/>
    <w:rsid w:val="000264D6"/>
    <w:rsid w:val="00027668"/>
    <w:rsid w:val="000279AD"/>
    <w:rsid w:val="00027ACD"/>
    <w:rsid w:val="00027F06"/>
    <w:rsid w:val="000304C1"/>
    <w:rsid w:val="000307F6"/>
    <w:rsid w:val="00030800"/>
    <w:rsid w:val="00030D52"/>
    <w:rsid w:val="000323C5"/>
    <w:rsid w:val="00033EA1"/>
    <w:rsid w:val="00033F6C"/>
    <w:rsid w:val="00034CAA"/>
    <w:rsid w:val="000354F2"/>
    <w:rsid w:val="00035955"/>
    <w:rsid w:val="00035A82"/>
    <w:rsid w:val="00037108"/>
    <w:rsid w:val="000378E7"/>
    <w:rsid w:val="0004068F"/>
    <w:rsid w:val="00041249"/>
    <w:rsid w:val="00041AD4"/>
    <w:rsid w:val="00042B77"/>
    <w:rsid w:val="00042FA0"/>
    <w:rsid w:val="000438E2"/>
    <w:rsid w:val="00043E32"/>
    <w:rsid w:val="00044648"/>
    <w:rsid w:val="00044C62"/>
    <w:rsid w:val="00045E05"/>
    <w:rsid w:val="000461D8"/>
    <w:rsid w:val="00047070"/>
    <w:rsid w:val="0005009D"/>
    <w:rsid w:val="0005077F"/>
    <w:rsid w:val="00050848"/>
    <w:rsid w:val="000519FB"/>
    <w:rsid w:val="00052B1E"/>
    <w:rsid w:val="00052F7D"/>
    <w:rsid w:val="00053024"/>
    <w:rsid w:val="0005307F"/>
    <w:rsid w:val="00053505"/>
    <w:rsid w:val="0005353F"/>
    <w:rsid w:val="00053D65"/>
    <w:rsid w:val="0005424F"/>
    <w:rsid w:val="00054387"/>
    <w:rsid w:val="00055223"/>
    <w:rsid w:val="00056908"/>
    <w:rsid w:val="00057624"/>
    <w:rsid w:val="00061871"/>
    <w:rsid w:val="00061B8B"/>
    <w:rsid w:val="00062F1C"/>
    <w:rsid w:val="00063486"/>
    <w:rsid w:val="00064121"/>
    <w:rsid w:val="000641B0"/>
    <w:rsid w:val="00065D6A"/>
    <w:rsid w:val="00066D60"/>
    <w:rsid w:val="00067039"/>
    <w:rsid w:val="00067537"/>
    <w:rsid w:val="00071DD2"/>
    <w:rsid w:val="00071F71"/>
    <w:rsid w:val="00072F55"/>
    <w:rsid w:val="000734D0"/>
    <w:rsid w:val="000747CC"/>
    <w:rsid w:val="00074F66"/>
    <w:rsid w:val="000754F2"/>
    <w:rsid w:val="000755E0"/>
    <w:rsid w:val="0007598A"/>
    <w:rsid w:val="00075A43"/>
    <w:rsid w:val="00075B0E"/>
    <w:rsid w:val="00075E12"/>
    <w:rsid w:val="0007656A"/>
    <w:rsid w:val="00077A8C"/>
    <w:rsid w:val="00077CB8"/>
    <w:rsid w:val="00080DC9"/>
    <w:rsid w:val="0008263F"/>
    <w:rsid w:val="00082E1E"/>
    <w:rsid w:val="000832B1"/>
    <w:rsid w:val="000840BA"/>
    <w:rsid w:val="00084E01"/>
    <w:rsid w:val="0008570C"/>
    <w:rsid w:val="000904EB"/>
    <w:rsid w:val="00090AE1"/>
    <w:rsid w:val="00090AF3"/>
    <w:rsid w:val="00090E4B"/>
    <w:rsid w:val="00091513"/>
    <w:rsid w:val="00091DD0"/>
    <w:rsid w:val="0009207A"/>
    <w:rsid w:val="00092627"/>
    <w:rsid w:val="000929A0"/>
    <w:rsid w:val="00092F56"/>
    <w:rsid w:val="00094347"/>
    <w:rsid w:val="00094CF8"/>
    <w:rsid w:val="00095569"/>
    <w:rsid w:val="00095951"/>
    <w:rsid w:val="00095C84"/>
    <w:rsid w:val="00096350"/>
    <w:rsid w:val="000969B9"/>
    <w:rsid w:val="00096C2C"/>
    <w:rsid w:val="00096CEF"/>
    <w:rsid w:val="00096E8B"/>
    <w:rsid w:val="00097CD6"/>
    <w:rsid w:val="000A1091"/>
    <w:rsid w:val="000A14D2"/>
    <w:rsid w:val="000A2265"/>
    <w:rsid w:val="000A2D62"/>
    <w:rsid w:val="000A3482"/>
    <w:rsid w:val="000A3E93"/>
    <w:rsid w:val="000A40BF"/>
    <w:rsid w:val="000A41A2"/>
    <w:rsid w:val="000A4B85"/>
    <w:rsid w:val="000A645B"/>
    <w:rsid w:val="000A7E75"/>
    <w:rsid w:val="000B0CF7"/>
    <w:rsid w:val="000B2604"/>
    <w:rsid w:val="000B3438"/>
    <w:rsid w:val="000B4DD8"/>
    <w:rsid w:val="000B57BE"/>
    <w:rsid w:val="000B5D30"/>
    <w:rsid w:val="000B737D"/>
    <w:rsid w:val="000C05FB"/>
    <w:rsid w:val="000C162C"/>
    <w:rsid w:val="000C1DE3"/>
    <w:rsid w:val="000C2CDB"/>
    <w:rsid w:val="000C2D2B"/>
    <w:rsid w:val="000C377E"/>
    <w:rsid w:val="000C3C1E"/>
    <w:rsid w:val="000C5192"/>
    <w:rsid w:val="000C527A"/>
    <w:rsid w:val="000C5B17"/>
    <w:rsid w:val="000C6260"/>
    <w:rsid w:val="000C6D76"/>
    <w:rsid w:val="000D0242"/>
    <w:rsid w:val="000D2D55"/>
    <w:rsid w:val="000D307D"/>
    <w:rsid w:val="000D3738"/>
    <w:rsid w:val="000D396B"/>
    <w:rsid w:val="000D3CEE"/>
    <w:rsid w:val="000D5133"/>
    <w:rsid w:val="000D5A5F"/>
    <w:rsid w:val="000D5D09"/>
    <w:rsid w:val="000D6EA1"/>
    <w:rsid w:val="000E0914"/>
    <w:rsid w:val="000E0AE5"/>
    <w:rsid w:val="000E0FE8"/>
    <w:rsid w:val="000E1CF9"/>
    <w:rsid w:val="000E3063"/>
    <w:rsid w:val="000E3E3D"/>
    <w:rsid w:val="000E437D"/>
    <w:rsid w:val="000E4993"/>
    <w:rsid w:val="000E530B"/>
    <w:rsid w:val="000E59C1"/>
    <w:rsid w:val="000E5D21"/>
    <w:rsid w:val="000E6A26"/>
    <w:rsid w:val="000E77D8"/>
    <w:rsid w:val="000F1163"/>
    <w:rsid w:val="000F1A78"/>
    <w:rsid w:val="000F3C84"/>
    <w:rsid w:val="000F48A4"/>
    <w:rsid w:val="000F48DC"/>
    <w:rsid w:val="000F511E"/>
    <w:rsid w:val="000F5989"/>
    <w:rsid w:val="000F7737"/>
    <w:rsid w:val="001008B6"/>
    <w:rsid w:val="001009B5"/>
    <w:rsid w:val="00101A4F"/>
    <w:rsid w:val="00102EEF"/>
    <w:rsid w:val="001037C8"/>
    <w:rsid w:val="00103D52"/>
    <w:rsid w:val="00103D8D"/>
    <w:rsid w:val="00103E24"/>
    <w:rsid w:val="00104241"/>
    <w:rsid w:val="0010609F"/>
    <w:rsid w:val="00106381"/>
    <w:rsid w:val="001069CD"/>
    <w:rsid w:val="00106B16"/>
    <w:rsid w:val="00106DA7"/>
    <w:rsid w:val="001105C4"/>
    <w:rsid w:val="001106F7"/>
    <w:rsid w:val="0011160F"/>
    <w:rsid w:val="00113552"/>
    <w:rsid w:val="00113F7B"/>
    <w:rsid w:val="001144CD"/>
    <w:rsid w:val="001145F0"/>
    <w:rsid w:val="00114F20"/>
    <w:rsid w:val="00115ABB"/>
    <w:rsid w:val="001217D6"/>
    <w:rsid w:val="00121E1F"/>
    <w:rsid w:val="00123661"/>
    <w:rsid w:val="0012382E"/>
    <w:rsid w:val="00123BCD"/>
    <w:rsid w:val="00123E81"/>
    <w:rsid w:val="00124D34"/>
    <w:rsid w:val="00127421"/>
    <w:rsid w:val="00130638"/>
    <w:rsid w:val="00130AB2"/>
    <w:rsid w:val="0013124E"/>
    <w:rsid w:val="001329B9"/>
    <w:rsid w:val="001335FB"/>
    <w:rsid w:val="00133B0B"/>
    <w:rsid w:val="0013468D"/>
    <w:rsid w:val="001349F5"/>
    <w:rsid w:val="00135683"/>
    <w:rsid w:val="00136350"/>
    <w:rsid w:val="0013654F"/>
    <w:rsid w:val="00136CE8"/>
    <w:rsid w:val="00140291"/>
    <w:rsid w:val="00140399"/>
    <w:rsid w:val="001406B6"/>
    <w:rsid w:val="00140EDC"/>
    <w:rsid w:val="001418CD"/>
    <w:rsid w:val="00142676"/>
    <w:rsid w:val="00143062"/>
    <w:rsid w:val="00143579"/>
    <w:rsid w:val="00143ACA"/>
    <w:rsid w:val="001440FD"/>
    <w:rsid w:val="00144C3C"/>
    <w:rsid w:val="00145932"/>
    <w:rsid w:val="001460CB"/>
    <w:rsid w:val="0014621E"/>
    <w:rsid w:val="00146846"/>
    <w:rsid w:val="00146DC9"/>
    <w:rsid w:val="00146EA7"/>
    <w:rsid w:val="001473FC"/>
    <w:rsid w:val="00147655"/>
    <w:rsid w:val="001477DF"/>
    <w:rsid w:val="00147B09"/>
    <w:rsid w:val="00152D1A"/>
    <w:rsid w:val="0015382B"/>
    <w:rsid w:val="00153A20"/>
    <w:rsid w:val="001552A5"/>
    <w:rsid w:val="0015543F"/>
    <w:rsid w:val="0015551E"/>
    <w:rsid w:val="0015651C"/>
    <w:rsid w:val="001568A2"/>
    <w:rsid w:val="00157D9E"/>
    <w:rsid w:val="00161335"/>
    <w:rsid w:val="0016200E"/>
    <w:rsid w:val="00162CF9"/>
    <w:rsid w:val="00163274"/>
    <w:rsid w:val="00163937"/>
    <w:rsid w:val="00164055"/>
    <w:rsid w:val="0016408C"/>
    <w:rsid w:val="00165E6B"/>
    <w:rsid w:val="00165EF7"/>
    <w:rsid w:val="00166391"/>
    <w:rsid w:val="00166568"/>
    <w:rsid w:val="00166CCE"/>
    <w:rsid w:val="00167E01"/>
    <w:rsid w:val="0017079C"/>
    <w:rsid w:val="00170F10"/>
    <w:rsid w:val="00172D84"/>
    <w:rsid w:val="0017389C"/>
    <w:rsid w:val="00173D48"/>
    <w:rsid w:val="0017644F"/>
    <w:rsid w:val="0017736C"/>
    <w:rsid w:val="00177A79"/>
    <w:rsid w:val="00177E58"/>
    <w:rsid w:val="001800AD"/>
    <w:rsid w:val="00180AAD"/>
    <w:rsid w:val="00181277"/>
    <w:rsid w:val="00181921"/>
    <w:rsid w:val="00181B90"/>
    <w:rsid w:val="001844D9"/>
    <w:rsid w:val="00184B7A"/>
    <w:rsid w:val="00185E8E"/>
    <w:rsid w:val="00186331"/>
    <w:rsid w:val="00190F38"/>
    <w:rsid w:val="001919A6"/>
    <w:rsid w:val="00192F1C"/>
    <w:rsid w:val="00192FDC"/>
    <w:rsid w:val="00193477"/>
    <w:rsid w:val="001939D1"/>
    <w:rsid w:val="00193B35"/>
    <w:rsid w:val="00196849"/>
    <w:rsid w:val="00196EA6"/>
    <w:rsid w:val="001A20C8"/>
    <w:rsid w:val="001A49D5"/>
    <w:rsid w:val="001A4ACE"/>
    <w:rsid w:val="001A4FD1"/>
    <w:rsid w:val="001A58E6"/>
    <w:rsid w:val="001A5A99"/>
    <w:rsid w:val="001A5D8E"/>
    <w:rsid w:val="001A78BF"/>
    <w:rsid w:val="001A7C60"/>
    <w:rsid w:val="001B08E9"/>
    <w:rsid w:val="001B213A"/>
    <w:rsid w:val="001B21B5"/>
    <w:rsid w:val="001B25A1"/>
    <w:rsid w:val="001B2CC5"/>
    <w:rsid w:val="001B46E7"/>
    <w:rsid w:val="001B4717"/>
    <w:rsid w:val="001B5BED"/>
    <w:rsid w:val="001B657F"/>
    <w:rsid w:val="001B6E9F"/>
    <w:rsid w:val="001B7EF4"/>
    <w:rsid w:val="001C0262"/>
    <w:rsid w:val="001C077D"/>
    <w:rsid w:val="001C115A"/>
    <w:rsid w:val="001C191C"/>
    <w:rsid w:val="001C19A4"/>
    <w:rsid w:val="001C1A6D"/>
    <w:rsid w:val="001C1D9E"/>
    <w:rsid w:val="001C2AE5"/>
    <w:rsid w:val="001C38CC"/>
    <w:rsid w:val="001C4D03"/>
    <w:rsid w:val="001C6EB8"/>
    <w:rsid w:val="001C7B8D"/>
    <w:rsid w:val="001C7E76"/>
    <w:rsid w:val="001D032A"/>
    <w:rsid w:val="001D0375"/>
    <w:rsid w:val="001D0CBB"/>
    <w:rsid w:val="001D1187"/>
    <w:rsid w:val="001D1253"/>
    <w:rsid w:val="001D1564"/>
    <w:rsid w:val="001D209C"/>
    <w:rsid w:val="001D37EB"/>
    <w:rsid w:val="001D4B32"/>
    <w:rsid w:val="001D63DF"/>
    <w:rsid w:val="001D700A"/>
    <w:rsid w:val="001D79AE"/>
    <w:rsid w:val="001D7E9E"/>
    <w:rsid w:val="001E44DC"/>
    <w:rsid w:val="001E45A0"/>
    <w:rsid w:val="001E4B79"/>
    <w:rsid w:val="001E513C"/>
    <w:rsid w:val="001E5352"/>
    <w:rsid w:val="001E5AAF"/>
    <w:rsid w:val="001E5F5A"/>
    <w:rsid w:val="001E67C2"/>
    <w:rsid w:val="001E6B64"/>
    <w:rsid w:val="001F03B6"/>
    <w:rsid w:val="001F0B9A"/>
    <w:rsid w:val="001F0DBB"/>
    <w:rsid w:val="001F1DC0"/>
    <w:rsid w:val="001F2084"/>
    <w:rsid w:val="001F2143"/>
    <w:rsid w:val="001F2E74"/>
    <w:rsid w:val="001F5492"/>
    <w:rsid w:val="001F671C"/>
    <w:rsid w:val="001F6991"/>
    <w:rsid w:val="001F6CD0"/>
    <w:rsid w:val="001F728A"/>
    <w:rsid w:val="001F76ED"/>
    <w:rsid w:val="001F7EF1"/>
    <w:rsid w:val="001F7F31"/>
    <w:rsid w:val="002015D3"/>
    <w:rsid w:val="00203111"/>
    <w:rsid w:val="00203217"/>
    <w:rsid w:val="00205301"/>
    <w:rsid w:val="00206E3D"/>
    <w:rsid w:val="002073D7"/>
    <w:rsid w:val="00207564"/>
    <w:rsid w:val="00207DF1"/>
    <w:rsid w:val="0021093B"/>
    <w:rsid w:val="00210A02"/>
    <w:rsid w:val="00211809"/>
    <w:rsid w:val="002128E0"/>
    <w:rsid w:val="00212DB8"/>
    <w:rsid w:val="00213786"/>
    <w:rsid w:val="00213A18"/>
    <w:rsid w:val="00214C5A"/>
    <w:rsid w:val="0021632C"/>
    <w:rsid w:val="00216DD3"/>
    <w:rsid w:val="002203C8"/>
    <w:rsid w:val="0022089B"/>
    <w:rsid w:val="00221E11"/>
    <w:rsid w:val="00222DE5"/>
    <w:rsid w:val="002238F4"/>
    <w:rsid w:val="00223A07"/>
    <w:rsid w:val="00223C11"/>
    <w:rsid w:val="00224655"/>
    <w:rsid w:val="00224D27"/>
    <w:rsid w:val="00226C5B"/>
    <w:rsid w:val="00226CF1"/>
    <w:rsid w:val="00231298"/>
    <w:rsid w:val="0023288D"/>
    <w:rsid w:val="00232F32"/>
    <w:rsid w:val="00232F3C"/>
    <w:rsid w:val="00234865"/>
    <w:rsid w:val="002357A0"/>
    <w:rsid w:val="00235C4E"/>
    <w:rsid w:val="00237BC6"/>
    <w:rsid w:val="00237BCB"/>
    <w:rsid w:val="00237FAD"/>
    <w:rsid w:val="00240065"/>
    <w:rsid w:val="00240FF0"/>
    <w:rsid w:val="00241243"/>
    <w:rsid w:val="00243B6A"/>
    <w:rsid w:val="002442D5"/>
    <w:rsid w:val="00244E06"/>
    <w:rsid w:val="00244FDA"/>
    <w:rsid w:val="0024546C"/>
    <w:rsid w:val="00247539"/>
    <w:rsid w:val="0024789E"/>
    <w:rsid w:val="002505ED"/>
    <w:rsid w:val="00251B01"/>
    <w:rsid w:val="0025221B"/>
    <w:rsid w:val="00253597"/>
    <w:rsid w:val="002540FC"/>
    <w:rsid w:val="00255DD0"/>
    <w:rsid w:val="002563C9"/>
    <w:rsid w:val="0025664D"/>
    <w:rsid w:val="00256A0C"/>
    <w:rsid w:val="00256E45"/>
    <w:rsid w:val="0025708C"/>
    <w:rsid w:val="00260940"/>
    <w:rsid w:val="00261758"/>
    <w:rsid w:val="00261A65"/>
    <w:rsid w:val="00262E40"/>
    <w:rsid w:val="00263C5F"/>
    <w:rsid w:val="00266AE2"/>
    <w:rsid w:val="00266F76"/>
    <w:rsid w:val="002676D5"/>
    <w:rsid w:val="002677B4"/>
    <w:rsid w:val="002704B0"/>
    <w:rsid w:val="0027078F"/>
    <w:rsid w:val="00270868"/>
    <w:rsid w:val="00270D4E"/>
    <w:rsid w:val="002711A4"/>
    <w:rsid w:val="00271DBE"/>
    <w:rsid w:val="00271DFF"/>
    <w:rsid w:val="00271E81"/>
    <w:rsid w:val="002727EC"/>
    <w:rsid w:val="00272B4E"/>
    <w:rsid w:val="00273511"/>
    <w:rsid w:val="0027397B"/>
    <w:rsid w:val="00273F2E"/>
    <w:rsid w:val="00274297"/>
    <w:rsid w:val="00274A23"/>
    <w:rsid w:val="00275054"/>
    <w:rsid w:val="00275375"/>
    <w:rsid w:val="002761FB"/>
    <w:rsid w:val="002762E0"/>
    <w:rsid w:val="002765D3"/>
    <w:rsid w:val="002766C5"/>
    <w:rsid w:val="00281BC2"/>
    <w:rsid w:val="00281DCD"/>
    <w:rsid w:val="0028213F"/>
    <w:rsid w:val="00285167"/>
    <w:rsid w:val="00286944"/>
    <w:rsid w:val="00286E67"/>
    <w:rsid w:val="0028733A"/>
    <w:rsid w:val="002876A0"/>
    <w:rsid w:val="002878C2"/>
    <w:rsid w:val="00290031"/>
    <w:rsid w:val="0029072F"/>
    <w:rsid w:val="00295E1E"/>
    <w:rsid w:val="00296B5D"/>
    <w:rsid w:val="002977AA"/>
    <w:rsid w:val="00297D7C"/>
    <w:rsid w:val="002A0280"/>
    <w:rsid w:val="002A074F"/>
    <w:rsid w:val="002A0EC9"/>
    <w:rsid w:val="002A10C9"/>
    <w:rsid w:val="002A1B78"/>
    <w:rsid w:val="002A1EB0"/>
    <w:rsid w:val="002A20B1"/>
    <w:rsid w:val="002A2563"/>
    <w:rsid w:val="002A2651"/>
    <w:rsid w:val="002A2818"/>
    <w:rsid w:val="002A319B"/>
    <w:rsid w:val="002A3247"/>
    <w:rsid w:val="002A3585"/>
    <w:rsid w:val="002A3BBD"/>
    <w:rsid w:val="002A449E"/>
    <w:rsid w:val="002A480B"/>
    <w:rsid w:val="002A6970"/>
    <w:rsid w:val="002A6D88"/>
    <w:rsid w:val="002A7327"/>
    <w:rsid w:val="002B0DF7"/>
    <w:rsid w:val="002B2400"/>
    <w:rsid w:val="002B2A80"/>
    <w:rsid w:val="002B3646"/>
    <w:rsid w:val="002B40B0"/>
    <w:rsid w:val="002B4200"/>
    <w:rsid w:val="002B57C0"/>
    <w:rsid w:val="002B6843"/>
    <w:rsid w:val="002B6B10"/>
    <w:rsid w:val="002B6DAC"/>
    <w:rsid w:val="002B7B0C"/>
    <w:rsid w:val="002C02C1"/>
    <w:rsid w:val="002C11A8"/>
    <w:rsid w:val="002C1AB4"/>
    <w:rsid w:val="002C2750"/>
    <w:rsid w:val="002C31C8"/>
    <w:rsid w:val="002C4531"/>
    <w:rsid w:val="002C4C38"/>
    <w:rsid w:val="002C5577"/>
    <w:rsid w:val="002C5F90"/>
    <w:rsid w:val="002C5FBA"/>
    <w:rsid w:val="002C76B6"/>
    <w:rsid w:val="002C7FB7"/>
    <w:rsid w:val="002D1132"/>
    <w:rsid w:val="002D2EC2"/>
    <w:rsid w:val="002D2F64"/>
    <w:rsid w:val="002D433E"/>
    <w:rsid w:val="002D4E6F"/>
    <w:rsid w:val="002D5691"/>
    <w:rsid w:val="002D750C"/>
    <w:rsid w:val="002E011C"/>
    <w:rsid w:val="002E04A0"/>
    <w:rsid w:val="002E0844"/>
    <w:rsid w:val="002E1048"/>
    <w:rsid w:val="002E16D5"/>
    <w:rsid w:val="002E379B"/>
    <w:rsid w:val="002E3DAF"/>
    <w:rsid w:val="002E4696"/>
    <w:rsid w:val="002E47AA"/>
    <w:rsid w:val="002E5585"/>
    <w:rsid w:val="002E66BF"/>
    <w:rsid w:val="002E67AD"/>
    <w:rsid w:val="002F0914"/>
    <w:rsid w:val="002F18F0"/>
    <w:rsid w:val="002F2597"/>
    <w:rsid w:val="002F28DC"/>
    <w:rsid w:val="002F4127"/>
    <w:rsid w:val="002F42D7"/>
    <w:rsid w:val="002F4715"/>
    <w:rsid w:val="002F5246"/>
    <w:rsid w:val="002F5760"/>
    <w:rsid w:val="002F594C"/>
    <w:rsid w:val="002F7A6F"/>
    <w:rsid w:val="00301A3F"/>
    <w:rsid w:val="00302099"/>
    <w:rsid w:val="00303762"/>
    <w:rsid w:val="00303A86"/>
    <w:rsid w:val="00303D8B"/>
    <w:rsid w:val="003041D5"/>
    <w:rsid w:val="003046F6"/>
    <w:rsid w:val="0030583C"/>
    <w:rsid w:val="00305887"/>
    <w:rsid w:val="00305A8A"/>
    <w:rsid w:val="00305B8C"/>
    <w:rsid w:val="00307060"/>
    <w:rsid w:val="00307447"/>
    <w:rsid w:val="00310170"/>
    <w:rsid w:val="003103A2"/>
    <w:rsid w:val="00310A85"/>
    <w:rsid w:val="00310CA2"/>
    <w:rsid w:val="00311558"/>
    <w:rsid w:val="00311ED3"/>
    <w:rsid w:val="0031223D"/>
    <w:rsid w:val="003122E3"/>
    <w:rsid w:val="0031243E"/>
    <w:rsid w:val="003125FC"/>
    <w:rsid w:val="00312B56"/>
    <w:rsid w:val="00316670"/>
    <w:rsid w:val="003171D5"/>
    <w:rsid w:val="00317CCE"/>
    <w:rsid w:val="00320B56"/>
    <w:rsid w:val="00321DBF"/>
    <w:rsid w:val="00322701"/>
    <w:rsid w:val="003227E3"/>
    <w:rsid w:val="003237E7"/>
    <w:rsid w:val="00323882"/>
    <w:rsid w:val="00323F9D"/>
    <w:rsid w:val="00324120"/>
    <w:rsid w:val="00325311"/>
    <w:rsid w:val="0032701E"/>
    <w:rsid w:val="00327A15"/>
    <w:rsid w:val="00330035"/>
    <w:rsid w:val="0033179D"/>
    <w:rsid w:val="003317A2"/>
    <w:rsid w:val="00332540"/>
    <w:rsid w:val="003338A0"/>
    <w:rsid w:val="003343CC"/>
    <w:rsid w:val="003353E7"/>
    <w:rsid w:val="00335A2B"/>
    <w:rsid w:val="00336C3D"/>
    <w:rsid w:val="003374BC"/>
    <w:rsid w:val="00337998"/>
    <w:rsid w:val="00337D0A"/>
    <w:rsid w:val="003411D6"/>
    <w:rsid w:val="00343017"/>
    <w:rsid w:val="00343581"/>
    <w:rsid w:val="00344764"/>
    <w:rsid w:val="00344BBA"/>
    <w:rsid w:val="00345858"/>
    <w:rsid w:val="00346316"/>
    <w:rsid w:val="00346C04"/>
    <w:rsid w:val="00347605"/>
    <w:rsid w:val="00350AEB"/>
    <w:rsid w:val="003514CF"/>
    <w:rsid w:val="003514E7"/>
    <w:rsid w:val="003515AB"/>
    <w:rsid w:val="00351755"/>
    <w:rsid w:val="00352088"/>
    <w:rsid w:val="00352581"/>
    <w:rsid w:val="0035260E"/>
    <w:rsid w:val="00352962"/>
    <w:rsid w:val="00353932"/>
    <w:rsid w:val="0035538C"/>
    <w:rsid w:val="00356EEA"/>
    <w:rsid w:val="00357041"/>
    <w:rsid w:val="00357E00"/>
    <w:rsid w:val="00360B05"/>
    <w:rsid w:val="00361078"/>
    <w:rsid w:val="003615A9"/>
    <w:rsid w:val="00361BDE"/>
    <w:rsid w:val="00361E43"/>
    <w:rsid w:val="003625B5"/>
    <w:rsid w:val="0036297C"/>
    <w:rsid w:val="003630F2"/>
    <w:rsid w:val="00363B87"/>
    <w:rsid w:val="003642DB"/>
    <w:rsid w:val="00364A3B"/>
    <w:rsid w:val="00364FD0"/>
    <w:rsid w:val="00365187"/>
    <w:rsid w:val="0036526F"/>
    <w:rsid w:val="00366716"/>
    <w:rsid w:val="00366934"/>
    <w:rsid w:val="00366D2B"/>
    <w:rsid w:val="00366E8F"/>
    <w:rsid w:val="00367C48"/>
    <w:rsid w:val="0037050D"/>
    <w:rsid w:val="00373593"/>
    <w:rsid w:val="00373AAE"/>
    <w:rsid w:val="003752E8"/>
    <w:rsid w:val="0037548B"/>
    <w:rsid w:val="003756A6"/>
    <w:rsid w:val="00375974"/>
    <w:rsid w:val="00375B26"/>
    <w:rsid w:val="00377A5F"/>
    <w:rsid w:val="0038211F"/>
    <w:rsid w:val="003821FB"/>
    <w:rsid w:val="0038336C"/>
    <w:rsid w:val="00383603"/>
    <w:rsid w:val="003841F1"/>
    <w:rsid w:val="00384A7F"/>
    <w:rsid w:val="00384A85"/>
    <w:rsid w:val="00385214"/>
    <w:rsid w:val="00385578"/>
    <w:rsid w:val="0038594D"/>
    <w:rsid w:val="00385C25"/>
    <w:rsid w:val="0038641D"/>
    <w:rsid w:val="003867E4"/>
    <w:rsid w:val="00387340"/>
    <w:rsid w:val="003874A7"/>
    <w:rsid w:val="0038786F"/>
    <w:rsid w:val="003878A7"/>
    <w:rsid w:val="00390819"/>
    <w:rsid w:val="00390B9E"/>
    <w:rsid w:val="00391051"/>
    <w:rsid w:val="00391D5B"/>
    <w:rsid w:val="003936AD"/>
    <w:rsid w:val="00393E58"/>
    <w:rsid w:val="003953D5"/>
    <w:rsid w:val="003955BE"/>
    <w:rsid w:val="003976FD"/>
    <w:rsid w:val="003A08D5"/>
    <w:rsid w:val="003A3C6C"/>
    <w:rsid w:val="003A55FC"/>
    <w:rsid w:val="003B17D0"/>
    <w:rsid w:val="003B1827"/>
    <w:rsid w:val="003B1EC0"/>
    <w:rsid w:val="003B2BEC"/>
    <w:rsid w:val="003B2DA6"/>
    <w:rsid w:val="003B3C0B"/>
    <w:rsid w:val="003B3E67"/>
    <w:rsid w:val="003B45EC"/>
    <w:rsid w:val="003B4716"/>
    <w:rsid w:val="003B4A19"/>
    <w:rsid w:val="003B5983"/>
    <w:rsid w:val="003B6637"/>
    <w:rsid w:val="003B7858"/>
    <w:rsid w:val="003C0378"/>
    <w:rsid w:val="003C112D"/>
    <w:rsid w:val="003C1A4C"/>
    <w:rsid w:val="003C2CFF"/>
    <w:rsid w:val="003C39E9"/>
    <w:rsid w:val="003C3DC0"/>
    <w:rsid w:val="003C49AA"/>
    <w:rsid w:val="003C4DA5"/>
    <w:rsid w:val="003C5399"/>
    <w:rsid w:val="003C54BC"/>
    <w:rsid w:val="003C5EC5"/>
    <w:rsid w:val="003D100F"/>
    <w:rsid w:val="003D118F"/>
    <w:rsid w:val="003D2543"/>
    <w:rsid w:val="003D399E"/>
    <w:rsid w:val="003D3F7C"/>
    <w:rsid w:val="003D4A81"/>
    <w:rsid w:val="003D54EA"/>
    <w:rsid w:val="003D588F"/>
    <w:rsid w:val="003D6144"/>
    <w:rsid w:val="003D6BFE"/>
    <w:rsid w:val="003D7143"/>
    <w:rsid w:val="003D749B"/>
    <w:rsid w:val="003D79FB"/>
    <w:rsid w:val="003D7A9D"/>
    <w:rsid w:val="003E0F75"/>
    <w:rsid w:val="003E1F00"/>
    <w:rsid w:val="003E221F"/>
    <w:rsid w:val="003E46F0"/>
    <w:rsid w:val="003E626C"/>
    <w:rsid w:val="003E73C8"/>
    <w:rsid w:val="003E7F54"/>
    <w:rsid w:val="003F0B4C"/>
    <w:rsid w:val="003F0C8C"/>
    <w:rsid w:val="003F1931"/>
    <w:rsid w:val="003F1D62"/>
    <w:rsid w:val="003F2414"/>
    <w:rsid w:val="003F3AFD"/>
    <w:rsid w:val="003F3BF9"/>
    <w:rsid w:val="003F4464"/>
    <w:rsid w:val="003F523A"/>
    <w:rsid w:val="003F6828"/>
    <w:rsid w:val="00400778"/>
    <w:rsid w:val="004014C8"/>
    <w:rsid w:val="00401D7C"/>
    <w:rsid w:val="004032FE"/>
    <w:rsid w:val="00404080"/>
    <w:rsid w:val="004048AA"/>
    <w:rsid w:val="004068A3"/>
    <w:rsid w:val="00407717"/>
    <w:rsid w:val="00407BEB"/>
    <w:rsid w:val="004102F6"/>
    <w:rsid w:val="004112D9"/>
    <w:rsid w:val="00411D55"/>
    <w:rsid w:val="00413185"/>
    <w:rsid w:val="004132C5"/>
    <w:rsid w:val="004136EF"/>
    <w:rsid w:val="004144AE"/>
    <w:rsid w:val="004146BE"/>
    <w:rsid w:val="0041509F"/>
    <w:rsid w:val="0041543F"/>
    <w:rsid w:val="00415DE3"/>
    <w:rsid w:val="004168B9"/>
    <w:rsid w:val="00416C81"/>
    <w:rsid w:val="00417D41"/>
    <w:rsid w:val="004201DE"/>
    <w:rsid w:val="00420237"/>
    <w:rsid w:val="00420E8D"/>
    <w:rsid w:val="00422171"/>
    <w:rsid w:val="00422B47"/>
    <w:rsid w:val="00423471"/>
    <w:rsid w:val="004235B1"/>
    <w:rsid w:val="00423A1E"/>
    <w:rsid w:val="00425111"/>
    <w:rsid w:val="004255C8"/>
    <w:rsid w:val="00426643"/>
    <w:rsid w:val="00426C55"/>
    <w:rsid w:val="004279A1"/>
    <w:rsid w:val="004279D9"/>
    <w:rsid w:val="00427FDC"/>
    <w:rsid w:val="0043024A"/>
    <w:rsid w:val="004318EC"/>
    <w:rsid w:val="00431A51"/>
    <w:rsid w:val="0043380D"/>
    <w:rsid w:val="00433A15"/>
    <w:rsid w:val="004346A6"/>
    <w:rsid w:val="00434AF2"/>
    <w:rsid w:val="00435B0E"/>
    <w:rsid w:val="0044169E"/>
    <w:rsid w:val="00441E6B"/>
    <w:rsid w:val="00442908"/>
    <w:rsid w:val="00443195"/>
    <w:rsid w:val="0044342D"/>
    <w:rsid w:val="00444022"/>
    <w:rsid w:val="00444B15"/>
    <w:rsid w:val="00451361"/>
    <w:rsid w:val="0045155B"/>
    <w:rsid w:val="00453B82"/>
    <w:rsid w:val="00454C91"/>
    <w:rsid w:val="004554B1"/>
    <w:rsid w:val="004569C1"/>
    <w:rsid w:val="00457949"/>
    <w:rsid w:val="00457A33"/>
    <w:rsid w:val="00457BF4"/>
    <w:rsid w:val="00457C8B"/>
    <w:rsid w:val="00457FE2"/>
    <w:rsid w:val="00461A3F"/>
    <w:rsid w:val="004621BD"/>
    <w:rsid w:val="00462DDE"/>
    <w:rsid w:val="00462FD6"/>
    <w:rsid w:val="00463847"/>
    <w:rsid w:val="00463852"/>
    <w:rsid w:val="00463A99"/>
    <w:rsid w:val="0046492E"/>
    <w:rsid w:val="00464E25"/>
    <w:rsid w:val="00465192"/>
    <w:rsid w:val="00465FBC"/>
    <w:rsid w:val="00466360"/>
    <w:rsid w:val="0046734B"/>
    <w:rsid w:val="004705A3"/>
    <w:rsid w:val="00470714"/>
    <w:rsid w:val="004713EF"/>
    <w:rsid w:val="00471BEF"/>
    <w:rsid w:val="00471CAC"/>
    <w:rsid w:val="004722B2"/>
    <w:rsid w:val="00472BD6"/>
    <w:rsid w:val="00473269"/>
    <w:rsid w:val="00473451"/>
    <w:rsid w:val="004740EF"/>
    <w:rsid w:val="0047484A"/>
    <w:rsid w:val="0047516D"/>
    <w:rsid w:val="004758C2"/>
    <w:rsid w:val="00475D1B"/>
    <w:rsid w:val="00475D73"/>
    <w:rsid w:val="00477162"/>
    <w:rsid w:val="00477B40"/>
    <w:rsid w:val="00477C65"/>
    <w:rsid w:val="004804F0"/>
    <w:rsid w:val="00480B9F"/>
    <w:rsid w:val="00480F75"/>
    <w:rsid w:val="00481280"/>
    <w:rsid w:val="00483714"/>
    <w:rsid w:val="00484910"/>
    <w:rsid w:val="00484A85"/>
    <w:rsid w:val="00485624"/>
    <w:rsid w:val="004857EB"/>
    <w:rsid w:val="00485C63"/>
    <w:rsid w:val="00487AC7"/>
    <w:rsid w:val="0049056E"/>
    <w:rsid w:val="00491387"/>
    <w:rsid w:val="00491D53"/>
    <w:rsid w:val="00492AB2"/>
    <w:rsid w:val="004936E8"/>
    <w:rsid w:val="0049462E"/>
    <w:rsid w:val="004954C2"/>
    <w:rsid w:val="004961B3"/>
    <w:rsid w:val="004962B5"/>
    <w:rsid w:val="00497EC7"/>
    <w:rsid w:val="004A2B2F"/>
    <w:rsid w:val="004A3954"/>
    <w:rsid w:val="004A3E0A"/>
    <w:rsid w:val="004A3FC1"/>
    <w:rsid w:val="004A4428"/>
    <w:rsid w:val="004A4C17"/>
    <w:rsid w:val="004A4F3C"/>
    <w:rsid w:val="004A61A4"/>
    <w:rsid w:val="004A70BB"/>
    <w:rsid w:val="004A7D3D"/>
    <w:rsid w:val="004B15D9"/>
    <w:rsid w:val="004B1CBA"/>
    <w:rsid w:val="004B224E"/>
    <w:rsid w:val="004B3054"/>
    <w:rsid w:val="004B359E"/>
    <w:rsid w:val="004B3E76"/>
    <w:rsid w:val="004B43C9"/>
    <w:rsid w:val="004B66F2"/>
    <w:rsid w:val="004B67BC"/>
    <w:rsid w:val="004B6B5C"/>
    <w:rsid w:val="004B72AE"/>
    <w:rsid w:val="004C0609"/>
    <w:rsid w:val="004C0D66"/>
    <w:rsid w:val="004C16C9"/>
    <w:rsid w:val="004C32A9"/>
    <w:rsid w:val="004C7C4B"/>
    <w:rsid w:val="004D046F"/>
    <w:rsid w:val="004D1827"/>
    <w:rsid w:val="004D25F9"/>
    <w:rsid w:val="004D3857"/>
    <w:rsid w:val="004D3C09"/>
    <w:rsid w:val="004D3D26"/>
    <w:rsid w:val="004D4307"/>
    <w:rsid w:val="004D45B1"/>
    <w:rsid w:val="004D5722"/>
    <w:rsid w:val="004D6098"/>
    <w:rsid w:val="004D6B1E"/>
    <w:rsid w:val="004D6C31"/>
    <w:rsid w:val="004D7812"/>
    <w:rsid w:val="004D7D0E"/>
    <w:rsid w:val="004E0AAA"/>
    <w:rsid w:val="004E1BD2"/>
    <w:rsid w:val="004E3C85"/>
    <w:rsid w:val="004E5325"/>
    <w:rsid w:val="004E6194"/>
    <w:rsid w:val="004E6399"/>
    <w:rsid w:val="004E7225"/>
    <w:rsid w:val="004E7BB4"/>
    <w:rsid w:val="004F14F3"/>
    <w:rsid w:val="004F18E0"/>
    <w:rsid w:val="004F36C7"/>
    <w:rsid w:val="004F48D9"/>
    <w:rsid w:val="004F4E20"/>
    <w:rsid w:val="004F50BB"/>
    <w:rsid w:val="004F5EEF"/>
    <w:rsid w:val="004F7735"/>
    <w:rsid w:val="00500663"/>
    <w:rsid w:val="00501C79"/>
    <w:rsid w:val="005024F1"/>
    <w:rsid w:val="005027CE"/>
    <w:rsid w:val="00502886"/>
    <w:rsid w:val="00502C34"/>
    <w:rsid w:val="00502FB4"/>
    <w:rsid w:val="00503220"/>
    <w:rsid w:val="0050358E"/>
    <w:rsid w:val="00504056"/>
    <w:rsid w:val="005040BF"/>
    <w:rsid w:val="00504E3C"/>
    <w:rsid w:val="0050509E"/>
    <w:rsid w:val="00505A89"/>
    <w:rsid w:val="00506FF0"/>
    <w:rsid w:val="00507A6E"/>
    <w:rsid w:val="00507CD0"/>
    <w:rsid w:val="00510D3C"/>
    <w:rsid w:val="00511258"/>
    <w:rsid w:val="00511957"/>
    <w:rsid w:val="00511A1E"/>
    <w:rsid w:val="00511E0E"/>
    <w:rsid w:val="00511E2B"/>
    <w:rsid w:val="00512EAC"/>
    <w:rsid w:val="00513274"/>
    <w:rsid w:val="00513B00"/>
    <w:rsid w:val="00513F8B"/>
    <w:rsid w:val="00514EC5"/>
    <w:rsid w:val="00516B3E"/>
    <w:rsid w:val="00516E07"/>
    <w:rsid w:val="005202B6"/>
    <w:rsid w:val="00522277"/>
    <w:rsid w:val="00522F9D"/>
    <w:rsid w:val="0052324E"/>
    <w:rsid w:val="005248C8"/>
    <w:rsid w:val="00524C4D"/>
    <w:rsid w:val="00524E1B"/>
    <w:rsid w:val="0052508F"/>
    <w:rsid w:val="00525445"/>
    <w:rsid w:val="00525F87"/>
    <w:rsid w:val="00526D04"/>
    <w:rsid w:val="00526D9E"/>
    <w:rsid w:val="005274DC"/>
    <w:rsid w:val="005301DA"/>
    <w:rsid w:val="00530F7F"/>
    <w:rsid w:val="00532A71"/>
    <w:rsid w:val="0053303E"/>
    <w:rsid w:val="0053342C"/>
    <w:rsid w:val="005335D2"/>
    <w:rsid w:val="00534573"/>
    <w:rsid w:val="00534D47"/>
    <w:rsid w:val="005358DC"/>
    <w:rsid w:val="00540009"/>
    <w:rsid w:val="0054047C"/>
    <w:rsid w:val="00540E6B"/>
    <w:rsid w:val="005413E0"/>
    <w:rsid w:val="00541A96"/>
    <w:rsid w:val="00542A37"/>
    <w:rsid w:val="005435C2"/>
    <w:rsid w:val="00543EE2"/>
    <w:rsid w:val="005445BD"/>
    <w:rsid w:val="00544788"/>
    <w:rsid w:val="005449E4"/>
    <w:rsid w:val="005459DB"/>
    <w:rsid w:val="00546824"/>
    <w:rsid w:val="0055104C"/>
    <w:rsid w:val="005511CF"/>
    <w:rsid w:val="00551537"/>
    <w:rsid w:val="005523E8"/>
    <w:rsid w:val="00552431"/>
    <w:rsid w:val="00552FB0"/>
    <w:rsid w:val="00553615"/>
    <w:rsid w:val="00554448"/>
    <w:rsid w:val="00554F0D"/>
    <w:rsid w:val="0055550D"/>
    <w:rsid w:val="00556404"/>
    <w:rsid w:val="00556856"/>
    <w:rsid w:val="0056089E"/>
    <w:rsid w:val="0056121F"/>
    <w:rsid w:val="0056174E"/>
    <w:rsid w:val="00561795"/>
    <w:rsid w:val="00562B6F"/>
    <w:rsid w:val="005631E0"/>
    <w:rsid w:val="005631E1"/>
    <w:rsid w:val="0056323E"/>
    <w:rsid w:val="0056379A"/>
    <w:rsid w:val="005638FF"/>
    <w:rsid w:val="00563AC9"/>
    <w:rsid w:val="00563C82"/>
    <w:rsid w:val="00564991"/>
    <w:rsid w:val="00564CA3"/>
    <w:rsid w:val="005653A4"/>
    <w:rsid w:val="0056582E"/>
    <w:rsid w:val="00566890"/>
    <w:rsid w:val="00566C82"/>
    <w:rsid w:val="005673ED"/>
    <w:rsid w:val="00567686"/>
    <w:rsid w:val="00567BF1"/>
    <w:rsid w:val="00570F04"/>
    <w:rsid w:val="00572086"/>
    <w:rsid w:val="00572448"/>
    <w:rsid w:val="00572855"/>
    <w:rsid w:val="005736C9"/>
    <w:rsid w:val="0057381C"/>
    <w:rsid w:val="005743F3"/>
    <w:rsid w:val="005748AF"/>
    <w:rsid w:val="005749B0"/>
    <w:rsid w:val="005757D3"/>
    <w:rsid w:val="00575E63"/>
    <w:rsid w:val="0058077C"/>
    <w:rsid w:val="005819EF"/>
    <w:rsid w:val="0058292F"/>
    <w:rsid w:val="00582F52"/>
    <w:rsid w:val="00583281"/>
    <w:rsid w:val="005832CF"/>
    <w:rsid w:val="0058330B"/>
    <w:rsid w:val="005874B4"/>
    <w:rsid w:val="005876DB"/>
    <w:rsid w:val="00590F04"/>
    <w:rsid w:val="0059158F"/>
    <w:rsid w:val="00594D1C"/>
    <w:rsid w:val="00595691"/>
    <w:rsid w:val="0059625B"/>
    <w:rsid w:val="0059707E"/>
    <w:rsid w:val="005979A8"/>
    <w:rsid w:val="005A0423"/>
    <w:rsid w:val="005A0F6F"/>
    <w:rsid w:val="005A1816"/>
    <w:rsid w:val="005A2459"/>
    <w:rsid w:val="005A25BF"/>
    <w:rsid w:val="005A2EBC"/>
    <w:rsid w:val="005A33B6"/>
    <w:rsid w:val="005A3F3B"/>
    <w:rsid w:val="005A4CFB"/>
    <w:rsid w:val="005A4DD3"/>
    <w:rsid w:val="005A5AA5"/>
    <w:rsid w:val="005B17F7"/>
    <w:rsid w:val="005B2A98"/>
    <w:rsid w:val="005B2DFC"/>
    <w:rsid w:val="005B410A"/>
    <w:rsid w:val="005B5841"/>
    <w:rsid w:val="005B624F"/>
    <w:rsid w:val="005B68F6"/>
    <w:rsid w:val="005B6A76"/>
    <w:rsid w:val="005C005C"/>
    <w:rsid w:val="005C0515"/>
    <w:rsid w:val="005C16F2"/>
    <w:rsid w:val="005C2093"/>
    <w:rsid w:val="005C27E9"/>
    <w:rsid w:val="005C2C96"/>
    <w:rsid w:val="005C4B70"/>
    <w:rsid w:val="005C722A"/>
    <w:rsid w:val="005D063A"/>
    <w:rsid w:val="005D2000"/>
    <w:rsid w:val="005D28A3"/>
    <w:rsid w:val="005D2B45"/>
    <w:rsid w:val="005D2B88"/>
    <w:rsid w:val="005D3BBE"/>
    <w:rsid w:val="005D3C54"/>
    <w:rsid w:val="005D3D6C"/>
    <w:rsid w:val="005D5B65"/>
    <w:rsid w:val="005D6411"/>
    <w:rsid w:val="005D698A"/>
    <w:rsid w:val="005D6A69"/>
    <w:rsid w:val="005D6B2F"/>
    <w:rsid w:val="005D7797"/>
    <w:rsid w:val="005D7820"/>
    <w:rsid w:val="005D7ED6"/>
    <w:rsid w:val="005E17D8"/>
    <w:rsid w:val="005E1D37"/>
    <w:rsid w:val="005E25BA"/>
    <w:rsid w:val="005E2F93"/>
    <w:rsid w:val="005E34F1"/>
    <w:rsid w:val="005E4F64"/>
    <w:rsid w:val="005E66CD"/>
    <w:rsid w:val="005F0532"/>
    <w:rsid w:val="005F231E"/>
    <w:rsid w:val="005F26FF"/>
    <w:rsid w:val="005F34B2"/>
    <w:rsid w:val="005F38A2"/>
    <w:rsid w:val="005F6230"/>
    <w:rsid w:val="005F6BE9"/>
    <w:rsid w:val="005F6C58"/>
    <w:rsid w:val="005F7456"/>
    <w:rsid w:val="005F7F74"/>
    <w:rsid w:val="00600240"/>
    <w:rsid w:val="0060273D"/>
    <w:rsid w:val="00602784"/>
    <w:rsid w:val="0060377D"/>
    <w:rsid w:val="00603DEF"/>
    <w:rsid w:val="00604205"/>
    <w:rsid w:val="006044FC"/>
    <w:rsid w:val="00605308"/>
    <w:rsid w:val="00605850"/>
    <w:rsid w:val="006059D6"/>
    <w:rsid w:val="00606079"/>
    <w:rsid w:val="0060684E"/>
    <w:rsid w:val="00607168"/>
    <w:rsid w:val="00610337"/>
    <w:rsid w:val="00610CBD"/>
    <w:rsid w:val="00611F28"/>
    <w:rsid w:val="00612201"/>
    <w:rsid w:val="00612A3C"/>
    <w:rsid w:val="00616783"/>
    <w:rsid w:val="00617043"/>
    <w:rsid w:val="00617E11"/>
    <w:rsid w:val="006216FC"/>
    <w:rsid w:val="00623812"/>
    <w:rsid w:val="00623A7B"/>
    <w:rsid w:val="006242B0"/>
    <w:rsid w:val="006244EE"/>
    <w:rsid w:val="00624D85"/>
    <w:rsid w:val="0062506E"/>
    <w:rsid w:val="00627032"/>
    <w:rsid w:val="00627A64"/>
    <w:rsid w:val="0063128F"/>
    <w:rsid w:val="00631F89"/>
    <w:rsid w:val="00632483"/>
    <w:rsid w:val="00632B07"/>
    <w:rsid w:val="00632D1E"/>
    <w:rsid w:val="00632E75"/>
    <w:rsid w:val="0063430E"/>
    <w:rsid w:val="00635486"/>
    <w:rsid w:val="00635EA2"/>
    <w:rsid w:val="0063782A"/>
    <w:rsid w:val="00637864"/>
    <w:rsid w:val="00637FB3"/>
    <w:rsid w:val="0064198A"/>
    <w:rsid w:val="0064265B"/>
    <w:rsid w:val="006428DC"/>
    <w:rsid w:val="00642903"/>
    <w:rsid w:val="00642C82"/>
    <w:rsid w:val="00642D5A"/>
    <w:rsid w:val="00643873"/>
    <w:rsid w:val="00643AA1"/>
    <w:rsid w:val="00643CB4"/>
    <w:rsid w:val="00644909"/>
    <w:rsid w:val="00645521"/>
    <w:rsid w:val="006457B8"/>
    <w:rsid w:val="00645EF5"/>
    <w:rsid w:val="00646BC2"/>
    <w:rsid w:val="0064761B"/>
    <w:rsid w:val="006478C9"/>
    <w:rsid w:val="00647E12"/>
    <w:rsid w:val="006507E7"/>
    <w:rsid w:val="0065102C"/>
    <w:rsid w:val="00651047"/>
    <w:rsid w:val="00651308"/>
    <w:rsid w:val="00653A66"/>
    <w:rsid w:val="006567DB"/>
    <w:rsid w:val="00656986"/>
    <w:rsid w:val="006576B7"/>
    <w:rsid w:val="0066082A"/>
    <w:rsid w:val="00661A93"/>
    <w:rsid w:val="00663E91"/>
    <w:rsid w:val="00665102"/>
    <w:rsid w:val="0066587A"/>
    <w:rsid w:val="006661F6"/>
    <w:rsid w:val="00666CC0"/>
    <w:rsid w:val="006673D9"/>
    <w:rsid w:val="006677D9"/>
    <w:rsid w:val="0067098B"/>
    <w:rsid w:val="00670F42"/>
    <w:rsid w:val="00671EEC"/>
    <w:rsid w:val="00671FAD"/>
    <w:rsid w:val="006733FE"/>
    <w:rsid w:val="0067363C"/>
    <w:rsid w:val="00673753"/>
    <w:rsid w:val="00673DAF"/>
    <w:rsid w:val="00674CEA"/>
    <w:rsid w:val="0067775D"/>
    <w:rsid w:val="00681764"/>
    <w:rsid w:val="00682329"/>
    <w:rsid w:val="00682A11"/>
    <w:rsid w:val="0068319B"/>
    <w:rsid w:val="006836FC"/>
    <w:rsid w:val="00685E1D"/>
    <w:rsid w:val="0068608A"/>
    <w:rsid w:val="00686EFF"/>
    <w:rsid w:val="00687DDF"/>
    <w:rsid w:val="00690221"/>
    <w:rsid w:val="00690D16"/>
    <w:rsid w:val="006929A7"/>
    <w:rsid w:val="00692C30"/>
    <w:rsid w:val="00692C9D"/>
    <w:rsid w:val="00693B21"/>
    <w:rsid w:val="00695885"/>
    <w:rsid w:val="00695ACF"/>
    <w:rsid w:val="00696B4E"/>
    <w:rsid w:val="00696F82"/>
    <w:rsid w:val="00697901"/>
    <w:rsid w:val="00697A4B"/>
    <w:rsid w:val="006A0693"/>
    <w:rsid w:val="006A17B2"/>
    <w:rsid w:val="006A1B3B"/>
    <w:rsid w:val="006A25C1"/>
    <w:rsid w:val="006A3C1E"/>
    <w:rsid w:val="006A416D"/>
    <w:rsid w:val="006A4CA5"/>
    <w:rsid w:val="006A52C0"/>
    <w:rsid w:val="006A5761"/>
    <w:rsid w:val="006A5E4D"/>
    <w:rsid w:val="006A6F79"/>
    <w:rsid w:val="006A70F4"/>
    <w:rsid w:val="006A7E1E"/>
    <w:rsid w:val="006B0B99"/>
    <w:rsid w:val="006B0E7C"/>
    <w:rsid w:val="006B3697"/>
    <w:rsid w:val="006B429A"/>
    <w:rsid w:val="006B4E4F"/>
    <w:rsid w:val="006B5312"/>
    <w:rsid w:val="006B64E6"/>
    <w:rsid w:val="006B6964"/>
    <w:rsid w:val="006B6AAE"/>
    <w:rsid w:val="006B7356"/>
    <w:rsid w:val="006B7C91"/>
    <w:rsid w:val="006C0B37"/>
    <w:rsid w:val="006C17B1"/>
    <w:rsid w:val="006C1FB4"/>
    <w:rsid w:val="006C2110"/>
    <w:rsid w:val="006C2BD6"/>
    <w:rsid w:val="006C4A18"/>
    <w:rsid w:val="006C5D55"/>
    <w:rsid w:val="006C652B"/>
    <w:rsid w:val="006C6AC6"/>
    <w:rsid w:val="006C6D44"/>
    <w:rsid w:val="006D009F"/>
    <w:rsid w:val="006D065B"/>
    <w:rsid w:val="006D13E2"/>
    <w:rsid w:val="006D1D4A"/>
    <w:rsid w:val="006D1E83"/>
    <w:rsid w:val="006D298E"/>
    <w:rsid w:val="006D2E79"/>
    <w:rsid w:val="006D35DF"/>
    <w:rsid w:val="006D43B1"/>
    <w:rsid w:val="006D48E7"/>
    <w:rsid w:val="006D4E33"/>
    <w:rsid w:val="006D56B4"/>
    <w:rsid w:val="006D68A2"/>
    <w:rsid w:val="006D7A15"/>
    <w:rsid w:val="006D7B19"/>
    <w:rsid w:val="006E06A6"/>
    <w:rsid w:val="006E180B"/>
    <w:rsid w:val="006E375D"/>
    <w:rsid w:val="006E3A9C"/>
    <w:rsid w:val="006E453F"/>
    <w:rsid w:val="006E48FB"/>
    <w:rsid w:val="006E670D"/>
    <w:rsid w:val="006E6DA0"/>
    <w:rsid w:val="006E7576"/>
    <w:rsid w:val="006F1119"/>
    <w:rsid w:val="006F1815"/>
    <w:rsid w:val="006F2891"/>
    <w:rsid w:val="006F44A6"/>
    <w:rsid w:val="006F5668"/>
    <w:rsid w:val="006F583A"/>
    <w:rsid w:val="00700495"/>
    <w:rsid w:val="00700EBB"/>
    <w:rsid w:val="0070219E"/>
    <w:rsid w:val="00702241"/>
    <w:rsid w:val="00702FC8"/>
    <w:rsid w:val="00704ECF"/>
    <w:rsid w:val="007054B9"/>
    <w:rsid w:val="00705AB3"/>
    <w:rsid w:val="00705CFC"/>
    <w:rsid w:val="007065F4"/>
    <w:rsid w:val="00710E23"/>
    <w:rsid w:val="00711472"/>
    <w:rsid w:val="00711512"/>
    <w:rsid w:val="00712B89"/>
    <w:rsid w:val="00712D5A"/>
    <w:rsid w:val="00713CD7"/>
    <w:rsid w:val="00715019"/>
    <w:rsid w:val="0071579D"/>
    <w:rsid w:val="00715905"/>
    <w:rsid w:val="00716FA3"/>
    <w:rsid w:val="00720D92"/>
    <w:rsid w:val="00722B7E"/>
    <w:rsid w:val="00723624"/>
    <w:rsid w:val="00724402"/>
    <w:rsid w:val="0072442B"/>
    <w:rsid w:val="00724A7C"/>
    <w:rsid w:val="007252BA"/>
    <w:rsid w:val="0072624B"/>
    <w:rsid w:val="007278C6"/>
    <w:rsid w:val="00727C63"/>
    <w:rsid w:val="00730EFF"/>
    <w:rsid w:val="00731216"/>
    <w:rsid w:val="00731D4E"/>
    <w:rsid w:val="00732121"/>
    <w:rsid w:val="007322C2"/>
    <w:rsid w:val="007327B5"/>
    <w:rsid w:val="007327DF"/>
    <w:rsid w:val="00733291"/>
    <w:rsid w:val="00733B7F"/>
    <w:rsid w:val="007345F9"/>
    <w:rsid w:val="00735CFE"/>
    <w:rsid w:val="007361B5"/>
    <w:rsid w:val="007368CE"/>
    <w:rsid w:val="00736B97"/>
    <w:rsid w:val="00740469"/>
    <w:rsid w:val="00740BE4"/>
    <w:rsid w:val="007416EB"/>
    <w:rsid w:val="007424C1"/>
    <w:rsid w:val="0074366F"/>
    <w:rsid w:val="00744221"/>
    <w:rsid w:val="00744C91"/>
    <w:rsid w:val="00745642"/>
    <w:rsid w:val="00746C97"/>
    <w:rsid w:val="0074777C"/>
    <w:rsid w:val="00750B69"/>
    <w:rsid w:val="00750CD8"/>
    <w:rsid w:val="007519C7"/>
    <w:rsid w:val="0075229B"/>
    <w:rsid w:val="007522D9"/>
    <w:rsid w:val="00753B48"/>
    <w:rsid w:val="00754DBF"/>
    <w:rsid w:val="00755B22"/>
    <w:rsid w:val="00757353"/>
    <w:rsid w:val="00760663"/>
    <w:rsid w:val="00760BC7"/>
    <w:rsid w:val="00762522"/>
    <w:rsid w:val="00762B79"/>
    <w:rsid w:val="0076337F"/>
    <w:rsid w:val="007640C8"/>
    <w:rsid w:val="007640E6"/>
    <w:rsid w:val="007659AE"/>
    <w:rsid w:val="00766370"/>
    <w:rsid w:val="00766705"/>
    <w:rsid w:val="00767173"/>
    <w:rsid w:val="00767243"/>
    <w:rsid w:val="00767BF2"/>
    <w:rsid w:val="00770650"/>
    <w:rsid w:val="0077171F"/>
    <w:rsid w:val="00771981"/>
    <w:rsid w:val="0077272C"/>
    <w:rsid w:val="00772B99"/>
    <w:rsid w:val="00773836"/>
    <w:rsid w:val="007739CE"/>
    <w:rsid w:val="00775CCF"/>
    <w:rsid w:val="00776137"/>
    <w:rsid w:val="00776DCC"/>
    <w:rsid w:val="00780D94"/>
    <w:rsid w:val="00781186"/>
    <w:rsid w:val="007812ED"/>
    <w:rsid w:val="00781704"/>
    <w:rsid w:val="00782E2C"/>
    <w:rsid w:val="0078357A"/>
    <w:rsid w:val="00783840"/>
    <w:rsid w:val="007843CF"/>
    <w:rsid w:val="00784A90"/>
    <w:rsid w:val="00784B98"/>
    <w:rsid w:val="0078543C"/>
    <w:rsid w:val="0078545B"/>
    <w:rsid w:val="00785FC8"/>
    <w:rsid w:val="007863F6"/>
    <w:rsid w:val="00790CCC"/>
    <w:rsid w:val="007916CC"/>
    <w:rsid w:val="00792FEF"/>
    <w:rsid w:val="007933D7"/>
    <w:rsid w:val="0079378E"/>
    <w:rsid w:val="007940C5"/>
    <w:rsid w:val="00794B96"/>
    <w:rsid w:val="00794DB8"/>
    <w:rsid w:val="00795D40"/>
    <w:rsid w:val="007971AA"/>
    <w:rsid w:val="00797DB7"/>
    <w:rsid w:val="007A1216"/>
    <w:rsid w:val="007A1405"/>
    <w:rsid w:val="007A149F"/>
    <w:rsid w:val="007A2096"/>
    <w:rsid w:val="007A424E"/>
    <w:rsid w:val="007A46D8"/>
    <w:rsid w:val="007A7853"/>
    <w:rsid w:val="007A790A"/>
    <w:rsid w:val="007A7A34"/>
    <w:rsid w:val="007B019C"/>
    <w:rsid w:val="007B0535"/>
    <w:rsid w:val="007B25A2"/>
    <w:rsid w:val="007B3022"/>
    <w:rsid w:val="007B3875"/>
    <w:rsid w:val="007B3F3B"/>
    <w:rsid w:val="007B404B"/>
    <w:rsid w:val="007B4921"/>
    <w:rsid w:val="007B50C5"/>
    <w:rsid w:val="007B54D7"/>
    <w:rsid w:val="007B5E59"/>
    <w:rsid w:val="007B5F90"/>
    <w:rsid w:val="007B6369"/>
    <w:rsid w:val="007B6CA5"/>
    <w:rsid w:val="007C0D28"/>
    <w:rsid w:val="007C0D5D"/>
    <w:rsid w:val="007C191E"/>
    <w:rsid w:val="007C1DE5"/>
    <w:rsid w:val="007C26E7"/>
    <w:rsid w:val="007C29D5"/>
    <w:rsid w:val="007C2DB5"/>
    <w:rsid w:val="007C42E8"/>
    <w:rsid w:val="007C4AF0"/>
    <w:rsid w:val="007C5711"/>
    <w:rsid w:val="007C7174"/>
    <w:rsid w:val="007D0CB4"/>
    <w:rsid w:val="007D0DCA"/>
    <w:rsid w:val="007D1DEE"/>
    <w:rsid w:val="007D2E73"/>
    <w:rsid w:val="007D46EC"/>
    <w:rsid w:val="007D4A4D"/>
    <w:rsid w:val="007D4E18"/>
    <w:rsid w:val="007D5070"/>
    <w:rsid w:val="007D555B"/>
    <w:rsid w:val="007D75C9"/>
    <w:rsid w:val="007E2D0E"/>
    <w:rsid w:val="007E3A8A"/>
    <w:rsid w:val="007E415F"/>
    <w:rsid w:val="007E483C"/>
    <w:rsid w:val="007E4C21"/>
    <w:rsid w:val="007E562C"/>
    <w:rsid w:val="007E5699"/>
    <w:rsid w:val="007E5DBE"/>
    <w:rsid w:val="007E6D58"/>
    <w:rsid w:val="007F1825"/>
    <w:rsid w:val="007F24DA"/>
    <w:rsid w:val="007F2D79"/>
    <w:rsid w:val="007F5023"/>
    <w:rsid w:val="007F57A3"/>
    <w:rsid w:val="007F6716"/>
    <w:rsid w:val="007F6789"/>
    <w:rsid w:val="007F69DE"/>
    <w:rsid w:val="007F6DCB"/>
    <w:rsid w:val="007F7032"/>
    <w:rsid w:val="007F7AE5"/>
    <w:rsid w:val="007F7C58"/>
    <w:rsid w:val="0080050F"/>
    <w:rsid w:val="00800A1B"/>
    <w:rsid w:val="00800D95"/>
    <w:rsid w:val="008017D1"/>
    <w:rsid w:val="00801AF7"/>
    <w:rsid w:val="0080273F"/>
    <w:rsid w:val="0080327D"/>
    <w:rsid w:val="008039CC"/>
    <w:rsid w:val="00803E08"/>
    <w:rsid w:val="0080511A"/>
    <w:rsid w:val="0080542C"/>
    <w:rsid w:val="00805A2F"/>
    <w:rsid w:val="008068F1"/>
    <w:rsid w:val="00810FC6"/>
    <w:rsid w:val="00811313"/>
    <w:rsid w:val="0081167C"/>
    <w:rsid w:val="00811959"/>
    <w:rsid w:val="00811C9B"/>
    <w:rsid w:val="00812D5B"/>
    <w:rsid w:val="00812E10"/>
    <w:rsid w:val="00814103"/>
    <w:rsid w:val="0081447E"/>
    <w:rsid w:val="00816C04"/>
    <w:rsid w:val="00816FA0"/>
    <w:rsid w:val="00817361"/>
    <w:rsid w:val="00817570"/>
    <w:rsid w:val="00817B62"/>
    <w:rsid w:val="00820FFD"/>
    <w:rsid w:val="0082157B"/>
    <w:rsid w:val="00822967"/>
    <w:rsid w:val="00823213"/>
    <w:rsid w:val="008232EE"/>
    <w:rsid w:val="00824075"/>
    <w:rsid w:val="00824EC4"/>
    <w:rsid w:val="00826055"/>
    <w:rsid w:val="0082613A"/>
    <w:rsid w:val="00830CB4"/>
    <w:rsid w:val="00831384"/>
    <w:rsid w:val="00831D1D"/>
    <w:rsid w:val="00832A03"/>
    <w:rsid w:val="008336A3"/>
    <w:rsid w:val="00833F12"/>
    <w:rsid w:val="00834EBB"/>
    <w:rsid w:val="00835017"/>
    <w:rsid w:val="00835931"/>
    <w:rsid w:val="008359E9"/>
    <w:rsid w:val="00835EAD"/>
    <w:rsid w:val="008361A1"/>
    <w:rsid w:val="00836793"/>
    <w:rsid w:val="008400F3"/>
    <w:rsid w:val="00840CDE"/>
    <w:rsid w:val="00841253"/>
    <w:rsid w:val="00842015"/>
    <w:rsid w:val="00842C28"/>
    <w:rsid w:val="00842F99"/>
    <w:rsid w:val="00843EAE"/>
    <w:rsid w:val="00843F35"/>
    <w:rsid w:val="008458DA"/>
    <w:rsid w:val="008466C7"/>
    <w:rsid w:val="0084693E"/>
    <w:rsid w:val="00846E40"/>
    <w:rsid w:val="00846FA3"/>
    <w:rsid w:val="00850B8F"/>
    <w:rsid w:val="00852288"/>
    <w:rsid w:val="00853133"/>
    <w:rsid w:val="008531F2"/>
    <w:rsid w:val="00853C6D"/>
    <w:rsid w:val="008541BE"/>
    <w:rsid w:val="008543DF"/>
    <w:rsid w:val="0085742D"/>
    <w:rsid w:val="00861547"/>
    <w:rsid w:val="0086161B"/>
    <w:rsid w:val="00861843"/>
    <w:rsid w:val="00862210"/>
    <w:rsid w:val="00863C90"/>
    <w:rsid w:val="00866400"/>
    <w:rsid w:val="0086784D"/>
    <w:rsid w:val="00867DF8"/>
    <w:rsid w:val="008719A3"/>
    <w:rsid w:val="00871F8D"/>
    <w:rsid w:val="00872DBB"/>
    <w:rsid w:val="00873308"/>
    <w:rsid w:val="00873397"/>
    <w:rsid w:val="00873BA4"/>
    <w:rsid w:val="00873D4F"/>
    <w:rsid w:val="008740DA"/>
    <w:rsid w:val="00874511"/>
    <w:rsid w:val="008753F8"/>
    <w:rsid w:val="0087602F"/>
    <w:rsid w:val="0087655B"/>
    <w:rsid w:val="00877C8A"/>
    <w:rsid w:val="00880FE9"/>
    <w:rsid w:val="008832E2"/>
    <w:rsid w:val="0088466C"/>
    <w:rsid w:val="008854D9"/>
    <w:rsid w:val="00885C66"/>
    <w:rsid w:val="008860FF"/>
    <w:rsid w:val="008868FB"/>
    <w:rsid w:val="008871B7"/>
    <w:rsid w:val="00890905"/>
    <w:rsid w:val="00891D5F"/>
    <w:rsid w:val="00891EE8"/>
    <w:rsid w:val="00893D4B"/>
    <w:rsid w:val="00894B58"/>
    <w:rsid w:val="008957D0"/>
    <w:rsid w:val="00896636"/>
    <w:rsid w:val="008A1CA3"/>
    <w:rsid w:val="008A28F3"/>
    <w:rsid w:val="008A3609"/>
    <w:rsid w:val="008A4185"/>
    <w:rsid w:val="008A613D"/>
    <w:rsid w:val="008A61C6"/>
    <w:rsid w:val="008A6758"/>
    <w:rsid w:val="008A6E5A"/>
    <w:rsid w:val="008A711D"/>
    <w:rsid w:val="008B2225"/>
    <w:rsid w:val="008B3757"/>
    <w:rsid w:val="008B375B"/>
    <w:rsid w:val="008B3A05"/>
    <w:rsid w:val="008B498A"/>
    <w:rsid w:val="008B503F"/>
    <w:rsid w:val="008B5651"/>
    <w:rsid w:val="008B5EAA"/>
    <w:rsid w:val="008B66EA"/>
    <w:rsid w:val="008B7224"/>
    <w:rsid w:val="008B7BFF"/>
    <w:rsid w:val="008B7D54"/>
    <w:rsid w:val="008B7E47"/>
    <w:rsid w:val="008C0972"/>
    <w:rsid w:val="008C16DE"/>
    <w:rsid w:val="008C1CC9"/>
    <w:rsid w:val="008C1E10"/>
    <w:rsid w:val="008C24A3"/>
    <w:rsid w:val="008C2BEF"/>
    <w:rsid w:val="008C2CCE"/>
    <w:rsid w:val="008C3738"/>
    <w:rsid w:val="008C53E0"/>
    <w:rsid w:val="008C55A1"/>
    <w:rsid w:val="008C56DE"/>
    <w:rsid w:val="008C5C55"/>
    <w:rsid w:val="008C695F"/>
    <w:rsid w:val="008C6FFE"/>
    <w:rsid w:val="008D04F4"/>
    <w:rsid w:val="008D0820"/>
    <w:rsid w:val="008D0CB0"/>
    <w:rsid w:val="008D150C"/>
    <w:rsid w:val="008D1BD6"/>
    <w:rsid w:val="008D279C"/>
    <w:rsid w:val="008D4591"/>
    <w:rsid w:val="008D4E3C"/>
    <w:rsid w:val="008D54A3"/>
    <w:rsid w:val="008D6214"/>
    <w:rsid w:val="008D7B1B"/>
    <w:rsid w:val="008E00AD"/>
    <w:rsid w:val="008E42D2"/>
    <w:rsid w:val="008E43E6"/>
    <w:rsid w:val="008E6758"/>
    <w:rsid w:val="008E6B35"/>
    <w:rsid w:val="008E7335"/>
    <w:rsid w:val="008E74B4"/>
    <w:rsid w:val="008E7E71"/>
    <w:rsid w:val="008F024F"/>
    <w:rsid w:val="008F1623"/>
    <w:rsid w:val="008F1DD1"/>
    <w:rsid w:val="008F2897"/>
    <w:rsid w:val="008F2B0B"/>
    <w:rsid w:val="008F2BC7"/>
    <w:rsid w:val="008F2D03"/>
    <w:rsid w:val="008F3EBD"/>
    <w:rsid w:val="008F42D1"/>
    <w:rsid w:val="008F6C76"/>
    <w:rsid w:val="008F6C98"/>
    <w:rsid w:val="00900358"/>
    <w:rsid w:val="0090192E"/>
    <w:rsid w:val="00902D59"/>
    <w:rsid w:val="0090392F"/>
    <w:rsid w:val="00903B4B"/>
    <w:rsid w:val="009060E4"/>
    <w:rsid w:val="00907484"/>
    <w:rsid w:val="00907925"/>
    <w:rsid w:val="009129CC"/>
    <w:rsid w:val="0091322E"/>
    <w:rsid w:val="00913AC6"/>
    <w:rsid w:val="00913D38"/>
    <w:rsid w:val="0091750F"/>
    <w:rsid w:val="009177FF"/>
    <w:rsid w:val="00920443"/>
    <w:rsid w:val="009204F2"/>
    <w:rsid w:val="00920BAF"/>
    <w:rsid w:val="009218D2"/>
    <w:rsid w:val="00922BA7"/>
    <w:rsid w:val="00922CE6"/>
    <w:rsid w:val="00923956"/>
    <w:rsid w:val="009253DE"/>
    <w:rsid w:val="00925A13"/>
    <w:rsid w:val="00925E20"/>
    <w:rsid w:val="0092602F"/>
    <w:rsid w:val="00926474"/>
    <w:rsid w:val="00926D30"/>
    <w:rsid w:val="00927702"/>
    <w:rsid w:val="009303C7"/>
    <w:rsid w:val="0093057B"/>
    <w:rsid w:val="009311DB"/>
    <w:rsid w:val="00934C84"/>
    <w:rsid w:val="00935B45"/>
    <w:rsid w:val="0093749E"/>
    <w:rsid w:val="00940AF9"/>
    <w:rsid w:val="00940E99"/>
    <w:rsid w:val="00941BC0"/>
    <w:rsid w:val="00944F9E"/>
    <w:rsid w:val="00945304"/>
    <w:rsid w:val="009453D0"/>
    <w:rsid w:val="00947AEB"/>
    <w:rsid w:val="00950700"/>
    <w:rsid w:val="009536D1"/>
    <w:rsid w:val="009541F8"/>
    <w:rsid w:val="009549C7"/>
    <w:rsid w:val="009553E1"/>
    <w:rsid w:val="00955907"/>
    <w:rsid w:val="00955F2F"/>
    <w:rsid w:val="00956645"/>
    <w:rsid w:val="009573F1"/>
    <w:rsid w:val="009577DF"/>
    <w:rsid w:val="00960046"/>
    <w:rsid w:val="0096062D"/>
    <w:rsid w:val="0096090B"/>
    <w:rsid w:val="00960E58"/>
    <w:rsid w:val="009621BD"/>
    <w:rsid w:val="009631CB"/>
    <w:rsid w:val="009645D1"/>
    <w:rsid w:val="0096680A"/>
    <w:rsid w:val="009677D8"/>
    <w:rsid w:val="0096793D"/>
    <w:rsid w:val="00970826"/>
    <w:rsid w:val="009723CD"/>
    <w:rsid w:val="00972655"/>
    <w:rsid w:val="00972663"/>
    <w:rsid w:val="00974DB6"/>
    <w:rsid w:val="009760CF"/>
    <w:rsid w:val="009763A2"/>
    <w:rsid w:val="0097658B"/>
    <w:rsid w:val="00976B2C"/>
    <w:rsid w:val="00980B79"/>
    <w:rsid w:val="00982C07"/>
    <w:rsid w:val="00984B9C"/>
    <w:rsid w:val="009857F9"/>
    <w:rsid w:val="009877E8"/>
    <w:rsid w:val="00987811"/>
    <w:rsid w:val="00990439"/>
    <w:rsid w:val="00990A54"/>
    <w:rsid w:val="00990F0B"/>
    <w:rsid w:val="00991047"/>
    <w:rsid w:val="00991B79"/>
    <w:rsid w:val="00992492"/>
    <w:rsid w:val="00992FD9"/>
    <w:rsid w:val="00993345"/>
    <w:rsid w:val="009935B6"/>
    <w:rsid w:val="009939CD"/>
    <w:rsid w:val="00993D9C"/>
    <w:rsid w:val="00994B74"/>
    <w:rsid w:val="00995925"/>
    <w:rsid w:val="00997C85"/>
    <w:rsid w:val="009A0552"/>
    <w:rsid w:val="009A07F0"/>
    <w:rsid w:val="009A0C78"/>
    <w:rsid w:val="009A3764"/>
    <w:rsid w:val="009A4090"/>
    <w:rsid w:val="009A444F"/>
    <w:rsid w:val="009A5071"/>
    <w:rsid w:val="009A535F"/>
    <w:rsid w:val="009A6250"/>
    <w:rsid w:val="009A6331"/>
    <w:rsid w:val="009A690D"/>
    <w:rsid w:val="009A799A"/>
    <w:rsid w:val="009B14A0"/>
    <w:rsid w:val="009B1E35"/>
    <w:rsid w:val="009B20A9"/>
    <w:rsid w:val="009B2AF3"/>
    <w:rsid w:val="009B4CAA"/>
    <w:rsid w:val="009C0CEF"/>
    <w:rsid w:val="009C0F1D"/>
    <w:rsid w:val="009C1FCB"/>
    <w:rsid w:val="009C2111"/>
    <w:rsid w:val="009C364B"/>
    <w:rsid w:val="009C4407"/>
    <w:rsid w:val="009C60F4"/>
    <w:rsid w:val="009C6EDF"/>
    <w:rsid w:val="009C74A4"/>
    <w:rsid w:val="009D01DA"/>
    <w:rsid w:val="009D1DAA"/>
    <w:rsid w:val="009D2129"/>
    <w:rsid w:val="009D258E"/>
    <w:rsid w:val="009D2AB7"/>
    <w:rsid w:val="009D2D39"/>
    <w:rsid w:val="009D36B8"/>
    <w:rsid w:val="009D3969"/>
    <w:rsid w:val="009D401F"/>
    <w:rsid w:val="009D4E2B"/>
    <w:rsid w:val="009D5BB7"/>
    <w:rsid w:val="009D5D87"/>
    <w:rsid w:val="009D666F"/>
    <w:rsid w:val="009E1715"/>
    <w:rsid w:val="009E28AD"/>
    <w:rsid w:val="009E2A96"/>
    <w:rsid w:val="009E3781"/>
    <w:rsid w:val="009E3F40"/>
    <w:rsid w:val="009E576D"/>
    <w:rsid w:val="009E5B84"/>
    <w:rsid w:val="009E5CEE"/>
    <w:rsid w:val="009E5D31"/>
    <w:rsid w:val="009E5FEC"/>
    <w:rsid w:val="009E6005"/>
    <w:rsid w:val="009E6992"/>
    <w:rsid w:val="009E7775"/>
    <w:rsid w:val="009F056D"/>
    <w:rsid w:val="009F08A5"/>
    <w:rsid w:val="009F143B"/>
    <w:rsid w:val="009F1889"/>
    <w:rsid w:val="009F197E"/>
    <w:rsid w:val="009F357E"/>
    <w:rsid w:val="009F3985"/>
    <w:rsid w:val="009F3BEF"/>
    <w:rsid w:val="009F45AA"/>
    <w:rsid w:val="009F6BA8"/>
    <w:rsid w:val="009F6E25"/>
    <w:rsid w:val="009F7A65"/>
    <w:rsid w:val="00A01459"/>
    <w:rsid w:val="00A027EC"/>
    <w:rsid w:val="00A02B71"/>
    <w:rsid w:val="00A0393F"/>
    <w:rsid w:val="00A063CE"/>
    <w:rsid w:val="00A06FAD"/>
    <w:rsid w:val="00A075B5"/>
    <w:rsid w:val="00A07887"/>
    <w:rsid w:val="00A10600"/>
    <w:rsid w:val="00A1147E"/>
    <w:rsid w:val="00A1192E"/>
    <w:rsid w:val="00A11BB7"/>
    <w:rsid w:val="00A11DA2"/>
    <w:rsid w:val="00A12162"/>
    <w:rsid w:val="00A133A8"/>
    <w:rsid w:val="00A13412"/>
    <w:rsid w:val="00A13474"/>
    <w:rsid w:val="00A13A3D"/>
    <w:rsid w:val="00A13D39"/>
    <w:rsid w:val="00A148ED"/>
    <w:rsid w:val="00A14B78"/>
    <w:rsid w:val="00A15486"/>
    <w:rsid w:val="00A162FB"/>
    <w:rsid w:val="00A17287"/>
    <w:rsid w:val="00A17685"/>
    <w:rsid w:val="00A17998"/>
    <w:rsid w:val="00A17F1C"/>
    <w:rsid w:val="00A22453"/>
    <w:rsid w:val="00A22661"/>
    <w:rsid w:val="00A23036"/>
    <w:rsid w:val="00A248BB"/>
    <w:rsid w:val="00A271E2"/>
    <w:rsid w:val="00A277AE"/>
    <w:rsid w:val="00A30D6E"/>
    <w:rsid w:val="00A31337"/>
    <w:rsid w:val="00A34C3D"/>
    <w:rsid w:val="00A35580"/>
    <w:rsid w:val="00A355B2"/>
    <w:rsid w:val="00A361C8"/>
    <w:rsid w:val="00A3671A"/>
    <w:rsid w:val="00A37E31"/>
    <w:rsid w:val="00A401FC"/>
    <w:rsid w:val="00A415B4"/>
    <w:rsid w:val="00A43B24"/>
    <w:rsid w:val="00A43EC8"/>
    <w:rsid w:val="00A444BB"/>
    <w:rsid w:val="00A44B27"/>
    <w:rsid w:val="00A45674"/>
    <w:rsid w:val="00A4674F"/>
    <w:rsid w:val="00A46FFB"/>
    <w:rsid w:val="00A50196"/>
    <w:rsid w:val="00A50683"/>
    <w:rsid w:val="00A5150B"/>
    <w:rsid w:val="00A53040"/>
    <w:rsid w:val="00A5450E"/>
    <w:rsid w:val="00A5666B"/>
    <w:rsid w:val="00A568E8"/>
    <w:rsid w:val="00A56AA7"/>
    <w:rsid w:val="00A56E81"/>
    <w:rsid w:val="00A57D6D"/>
    <w:rsid w:val="00A6034F"/>
    <w:rsid w:val="00A60564"/>
    <w:rsid w:val="00A605A6"/>
    <w:rsid w:val="00A6123B"/>
    <w:rsid w:val="00A62DE3"/>
    <w:rsid w:val="00A640AE"/>
    <w:rsid w:val="00A64964"/>
    <w:rsid w:val="00A652FD"/>
    <w:rsid w:val="00A66C35"/>
    <w:rsid w:val="00A67427"/>
    <w:rsid w:val="00A6781E"/>
    <w:rsid w:val="00A703A9"/>
    <w:rsid w:val="00A7297D"/>
    <w:rsid w:val="00A742A6"/>
    <w:rsid w:val="00A76BD8"/>
    <w:rsid w:val="00A77357"/>
    <w:rsid w:val="00A77585"/>
    <w:rsid w:val="00A77D06"/>
    <w:rsid w:val="00A832BD"/>
    <w:rsid w:val="00A83430"/>
    <w:rsid w:val="00A8369D"/>
    <w:rsid w:val="00A836D5"/>
    <w:rsid w:val="00A83BFD"/>
    <w:rsid w:val="00A841F0"/>
    <w:rsid w:val="00A8435C"/>
    <w:rsid w:val="00A84364"/>
    <w:rsid w:val="00A84B9E"/>
    <w:rsid w:val="00A8558D"/>
    <w:rsid w:val="00A869CD"/>
    <w:rsid w:val="00A86D31"/>
    <w:rsid w:val="00A86EE6"/>
    <w:rsid w:val="00A87380"/>
    <w:rsid w:val="00A87914"/>
    <w:rsid w:val="00A9086F"/>
    <w:rsid w:val="00A90D05"/>
    <w:rsid w:val="00A921EA"/>
    <w:rsid w:val="00A92B4C"/>
    <w:rsid w:val="00A9629F"/>
    <w:rsid w:val="00A97A69"/>
    <w:rsid w:val="00AA00ED"/>
    <w:rsid w:val="00AA0399"/>
    <w:rsid w:val="00AA157C"/>
    <w:rsid w:val="00AA15C8"/>
    <w:rsid w:val="00AA1E4A"/>
    <w:rsid w:val="00AA2E1D"/>
    <w:rsid w:val="00AA2FFB"/>
    <w:rsid w:val="00AA30A0"/>
    <w:rsid w:val="00AA458D"/>
    <w:rsid w:val="00AA5C3A"/>
    <w:rsid w:val="00AA5F12"/>
    <w:rsid w:val="00AA66D9"/>
    <w:rsid w:val="00AA6D4A"/>
    <w:rsid w:val="00AA7006"/>
    <w:rsid w:val="00AB040E"/>
    <w:rsid w:val="00AB06D3"/>
    <w:rsid w:val="00AB1B89"/>
    <w:rsid w:val="00AB1D8B"/>
    <w:rsid w:val="00AB3077"/>
    <w:rsid w:val="00AB322A"/>
    <w:rsid w:val="00AB339B"/>
    <w:rsid w:val="00AB589A"/>
    <w:rsid w:val="00AB673E"/>
    <w:rsid w:val="00AB6FC6"/>
    <w:rsid w:val="00AB7155"/>
    <w:rsid w:val="00AB784E"/>
    <w:rsid w:val="00AB78B9"/>
    <w:rsid w:val="00AC0572"/>
    <w:rsid w:val="00AC09CA"/>
    <w:rsid w:val="00AC0C41"/>
    <w:rsid w:val="00AC125B"/>
    <w:rsid w:val="00AC1898"/>
    <w:rsid w:val="00AC287F"/>
    <w:rsid w:val="00AC2896"/>
    <w:rsid w:val="00AC41DB"/>
    <w:rsid w:val="00AC532B"/>
    <w:rsid w:val="00AC5C00"/>
    <w:rsid w:val="00AC699E"/>
    <w:rsid w:val="00AC74DA"/>
    <w:rsid w:val="00AC7864"/>
    <w:rsid w:val="00AC7A44"/>
    <w:rsid w:val="00AC7BD6"/>
    <w:rsid w:val="00AD0D01"/>
    <w:rsid w:val="00AD10CE"/>
    <w:rsid w:val="00AD13A1"/>
    <w:rsid w:val="00AD1F56"/>
    <w:rsid w:val="00AD3148"/>
    <w:rsid w:val="00AD35E2"/>
    <w:rsid w:val="00AD382D"/>
    <w:rsid w:val="00AD3A13"/>
    <w:rsid w:val="00AD3C7A"/>
    <w:rsid w:val="00AD3FE2"/>
    <w:rsid w:val="00AD41F1"/>
    <w:rsid w:val="00AD5192"/>
    <w:rsid w:val="00AD5832"/>
    <w:rsid w:val="00AD5A18"/>
    <w:rsid w:val="00AD6DF1"/>
    <w:rsid w:val="00AD79D2"/>
    <w:rsid w:val="00AD7F7E"/>
    <w:rsid w:val="00AE008A"/>
    <w:rsid w:val="00AE0156"/>
    <w:rsid w:val="00AE0B6B"/>
    <w:rsid w:val="00AE0D26"/>
    <w:rsid w:val="00AE11DC"/>
    <w:rsid w:val="00AE1E08"/>
    <w:rsid w:val="00AE32F9"/>
    <w:rsid w:val="00AE47CE"/>
    <w:rsid w:val="00AE5503"/>
    <w:rsid w:val="00AE6647"/>
    <w:rsid w:val="00AE66A9"/>
    <w:rsid w:val="00AE72F3"/>
    <w:rsid w:val="00AF28AF"/>
    <w:rsid w:val="00AF4406"/>
    <w:rsid w:val="00AF456A"/>
    <w:rsid w:val="00AF499A"/>
    <w:rsid w:val="00AF4BF6"/>
    <w:rsid w:val="00AF50F2"/>
    <w:rsid w:val="00AF5B6B"/>
    <w:rsid w:val="00B00157"/>
    <w:rsid w:val="00B004D6"/>
    <w:rsid w:val="00B00537"/>
    <w:rsid w:val="00B00962"/>
    <w:rsid w:val="00B01B25"/>
    <w:rsid w:val="00B027B5"/>
    <w:rsid w:val="00B044A8"/>
    <w:rsid w:val="00B04E51"/>
    <w:rsid w:val="00B05612"/>
    <w:rsid w:val="00B0678D"/>
    <w:rsid w:val="00B068DC"/>
    <w:rsid w:val="00B06928"/>
    <w:rsid w:val="00B06A01"/>
    <w:rsid w:val="00B06F96"/>
    <w:rsid w:val="00B10315"/>
    <w:rsid w:val="00B1095A"/>
    <w:rsid w:val="00B1147B"/>
    <w:rsid w:val="00B12C50"/>
    <w:rsid w:val="00B135A3"/>
    <w:rsid w:val="00B13FA1"/>
    <w:rsid w:val="00B1402E"/>
    <w:rsid w:val="00B14B80"/>
    <w:rsid w:val="00B166C8"/>
    <w:rsid w:val="00B168E9"/>
    <w:rsid w:val="00B179DD"/>
    <w:rsid w:val="00B17DCA"/>
    <w:rsid w:val="00B20E95"/>
    <w:rsid w:val="00B225D1"/>
    <w:rsid w:val="00B2273A"/>
    <w:rsid w:val="00B22949"/>
    <w:rsid w:val="00B22A8B"/>
    <w:rsid w:val="00B234C6"/>
    <w:rsid w:val="00B24D0E"/>
    <w:rsid w:val="00B26DB3"/>
    <w:rsid w:val="00B302F3"/>
    <w:rsid w:val="00B30A1E"/>
    <w:rsid w:val="00B3169C"/>
    <w:rsid w:val="00B318BC"/>
    <w:rsid w:val="00B326B9"/>
    <w:rsid w:val="00B32F47"/>
    <w:rsid w:val="00B35035"/>
    <w:rsid w:val="00B36487"/>
    <w:rsid w:val="00B36CB9"/>
    <w:rsid w:val="00B37222"/>
    <w:rsid w:val="00B407F6"/>
    <w:rsid w:val="00B40A23"/>
    <w:rsid w:val="00B40F41"/>
    <w:rsid w:val="00B41762"/>
    <w:rsid w:val="00B41CD9"/>
    <w:rsid w:val="00B41D3E"/>
    <w:rsid w:val="00B42585"/>
    <w:rsid w:val="00B43EDE"/>
    <w:rsid w:val="00B451A2"/>
    <w:rsid w:val="00B45BCF"/>
    <w:rsid w:val="00B46BF3"/>
    <w:rsid w:val="00B46F6A"/>
    <w:rsid w:val="00B5088A"/>
    <w:rsid w:val="00B52207"/>
    <w:rsid w:val="00B52EFA"/>
    <w:rsid w:val="00B53B74"/>
    <w:rsid w:val="00B54E9D"/>
    <w:rsid w:val="00B54ECD"/>
    <w:rsid w:val="00B55C94"/>
    <w:rsid w:val="00B5605B"/>
    <w:rsid w:val="00B60335"/>
    <w:rsid w:val="00B6142D"/>
    <w:rsid w:val="00B6146C"/>
    <w:rsid w:val="00B62217"/>
    <w:rsid w:val="00B63595"/>
    <w:rsid w:val="00B64556"/>
    <w:rsid w:val="00B646DA"/>
    <w:rsid w:val="00B651A8"/>
    <w:rsid w:val="00B65767"/>
    <w:rsid w:val="00B670C6"/>
    <w:rsid w:val="00B67E0A"/>
    <w:rsid w:val="00B70848"/>
    <w:rsid w:val="00B7098A"/>
    <w:rsid w:val="00B70DD5"/>
    <w:rsid w:val="00B7234A"/>
    <w:rsid w:val="00B73DD0"/>
    <w:rsid w:val="00B762E3"/>
    <w:rsid w:val="00B77375"/>
    <w:rsid w:val="00B77B04"/>
    <w:rsid w:val="00B77D33"/>
    <w:rsid w:val="00B803CF"/>
    <w:rsid w:val="00B80BB1"/>
    <w:rsid w:val="00B80E56"/>
    <w:rsid w:val="00B81625"/>
    <w:rsid w:val="00B82663"/>
    <w:rsid w:val="00B8291A"/>
    <w:rsid w:val="00B82974"/>
    <w:rsid w:val="00B83508"/>
    <w:rsid w:val="00B8423F"/>
    <w:rsid w:val="00B84F2E"/>
    <w:rsid w:val="00B857B9"/>
    <w:rsid w:val="00B86AE6"/>
    <w:rsid w:val="00B87B3A"/>
    <w:rsid w:val="00B90C46"/>
    <w:rsid w:val="00B93E86"/>
    <w:rsid w:val="00B94387"/>
    <w:rsid w:val="00B94C40"/>
    <w:rsid w:val="00B95B18"/>
    <w:rsid w:val="00B95E5E"/>
    <w:rsid w:val="00B9791B"/>
    <w:rsid w:val="00B97F74"/>
    <w:rsid w:val="00BA01DC"/>
    <w:rsid w:val="00BA0EBC"/>
    <w:rsid w:val="00BA1EA0"/>
    <w:rsid w:val="00BA4185"/>
    <w:rsid w:val="00BA4499"/>
    <w:rsid w:val="00BA4AC7"/>
    <w:rsid w:val="00BA68FE"/>
    <w:rsid w:val="00BA6DB5"/>
    <w:rsid w:val="00BA7F89"/>
    <w:rsid w:val="00BA7FEE"/>
    <w:rsid w:val="00BB03DB"/>
    <w:rsid w:val="00BB0E18"/>
    <w:rsid w:val="00BB19FE"/>
    <w:rsid w:val="00BB2D9A"/>
    <w:rsid w:val="00BB3333"/>
    <w:rsid w:val="00BB36AE"/>
    <w:rsid w:val="00BB3E43"/>
    <w:rsid w:val="00BB49F6"/>
    <w:rsid w:val="00BB4A93"/>
    <w:rsid w:val="00BB4DC2"/>
    <w:rsid w:val="00BB5BED"/>
    <w:rsid w:val="00BB6979"/>
    <w:rsid w:val="00BB72B8"/>
    <w:rsid w:val="00BB7508"/>
    <w:rsid w:val="00BB7784"/>
    <w:rsid w:val="00BC11E2"/>
    <w:rsid w:val="00BC477A"/>
    <w:rsid w:val="00BC5906"/>
    <w:rsid w:val="00BC7458"/>
    <w:rsid w:val="00BC77A9"/>
    <w:rsid w:val="00BC7F27"/>
    <w:rsid w:val="00BD0BDC"/>
    <w:rsid w:val="00BD0DA8"/>
    <w:rsid w:val="00BD149C"/>
    <w:rsid w:val="00BD1FD5"/>
    <w:rsid w:val="00BD1FFB"/>
    <w:rsid w:val="00BD22CD"/>
    <w:rsid w:val="00BD2F81"/>
    <w:rsid w:val="00BD3E4D"/>
    <w:rsid w:val="00BD5362"/>
    <w:rsid w:val="00BD5AA6"/>
    <w:rsid w:val="00BD5EFC"/>
    <w:rsid w:val="00BD6A76"/>
    <w:rsid w:val="00BD75AD"/>
    <w:rsid w:val="00BE01B1"/>
    <w:rsid w:val="00BE0D85"/>
    <w:rsid w:val="00BE0DED"/>
    <w:rsid w:val="00BE17ED"/>
    <w:rsid w:val="00BE26CE"/>
    <w:rsid w:val="00BE373C"/>
    <w:rsid w:val="00BE3D22"/>
    <w:rsid w:val="00BE5BFD"/>
    <w:rsid w:val="00BE769F"/>
    <w:rsid w:val="00BF0220"/>
    <w:rsid w:val="00BF1C04"/>
    <w:rsid w:val="00BF3FA9"/>
    <w:rsid w:val="00BF41E3"/>
    <w:rsid w:val="00BF493A"/>
    <w:rsid w:val="00BF4CB8"/>
    <w:rsid w:val="00BF539D"/>
    <w:rsid w:val="00BF623D"/>
    <w:rsid w:val="00BF6611"/>
    <w:rsid w:val="00BF7CE0"/>
    <w:rsid w:val="00BF7D21"/>
    <w:rsid w:val="00BF7F67"/>
    <w:rsid w:val="00C0066D"/>
    <w:rsid w:val="00C00BB1"/>
    <w:rsid w:val="00C00D62"/>
    <w:rsid w:val="00C02935"/>
    <w:rsid w:val="00C033BE"/>
    <w:rsid w:val="00C056EF"/>
    <w:rsid w:val="00C05CA2"/>
    <w:rsid w:val="00C0630E"/>
    <w:rsid w:val="00C069F3"/>
    <w:rsid w:val="00C07558"/>
    <w:rsid w:val="00C1198E"/>
    <w:rsid w:val="00C12BEF"/>
    <w:rsid w:val="00C133FB"/>
    <w:rsid w:val="00C13C1A"/>
    <w:rsid w:val="00C14254"/>
    <w:rsid w:val="00C16B84"/>
    <w:rsid w:val="00C17265"/>
    <w:rsid w:val="00C2187B"/>
    <w:rsid w:val="00C22DDE"/>
    <w:rsid w:val="00C234E6"/>
    <w:rsid w:val="00C235B2"/>
    <w:rsid w:val="00C236EB"/>
    <w:rsid w:val="00C23799"/>
    <w:rsid w:val="00C23BF2"/>
    <w:rsid w:val="00C242AA"/>
    <w:rsid w:val="00C25724"/>
    <w:rsid w:val="00C26801"/>
    <w:rsid w:val="00C2682A"/>
    <w:rsid w:val="00C276C5"/>
    <w:rsid w:val="00C300B1"/>
    <w:rsid w:val="00C30260"/>
    <w:rsid w:val="00C3026F"/>
    <w:rsid w:val="00C31587"/>
    <w:rsid w:val="00C31711"/>
    <w:rsid w:val="00C32293"/>
    <w:rsid w:val="00C325A5"/>
    <w:rsid w:val="00C32A8F"/>
    <w:rsid w:val="00C34C4B"/>
    <w:rsid w:val="00C3550F"/>
    <w:rsid w:val="00C3728D"/>
    <w:rsid w:val="00C377A8"/>
    <w:rsid w:val="00C40153"/>
    <w:rsid w:val="00C40D07"/>
    <w:rsid w:val="00C4190C"/>
    <w:rsid w:val="00C47F92"/>
    <w:rsid w:val="00C50254"/>
    <w:rsid w:val="00C51572"/>
    <w:rsid w:val="00C52388"/>
    <w:rsid w:val="00C5248E"/>
    <w:rsid w:val="00C52588"/>
    <w:rsid w:val="00C52D01"/>
    <w:rsid w:val="00C539BF"/>
    <w:rsid w:val="00C53A6B"/>
    <w:rsid w:val="00C54682"/>
    <w:rsid w:val="00C54C37"/>
    <w:rsid w:val="00C5525C"/>
    <w:rsid w:val="00C5541B"/>
    <w:rsid w:val="00C55BE5"/>
    <w:rsid w:val="00C563C8"/>
    <w:rsid w:val="00C56617"/>
    <w:rsid w:val="00C56D08"/>
    <w:rsid w:val="00C56D32"/>
    <w:rsid w:val="00C5731C"/>
    <w:rsid w:val="00C57A22"/>
    <w:rsid w:val="00C57DB6"/>
    <w:rsid w:val="00C61626"/>
    <w:rsid w:val="00C6219A"/>
    <w:rsid w:val="00C6232E"/>
    <w:rsid w:val="00C62963"/>
    <w:rsid w:val="00C62CB0"/>
    <w:rsid w:val="00C63A2E"/>
    <w:rsid w:val="00C64C0E"/>
    <w:rsid w:val="00C6532C"/>
    <w:rsid w:val="00C654A9"/>
    <w:rsid w:val="00C65729"/>
    <w:rsid w:val="00C65A7C"/>
    <w:rsid w:val="00C65AD2"/>
    <w:rsid w:val="00C65C53"/>
    <w:rsid w:val="00C6694E"/>
    <w:rsid w:val="00C67B5C"/>
    <w:rsid w:val="00C7021E"/>
    <w:rsid w:val="00C716C2"/>
    <w:rsid w:val="00C73A35"/>
    <w:rsid w:val="00C745C2"/>
    <w:rsid w:val="00C74841"/>
    <w:rsid w:val="00C7585A"/>
    <w:rsid w:val="00C76CEC"/>
    <w:rsid w:val="00C77B81"/>
    <w:rsid w:val="00C82618"/>
    <w:rsid w:val="00C8277E"/>
    <w:rsid w:val="00C82D12"/>
    <w:rsid w:val="00C8418F"/>
    <w:rsid w:val="00C8460D"/>
    <w:rsid w:val="00C84EEA"/>
    <w:rsid w:val="00C84F1D"/>
    <w:rsid w:val="00C866FA"/>
    <w:rsid w:val="00C878B7"/>
    <w:rsid w:val="00C90D17"/>
    <w:rsid w:val="00C91270"/>
    <w:rsid w:val="00C919F7"/>
    <w:rsid w:val="00C94BCF"/>
    <w:rsid w:val="00C95521"/>
    <w:rsid w:val="00C9652A"/>
    <w:rsid w:val="00C96D5F"/>
    <w:rsid w:val="00C97347"/>
    <w:rsid w:val="00CA0A51"/>
    <w:rsid w:val="00CA0D60"/>
    <w:rsid w:val="00CA13DF"/>
    <w:rsid w:val="00CA18CD"/>
    <w:rsid w:val="00CA1C79"/>
    <w:rsid w:val="00CA23C7"/>
    <w:rsid w:val="00CA256C"/>
    <w:rsid w:val="00CA2D3E"/>
    <w:rsid w:val="00CA367C"/>
    <w:rsid w:val="00CA3FC6"/>
    <w:rsid w:val="00CA43A0"/>
    <w:rsid w:val="00CA54D0"/>
    <w:rsid w:val="00CA679E"/>
    <w:rsid w:val="00CA70D8"/>
    <w:rsid w:val="00CA73C3"/>
    <w:rsid w:val="00CB03DE"/>
    <w:rsid w:val="00CB18C9"/>
    <w:rsid w:val="00CB1941"/>
    <w:rsid w:val="00CB1F6D"/>
    <w:rsid w:val="00CB1F98"/>
    <w:rsid w:val="00CB244D"/>
    <w:rsid w:val="00CB2A8E"/>
    <w:rsid w:val="00CB2B2D"/>
    <w:rsid w:val="00CB3500"/>
    <w:rsid w:val="00CB35A8"/>
    <w:rsid w:val="00CB35F7"/>
    <w:rsid w:val="00CB585C"/>
    <w:rsid w:val="00CB662A"/>
    <w:rsid w:val="00CB66B8"/>
    <w:rsid w:val="00CB77BE"/>
    <w:rsid w:val="00CC0404"/>
    <w:rsid w:val="00CC0B04"/>
    <w:rsid w:val="00CC0CDE"/>
    <w:rsid w:val="00CC1409"/>
    <w:rsid w:val="00CC26BB"/>
    <w:rsid w:val="00CC2EBF"/>
    <w:rsid w:val="00CC3E6D"/>
    <w:rsid w:val="00CC4575"/>
    <w:rsid w:val="00CC4765"/>
    <w:rsid w:val="00CC530F"/>
    <w:rsid w:val="00CC55EC"/>
    <w:rsid w:val="00CC7417"/>
    <w:rsid w:val="00CC7508"/>
    <w:rsid w:val="00CC766D"/>
    <w:rsid w:val="00CC787C"/>
    <w:rsid w:val="00CD35CC"/>
    <w:rsid w:val="00CD48A7"/>
    <w:rsid w:val="00CD4A62"/>
    <w:rsid w:val="00CD658D"/>
    <w:rsid w:val="00CD749F"/>
    <w:rsid w:val="00CD7882"/>
    <w:rsid w:val="00CE078D"/>
    <w:rsid w:val="00CE2E52"/>
    <w:rsid w:val="00CE3D93"/>
    <w:rsid w:val="00CE4893"/>
    <w:rsid w:val="00CE6878"/>
    <w:rsid w:val="00CE7C54"/>
    <w:rsid w:val="00CF06EF"/>
    <w:rsid w:val="00CF0ED8"/>
    <w:rsid w:val="00CF1C1B"/>
    <w:rsid w:val="00CF2722"/>
    <w:rsid w:val="00CF2DE3"/>
    <w:rsid w:val="00CF30F9"/>
    <w:rsid w:val="00CF4D41"/>
    <w:rsid w:val="00CF594C"/>
    <w:rsid w:val="00CF5B66"/>
    <w:rsid w:val="00CF5C4A"/>
    <w:rsid w:val="00CF70EC"/>
    <w:rsid w:val="00CF749C"/>
    <w:rsid w:val="00D0006B"/>
    <w:rsid w:val="00D006EC"/>
    <w:rsid w:val="00D00910"/>
    <w:rsid w:val="00D0287A"/>
    <w:rsid w:val="00D03942"/>
    <w:rsid w:val="00D0441A"/>
    <w:rsid w:val="00D050E7"/>
    <w:rsid w:val="00D05776"/>
    <w:rsid w:val="00D06292"/>
    <w:rsid w:val="00D06D27"/>
    <w:rsid w:val="00D075BE"/>
    <w:rsid w:val="00D07B09"/>
    <w:rsid w:val="00D10004"/>
    <w:rsid w:val="00D107A8"/>
    <w:rsid w:val="00D107C2"/>
    <w:rsid w:val="00D116B0"/>
    <w:rsid w:val="00D123D1"/>
    <w:rsid w:val="00D13A09"/>
    <w:rsid w:val="00D14B33"/>
    <w:rsid w:val="00D154FB"/>
    <w:rsid w:val="00D16B8B"/>
    <w:rsid w:val="00D201F6"/>
    <w:rsid w:val="00D208C4"/>
    <w:rsid w:val="00D22746"/>
    <w:rsid w:val="00D23176"/>
    <w:rsid w:val="00D233BA"/>
    <w:rsid w:val="00D23661"/>
    <w:rsid w:val="00D238DF"/>
    <w:rsid w:val="00D245E0"/>
    <w:rsid w:val="00D26028"/>
    <w:rsid w:val="00D26543"/>
    <w:rsid w:val="00D268D6"/>
    <w:rsid w:val="00D27727"/>
    <w:rsid w:val="00D3080F"/>
    <w:rsid w:val="00D308EE"/>
    <w:rsid w:val="00D30E40"/>
    <w:rsid w:val="00D31643"/>
    <w:rsid w:val="00D3199A"/>
    <w:rsid w:val="00D31F3C"/>
    <w:rsid w:val="00D3235D"/>
    <w:rsid w:val="00D32570"/>
    <w:rsid w:val="00D32BE8"/>
    <w:rsid w:val="00D3456F"/>
    <w:rsid w:val="00D35E54"/>
    <w:rsid w:val="00D35E63"/>
    <w:rsid w:val="00D36CC0"/>
    <w:rsid w:val="00D370F1"/>
    <w:rsid w:val="00D372CF"/>
    <w:rsid w:val="00D40B2A"/>
    <w:rsid w:val="00D410A1"/>
    <w:rsid w:val="00D412D2"/>
    <w:rsid w:val="00D41441"/>
    <w:rsid w:val="00D41C25"/>
    <w:rsid w:val="00D4234E"/>
    <w:rsid w:val="00D4307E"/>
    <w:rsid w:val="00D44843"/>
    <w:rsid w:val="00D45E94"/>
    <w:rsid w:val="00D4619C"/>
    <w:rsid w:val="00D469FF"/>
    <w:rsid w:val="00D47784"/>
    <w:rsid w:val="00D47FA1"/>
    <w:rsid w:val="00D51018"/>
    <w:rsid w:val="00D51DC4"/>
    <w:rsid w:val="00D5248B"/>
    <w:rsid w:val="00D52C51"/>
    <w:rsid w:val="00D5488E"/>
    <w:rsid w:val="00D54F7F"/>
    <w:rsid w:val="00D56236"/>
    <w:rsid w:val="00D566D1"/>
    <w:rsid w:val="00D5694B"/>
    <w:rsid w:val="00D56A8D"/>
    <w:rsid w:val="00D57894"/>
    <w:rsid w:val="00D61918"/>
    <w:rsid w:val="00D61CA0"/>
    <w:rsid w:val="00D61DB9"/>
    <w:rsid w:val="00D61EEF"/>
    <w:rsid w:val="00D621ED"/>
    <w:rsid w:val="00D6280B"/>
    <w:rsid w:val="00D629C0"/>
    <w:rsid w:val="00D62C3A"/>
    <w:rsid w:val="00D62DEB"/>
    <w:rsid w:val="00D63CA0"/>
    <w:rsid w:val="00D65A74"/>
    <w:rsid w:val="00D65BFB"/>
    <w:rsid w:val="00D65F58"/>
    <w:rsid w:val="00D660A6"/>
    <w:rsid w:val="00D666A3"/>
    <w:rsid w:val="00D67920"/>
    <w:rsid w:val="00D70276"/>
    <w:rsid w:val="00D70F23"/>
    <w:rsid w:val="00D711A7"/>
    <w:rsid w:val="00D754A2"/>
    <w:rsid w:val="00D76943"/>
    <w:rsid w:val="00D77BDC"/>
    <w:rsid w:val="00D77F4B"/>
    <w:rsid w:val="00D8062A"/>
    <w:rsid w:val="00D80F34"/>
    <w:rsid w:val="00D81535"/>
    <w:rsid w:val="00D815A8"/>
    <w:rsid w:val="00D83432"/>
    <w:rsid w:val="00D838F5"/>
    <w:rsid w:val="00D848B9"/>
    <w:rsid w:val="00D8490B"/>
    <w:rsid w:val="00D86290"/>
    <w:rsid w:val="00D865DB"/>
    <w:rsid w:val="00D86EE5"/>
    <w:rsid w:val="00D90E4F"/>
    <w:rsid w:val="00D910FF"/>
    <w:rsid w:val="00D91183"/>
    <w:rsid w:val="00D9149C"/>
    <w:rsid w:val="00D915F9"/>
    <w:rsid w:val="00D92945"/>
    <w:rsid w:val="00D9331A"/>
    <w:rsid w:val="00D9406E"/>
    <w:rsid w:val="00D94E34"/>
    <w:rsid w:val="00D9561B"/>
    <w:rsid w:val="00D95621"/>
    <w:rsid w:val="00D95F87"/>
    <w:rsid w:val="00D9603D"/>
    <w:rsid w:val="00D970E7"/>
    <w:rsid w:val="00D979FC"/>
    <w:rsid w:val="00DA1A04"/>
    <w:rsid w:val="00DA35C8"/>
    <w:rsid w:val="00DA4BAE"/>
    <w:rsid w:val="00DA4ECB"/>
    <w:rsid w:val="00DA5C57"/>
    <w:rsid w:val="00DA6909"/>
    <w:rsid w:val="00DB0B95"/>
    <w:rsid w:val="00DB30D4"/>
    <w:rsid w:val="00DB3A2C"/>
    <w:rsid w:val="00DB51D0"/>
    <w:rsid w:val="00DB5AF4"/>
    <w:rsid w:val="00DB782E"/>
    <w:rsid w:val="00DC0828"/>
    <w:rsid w:val="00DC11AD"/>
    <w:rsid w:val="00DC1BB3"/>
    <w:rsid w:val="00DC23E0"/>
    <w:rsid w:val="00DC2880"/>
    <w:rsid w:val="00DC2CD7"/>
    <w:rsid w:val="00DC3825"/>
    <w:rsid w:val="00DC4E38"/>
    <w:rsid w:val="00DC4E5F"/>
    <w:rsid w:val="00DC53E5"/>
    <w:rsid w:val="00DC55CE"/>
    <w:rsid w:val="00DC5E82"/>
    <w:rsid w:val="00DC6860"/>
    <w:rsid w:val="00DC712F"/>
    <w:rsid w:val="00DC73A5"/>
    <w:rsid w:val="00DD0A13"/>
    <w:rsid w:val="00DD0FE0"/>
    <w:rsid w:val="00DD1123"/>
    <w:rsid w:val="00DD126B"/>
    <w:rsid w:val="00DD3936"/>
    <w:rsid w:val="00DD3C67"/>
    <w:rsid w:val="00DD44E9"/>
    <w:rsid w:val="00DD5053"/>
    <w:rsid w:val="00DD5FA8"/>
    <w:rsid w:val="00DD6AD1"/>
    <w:rsid w:val="00DD73CD"/>
    <w:rsid w:val="00DD7F6C"/>
    <w:rsid w:val="00DE000D"/>
    <w:rsid w:val="00DE252E"/>
    <w:rsid w:val="00DE28F1"/>
    <w:rsid w:val="00DE2DAC"/>
    <w:rsid w:val="00DE3146"/>
    <w:rsid w:val="00DE3590"/>
    <w:rsid w:val="00DE76C1"/>
    <w:rsid w:val="00DE77BE"/>
    <w:rsid w:val="00DE7827"/>
    <w:rsid w:val="00DE7F2A"/>
    <w:rsid w:val="00DF016E"/>
    <w:rsid w:val="00DF1B5C"/>
    <w:rsid w:val="00DF1F0A"/>
    <w:rsid w:val="00DF2964"/>
    <w:rsid w:val="00DF2A4D"/>
    <w:rsid w:val="00DF2ACA"/>
    <w:rsid w:val="00DF2EBE"/>
    <w:rsid w:val="00DF35BD"/>
    <w:rsid w:val="00DF38D2"/>
    <w:rsid w:val="00DF3BDC"/>
    <w:rsid w:val="00DF4118"/>
    <w:rsid w:val="00DF577D"/>
    <w:rsid w:val="00DF6DFA"/>
    <w:rsid w:val="00E0077D"/>
    <w:rsid w:val="00E00D41"/>
    <w:rsid w:val="00E01264"/>
    <w:rsid w:val="00E01586"/>
    <w:rsid w:val="00E01F02"/>
    <w:rsid w:val="00E0208B"/>
    <w:rsid w:val="00E02D50"/>
    <w:rsid w:val="00E041A0"/>
    <w:rsid w:val="00E0486A"/>
    <w:rsid w:val="00E05A74"/>
    <w:rsid w:val="00E06365"/>
    <w:rsid w:val="00E106CC"/>
    <w:rsid w:val="00E119BB"/>
    <w:rsid w:val="00E11D08"/>
    <w:rsid w:val="00E127BF"/>
    <w:rsid w:val="00E13430"/>
    <w:rsid w:val="00E13B50"/>
    <w:rsid w:val="00E13CF5"/>
    <w:rsid w:val="00E13F91"/>
    <w:rsid w:val="00E14A2F"/>
    <w:rsid w:val="00E14D21"/>
    <w:rsid w:val="00E16150"/>
    <w:rsid w:val="00E178A5"/>
    <w:rsid w:val="00E17D17"/>
    <w:rsid w:val="00E20262"/>
    <w:rsid w:val="00E20337"/>
    <w:rsid w:val="00E22777"/>
    <w:rsid w:val="00E22F26"/>
    <w:rsid w:val="00E232A5"/>
    <w:rsid w:val="00E24002"/>
    <w:rsid w:val="00E25024"/>
    <w:rsid w:val="00E314BF"/>
    <w:rsid w:val="00E33457"/>
    <w:rsid w:val="00E3443C"/>
    <w:rsid w:val="00E34914"/>
    <w:rsid w:val="00E36091"/>
    <w:rsid w:val="00E3660D"/>
    <w:rsid w:val="00E36D6A"/>
    <w:rsid w:val="00E37802"/>
    <w:rsid w:val="00E40DDF"/>
    <w:rsid w:val="00E40E08"/>
    <w:rsid w:val="00E40F79"/>
    <w:rsid w:val="00E412E6"/>
    <w:rsid w:val="00E42714"/>
    <w:rsid w:val="00E42DC5"/>
    <w:rsid w:val="00E433C7"/>
    <w:rsid w:val="00E444B8"/>
    <w:rsid w:val="00E44DCA"/>
    <w:rsid w:val="00E450E6"/>
    <w:rsid w:val="00E4549F"/>
    <w:rsid w:val="00E455C4"/>
    <w:rsid w:val="00E5006B"/>
    <w:rsid w:val="00E5100C"/>
    <w:rsid w:val="00E53015"/>
    <w:rsid w:val="00E53F02"/>
    <w:rsid w:val="00E56112"/>
    <w:rsid w:val="00E5647B"/>
    <w:rsid w:val="00E564BD"/>
    <w:rsid w:val="00E56E7C"/>
    <w:rsid w:val="00E56F3D"/>
    <w:rsid w:val="00E57D69"/>
    <w:rsid w:val="00E61127"/>
    <w:rsid w:val="00E61D81"/>
    <w:rsid w:val="00E622DE"/>
    <w:rsid w:val="00E64143"/>
    <w:rsid w:val="00E643C2"/>
    <w:rsid w:val="00E64A15"/>
    <w:rsid w:val="00E6643C"/>
    <w:rsid w:val="00E66453"/>
    <w:rsid w:val="00E66AED"/>
    <w:rsid w:val="00E66C15"/>
    <w:rsid w:val="00E67D15"/>
    <w:rsid w:val="00E67F0B"/>
    <w:rsid w:val="00E716E1"/>
    <w:rsid w:val="00E71C1E"/>
    <w:rsid w:val="00E728D4"/>
    <w:rsid w:val="00E73207"/>
    <w:rsid w:val="00E73EAD"/>
    <w:rsid w:val="00E7707D"/>
    <w:rsid w:val="00E803FB"/>
    <w:rsid w:val="00E80653"/>
    <w:rsid w:val="00E806D0"/>
    <w:rsid w:val="00E80BFC"/>
    <w:rsid w:val="00E8119A"/>
    <w:rsid w:val="00E83360"/>
    <w:rsid w:val="00E8519C"/>
    <w:rsid w:val="00E85640"/>
    <w:rsid w:val="00E85A38"/>
    <w:rsid w:val="00E90239"/>
    <w:rsid w:val="00E92E26"/>
    <w:rsid w:val="00E94F45"/>
    <w:rsid w:val="00E95143"/>
    <w:rsid w:val="00E977E7"/>
    <w:rsid w:val="00E97B48"/>
    <w:rsid w:val="00EA0D18"/>
    <w:rsid w:val="00EA0D2E"/>
    <w:rsid w:val="00EA193E"/>
    <w:rsid w:val="00EA3A41"/>
    <w:rsid w:val="00EA512A"/>
    <w:rsid w:val="00EA5186"/>
    <w:rsid w:val="00EA5DA0"/>
    <w:rsid w:val="00EA6148"/>
    <w:rsid w:val="00EA63E1"/>
    <w:rsid w:val="00EA718C"/>
    <w:rsid w:val="00EA79B2"/>
    <w:rsid w:val="00EA7E19"/>
    <w:rsid w:val="00EB0F0A"/>
    <w:rsid w:val="00EB126B"/>
    <w:rsid w:val="00EB2A26"/>
    <w:rsid w:val="00EB3245"/>
    <w:rsid w:val="00EB56B6"/>
    <w:rsid w:val="00EB58F9"/>
    <w:rsid w:val="00EB79CA"/>
    <w:rsid w:val="00EB7E0C"/>
    <w:rsid w:val="00EC01E4"/>
    <w:rsid w:val="00EC052E"/>
    <w:rsid w:val="00EC1D76"/>
    <w:rsid w:val="00EC2B89"/>
    <w:rsid w:val="00EC4C5C"/>
    <w:rsid w:val="00EC5897"/>
    <w:rsid w:val="00EC6519"/>
    <w:rsid w:val="00ED066E"/>
    <w:rsid w:val="00ED0B4C"/>
    <w:rsid w:val="00ED1180"/>
    <w:rsid w:val="00ED1255"/>
    <w:rsid w:val="00ED19D5"/>
    <w:rsid w:val="00ED34C4"/>
    <w:rsid w:val="00ED3660"/>
    <w:rsid w:val="00ED3C8E"/>
    <w:rsid w:val="00ED534B"/>
    <w:rsid w:val="00ED5F41"/>
    <w:rsid w:val="00ED6195"/>
    <w:rsid w:val="00ED667A"/>
    <w:rsid w:val="00ED76D8"/>
    <w:rsid w:val="00ED7B49"/>
    <w:rsid w:val="00EE060C"/>
    <w:rsid w:val="00EE3FD6"/>
    <w:rsid w:val="00EE4ECD"/>
    <w:rsid w:val="00EE5230"/>
    <w:rsid w:val="00EE58DF"/>
    <w:rsid w:val="00EE599E"/>
    <w:rsid w:val="00EE5C12"/>
    <w:rsid w:val="00EE6034"/>
    <w:rsid w:val="00EE6347"/>
    <w:rsid w:val="00EE6360"/>
    <w:rsid w:val="00EE69C9"/>
    <w:rsid w:val="00EE7059"/>
    <w:rsid w:val="00EE7555"/>
    <w:rsid w:val="00EF07EB"/>
    <w:rsid w:val="00EF0F87"/>
    <w:rsid w:val="00EF102E"/>
    <w:rsid w:val="00EF2372"/>
    <w:rsid w:val="00EF26A3"/>
    <w:rsid w:val="00EF26D3"/>
    <w:rsid w:val="00EF2836"/>
    <w:rsid w:val="00EF295C"/>
    <w:rsid w:val="00EF383E"/>
    <w:rsid w:val="00EF3907"/>
    <w:rsid w:val="00EF4333"/>
    <w:rsid w:val="00EF45C0"/>
    <w:rsid w:val="00EF4C63"/>
    <w:rsid w:val="00EF7AB6"/>
    <w:rsid w:val="00EF7C92"/>
    <w:rsid w:val="00F00A04"/>
    <w:rsid w:val="00F015E8"/>
    <w:rsid w:val="00F01E02"/>
    <w:rsid w:val="00F0314D"/>
    <w:rsid w:val="00F03D33"/>
    <w:rsid w:val="00F054A7"/>
    <w:rsid w:val="00F06A3B"/>
    <w:rsid w:val="00F07FA5"/>
    <w:rsid w:val="00F10C7D"/>
    <w:rsid w:val="00F1264B"/>
    <w:rsid w:val="00F126F9"/>
    <w:rsid w:val="00F133B8"/>
    <w:rsid w:val="00F13594"/>
    <w:rsid w:val="00F14CE2"/>
    <w:rsid w:val="00F15DA1"/>
    <w:rsid w:val="00F16400"/>
    <w:rsid w:val="00F16471"/>
    <w:rsid w:val="00F168FD"/>
    <w:rsid w:val="00F16BEC"/>
    <w:rsid w:val="00F16C0D"/>
    <w:rsid w:val="00F177C8"/>
    <w:rsid w:val="00F201BA"/>
    <w:rsid w:val="00F20299"/>
    <w:rsid w:val="00F21005"/>
    <w:rsid w:val="00F2269C"/>
    <w:rsid w:val="00F2388D"/>
    <w:rsid w:val="00F23D72"/>
    <w:rsid w:val="00F23D91"/>
    <w:rsid w:val="00F241C4"/>
    <w:rsid w:val="00F24E65"/>
    <w:rsid w:val="00F24EBF"/>
    <w:rsid w:val="00F26D03"/>
    <w:rsid w:val="00F27630"/>
    <w:rsid w:val="00F277A2"/>
    <w:rsid w:val="00F304EE"/>
    <w:rsid w:val="00F3091C"/>
    <w:rsid w:val="00F30C68"/>
    <w:rsid w:val="00F3202B"/>
    <w:rsid w:val="00F32108"/>
    <w:rsid w:val="00F324F6"/>
    <w:rsid w:val="00F3261B"/>
    <w:rsid w:val="00F32D21"/>
    <w:rsid w:val="00F332D0"/>
    <w:rsid w:val="00F33F38"/>
    <w:rsid w:val="00F35BD9"/>
    <w:rsid w:val="00F361F1"/>
    <w:rsid w:val="00F36FA9"/>
    <w:rsid w:val="00F36FBF"/>
    <w:rsid w:val="00F40433"/>
    <w:rsid w:val="00F40A23"/>
    <w:rsid w:val="00F40B48"/>
    <w:rsid w:val="00F41377"/>
    <w:rsid w:val="00F4409E"/>
    <w:rsid w:val="00F456B3"/>
    <w:rsid w:val="00F45745"/>
    <w:rsid w:val="00F50A8D"/>
    <w:rsid w:val="00F510E3"/>
    <w:rsid w:val="00F51816"/>
    <w:rsid w:val="00F523BD"/>
    <w:rsid w:val="00F53394"/>
    <w:rsid w:val="00F54ADC"/>
    <w:rsid w:val="00F54C20"/>
    <w:rsid w:val="00F55507"/>
    <w:rsid w:val="00F557E0"/>
    <w:rsid w:val="00F56820"/>
    <w:rsid w:val="00F60296"/>
    <w:rsid w:val="00F60B22"/>
    <w:rsid w:val="00F62A76"/>
    <w:rsid w:val="00F63FE9"/>
    <w:rsid w:val="00F65255"/>
    <w:rsid w:val="00F6572D"/>
    <w:rsid w:val="00F664C0"/>
    <w:rsid w:val="00F672D4"/>
    <w:rsid w:val="00F6739B"/>
    <w:rsid w:val="00F67DFF"/>
    <w:rsid w:val="00F67EFF"/>
    <w:rsid w:val="00F708B9"/>
    <w:rsid w:val="00F7104D"/>
    <w:rsid w:val="00F716AF"/>
    <w:rsid w:val="00F7181C"/>
    <w:rsid w:val="00F71989"/>
    <w:rsid w:val="00F729BC"/>
    <w:rsid w:val="00F7304A"/>
    <w:rsid w:val="00F744C9"/>
    <w:rsid w:val="00F76F1D"/>
    <w:rsid w:val="00F76FA9"/>
    <w:rsid w:val="00F77018"/>
    <w:rsid w:val="00F77D52"/>
    <w:rsid w:val="00F79C15"/>
    <w:rsid w:val="00F80AF2"/>
    <w:rsid w:val="00F815CC"/>
    <w:rsid w:val="00F81B46"/>
    <w:rsid w:val="00F81C7A"/>
    <w:rsid w:val="00F81D3B"/>
    <w:rsid w:val="00F8433B"/>
    <w:rsid w:val="00F8677A"/>
    <w:rsid w:val="00F86B98"/>
    <w:rsid w:val="00F8790D"/>
    <w:rsid w:val="00F87D5B"/>
    <w:rsid w:val="00F9197E"/>
    <w:rsid w:val="00F919EF"/>
    <w:rsid w:val="00F91CC1"/>
    <w:rsid w:val="00F92F33"/>
    <w:rsid w:val="00F94A41"/>
    <w:rsid w:val="00F94F46"/>
    <w:rsid w:val="00F9683B"/>
    <w:rsid w:val="00FA02E6"/>
    <w:rsid w:val="00FA1E8B"/>
    <w:rsid w:val="00FA272F"/>
    <w:rsid w:val="00FA2E8C"/>
    <w:rsid w:val="00FA48AB"/>
    <w:rsid w:val="00FA5368"/>
    <w:rsid w:val="00FA5960"/>
    <w:rsid w:val="00FA5E12"/>
    <w:rsid w:val="00FA65A3"/>
    <w:rsid w:val="00FA71D0"/>
    <w:rsid w:val="00FB0776"/>
    <w:rsid w:val="00FB0D0F"/>
    <w:rsid w:val="00FB15E6"/>
    <w:rsid w:val="00FB2107"/>
    <w:rsid w:val="00FB2178"/>
    <w:rsid w:val="00FB3604"/>
    <w:rsid w:val="00FB5BB7"/>
    <w:rsid w:val="00FB6540"/>
    <w:rsid w:val="00FC0026"/>
    <w:rsid w:val="00FC2D2A"/>
    <w:rsid w:val="00FC4DD5"/>
    <w:rsid w:val="00FC4E42"/>
    <w:rsid w:val="00FC6759"/>
    <w:rsid w:val="00FC703A"/>
    <w:rsid w:val="00FD06C4"/>
    <w:rsid w:val="00FD0912"/>
    <w:rsid w:val="00FD1BA1"/>
    <w:rsid w:val="00FD1E24"/>
    <w:rsid w:val="00FD221B"/>
    <w:rsid w:val="00FD3433"/>
    <w:rsid w:val="00FD3AE5"/>
    <w:rsid w:val="00FD523F"/>
    <w:rsid w:val="00FD59C3"/>
    <w:rsid w:val="00FD5D3A"/>
    <w:rsid w:val="00FD5DC4"/>
    <w:rsid w:val="00FD6FC1"/>
    <w:rsid w:val="00FD7196"/>
    <w:rsid w:val="00FD7796"/>
    <w:rsid w:val="00FD7867"/>
    <w:rsid w:val="00FD7BE6"/>
    <w:rsid w:val="00FD7C7F"/>
    <w:rsid w:val="00FD7CAE"/>
    <w:rsid w:val="00FE0E3E"/>
    <w:rsid w:val="00FE1BA5"/>
    <w:rsid w:val="00FE2797"/>
    <w:rsid w:val="00FE31E9"/>
    <w:rsid w:val="00FE3A62"/>
    <w:rsid w:val="00FE4491"/>
    <w:rsid w:val="00FE5DA2"/>
    <w:rsid w:val="00FE6344"/>
    <w:rsid w:val="00FE6F20"/>
    <w:rsid w:val="00FE7ECE"/>
    <w:rsid w:val="00FF0033"/>
    <w:rsid w:val="00FF01EB"/>
    <w:rsid w:val="00FF162F"/>
    <w:rsid w:val="00FF2085"/>
    <w:rsid w:val="00FF401A"/>
    <w:rsid w:val="00FF4AB8"/>
    <w:rsid w:val="00FF6350"/>
    <w:rsid w:val="01051BD9"/>
    <w:rsid w:val="02152D5C"/>
    <w:rsid w:val="0338969D"/>
    <w:rsid w:val="0442BE83"/>
    <w:rsid w:val="062B8FBD"/>
    <w:rsid w:val="069282C8"/>
    <w:rsid w:val="08D88DD8"/>
    <w:rsid w:val="0AA1DC48"/>
    <w:rsid w:val="0B8B5967"/>
    <w:rsid w:val="0BCD6493"/>
    <w:rsid w:val="0D2F634C"/>
    <w:rsid w:val="0E23139C"/>
    <w:rsid w:val="1237308F"/>
    <w:rsid w:val="13240E42"/>
    <w:rsid w:val="140A31A0"/>
    <w:rsid w:val="14691E13"/>
    <w:rsid w:val="1556DFE2"/>
    <w:rsid w:val="164D598E"/>
    <w:rsid w:val="16997BEA"/>
    <w:rsid w:val="1882F3FC"/>
    <w:rsid w:val="1A9375A3"/>
    <w:rsid w:val="1B4D7B24"/>
    <w:rsid w:val="1BE049F0"/>
    <w:rsid w:val="1CE558B9"/>
    <w:rsid w:val="1D49AB40"/>
    <w:rsid w:val="1FAFBC6A"/>
    <w:rsid w:val="20CEE87F"/>
    <w:rsid w:val="20F25DD7"/>
    <w:rsid w:val="22428491"/>
    <w:rsid w:val="2498DCFE"/>
    <w:rsid w:val="26E875A2"/>
    <w:rsid w:val="26FCE494"/>
    <w:rsid w:val="277F2F0E"/>
    <w:rsid w:val="2AB256DF"/>
    <w:rsid w:val="2B4978C5"/>
    <w:rsid w:val="2CE6FBC1"/>
    <w:rsid w:val="2DB82C1D"/>
    <w:rsid w:val="2EB3BB1B"/>
    <w:rsid w:val="31086DAD"/>
    <w:rsid w:val="319AC698"/>
    <w:rsid w:val="35658517"/>
    <w:rsid w:val="36A0C20D"/>
    <w:rsid w:val="38596225"/>
    <w:rsid w:val="38882E92"/>
    <w:rsid w:val="3A5ADBD4"/>
    <w:rsid w:val="3B340D81"/>
    <w:rsid w:val="3B5C8D67"/>
    <w:rsid w:val="3C479E8B"/>
    <w:rsid w:val="3CE59253"/>
    <w:rsid w:val="3E0BBA54"/>
    <w:rsid w:val="3EB9A2D1"/>
    <w:rsid w:val="3F8BE896"/>
    <w:rsid w:val="41CE84C1"/>
    <w:rsid w:val="435D547B"/>
    <w:rsid w:val="466C3B65"/>
    <w:rsid w:val="468BDCEE"/>
    <w:rsid w:val="46B25ED8"/>
    <w:rsid w:val="46DAD14D"/>
    <w:rsid w:val="4B13122A"/>
    <w:rsid w:val="4BC66D25"/>
    <w:rsid w:val="4E0BCBA5"/>
    <w:rsid w:val="4ED88335"/>
    <w:rsid w:val="4F6BB573"/>
    <w:rsid w:val="4F933760"/>
    <w:rsid w:val="51A8D167"/>
    <w:rsid w:val="5273A14B"/>
    <w:rsid w:val="5337797F"/>
    <w:rsid w:val="56D13C90"/>
    <w:rsid w:val="57373E12"/>
    <w:rsid w:val="57F70D62"/>
    <w:rsid w:val="59B555BD"/>
    <w:rsid w:val="5C4231F1"/>
    <w:rsid w:val="5D44F6F9"/>
    <w:rsid w:val="5F2E6C1B"/>
    <w:rsid w:val="600610BE"/>
    <w:rsid w:val="66DA2C1F"/>
    <w:rsid w:val="68C58952"/>
    <w:rsid w:val="699E192D"/>
    <w:rsid w:val="6F858E8C"/>
    <w:rsid w:val="6FB32D48"/>
    <w:rsid w:val="737E74EC"/>
    <w:rsid w:val="7668301D"/>
    <w:rsid w:val="77296338"/>
    <w:rsid w:val="7729ABC7"/>
    <w:rsid w:val="7783023D"/>
    <w:rsid w:val="788D838D"/>
    <w:rsid w:val="793453BE"/>
    <w:rsid w:val="79E279A5"/>
    <w:rsid w:val="7BF8C275"/>
    <w:rsid w:val="7C3D1B6E"/>
    <w:rsid w:val="7F047C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EF35"/>
  <w15:docId w15:val="{44C0B926-2DF6-4FB4-B89F-1E4409B8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84A"/>
    <w:pPr>
      <w:spacing w:before="60" w:after="120" w:line="240" w:lineRule="auto"/>
      <w:ind w:firstLine="567"/>
      <w:jc w:val="both"/>
    </w:pPr>
    <w:rPr>
      <w:rFonts w:ascii="Times New Roman" w:hAnsi="Times New Roman"/>
    </w:rPr>
  </w:style>
  <w:style w:type="paragraph" w:styleId="Antrat1">
    <w:name w:val="heading 1"/>
    <w:basedOn w:val="prastasis"/>
    <w:next w:val="prastasis"/>
    <w:link w:val="Antrat1Diagrama"/>
    <w:uiPriority w:val="9"/>
    <w:qFormat/>
    <w:rsid w:val="007F5023"/>
    <w:pPr>
      <w:keepNext/>
      <w:keepLines/>
      <w:numPr>
        <w:numId w:val="1"/>
      </w:numPr>
      <w:spacing w:before="120"/>
      <w:outlineLvl w:val="0"/>
    </w:pPr>
    <w:rPr>
      <w:rFonts w:eastAsiaTheme="majorEastAsia" w:cstheme="majorBidi"/>
      <w:b/>
      <w:sz w:val="24"/>
      <w:szCs w:val="32"/>
    </w:rPr>
  </w:style>
  <w:style w:type="paragraph" w:styleId="Antrat2">
    <w:name w:val="heading 2"/>
    <w:basedOn w:val="prastasis"/>
    <w:next w:val="prastasis"/>
    <w:link w:val="Antrat2Diagrama"/>
    <w:uiPriority w:val="9"/>
    <w:unhideWhenUsed/>
    <w:qFormat/>
    <w:rsid w:val="00DB0B95"/>
    <w:pPr>
      <w:keepNext/>
      <w:keepLines/>
      <w:spacing w:before="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3878A7"/>
    <w:pPr>
      <w:keepNext/>
      <w:keepLines/>
      <w:spacing w:before="120"/>
      <w:outlineLvl w:val="2"/>
    </w:pPr>
    <w:rPr>
      <w:rFonts w:eastAsiaTheme="majorEastAsia" w:cstheme="majorBidi"/>
      <w:b/>
      <w:szCs w:val="24"/>
    </w:rPr>
  </w:style>
  <w:style w:type="paragraph" w:styleId="Antrat4">
    <w:name w:val="heading 4"/>
    <w:basedOn w:val="prastasis"/>
    <w:next w:val="prastasis"/>
    <w:link w:val="Antrat4Diagrama"/>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3024A"/>
    <w:pPr>
      <w:keepNext/>
      <w:keepLines/>
      <w:ind w:firstLine="851"/>
      <w:outlineLvl w:val="4"/>
    </w:pPr>
    <w:rPr>
      <w:rFonts w:eastAsiaTheme="majorEastAsia" w:cstheme="majorBidi"/>
      <w:i/>
    </w:rPr>
  </w:style>
  <w:style w:type="paragraph" w:styleId="Antrat6">
    <w:name w:val="heading 6"/>
    <w:basedOn w:val="prastasis"/>
    <w:next w:val="prastasis"/>
    <w:link w:val="Antrat6Diagrama"/>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47484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47484A"/>
    <w:rPr>
      <w:rFonts w:ascii="Segoe UI" w:hAnsi="Segoe UI" w:cs="Segoe UI"/>
      <w:sz w:val="18"/>
      <w:szCs w:val="18"/>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unhideWhenUsed/>
    <w:qFormat/>
    <w:rsid w:val="0047484A"/>
    <w:pPr>
      <w:spacing w:before="0" w:after="0"/>
    </w:pPr>
    <w:rPr>
      <w:sz w:val="20"/>
      <w:szCs w:val="20"/>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47484A"/>
    <w:rPr>
      <w:rFonts w:ascii="Times New Roman" w:hAnsi="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7484A"/>
    <w:rPr>
      <w:vertAlign w:val="superscript"/>
    </w:rPr>
  </w:style>
  <w:style w:type="paragraph" w:customStyle="1" w:styleId="SUPERSChar">
    <w:name w:val="SUPERS Char"/>
    <w:aliases w:val="EN Footnote Reference Char"/>
    <w:basedOn w:val="prastasis"/>
    <w:link w:val="Puslapioinaosnuoroda"/>
    <w:uiPriority w:val="99"/>
    <w:rsid w:val="0047484A"/>
    <w:pPr>
      <w:spacing w:before="0" w:after="160" w:line="240" w:lineRule="exact"/>
      <w:ind w:firstLine="0"/>
      <w:jc w:val="left"/>
    </w:pPr>
    <w:rPr>
      <w:rFonts w:asciiTheme="minorHAnsi" w:hAnsiTheme="minorHAnsi"/>
      <w:vertAlign w:val="superscript"/>
    </w:rPr>
  </w:style>
  <w:style w:type="character" w:customStyle="1" w:styleId="Antrat1Diagrama">
    <w:name w:val="Antraštė 1 Diagrama"/>
    <w:basedOn w:val="Numatytasispastraiposriftas"/>
    <w:link w:val="Antrat1"/>
    <w:uiPriority w:val="9"/>
    <w:rsid w:val="007F5023"/>
    <w:rPr>
      <w:rFonts w:ascii="Times New Roman" w:eastAsiaTheme="majorEastAsia" w:hAnsi="Times New Roman" w:cstheme="majorBidi"/>
      <w:b/>
      <w:sz w:val="24"/>
      <w:szCs w:val="32"/>
    </w:rPr>
  </w:style>
  <w:style w:type="table" w:styleId="Lentelstinklelis">
    <w:name w:val="Table Grid"/>
    <w:aliases w:val="Smart Text Table"/>
    <w:basedOn w:val="prastojilentel"/>
    <w:uiPriority w:val="3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6062D"/>
    <w:pPr>
      <w:ind w:left="720"/>
      <w:contextualSpacing/>
    </w:pPr>
  </w:style>
  <w:style w:type="character" w:customStyle="1" w:styleId="Antrat2Diagrama">
    <w:name w:val="Antraštė 2 Diagrama"/>
    <w:basedOn w:val="Numatytasispastraiposriftas"/>
    <w:link w:val="Antrat2"/>
    <w:uiPriority w:val="9"/>
    <w:rsid w:val="00DB0B95"/>
    <w:rPr>
      <w:rFonts w:ascii="Times New Roman" w:eastAsiaTheme="majorEastAsia" w:hAnsi="Times New Roman" w:cstheme="majorBidi"/>
      <w:b/>
      <w:szCs w:val="26"/>
    </w:rPr>
  </w:style>
  <w:style w:type="character" w:customStyle="1" w:styleId="Antrat3Diagrama">
    <w:name w:val="Antraštė 3 Diagrama"/>
    <w:basedOn w:val="Numatytasispastraiposriftas"/>
    <w:link w:val="Antrat3"/>
    <w:uiPriority w:val="9"/>
    <w:rsid w:val="003878A7"/>
    <w:rPr>
      <w:rFonts w:ascii="Times New Roman" w:eastAsiaTheme="majorEastAsia" w:hAnsi="Times New Roman" w:cstheme="majorBidi"/>
      <w:b/>
      <w:szCs w:val="24"/>
    </w:rPr>
  </w:style>
  <w:style w:type="character" w:styleId="Hipersaitas">
    <w:name w:val="Hyperlink"/>
    <w:basedOn w:val="Numatytasispastraiposriftas"/>
    <w:uiPriority w:val="99"/>
    <w:unhideWhenUsed/>
    <w:rsid w:val="00AE0B6B"/>
    <w:rPr>
      <w:color w:val="0563C1" w:themeColor="hyperlink"/>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0DBB"/>
    <w:rPr>
      <w:rFonts w:ascii="Times New Roman" w:hAnsi="Times New Roman"/>
    </w:rPr>
  </w:style>
  <w:style w:type="character" w:styleId="Komentaronuoroda">
    <w:name w:val="annotation reference"/>
    <w:basedOn w:val="Numatytasispastraiposriftas"/>
    <w:uiPriority w:val="99"/>
    <w:unhideWhenUsed/>
    <w:rsid w:val="0060684E"/>
    <w:rPr>
      <w:sz w:val="16"/>
      <w:szCs w:val="16"/>
    </w:rPr>
  </w:style>
  <w:style w:type="paragraph" w:styleId="Komentarotekstas">
    <w:name w:val="annotation text"/>
    <w:basedOn w:val="prastasis"/>
    <w:link w:val="KomentarotekstasDiagrama"/>
    <w:uiPriority w:val="99"/>
    <w:unhideWhenUsed/>
    <w:rsid w:val="0060684E"/>
    <w:rPr>
      <w:sz w:val="20"/>
      <w:szCs w:val="20"/>
    </w:rPr>
  </w:style>
  <w:style w:type="character" w:customStyle="1" w:styleId="KomentarotekstasDiagrama">
    <w:name w:val="Komentaro tekstas Diagrama"/>
    <w:basedOn w:val="Numatytasispastraiposriftas"/>
    <w:link w:val="Komentarotekstas"/>
    <w:uiPriority w:val="99"/>
    <w:rsid w:val="0060684E"/>
    <w:rPr>
      <w:rFonts w:ascii="Times New Roman" w:hAnsi="Times New Roman"/>
      <w:sz w:val="20"/>
      <w:szCs w:val="20"/>
    </w:rPr>
  </w:style>
  <w:style w:type="paragraph" w:styleId="Komentarotema">
    <w:name w:val="annotation subject"/>
    <w:basedOn w:val="Komentarotekstas"/>
    <w:next w:val="Komentarotekstas"/>
    <w:link w:val="KomentarotemaDiagrama"/>
    <w:uiPriority w:val="99"/>
    <w:unhideWhenUsed/>
    <w:rsid w:val="0060684E"/>
    <w:rPr>
      <w:b/>
      <w:bCs/>
    </w:rPr>
  </w:style>
  <w:style w:type="character" w:customStyle="1" w:styleId="KomentarotemaDiagrama">
    <w:name w:val="Komentaro tema Diagrama"/>
    <w:basedOn w:val="KomentarotekstasDiagrama"/>
    <w:link w:val="Komentarotema"/>
    <w:uiPriority w:val="99"/>
    <w:rsid w:val="0060684E"/>
    <w:rPr>
      <w:rFonts w:ascii="Times New Roman" w:hAnsi="Times New Roman"/>
      <w:b/>
      <w:bCs/>
      <w:sz w:val="20"/>
      <w:szCs w:val="20"/>
    </w:rPr>
  </w:style>
  <w:style w:type="paragraph" w:styleId="Antrat">
    <w:name w:val="caption"/>
    <w:aliases w:val="Table caption,paveikslas,Paveikslo pavadinimas,lentelių turinys,Beschriftung Char,Char Char,Table title,Figure Head,Caption Char Char Char,Caption1 Char,Figure Head Znak Znak,Figure Head Znak,WB Caption,Table legend,Tab_Überschrift"/>
    <w:basedOn w:val="prastasis"/>
    <w:next w:val="prastasis"/>
    <w:link w:val="AntratDiagrama"/>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AntratDiagrama">
    <w:name w:val="Antraštė Diagrama"/>
    <w:aliases w:val="Table caption Diagrama,paveikslas Diagrama,Paveikslo pavadinimas Diagrama,lentelių turinys Diagrama,Beschriftung Char Diagrama,Char Char Diagrama,Table title Diagrama,Figure Head Diagrama,Caption Char Char Char Diagrama"/>
    <w:link w:val="Antrat"/>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rsid w:val="009F143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3024A"/>
    <w:rPr>
      <w:rFonts w:ascii="Times New Roman" w:eastAsiaTheme="majorEastAsia" w:hAnsi="Times New Roman" w:cstheme="majorBidi"/>
      <w:i/>
    </w:rPr>
  </w:style>
  <w:style w:type="character" w:customStyle="1" w:styleId="Antrat6Diagrama">
    <w:name w:val="Antraštė 6 Diagrama"/>
    <w:basedOn w:val="Numatytasispastraiposriftas"/>
    <w:link w:val="Antrat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rsid w:val="0043024A"/>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rsid w:val="0043024A"/>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43024A"/>
    <w:rPr>
      <w:rFonts w:asciiTheme="majorHAnsi" w:eastAsiaTheme="majorEastAsia" w:hAnsiTheme="majorHAnsi" w:cstheme="majorBidi"/>
      <w:i/>
      <w:iCs/>
      <w:color w:val="404040" w:themeColor="text1" w:themeTint="BF"/>
      <w:sz w:val="20"/>
      <w:szCs w:val="20"/>
    </w:rPr>
  </w:style>
  <w:style w:type="character" w:styleId="Grietas">
    <w:name w:val="Strong"/>
    <w:basedOn w:val="Numatytasispastraiposriftas"/>
    <w:uiPriority w:val="22"/>
    <w:qFormat/>
    <w:rsid w:val="0043024A"/>
    <w:rPr>
      <w:b/>
      <w:bCs/>
    </w:rPr>
  </w:style>
  <w:style w:type="paragraph" w:styleId="prastasiniatinklio">
    <w:name w:val="Normal (Web)"/>
    <w:basedOn w:val="prastasis"/>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faz">
    <w:name w:val="Emphasis"/>
    <w:basedOn w:val="Numatytasispastraiposriftas"/>
    <w:uiPriority w:val="20"/>
    <w:qFormat/>
    <w:rsid w:val="0043024A"/>
    <w:rPr>
      <w:i/>
      <w:iCs/>
    </w:rPr>
  </w:style>
  <w:style w:type="paragraph" w:styleId="Antrats">
    <w:name w:val="header"/>
    <w:basedOn w:val="prastasis"/>
    <w:link w:val="AntratsDiagrama"/>
    <w:uiPriority w:val="99"/>
    <w:unhideWhenUsed/>
    <w:rsid w:val="0043024A"/>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3024A"/>
    <w:rPr>
      <w:rFonts w:ascii="Times New Roman" w:hAnsi="Times New Roman"/>
    </w:rPr>
  </w:style>
  <w:style w:type="paragraph" w:styleId="Porat">
    <w:name w:val="footer"/>
    <w:aliases w:val="|| Footer"/>
    <w:basedOn w:val="prastasis"/>
    <w:link w:val="PoratDiagrama"/>
    <w:uiPriority w:val="99"/>
    <w:unhideWhenUsed/>
    <w:rsid w:val="0043024A"/>
    <w:pPr>
      <w:tabs>
        <w:tab w:val="center" w:pos="4819"/>
        <w:tab w:val="right" w:pos="9638"/>
      </w:tabs>
      <w:spacing w:before="0" w:after="0"/>
    </w:pPr>
  </w:style>
  <w:style w:type="character" w:customStyle="1" w:styleId="PoratDiagrama">
    <w:name w:val="Poraštė Diagrama"/>
    <w:aliases w:val="|| Footer Diagrama"/>
    <w:basedOn w:val="Numatytasispastraiposriftas"/>
    <w:link w:val="Porat"/>
    <w:uiPriority w:val="99"/>
    <w:rsid w:val="0043024A"/>
    <w:rPr>
      <w:rFonts w:ascii="Times New Roman" w:hAnsi="Times New Roman"/>
    </w:rPr>
  </w:style>
  <w:style w:type="character" w:styleId="Puslapionumeris">
    <w:name w:val="page number"/>
    <w:basedOn w:val="Numatytasispastraiposriftas"/>
    <w:uiPriority w:val="99"/>
    <w:semiHidden/>
    <w:unhideWhenUsed/>
    <w:rsid w:val="0043024A"/>
  </w:style>
  <w:style w:type="paragraph" w:styleId="Turinys1">
    <w:name w:val="toc 1"/>
    <w:basedOn w:val="prastasis"/>
    <w:next w:val="prastasis"/>
    <w:autoRedefine/>
    <w:uiPriority w:val="39"/>
    <w:unhideWhenUsed/>
    <w:rsid w:val="00784B98"/>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urinys2">
    <w:name w:val="toc 2"/>
    <w:basedOn w:val="prastasis"/>
    <w:next w:val="prastasis"/>
    <w:autoRedefine/>
    <w:uiPriority w:val="39"/>
    <w:unhideWhenUsed/>
    <w:rsid w:val="007D0DCA"/>
    <w:pPr>
      <w:tabs>
        <w:tab w:val="left" w:pos="851"/>
        <w:tab w:val="right" w:leader="dot" w:pos="9923"/>
      </w:tabs>
      <w:spacing w:before="0" w:after="200"/>
      <w:ind w:firstLine="0"/>
    </w:pPr>
    <w:rPr>
      <w:rFonts w:eastAsiaTheme="minorEastAsia"/>
      <w:sz w:val="24"/>
      <w:szCs w:val="24"/>
    </w:rPr>
  </w:style>
  <w:style w:type="paragraph" w:styleId="Turinys3">
    <w:name w:val="toc 3"/>
    <w:basedOn w:val="prastasis"/>
    <w:next w:val="prastasis"/>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urinys4">
    <w:name w:val="toc 4"/>
    <w:basedOn w:val="prastasis"/>
    <w:next w:val="prastasis"/>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urinys5">
    <w:name w:val="toc 5"/>
    <w:basedOn w:val="prastasis"/>
    <w:next w:val="prastasis"/>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urinys6">
    <w:name w:val="toc 6"/>
    <w:basedOn w:val="prastasis"/>
    <w:next w:val="prastasis"/>
    <w:autoRedefine/>
    <w:uiPriority w:val="39"/>
    <w:unhideWhenUsed/>
    <w:rsid w:val="0043024A"/>
    <w:pPr>
      <w:spacing w:before="0" w:after="200" w:line="276" w:lineRule="auto"/>
      <w:ind w:left="1200" w:firstLine="0"/>
      <w:jc w:val="left"/>
    </w:pPr>
    <w:rPr>
      <w:rFonts w:eastAsiaTheme="minorEastAsia"/>
      <w:sz w:val="24"/>
      <w:szCs w:val="24"/>
    </w:rPr>
  </w:style>
  <w:style w:type="paragraph" w:styleId="Turinys7">
    <w:name w:val="toc 7"/>
    <w:basedOn w:val="prastasis"/>
    <w:next w:val="prastasis"/>
    <w:autoRedefine/>
    <w:uiPriority w:val="39"/>
    <w:unhideWhenUsed/>
    <w:rsid w:val="0043024A"/>
    <w:pPr>
      <w:spacing w:before="0" w:after="200" w:line="276" w:lineRule="auto"/>
      <w:ind w:left="1440" w:firstLine="0"/>
      <w:jc w:val="left"/>
    </w:pPr>
    <w:rPr>
      <w:rFonts w:eastAsiaTheme="minorEastAsia"/>
      <w:sz w:val="24"/>
      <w:szCs w:val="24"/>
    </w:rPr>
  </w:style>
  <w:style w:type="paragraph" w:styleId="Turinys8">
    <w:name w:val="toc 8"/>
    <w:basedOn w:val="prastasis"/>
    <w:next w:val="prastasis"/>
    <w:autoRedefine/>
    <w:uiPriority w:val="39"/>
    <w:unhideWhenUsed/>
    <w:rsid w:val="0043024A"/>
    <w:pPr>
      <w:spacing w:before="0" w:after="200" w:line="276" w:lineRule="auto"/>
      <w:ind w:left="1680" w:firstLine="0"/>
      <w:jc w:val="left"/>
    </w:pPr>
    <w:rPr>
      <w:rFonts w:eastAsiaTheme="minorEastAsia"/>
      <w:sz w:val="24"/>
      <w:szCs w:val="24"/>
    </w:rPr>
  </w:style>
  <w:style w:type="paragraph" w:styleId="Turinys9">
    <w:name w:val="toc 9"/>
    <w:basedOn w:val="prastasis"/>
    <w:next w:val="prastasis"/>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prastasis"/>
    <w:rsid w:val="0043024A"/>
    <w:pPr>
      <w:spacing w:before="0" w:after="160" w:line="240" w:lineRule="exact"/>
      <w:ind w:firstLine="0"/>
      <w:jc w:val="left"/>
    </w:pPr>
    <w:rPr>
      <w:rFonts w:ascii="Tahoma" w:eastAsia="Times New Roman" w:hAnsi="Tahoma" w:cs="Times New Roman"/>
      <w:sz w:val="20"/>
      <w:szCs w:val="20"/>
    </w:rPr>
  </w:style>
  <w:style w:type="paragraph" w:styleId="Pagrindinistekstas2">
    <w:name w:val="Body Text 2"/>
    <w:basedOn w:val="prastasis"/>
    <w:link w:val="Pagrindinistekstas2Diagrama"/>
    <w:rsid w:val="0043024A"/>
    <w:pPr>
      <w:tabs>
        <w:tab w:val="num" w:pos="0"/>
      </w:tabs>
      <w:spacing w:before="0" w:after="200" w:line="276" w:lineRule="auto"/>
      <w:ind w:firstLine="0"/>
      <w:jc w:val="left"/>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43024A"/>
    <w:rPr>
      <w:rFonts w:ascii="Times New Roman" w:eastAsia="Times New Roman" w:hAnsi="Times New Roman" w:cs="Times New Roman"/>
      <w:sz w:val="24"/>
      <w:szCs w:val="24"/>
    </w:rPr>
  </w:style>
  <w:style w:type="paragraph" w:customStyle="1" w:styleId="a">
    <w:name w:val="&amp;"/>
    <w:basedOn w:val="prastasis"/>
    <w:rsid w:val="0043024A"/>
    <w:pPr>
      <w:spacing w:before="240" w:after="200" w:line="276" w:lineRule="auto"/>
      <w:ind w:firstLine="0"/>
      <w:jc w:val="left"/>
    </w:pPr>
    <w:rPr>
      <w:rFonts w:eastAsia="Times New Roman" w:cs="Times New Roman"/>
      <w:sz w:val="24"/>
      <w:szCs w:val="20"/>
      <w:lang w:val="en-GB" w:eastAsia="lt-LT"/>
    </w:rPr>
  </w:style>
  <w:style w:type="paragraph" w:styleId="Pagrindinistekstas">
    <w:name w:val="Body Text"/>
    <w:aliases w:val="bt,b,Body,by"/>
    <w:basedOn w:val="prastasis"/>
    <w:link w:val="PagrindinistekstasDiagrama"/>
    <w:uiPriority w:val="99"/>
    <w:qFormat/>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PagrindinistekstasDiagrama">
    <w:name w:val="Pagrindinis tekstas Diagrama"/>
    <w:aliases w:val="bt Diagrama,b Diagrama,Body Diagrama,by Diagrama"/>
    <w:basedOn w:val="Numatytasispastraiposriftas"/>
    <w:link w:val="Pagrindinistekstas"/>
    <w:uiPriority w:val="99"/>
    <w:rsid w:val="0043024A"/>
    <w:rPr>
      <w:rFonts w:ascii="Times New Roman" w:eastAsia="Times New Roman" w:hAnsi="Times New Roman" w:cs="Times New Roman"/>
      <w:sz w:val="24"/>
      <w:szCs w:val="24"/>
      <w:lang w:val="en-GB"/>
    </w:rPr>
  </w:style>
  <w:style w:type="character" w:customStyle="1" w:styleId="CHARACTER---Bolder">
    <w:name w:val="CHARACTER --- Bolder"/>
    <w:basedOn w:val="Numatytasispastraiposriftas"/>
    <w:rsid w:val="0043024A"/>
    <w:rPr>
      <w:b/>
      <w:bCs/>
    </w:rPr>
  </w:style>
  <w:style w:type="character" w:customStyle="1" w:styleId="hps">
    <w:name w:val="hps"/>
    <w:rsid w:val="0043024A"/>
  </w:style>
  <w:style w:type="paragraph" w:customStyle="1" w:styleId="ColorfulList-Accent11">
    <w:name w:val="Colorful List - Accent 11"/>
    <w:basedOn w:val="prastasis"/>
    <w:qFormat/>
    <w:rsid w:val="0043024A"/>
    <w:pPr>
      <w:spacing w:before="0" w:after="200" w:line="276" w:lineRule="auto"/>
      <w:ind w:left="720" w:firstLine="0"/>
      <w:jc w:val="left"/>
    </w:pPr>
    <w:rPr>
      <w:rFonts w:ascii="Calibri" w:eastAsia="Times New Roman" w:hAnsi="Calibri" w:cs="Times New Roman"/>
    </w:rPr>
  </w:style>
  <w:style w:type="paragraph" w:styleId="Dokumentoinaostekstas">
    <w:name w:val="endnote text"/>
    <w:basedOn w:val="prastasis"/>
    <w:link w:val="DokumentoinaostekstasDiagrama"/>
    <w:uiPriority w:val="99"/>
    <w:semiHidden/>
    <w:unhideWhenUsed/>
    <w:rsid w:val="0043024A"/>
    <w:pPr>
      <w:spacing w:before="0" w:after="200" w:line="276" w:lineRule="auto"/>
      <w:ind w:firstLine="0"/>
      <w:jc w:val="left"/>
    </w:pPr>
    <w:rPr>
      <w:rFonts w:eastAsiaTheme="minorEastAsia"/>
      <w:sz w:val="20"/>
      <w:szCs w:val="20"/>
    </w:rPr>
  </w:style>
  <w:style w:type="character" w:customStyle="1" w:styleId="DokumentoinaostekstasDiagrama">
    <w:name w:val="Dokumento išnašos tekstas Diagrama"/>
    <w:basedOn w:val="Numatytasispastraiposriftas"/>
    <w:link w:val="Dokumentoinaostekstas"/>
    <w:uiPriority w:val="99"/>
    <w:semiHidden/>
    <w:rsid w:val="0043024A"/>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43024A"/>
    <w:rPr>
      <w:vertAlign w:val="superscript"/>
    </w:rPr>
  </w:style>
  <w:style w:type="paragraph" w:styleId="Pataisymai">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Perirtashipersaitas">
    <w:name w:val="FollowedHyperlink"/>
    <w:basedOn w:val="Numatytasispastraiposriftas"/>
    <w:uiPriority w:val="99"/>
    <w:semiHidden/>
    <w:unhideWhenUsed/>
    <w:rsid w:val="0043024A"/>
    <w:rPr>
      <w:color w:val="954F72" w:themeColor="followedHyperlink"/>
      <w:u w:val="single"/>
    </w:rPr>
  </w:style>
  <w:style w:type="paragraph" w:styleId="Betarp">
    <w:name w:val="No Spacing"/>
    <w:basedOn w:val="Antrat1"/>
    <w:link w:val="BetarpDiagrama"/>
    <w:uiPriority w:val="1"/>
    <w:qFormat/>
    <w:rsid w:val="0043024A"/>
    <w:pPr>
      <w:pageBreakBefore/>
      <w:tabs>
        <w:tab w:val="left" w:pos="0"/>
        <w:tab w:val="left" w:pos="630"/>
      </w:tabs>
      <w:spacing w:before="0" w:after="200"/>
      <w:ind w:left="0" w:firstLine="0"/>
    </w:pPr>
    <w:rPr>
      <w:rFonts w:cs="Times New Roman"/>
      <w:b w:val="0"/>
      <w:bCs/>
      <w:sz w:val="36"/>
    </w:rPr>
  </w:style>
  <w:style w:type="character" w:styleId="Knygospavadinimas">
    <w:name w:val="Book Title"/>
    <w:basedOn w:val="Numatytasispastraiposriftas"/>
    <w:uiPriority w:val="33"/>
    <w:qFormat/>
    <w:rsid w:val="0043024A"/>
    <w:rPr>
      <w:b/>
      <w:bCs/>
      <w:smallCaps/>
      <w:spacing w:val="5"/>
    </w:rPr>
  </w:style>
  <w:style w:type="paragraph" w:styleId="Indeksas1">
    <w:name w:val="index 1"/>
    <w:basedOn w:val="prastasis"/>
    <w:next w:val="prastasis"/>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ksas2">
    <w:name w:val="index 2"/>
    <w:basedOn w:val="prastasis"/>
    <w:next w:val="prastasis"/>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ksas3">
    <w:name w:val="index 3"/>
    <w:basedOn w:val="prastasis"/>
    <w:next w:val="prastasis"/>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ksas4">
    <w:name w:val="index 4"/>
    <w:basedOn w:val="prastasis"/>
    <w:next w:val="prastasis"/>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ksas5">
    <w:name w:val="index 5"/>
    <w:basedOn w:val="prastasis"/>
    <w:next w:val="prastasis"/>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ksas6">
    <w:name w:val="index 6"/>
    <w:basedOn w:val="prastasis"/>
    <w:next w:val="prastasis"/>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ksas7">
    <w:name w:val="index 7"/>
    <w:basedOn w:val="prastasis"/>
    <w:next w:val="prastasis"/>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ksas8">
    <w:name w:val="index 8"/>
    <w:basedOn w:val="prastasis"/>
    <w:next w:val="prastasis"/>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ksas9">
    <w:name w:val="index 9"/>
    <w:basedOn w:val="prastasis"/>
    <w:next w:val="prastasis"/>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ksoantrat">
    <w:name w:val="index heading"/>
    <w:basedOn w:val="prastasis"/>
    <w:next w:val="Indeksas1"/>
    <w:uiPriority w:val="99"/>
    <w:unhideWhenUsed/>
    <w:rsid w:val="0043024A"/>
    <w:pPr>
      <w:spacing w:before="0" w:after="200" w:line="276" w:lineRule="auto"/>
      <w:ind w:firstLine="0"/>
      <w:jc w:val="left"/>
    </w:pPr>
    <w:rPr>
      <w:rFonts w:eastAsiaTheme="minorEastAsia"/>
      <w:sz w:val="24"/>
      <w:szCs w:val="24"/>
    </w:rPr>
  </w:style>
  <w:style w:type="paragraph" w:styleId="Iliustracijsraas">
    <w:name w:val="table of figures"/>
    <w:basedOn w:val="prastasis"/>
    <w:next w:val="prastasis"/>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Numatytasispastraiposriftas"/>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prastasis"/>
    <w:rsid w:val="0043024A"/>
    <w:pPr>
      <w:spacing w:before="100" w:beforeAutospacing="1" w:after="100" w:afterAutospacing="1"/>
      <w:ind w:firstLine="0"/>
      <w:jc w:val="left"/>
    </w:pPr>
    <w:rPr>
      <w:rFonts w:eastAsia="Times New Roman" w:cs="Times New Roman"/>
      <w:sz w:val="24"/>
      <w:szCs w:val="24"/>
      <w:lang w:eastAsia="lt-LT"/>
    </w:rPr>
  </w:style>
  <w:style w:type="character" w:styleId="Vietosrezervavimoenklotekstas">
    <w:name w:val="Placeholder Text"/>
    <w:basedOn w:val="Numatytasispastraiposriftas"/>
    <w:uiPriority w:val="99"/>
    <w:semiHidden/>
    <w:rsid w:val="0043024A"/>
    <w:rPr>
      <w:color w:val="808080"/>
    </w:rPr>
  </w:style>
  <w:style w:type="character" w:customStyle="1" w:styleId="contentlong">
    <w:name w:val="content_long"/>
    <w:basedOn w:val="Numatytasispastraiposriftas"/>
    <w:rsid w:val="0043024A"/>
  </w:style>
  <w:style w:type="character" w:customStyle="1" w:styleId="block">
    <w:name w:val="block"/>
    <w:basedOn w:val="Numatytasispastraiposriftas"/>
    <w:rsid w:val="0043024A"/>
  </w:style>
  <w:style w:type="paragraph" w:customStyle="1" w:styleId="1">
    <w:name w:val="1"/>
    <w:basedOn w:val="prastasis"/>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Numatytasispastraiposriftas"/>
    <w:rsid w:val="0043024A"/>
  </w:style>
  <w:style w:type="paragraph" w:customStyle="1" w:styleId="Pagrindinispaprastastekstas">
    <w:name w:val="• Pagrindinis paprastas tekstas"/>
    <w:basedOn w:val="prastasis"/>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aprastasistekstas">
    <w:name w:val="Plain Text"/>
    <w:basedOn w:val="prastasis"/>
    <w:link w:val="PaprastasistekstasDiagrama"/>
    <w:uiPriority w:val="99"/>
    <w:unhideWhenUsed/>
    <w:rsid w:val="0043024A"/>
    <w:pPr>
      <w:spacing w:before="0" w:after="200"/>
      <w:ind w:firstLine="0"/>
      <w:jc w:val="left"/>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43024A"/>
    <w:rPr>
      <w:rFonts w:ascii="Consolas" w:hAnsi="Consolas"/>
      <w:sz w:val="21"/>
      <w:szCs w:val="21"/>
    </w:rPr>
  </w:style>
  <w:style w:type="paragraph" w:customStyle="1" w:styleId="CM1">
    <w:name w:val="CM1"/>
    <w:basedOn w:val="prastasis"/>
    <w:next w:val="prastasis"/>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Numatytasispastraiposriftas"/>
    <w:rsid w:val="0043024A"/>
  </w:style>
  <w:style w:type="character" w:customStyle="1" w:styleId="datametai">
    <w:name w:val="datametai"/>
    <w:basedOn w:val="Numatytasispastraiposriftas"/>
    <w:rsid w:val="0043024A"/>
  </w:style>
  <w:style w:type="character" w:customStyle="1" w:styleId="datamnuo">
    <w:name w:val="datamnuo"/>
    <w:basedOn w:val="Numatytasispastraiposriftas"/>
    <w:rsid w:val="0043024A"/>
  </w:style>
  <w:style w:type="character" w:customStyle="1" w:styleId="datadiena">
    <w:name w:val="datadiena"/>
    <w:basedOn w:val="Numatytasispastraiposriftas"/>
    <w:rsid w:val="0043024A"/>
  </w:style>
  <w:style w:type="character" w:customStyle="1" w:styleId="statymonr">
    <w:name w:val="statymonr"/>
    <w:basedOn w:val="Numatytasispastraiposriftas"/>
    <w:rsid w:val="0043024A"/>
  </w:style>
  <w:style w:type="paragraph" w:customStyle="1" w:styleId="prastasis1">
    <w:name w:val="Įprastasis1"/>
    <w:basedOn w:val="prastasis"/>
    <w:rsid w:val="0043024A"/>
    <w:pPr>
      <w:spacing w:before="100" w:beforeAutospacing="1" w:after="100" w:afterAutospacing="1"/>
      <w:ind w:firstLine="0"/>
      <w:jc w:val="left"/>
    </w:pPr>
    <w:rPr>
      <w:rFonts w:eastAsia="Times New Roman" w:cs="Times New Roman"/>
      <w:sz w:val="24"/>
      <w:szCs w:val="24"/>
      <w:lang w:eastAsia="lt-LT"/>
    </w:rPr>
  </w:style>
  <w:style w:type="paragraph" w:styleId="Pavadinimas">
    <w:name w:val="Title"/>
    <w:basedOn w:val="prastasis"/>
    <w:next w:val="prastasis"/>
    <w:link w:val="PavadinimasDiagrama"/>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PavadinimasDiagrama">
    <w:name w:val="Pavadinimas Diagrama"/>
    <w:basedOn w:val="Numatytasispastraiposriftas"/>
    <w:link w:val="Pavadinimas"/>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prastasis"/>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Numatytasispastraiposriftas"/>
    <w:uiPriority w:val="99"/>
    <w:semiHidden/>
    <w:locked/>
    <w:rsid w:val="0043024A"/>
    <w:rPr>
      <w:rFonts w:ascii="Arial" w:hAnsi="Arial" w:cs="Arial"/>
    </w:rPr>
  </w:style>
  <w:style w:type="character" w:customStyle="1" w:styleId="phonetxt">
    <w:name w:val="phone_txt"/>
    <w:basedOn w:val="Numatytasispastraiposriftas"/>
    <w:rsid w:val="0043024A"/>
  </w:style>
  <w:style w:type="paragraph" w:styleId="Turinioantrat">
    <w:name w:val="TOC Heading"/>
    <w:basedOn w:val="Antrat1"/>
    <w:next w:val="prastasis"/>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prastasis"/>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Numatytasispastraiposriftas"/>
    <w:uiPriority w:val="99"/>
    <w:semiHidden/>
    <w:unhideWhenUsed/>
    <w:rsid w:val="0043024A"/>
    <w:rPr>
      <w:color w:val="605E5C"/>
      <w:shd w:val="clear" w:color="auto" w:fill="E1DFDD"/>
    </w:rPr>
  </w:style>
  <w:style w:type="character" w:customStyle="1" w:styleId="UnresolvedMention2">
    <w:name w:val="Unresolved Mention2"/>
    <w:basedOn w:val="Numatytasispastraiposriftas"/>
    <w:uiPriority w:val="99"/>
    <w:semiHidden/>
    <w:unhideWhenUsed/>
    <w:rsid w:val="0043024A"/>
    <w:rPr>
      <w:color w:val="605E5C"/>
      <w:shd w:val="clear" w:color="auto" w:fill="E1DFDD"/>
    </w:rPr>
  </w:style>
  <w:style w:type="numbering" w:customStyle="1" w:styleId="Style1">
    <w:name w:val="Style1"/>
    <w:uiPriority w:val="99"/>
    <w:rsid w:val="0043024A"/>
    <w:pPr>
      <w:numPr>
        <w:numId w:val="2"/>
      </w:numPr>
    </w:pPr>
  </w:style>
  <w:style w:type="character" w:customStyle="1" w:styleId="UnresolvedMention3">
    <w:name w:val="Unresolved Mention3"/>
    <w:basedOn w:val="Numatytasispastraiposriftas"/>
    <w:uiPriority w:val="99"/>
    <w:semiHidden/>
    <w:unhideWhenUsed/>
    <w:rsid w:val="0043024A"/>
    <w:rPr>
      <w:color w:val="605E5C"/>
      <w:shd w:val="clear" w:color="auto" w:fill="E1DFDD"/>
    </w:rPr>
  </w:style>
  <w:style w:type="table" w:customStyle="1" w:styleId="LightList-Accent21">
    <w:name w:val="Light List - Accent 21"/>
    <w:basedOn w:val="prastojilentel"/>
    <w:next w:val="viesussraas2parykinimas"/>
    <w:uiPriority w:val="61"/>
    <w:rsid w:val="002E1048"/>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styleId="viesussraas2parykinimas">
    <w:name w:val="Light List Accent 2"/>
    <w:basedOn w:val="prastojilentel"/>
    <w:uiPriority w:val="61"/>
    <w:unhideWhenUsed/>
    <w:rsid w:val="002E104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Sraassunumeriais">
    <w:name w:val="List Number"/>
    <w:basedOn w:val="prastasis"/>
    <w:uiPriority w:val="99"/>
    <w:unhideWhenUsed/>
    <w:qFormat/>
    <w:rsid w:val="00E728D4"/>
    <w:pPr>
      <w:numPr>
        <w:numId w:val="4"/>
      </w:numPr>
      <w:spacing w:before="0"/>
      <w:jc w:val="left"/>
    </w:pPr>
    <w:rPr>
      <w:rFonts w:asciiTheme="minorHAnsi" w:hAnsiTheme="minorHAnsi"/>
      <w:sz w:val="20"/>
      <w:szCs w:val="20"/>
      <w:lang w:val="en-US"/>
    </w:rPr>
  </w:style>
  <w:style w:type="paragraph" w:styleId="Sraassunumeriais2">
    <w:name w:val="List Number 2"/>
    <w:basedOn w:val="Sraassunumeriais"/>
    <w:uiPriority w:val="99"/>
    <w:unhideWhenUsed/>
    <w:qFormat/>
    <w:rsid w:val="00E728D4"/>
    <w:pPr>
      <w:numPr>
        <w:ilvl w:val="1"/>
      </w:numPr>
      <w:tabs>
        <w:tab w:val="left" w:pos="792"/>
      </w:tabs>
    </w:pPr>
  </w:style>
  <w:style w:type="paragraph" w:styleId="Sraassunumeriais3">
    <w:name w:val="List Number 3"/>
    <w:basedOn w:val="Sraassunumeriais2"/>
    <w:uiPriority w:val="99"/>
    <w:unhideWhenUsed/>
    <w:qFormat/>
    <w:rsid w:val="00E728D4"/>
    <w:pPr>
      <w:numPr>
        <w:ilvl w:val="2"/>
      </w:numPr>
      <w:tabs>
        <w:tab w:val="clear" w:pos="792"/>
        <w:tab w:val="left" w:pos="1195"/>
      </w:tabs>
    </w:pPr>
  </w:style>
  <w:style w:type="paragraph" w:styleId="Sraassunumeriais4">
    <w:name w:val="List Number 4"/>
    <w:basedOn w:val="Sraassunumeriais3"/>
    <w:uiPriority w:val="99"/>
    <w:unhideWhenUsed/>
    <w:qFormat/>
    <w:rsid w:val="00E728D4"/>
    <w:pPr>
      <w:numPr>
        <w:ilvl w:val="3"/>
      </w:numPr>
      <w:tabs>
        <w:tab w:val="clear" w:pos="1195"/>
        <w:tab w:val="left" w:pos="1642"/>
      </w:tabs>
    </w:pPr>
  </w:style>
  <w:style w:type="paragraph" w:styleId="Sraassunumeriais5">
    <w:name w:val="List Number 5"/>
    <w:basedOn w:val="Sraassunumeriais4"/>
    <w:uiPriority w:val="99"/>
    <w:unhideWhenUsed/>
    <w:rsid w:val="00E728D4"/>
    <w:pPr>
      <w:numPr>
        <w:ilvl w:val="4"/>
      </w:numPr>
      <w:tabs>
        <w:tab w:val="clear" w:pos="1642"/>
        <w:tab w:val="clear" w:pos="1728"/>
        <w:tab w:val="left" w:pos="1987"/>
      </w:tabs>
      <w:ind w:left="3600" w:hanging="360"/>
    </w:pPr>
  </w:style>
  <w:style w:type="table" w:customStyle="1" w:styleId="viesussraas2parykinimas1">
    <w:name w:val="Šviesus sąrašas – 2 paryškinimas1"/>
    <w:basedOn w:val="prastojilentel"/>
    <w:next w:val="viesussraas2parykinimas"/>
    <w:uiPriority w:val="61"/>
    <w:rsid w:val="00FB21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eGridLight1">
    <w:name w:val="Table Grid Light1"/>
    <w:basedOn w:val="prastojilentel"/>
    <w:uiPriority w:val="40"/>
    <w:rsid w:val="00ED66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Numatytasispastraiposriftas"/>
    <w:uiPriority w:val="99"/>
    <w:semiHidden/>
    <w:unhideWhenUsed/>
    <w:rsid w:val="00196EA6"/>
    <w:rPr>
      <w:color w:val="605E5C"/>
      <w:shd w:val="clear" w:color="auto" w:fill="E1DFDD"/>
    </w:rPr>
  </w:style>
  <w:style w:type="table" w:customStyle="1" w:styleId="TableGrid1">
    <w:name w:val="Table Grid1"/>
    <w:basedOn w:val="prastojilentel"/>
    <w:next w:val="Lentelstinklelis"/>
    <w:uiPriority w:val="39"/>
    <w:rsid w:val="0025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Numatytasispastraiposriftas"/>
    <w:uiPriority w:val="99"/>
    <w:semiHidden/>
    <w:unhideWhenUsed/>
    <w:rsid w:val="00BC7F27"/>
    <w:rPr>
      <w:color w:val="605E5C"/>
      <w:shd w:val="clear" w:color="auto" w:fill="E1DFDD"/>
    </w:rPr>
  </w:style>
  <w:style w:type="numbering" w:customStyle="1" w:styleId="NoList1">
    <w:name w:val="No List1"/>
    <w:next w:val="Sraonra"/>
    <w:uiPriority w:val="99"/>
    <w:semiHidden/>
    <w:unhideWhenUsed/>
    <w:rsid w:val="00AC09CA"/>
  </w:style>
  <w:style w:type="table" w:customStyle="1" w:styleId="SmartTextTable1">
    <w:name w:val="Smart Text Table1"/>
    <w:basedOn w:val="prastojilentel"/>
    <w:next w:val="Lentelstinklelis"/>
    <w:uiPriority w:val="59"/>
    <w:rsid w:val="00AC09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prastojilentel"/>
    <w:uiPriority w:val="48"/>
    <w:rsid w:val="00AC09CA"/>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Source">
    <w:name w:val="Source"/>
    <w:basedOn w:val="BodyText1"/>
    <w:link w:val="SourceChar"/>
    <w:qFormat/>
    <w:rsid w:val="00AC09CA"/>
    <w:pPr>
      <w:tabs>
        <w:tab w:val="left" w:pos="1134"/>
      </w:tabs>
      <w:spacing w:before="40"/>
      <w:ind w:left="851" w:hanging="851"/>
    </w:pPr>
    <w:rPr>
      <w:sz w:val="12"/>
    </w:rPr>
  </w:style>
  <w:style w:type="paragraph" w:customStyle="1" w:styleId="BodyText1">
    <w:name w:val="Body Text1"/>
    <w:basedOn w:val="prastasis"/>
    <w:link w:val="BodytextCharChar"/>
    <w:uiPriority w:val="99"/>
    <w:qFormat/>
    <w:rsid w:val="00AC09CA"/>
    <w:pPr>
      <w:spacing w:before="140" w:after="280"/>
      <w:ind w:firstLine="0"/>
      <w:jc w:val="left"/>
    </w:pPr>
    <w:rPr>
      <w:rFonts w:ascii="Arial" w:hAnsi="Arial" w:cs="Arial"/>
      <w:noProof/>
      <w:color w:val="000000"/>
      <w:sz w:val="20"/>
      <w:lang w:val="en-GB"/>
    </w:rPr>
  </w:style>
  <w:style w:type="character" w:customStyle="1" w:styleId="BodytextCharChar">
    <w:name w:val="Body text Char Char"/>
    <w:link w:val="BodyText1"/>
    <w:uiPriority w:val="99"/>
    <w:locked/>
    <w:rsid w:val="00AC09CA"/>
    <w:rPr>
      <w:rFonts w:ascii="Arial" w:hAnsi="Arial" w:cs="Arial"/>
      <w:noProof/>
      <w:color w:val="000000"/>
      <w:sz w:val="20"/>
      <w:lang w:val="en-GB"/>
    </w:rPr>
  </w:style>
  <w:style w:type="character" w:customStyle="1" w:styleId="SourceChar">
    <w:name w:val="Source Char"/>
    <w:link w:val="Source"/>
    <w:rsid w:val="00AC09CA"/>
    <w:rPr>
      <w:rFonts w:ascii="Arial" w:hAnsi="Arial" w:cs="Arial"/>
      <w:noProof/>
      <w:color w:val="000000"/>
      <w:sz w:val="12"/>
      <w:lang w:val="en-GB"/>
    </w:rPr>
  </w:style>
  <w:style w:type="paragraph" w:customStyle="1" w:styleId="Tablecolumnright">
    <w:name w:val="Table column right"/>
    <w:basedOn w:val="prastasis"/>
    <w:uiPriority w:val="99"/>
    <w:qFormat/>
    <w:rsid w:val="00AC09CA"/>
    <w:pPr>
      <w:spacing w:before="40" w:after="40"/>
      <w:ind w:firstLine="0"/>
      <w:jc w:val="right"/>
    </w:pPr>
    <w:rPr>
      <w:rFonts w:ascii="Univers 45 Light" w:hAnsi="Univers 45 Light"/>
      <w:color w:val="000000"/>
      <w:sz w:val="18"/>
      <w:lang w:val="en-GB" w:eastAsia="en-GB"/>
    </w:rPr>
  </w:style>
  <w:style w:type="paragraph" w:customStyle="1" w:styleId="Graphic">
    <w:name w:val="Graphic"/>
    <w:basedOn w:val="prastasis"/>
    <w:next w:val="Source"/>
    <w:uiPriority w:val="99"/>
    <w:qFormat/>
    <w:rsid w:val="00AC09CA"/>
    <w:pPr>
      <w:spacing w:before="140" w:after="140"/>
      <w:ind w:firstLine="0"/>
      <w:jc w:val="center"/>
    </w:pPr>
    <w:rPr>
      <w:rFonts w:ascii="Univers 45 Light" w:eastAsia="Times New Roman" w:hAnsi="Univers 45 Light" w:cs="Times New Roman"/>
      <w:noProof/>
      <w:sz w:val="20"/>
      <w:szCs w:val="24"/>
      <w:lang w:val="en-GB" w:eastAsia="en-GB"/>
    </w:rPr>
  </w:style>
  <w:style w:type="paragraph" w:customStyle="1" w:styleId="pwc">
    <w:name w:val="pwc"/>
    <w:basedOn w:val="prastasis"/>
    <w:uiPriority w:val="99"/>
    <w:qFormat/>
    <w:rsid w:val="00AC09CA"/>
    <w:pPr>
      <w:suppressAutoHyphens/>
      <w:autoSpaceDE w:val="0"/>
      <w:autoSpaceDN w:val="0"/>
      <w:adjustRightInd w:val="0"/>
      <w:spacing w:before="0" w:after="0" w:line="288" w:lineRule="auto"/>
      <w:ind w:firstLine="0"/>
      <w:jc w:val="left"/>
      <w:textAlignment w:val="center"/>
    </w:pPr>
    <w:rPr>
      <w:rFonts w:eastAsia="Times New Roman" w:cs="Times New Roman"/>
      <w:b/>
      <w:color w:val="E36C0A"/>
      <w:sz w:val="24"/>
      <w:szCs w:val="24"/>
    </w:rPr>
  </w:style>
  <w:style w:type="paragraph" w:customStyle="1" w:styleId="text-15-str">
    <w:name w:val="text-15-str"/>
    <w:basedOn w:val="prastasis"/>
    <w:uiPriority w:val="99"/>
    <w:rsid w:val="00AC09CA"/>
    <w:pPr>
      <w:spacing w:before="100" w:beforeAutospacing="1" w:after="100" w:afterAutospacing="1"/>
      <w:ind w:firstLine="0"/>
      <w:jc w:val="left"/>
    </w:pPr>
    <w:rPr>
      <w:rFonts w:eastAsia="Times New Roman" w:cs="Times New Roman"/>
      <w:sz w:val="24"/>
      <w:szCs w:val="24"/>
      <w:lang w:val="en-GB" w:eastAsia="en-GB"/>
    </w:rPr>
  </w:style>
  <w:style w:type="table" w:customStyle="1" w:styleId="GridTable5Dark-Accent11">
    <w:name w:val="Grid Table 5 Dark - Accent 11"/>
    <w:basedOn w:val="prastojilentel"/>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Pa6">
    <w:name w:val="Pa6"/>
    <w:basedOn w:val="Default"/>
    <w:next w:val="Default"/>
    <w:uiPriority w:val="99"/>
    <w:rsid w:val="00AC09CA"/>
    <w:pPr>
      <w:spacing w:line="201" w:lineRule="atLeast"/>
    </w:pPr>
    <w:rPr>
      <w:rFonts w:ascii="FranklinGothicDemiITC" w:eastAsia="Calibri" w:hAnsi="FranklinGothicDemiITC"/>
      <w:color w:val="auto"/>
      <w:lang w:val="en-GB"/>
    </w:rPr>
  </w:style>
  <w:style w:type="table" w:customStyle="1" w:styleId="TableGridLight11">
    <w:name w:val="Table Grid Light11"/>
    <w:basedOn w:val="prastojilentel"/>
    <w:uiPriority w:val="40"/>
    <w:rsid w:val="00AC09C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
    <w:name w:val="List Table 2 - Accent 11"/>
    <w:basedOn w:val="prastojilentel"/>
    <w:uiPriority w:val="47"/>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
    <w:name w:val="Table Grid1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
    <w:name w:val="Grid Table 5 Dark - Accent 112"/>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
    <w:name w:val="List Table 3 - Accent 11"/>
    <w:basedOn w:val="prastojilentel"/>
    <w:uiPriority w:val="48"/>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
    <w:name w:val="Grid Table 6 Colorful - Accent 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
    <w:name w:val="Table Grid2"/>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prastojilentel"/>
    <w:uiPriority w:val="49"/>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
    <w:name w:val="Table Grid3"/>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
    <w:name w:val="Grid Table 5 Dark - Accent 13"/>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tn">
    <w:name w:val="atn"/>
    <w:basedOn w:val="Numatytasispastraiposriftas"/>
    <w:rsid w:val="00AC09CA"/>
  </w:style>
  <w:style w:type="table" w:customStyle="1" w:styleId="LightList-Accent22">
    <w:name w:val="Light List - Accent 2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i-art">
    <w:name w:val="ti-art"/>
    <w:basedOn w:val="prastasis"/>
    <w:uiPriority w:val="99"/>
    <w:rsid w:val="00AC09CA"/>
    <w:pPr>
      <w:spacing w:before="100" w:beforeAutospacing="1" w:after="100" w:afterAutospacing="1"/>
      <w:ind w:firstLine="0"/>
      <w:jc w:val="left"/>
    </w:pPr>
    <w:rPr>
      <w:rFonts w:eastAsia="Times New Roman" w:cs="Times New Roman"/>
      <w:sz w:val="24"/>
      <w:szCs w:val="24"/>
      <w:lang w:eastAsia="lt-LT"/>
    </w:rPr>
  </w:style>
  <w:style w:type="table" w:customStyle="1" w:styleId="MediumShading1-Accent21">
    <w:name w:val="Medium Shading 1 - Accent 21"/>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1">
    <w:name w:val="Medium Grid 1 - Accent 21"/>
    <w:basedOn w:val="prastojilentel"/>
    <w:next w:val="1vidutinistinklelis2parykinimas"/>
    <w:uiPriority w:val="67"/>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1">
    <w:name w:val="Medium Grid 3 - Accent 21"/>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1">
    <w:name w:val="Medium List 1 - Accent 21"/>
    <w:basedOn w:val="prastojilentel"/>
    <w:next w:val="1vidutinissraas2parykinimas"/>
    <w:uiPriority w:val="65"/>
    <w:rsid w:val="00AC09CA"/>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Univers 45 Ligh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character" w:customStyle="1" w:styleId="BetarpDiagrama">
    <w:name w:val="Be tarpų Diagrama"/>
    <w:basedOn w:val="Numatytasispastraiposriftas"/>
    <w:link w:val="Betarp"/>
    <w:uiPriority w:val="1"/>
    <w:rsid w:val="00AC09CA"/>
    <w:rPr>
      <w:rFonts w:ascii="Times New Roman" w:eastAsiaTheme="majorEastAsia" w:hAnsi="Times New Roman" w:cs="Times New Roman"/>
      <w:bCs/>
      <w:sz w:val="36"/>
      <w:szCs w:val="32"/>
    </w:rPr>
  </w:style>
  <w:style w:type="table" w:customStyle="1" w:styleId="MediumShading1-Accent61">
    <w:name w:val="Medium Shading 1 - Accent 61"/>
    <w:basedOn w:val="prastojilentel"/>
    <w:next w:val="1vidutinisspalvinimas6parykinimas"/>
    <w:uiPriority w:val="63"/>
    <w:rsid w:val="00AC09CA"/>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1">
    <w:name w:val="Light Grid - Accent 11"/>
    <w:basedOn w:val="prastojilentel"/>
    <w:next w:val="viesustinklelis1parykinimas"/>
    <w:uiPriority w:val="62"/>
    <w:rsid w:val="00AC09CA"/>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Univers 45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Univers 45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prastojilentel"/>
    <w:next w:val="viesustinklelis2parykinimas"/>
    <w:uiPriority w:val="62"/>
    <w:rsid w:val="00AC09CA"/>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Univers 45 Ligh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Univers 45 Ligh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1">
    <w:name w:val="Colorful List - Accent 21"/>
    <w:basedOn w:val="prastojilentel"/>
    <w:next w:val="Spalvotassraas2parykinimas"/>
    <w:uiPriority w:val="72"/>
    <w:rsid w:val="00AC09CA"/>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1">
    <w:name w:val="Šviesus sąrašas – 2 paryškinimas1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
    <w:name w:val="Šviesus sąrašas – 2 paryškinimas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
    <w:name w:val="Šviesus sąrašas – 2 paryškinimas3"/>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prastojilentel"/>
    <w:next w:val="viesussraas3parykinimas"/>
    <w:uiPriority w:val="61"/>
    <w:rsid w:val="00AC09CA"/>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1">
    <w:name w:val="Medium Shading 1 - Accent 11"/>
    <w:basedOn w:val="prastojilentel"/>
    <w:next w:val="1vidutinisspalvinimas1parykinimas"/>
    <w:uiPriority w:val="63"/>
    <w:rsid w:val="00AC09CA"/>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eading51">
    <w:name w:val="Heading 51"/>
    <w:basedOn w:val="prastasis"/>
    <w:next w:val="Pagrindinistekstas"/>
    <w:uiPriority w:val="9"/>
    <w:unhideWhenUsed/>
    <w:rsid w:val="00AC09CA"/>
    <w:pPr>
      <w:keepNext/>
      <w:spacing w:before="0" w:after="160" w:line="0" w:lineRule="atLeast"/>
      <w:ind w:left="3600" w:hanging="360"/>
      <w:jc w:val="left"/>
      <w:outlineLvl w:val="4"/>
    </w:pPr>
    <w:rPr>
      <w:rFonts w:ascii="Georgia" w:eastAsia="Times New Roman" w:hAnsi="Georgia" w:cs="Arial Unicode MS"/>
      <w:i/>
      <w:color w:val="821A1A"/>
      <w:sz w:val="24"/>
      <w:szCs w:val="20"/>
      <w:lang w:val="en-US"/>
    </w:rPr>
  </w:style>
  <w:style w:type="paragraph" w:customStyle="1" w:styleId="Heading61">
    <w:name w:val="Heading 61"/>
    <w:basedOn w:val="prastasis"/>
    <w:next w:val="prastasis"/>
    <w:uiPriority w:val="9"/>
    <w:semiHidden/>
    <w:unhideWhenUsed/>
    <w:rsid w:val="00AC09CA"/>
    <w:pPr>
      <w:keepNext/>
      <w:spacing w:before="0" w:after="160" w:line="0" w:lineRule="atLeast"/>
      <w:ind w:firstLine="0"/>
      <w:jc w:val="left"/>
      <w:outlineLvl w:val="5"/>
    </w:pPr>
    <w:rPr>
      <w:rFonts w:ascii="Georgia" w:eastAsia="Times New Roman" w:hAnsi="Georgia" w:cs="Arial Unicode MS"/>
      <w:color w:val="821A1A"/>
      <w:sz w:val="24"/>
      <w:szCs w:val="20"/>
      <w:lang w:val="en-US"/>
    </w:rPr>
  </w:style>
  <w:style w:type="paragraph" w:customStyle="1" w:styleId="Heading71">
    <w:name w:val="Heading 71"/>
    <w:basedOn w:val="prastasis"/>
    <w:next w:val="prastasis"/>
    <w:uiPriority w:val="9"/>
    <w:semiHidden/>
    <w:unhideWhenUsed/>
    <w:rsid w:val="00AC09CA"/>
    <w:pPr>
      <w:keepNext/>
      <w:spacing w:before="40" w:after="0"/>
      <w:ind w:firstLine="0"/>
      <w:jc w:val="left"/>
      <w:outlineLvl w:val="6"/>
    </w:pPr>
    <w:rPr>
      <w:rFonts w:ascii="Georgia" w:eastAsia="Times New Roman" w:hAnsi="Georgia" w:cs="Arial Unicode MS"/>
      <w:i/>
      <w:iCs/>
      <w:color w:val="400D0D"/>
      <w:sz w:val="20"/>
      <w:szCs w:val="20"/>
      <w:lang w:val="en-US"/>
    </w:rPr>
  </w:style>
  <w:style w:type="paragraph" w:customStyle="1" w:styleId="Heading81">
    <w:name w:val="Heading 81"/>
    <w:basedOn w:val="prastasis"/>
    <w:next w:val="Pagrindinistekstas"/>
    <w:uiPriority w:val="9"/>
    <w:semiHidden/>
    <w:unhideWhenUsed/>
    <w:rsid w:val="00AC09CA"/>
    <w:pPr>
      <w:keepNext/>
      <w:spacing w:before="0" w:after="240"/>
      <w:ind w:firstLine="0"/>
      <w:jc w:val="left"/>
      <w:outlineLvl w:val="7"/>
    </w:pPr>
    <w:rPr>
      <w:rFonts w:ascii="Georgia" w:eastAsia="Times New Roman" w:hAnsi="Georgia" w:cs="Arial Unicode MS"/>
      <w:color w:val="272727"/>
      <w:sz w:val="21"/>
      <w:szCs w:val="21"/>
      <w:lang w:val="en-US"/>
    </w:rPr>
  </w:style>
  <w:style w:type="paragraph" w:customStyle="1" w:styleId="Heading91">
    <w:name w:val="Heading 91"/>
    <w:basedOn w:val="prastasis"/>
    <w:next w:val="Pagrindinistekstas"/>
    <w:uiPriority w:val="9"/>
    <w:semiHidden/>
    <w:unhideWhenUsed/>
    <w:rsid w:val="00AC09CA"/>
    <w:pPr>
      <w:keepNext/>
      <w:spacing w:before="0" w:after="240"/>
      <w:ind w:firstLine="0"/>
      <w:jc w:val="left"/>
      <w:outlineLvl w:val="8"/>
    </w:pPr>
    <w:rPr>
      <w:rFonts w:ascii="Georgia" w:eastAsia="Times New Roman" w:hAnsi="Georgia" w:cs="Arial Unicode MS"/>
      <w:i/>
      <w:iCs/>
      <w:color w:val="272727"/>
      <w:sz w:val="20"/>
      <w:szCs w:val="21"/>
      <w:lang w:val="en-US"/>
    </w:rPr>
  </w:style>
  <w:style w:type="paragraph" w:customStyle="1" w:styleId="Address">
    <w:name w:val="Address"/>
    <w:basedOn w:val="prastasis"/>
    <w:link w:val="AddressChar"/>
    <w:qFormat/>
    <w:rsid w:val="00AC09CA"/>
    <w:pPr>
      <w:spacing w:before="0" w:after="0" w:line="200" w:lineRule="atLeast"/>
      <w:ind w:firstLine="0"/>
      <w:jc w:val="left"/>
    </w:pPr>
    <w:rPr>
      <w:rFonts w:ascii="Calibri" w:hAnsi="Calibri"/>
      <w:i/>
      <w:sz w:val="18"/>
      <w:szCs w:val="20"/>
      <w:lang w:val="en-US"/>
    </w:rPr>
  </w:style>
  <w:style w:type="paragraph" w:customStyle="1" w:styleId="BlockText1">
    <w:name w:val="Block Text1"/>
    <w:basedOn w:val="Pagrindinistekstas"/>
    <w:next w:val="Tekstoblokas"/>
    <w:uiPriority w:val="99"/>
    <w:unhideWhenUsed/>
    <w:rsid w:val="00AC09CA"/>
    <w:pPr>
      <w:widowControl/>
      <w:pBdr>
        <w:top w:val="single" w:sz="2" w:space="10" w:color="821A1A" w:shadow="1"/>
        <w:left w:val="single" w:sz="2" w:space="10" w:color="821A1A" w:shadow="1"/>
        <w:bottom w:val="single" w:sz="2" w:space="10" w:color="821A1A" w:shadow="1"/>
        <w:right w:val="single" w:sz="2" w:space="10" w:color="821A1A" w:shadow="1"/>
      </w:pBdr>
      <w:autoSpaceDE/>
      <w:autoSpaceDN/>
      <w:adjustRightInd/>
      <w:spacing w:after="160" w:line="240" w:lineRule="auto"/>
      <w:ind w:left="230" w:right="230"/>
    </w:pPr>
    <w:rPr>
      <w:rFonts w:ascii="Georgia" w:hAnsi="Georgia" w:cs="Arial Unicode MS"/>
      <w:i/>
      <w:iCs/>
      <w:color w:val="821A1A"/>
      <w:sz w:val="22"/>
      <w:szCs w:val="20"/>
      <w:lang w:val="en-US"/>
    </w:rPr>
  </w:style>
  <w:style w:type="paragraph" w:customStyle="1" w:styleId="BlockText2">
    <w:name w:val="Block Text 2"/>
    <w:basedOn w:val="Tekstoblokas"/>
    <w:rsid w:val="00AC09CA"/>
    <w:pPr>
      <w:pBdr>
        <w:top w:val="single" w:sz="8" w:space="10" w:color="F2F2F2"/>
        <w:left w:val="single" w:sz="8" w:space="10" w:color="F2F2F2"/>
        <w:bottom w:val="single" w:sz="8" w:space="10" w:color="F2F2F2"/>
        <w:right w:val="single" w:sz="8" w:space="10" w:color="F2F2F2"/>
      </w:pBdr>
      <w:shd w:val="clear" w:color="auto" w:fill="D9D9D9"/>
      <w:spacing w:before="0" w:after="160"/>
      <w:ind w:left="230" w:right="230" w:firstLine="0"/>
      <w:jc w:val="left"/>
    </w:pPr>
    <w:rPr>
      <w:szCs w:val="20"/>
      <w:lang w:val="en-US"/>
    </w:rPr>
  </w:style>
  <w:style w:type="paragraph" w:customStyle="1" w:styleId="Callout">
    <w:name w:val="Callout"/>
    <w:basedOn w:val="Pagrindinistekstas"/>
    <w:next w:val="Pagrindinistekstas"/>
    <w:rsid w:val="00AC09CA"/>
    <w:pPr>
      <w:framePr w:w="2102" w:hSpace="230" w:wrap="around" w:vAnchor="text" w:hAnchor="page" w:x="1023" w:y="203"/>
      <w:widowControl/>
      <w:autoSpaceDE/>
      <w:autoSpaceDN/>
      <w:adjustRightInd/>
      <w:spacing w:after="160" w:line="240" w:lineRule="auto"/>
    </w:pPr>
    <w:rPr>
      <w:rFonts w:ascii="Georgia" w:eastAsia="Georgia" w:hAnsi="Georgia" w:cs="Arial Unicode MS"/>
      <w:i/>
      <w:color w:val="821A1A"/>
      <w:sz w:val="16"/>
      <w:szCs w:val="20"/>
      <w:lang w:val="en-US"/>
    </w:rPr>
  </w:style>
  <w:style w:type="paragraph" w:customStyle="1" w:styleId="Date1">
    <w:name w:val="Date1"/>
    <w:basedOn w:val="prastasis"/>
    <w:next w:val="Pagrindinistekstas"/>
    <w:uiPriority w:val="99"/>
    <w:unhideWhenUsed/>
    <w:rsid w:val="00AC09CA"/>
    <w:pPr>
      <w:spacing w:before="0" w:after="160" w:line="276" w:lineRule="auto"/>
      <w:ind w:left="2376" w:firstLine="0"/>
      <w:jc w:val="left"/>
    </w:pPr>
    <w:rPr>
      <w:rFonts w:ascii="Calibri" w:hAnsi="Calibri"/>
      <w:sz w:val="28"/>
      <w:szCs w:val="20"/>
      <w:lang w:val="en-US"/>
    </w:rPr>
  </w:style>
  <w:style w:type="character" w:customStyle="1" w:styleId="DataDiagrama">
    <w:name w:val="Data Diagrama"/>
    <w:basedOn w:val="Numatytasispastraiposriftas"/>
    <w:link w:val="Data"/>
    <w:uiPriority w:val="99"/>
    <w:rsid w:val="00AC09CA"/>
    <w:rPr>
      <w:sz w:val="28"/>
      <w:szCs w:val="20"/>
    </w:rPr>
  </w:style>
  <w:style w:type="paragraph" w:customStyle="1" w:styleId="Disclaimer">
    <w:name w:val="Disclaimer"/>
    <w:basedOn w:val="Pagrindinistekstas"/>
    <w:link w:val="DisclaimerChar"/>
    <w:qFormat/>
    <w:rsid w:val="00AC09CA"/>
    <w:pPr>
      <w:widowControl/>
      <w:autoSpaceDE/>
      <w:autoSpaceDN/>
      <w:adjustRightInd/>
      <w:spacing w:after="0" w:line="140" w:lineRule="atLeast"/>
    </w:pPr>
    <w:rPr>
      <w:rFonts w:ascii="Georgia" w:eastAsia="Georgia" w:hAnsi="Georgia" w:cs="Arial Unicode MS"/>
      <w:sz w:val="16"/>
      <w:szCs w:val="20"/>
      <w:lang w:val="en-US"/>
    </w:rPr>
  </w:style>
  <w:style w:type="paragraph" w:customStyle="1" w:styleId="DividerHeader">
    <w:name w:val="Divider Header"/>
    <w:rsid w:val="00AC09CA"/>
    <w:pPr>
      <w:spacing w:after="240" w:line="240" w:lineRule="atLeast"/>
    </w:pPr>
    <w:rPr>
      <w:rFonts w:ascii="Georgia" w:hAnsi="Georgia"/>
      <w:i/>
      <w:color w:val="000000"/>
      <w:sz w:val="64"/>
      <w:szCs w:val="20"/>
      <w:lang w:val="en-US"/>
    </w:rPr>
  </w:style>
  <w:style w:type="paragraph" w:customStyle="1" w:styleId="ExhibitHeading1">
    <w:name w:val="Exhibit Heading 1"/>
    <w:basedOn w:val="Pagrindinistekstas"/>
    <w:next w:val="Pagrindinistekstas"/>
    <w:rsid w:val="00AC09CA"/>
    <w:pPr>
      <w:keepNext/>
      <w:pageBreakBefore/>
      <w:widowControl/>
      <w:numPr>
        <w:numId w:val="11"/>
      </w:numPr>
      <w:autoSpaceDE/>
      <w:autoSpaceDN/>
      <w:adjustRightInd/>
      <w:spacing w:after="480" w:line="0" w:lineRule="atLeast"/>
      <w:outlineLvl w:val="0"/>
    </w:pPr>
    <w:rPr>
      <w:rFonts w:ascii="Georgia" w:eastAsia="Georgia" w:hAnsi="Georgia" w:cs="Arial Unicode MS"/>
      <w:b/>
      <w:i/>
      <w:sz w:val="48"/>
      <w:szCs w:val="20"/>
      <w:lang w:val="en-US"/>
    </w:rPr>
  </w:style>
  <w:style w:type="paragraph" w:customStyle="1" w:styleId="ExhibitHeading2">
    <w:name w:val="Exhibit Heading 2"/>
    <w:basedOn w:val="ExhibitHeading1"/>
    <w:next w:val="Pagrindinistekstas"/>
    <w:rsid w:val="00AC09CA"/>
    <w:pPr>
      <w:pageBreakBefore w:val="0"/>
      <w:numPr>
        <w:ilvl w:val="1"/>
      </w:numPr>
      <w:spacing w:after="160"/>
      <w:outlineLvl w:val="1"/>
    </w:pPr>
    <w:rPr>
      <w:color w:val="821A1A"/>
      <w:sz w:val="32"/>
    </w:rPr>
  </w:style>
  <w:style w:type="paragraph" w:customStyle="1" w:styleId="ExhibitHeading3">
    <w:name w:val="Exhibit Heading 3"/>
    <w:basedOn w:val="ExhibitHeading2"/>
    <w:next w:val="Pagrindinistekstas"/>
    <w:rsid w:val="00AC09CA"/>
    <w:pPr>
      <w:numPr>
        <w:ilvl w:val="2"/>
      </w:numPr>
      <w:outlineLvl w:val="2"/>
    </w:pPr>
    <w:rPr>
      <w:sz w:val="28"/>
    </w:rPr>
  </w:style>
  <w:style w:type="paragraph" w:customStyle="1" w:styleId="ExhibitHeading4">
    <w:name w:val="Exhibit Heading 4"/>
    <w:basedOn w:val="ExhibitHeading3"/>
    <w:next w:val="Pagrindinistekstas"/>
    <w:rsid w:val="00AC09CA"/>
    <w:pPr>
      <w:numPr>
        <w:ilvl w:val="3"/>
      </w:numPr>
      <w:outlineLvl w:val="3"/>
    </w:pPr>
    <w:rPr>
      <w:b w:val="0"/>
    </w:rPr>
  </w:style>
  <w:style w:type="paragraph" w:customStyle="1" w:styleId="ExhibitHeading5">
    <w:name w:val="Exhibit Heading 5"/>
    <w:basedOn w:val="ExhibitHeading4"/>
    <w:next w:val="Pagrindinistekstas"/>
    <w:rsid w:val="00AC09CA"/>
    <w:pPr>
      <w:numPr>
        <w:ilvl w:val="4"/>
      </w:numPr>
      <w:ind w:left="1800" w:hanging="1440"/>
      <w:outlineLvl w:val="4"/>
    </w:pPr>
    <w:rPr>
      <w:sz w:val="24"/>
    </w:rPr>
  </w:style>
  <w:style w:type="paragraph" w:customStyle="1" w:styleId="Guidance">
    <w:name w:val="Guidance"/>
    <w:basedOn w:val="prastasis"/>
    <w:link w:val="GuidanceChar"/>
    <w:uiPriority w:val="99"/>
    <w:qFormat/>
    <w:rsid w:val="00AC09CA"/>
    <w:pPr>
      <w:spacing w:before="0" w:after="100" w:afterAutospacing="1" w:line="276" w:lineRule="auto"/>
      <w:ind w:firstLine="0"/>
      <w:jc w:val="left"/>
    </w:pPr>
    <w:rPr>
      <w:rFonts w:ascii="Arial" w:hAnsi="Arial"/>
      <w:color w:val="00A5FF"/>
      <w:sz w:val="16"/>
      <w:szCs w:val="20"/>
      <w:lang w:val="en-US"/>
    </w:rPr>
  </w:style>
  <w:style w:type="character" w:customStyle="1" w:styleId="HTMLAcronym1">
    <w:name w:val="HTML Acronym1"/>
    <w:basedOn w:val="Numatytasispastraiposriftas"/>
    <w:uiPriority w:val="99"/>
    <w:semiHidden/>
    <w:unhideWhenUsed/>
    <w:rsid w:val="00AC09CA"/>
    <w:rPr>
      <w:color w:val="000000"/>
    </w:rPr>
  </w:style>
  <w:style w:type="paragraph" w:customStyle="1" w:styleId="IndexHeading1">
    <w:name w:val="Index Heading1"/>
    <w:basedOn w:val="prastasis"/>
    <w:next w:val="Indeksas1"/>
    <w:uiPriority w:val="99"/>
    <w:unhideWhenUsed/>
    <w:rsid w:val="00AC09CA"/>
    <w:pPr>
      <w:spacing w:before="0" w:after="160"/>
      <w:ind w:firstLine="0"/>
      <w:jc w:val="left"/>
    </w:pPr>
    <w:rPr>
      <w:rFonts w:ascii="Georgia" w:eastAsia="Times New Roman" w:hAnsi="Georgia" w:cs="Arial Unicode MS"/>
      <w:b/>
      <w:bCs/>
      <w:sz w:val="20"/>
      <w:szCs w:val="20"/>
      <w:lang w:val="en-US"/>
    </w:rPr>
  </w:style>
  <w:style w:type="character" w:customStyle="1" w:styleId="IntenseEmphasis1">
    <w:name w:val="Intense Emphasis1"/>
    <w:basedOn w:val="Numatytasispastraiposriftas"/>
    <w:uiPriority w:val="21"/>
    <w:rsid w:val="00AC09CA"/>
    <w:rPr>
      <w:i/>
      <w:iCs/>
      <w:color w:val="821A1A"/>
    </w:rPr>
  </w:style>
  <w:style w:type="paragraph" w:customStyle="1" w:styleId="HeadingText">
    <w:name w:val="Heading Text"/>
    <w:basedOn w:val="Pagrindinistekstas"/>
    <w:next w:val="Pagrindinistekstas"/>
    <w:qFormat/>
    <w:rsid w:val="00AC09CA"/>
    <w:pPr>
      <w:widowControl/>
      <w:autoSpaceDE/>
      <w:autoSpaceDN/>
      <w:adjustRightInd/>
      <w:spacing w:after="80" w:line="240" w:lineRule="auto"/>
    </w:pPr>
    <w:rPr>
      <w:rFonts w:ascii="Georgia" w:eastAsia="Georgia" w:hAnsi="Georgia" w:cs="Arial Unicode MS"/>
      <w:b/>
      <w:color w:val="821A1A"/>
      <w:sz w:val="20"/>
      <w:szCs w:val="20"/>
      <w:lang w:val="en-US"/>
    </w:rPr>
  </w:style>
  <w:style w:type="character" w:customStyle="1" w:styleId="IntenseReference1">
    <w:name w:val="Intense Reference1"/>
    <w:basedOn w:val="Numatytasispastraiposriftas"/>
    <w:uiPriority w:val="32"/>
    <w:rsid w:val="00AC09CA"/>
    <w:rPr>
      <w:b/>
      <w:bCs/>
      <w:smallCaps/>
      <w:color w:val="821A1A"/>
      <w:spacing w:val="5"/>
    </w:rPr>
  </w:style>
  <w:style w:type="paragraph" w:customStyle="1" w:styleId="IntenseQuote1">
    <w:name w:val="Intense Quote1"/>
    <w:basedOn w:val="prastasis"/>
    <w:next w:val="prastasis"/>
    <w:uiPriority w:val="30"/>
    <w:rsid w:val="00AC09CA"/>
    <w:pPr>
      <w:pBdr>
        <w:bottom w:val="single" w:sz="4" w:space="10" w:color="821A1A"/>
      </w:pBdr>
      <w:spacing w:before="200" w:after="280" w:line="276" w:lineRule="auto"/>
      <w:ind w:left="936" w:right="936" w:firstLine="0"/>
      <w:jc w:val="left"/>
    </w:pPr>
    <w:rPr>
      <w:rFonts w:ascii="Calibri" w:hAnsi="Calibri"/>
      <w:b/>
      <w:i/>
      <w:iCs/>
      <w:color w:val="821A1A"/>
      <w:sz w:val="20"/>
      <w:szCs w:val="20"/>
      <w:lang w:val="en-US"/>
    </w:rPr>
  </w:style>
  <w:style w:type="character" w:customStyle="1" w:styleId="IskirtacitataDiagrama">
    <w:name w:val="Išskirta citata Diagrama"/>
    <w:basedOn w:val="Numatytasispastraiposriftas"/>
    <w:link w:val="Iskirtacitata"/>
    <w:uiPriority w:val="30"/>
    <w:rsid w:val="00AC09CA"/>
    <w:rPr>
      <w:b/>
      <w:i/>
      <w:iCs/>
      <w:color w:val="821A1A"/>
    </w:rPr>
  </w:style>
  <w:style w:type="character" w:styleId="Eilutsnumeris">
    <w:name w:val="line number"/>
    <w:basedOn w:val="Numatytasispastraiposriftas"/>
    <w:uiPriority w:val="99"/>
    <w:unhideWhenUsed/>
    <w:rsid w:val="00AC09CA"/>
  </w:style>
  <w:style w:type="paragraph" w:customStyle="1" w:styleId="List1">
    <w:name w:val="List1"/>
    <w:basedOn w:val="prastasis"/>
    <w:next w:val="Sraas"/>
    <w:uiPriority w:val="99"/>
    <w:unhideWhenUsed/>
    <w:rsid w:val="00AC09CA"/>
    <w:pPr>
      <w:spacing w:before="0"/>
      <w:ind w:left="346" w:firstLine="0"/>
      <w:jc w:val="left"/>
    </w:pPr>
    <w:rPr>
      <w:rFonts w:ascii="Calibri" w:hAnsi="Calibri"/>
      <w:sz w:val="20"/>
      <w:szCs w:val="20"/>
      <w:lang w:val="en-US"/>
    </w:rPr>
  </w:style>
  <w:style w:type="paragraph" w:customStyle="1" w:styleId="List21">
    <w:name w:val="List 21"/>
    <w:basedOn w:val="Sraas"/>
    <w:next w:val="Sraas2"/>
    <w:uiPriority w:val="99"/>
    <w:unhideWhenUsed/>
    <w:rsid w:val="00AC09CA"/>
    <w:pPr>
      <w:spacing w:before="0"/>
      <w:ind w:left="691" w:firstLine="0"/>
      <w:contextualSpacing w:val="0"/>
      <w:jc w:val="left"/>
    </w:pPr>
    <w:rPr>
      <w:rFonts w:ascii="Calibri" w:hAnsi="Calibri"/>
      <w:sz w:val="20"/>
      <w:szCs w:val="20"/>
      <w:lang w:val="en-US"/>
    </w:rPr>
  </w:style>
  <w:style w:type="paragraph" w:customStyle="1" w:styleId="List41">
    <w:name w:val="List 41"/>
    <w:basedOn w:val="Sraas3"/>
    <w:next w:val="Sraas4"/>
    <w:uiPriority w:val="99"/>
    <w:unhideWhenUsed/>
    <w:rsid w:val="00AC09CA"/>
    <w:pPr>
      <w:spacing w:before="0"/>
      <w:ind w:left="1382" w:firstLine="0"/>
      <w:contextualSpacing w:val="0"/>
      <w:jc w:val="left"/>
    </w:pPr>
    <w:rPr>
      <w:rFonts w:ascii="Calibri" w:hAnsi="Calibri"/>
      <w:sz w:val="20"/>
      <w:szCs w:val="20"/>
      <w:lang w:val="en-US"/>
    </w:rPr>
  </w:style>
  <w:style w:type="paragraph" w:customStyle="1" w:styleId="List31">
    <w:name w:val="List 31"/>
    <w:basedOn w:val="Sraas2"/>
    <w:next w:val="Sraas3"/>
    <w:uiPriority w:val="99"/>
    <w:unhideWhenUsed/>
    <w:rsid w:val="00AC09CA"/>
    <w:pPr>
      <w:spacing w:before="0"/>
      <w:ind w:left="2232" w:hanging="1195"/>
      <w:contextualSpacing w:val="0"/>
      <w:jc w:val="left"/>
    </w:pPr>
    <w:rPr>
      <w:rFonts w:ascii="Calibri" w:hAnsi="Calibri"/>
      <w:sz w:val="20"/>
      <w:szCs w:val="20"/>
      <w:lang w:val="en-US"/>
    </w:rPr>
  </w:style>
  <w:style w:type="paragraph" w:customStyle="1" w:styleId="List51">
    <w:name w:val="List 51"/>
    <w:basedOn w:val="prastasis"/>
    <w:next w:val="Sraas5"/>
    <w:uiPriority w:val="99"/>
    <w:unhideWhenUsed/>
    <w:rsid w:val="00AC09CA"/>
    <w:pPr>
      <w:spacing w:before="0"/>
      <w:ind w:left="1728" w:firstLine="0"/>
      <w:jc w:val="left"/>
    </w:pPr>
    <w:rPr>
      <w:rFonts w:ascii="Calibri" w:hAnsi="Calibri"/>
      <w:sz w:val="20"/>
      <w:szCs w:val="20"/>
      <w:lang w:val="en-US"/>
    </w:rPr>
  </w:style>
  <w:style w:type="paragraph" w:customStyle="1" w:styleId="ListAlpha">
    <w:name w:val="List Alpha"/>
    <w:basedOn w:val="prastasis"/>
    <w:qFormat/>
    <w:rsid w:val="00AC09CA"/>
    <w:pPr>
      <w:numPr>
        <w:numId w:val="12"/>
      </w:numPr>
      <w:spacing w:before="0"/>
      <w:jc w:val="left"/>
    </w:pPr>
    <w:rPr>
      <w:rFonts w:ascii="Calibri" w:hAnsi="Calibri"/>
      <w:sz w:val="20"/>
      <w:szCs w:val="20"/>
      <w:lang w:val="en-US"/>
    </w:rPr>
  </w:style>
  <w:style w:type="paragraph" w:customStyle="1" w:styleId="ListAlpha2">
    <w:name w:val="List Alpha 2"/>
    <w:basedOn w:val="ListAlpha"/>
    <w:qFormat/>
    <w:rsid w:val="00AC09CA"/>
    <w:pPr>
      <w:numPr>
        <w:ilvl w:val="1"/>
      </w:numPr>
      <w:tabs>
        <w:tab w:val="clear" w:pos="691"/>
      </w:tabs>
      <w:ind w:left="1440" w:hanging="360"/>
    </w:pPr>
  </w:style>
  <w:style w:type="paragraph" w:customStyle="1" w:styleId="ListAlpha3">
    <w:name w:val="List Alpha 3"/>
    <w:basedOn w:val="ListAlpha"/>
    <w:qFormat/>
    <w:rsid w:val="00AC09CA"/>
    <w:pPr>
      <w:numPr>
        <w:ilvl w:val="2"/>
      </w:numPr>
    </w:pPr>
  </w:style>
  <w:style w:type="paragraph" w:customStyle="1" w:styleId="ListAlpha4">
    <w:name w:val="List Alpha 4"/>
    <w:basedOn w:val="ListAlpha3"/>
    <w:qFormat/>
    <w:rsid w:val="00AC09CA"/>
    <w:pPr>
      <w:numPr>
        <w:ilvl w:val="3"/>
      </w:numPr>
      <w:tabs>
        <w:tab w:val="clear" w:pos="1382"/>
        <w:tab w:val="num" w:pos="1037"/>
      </w:tabs>
      <w:ind w:left="1037" w:hanging="346"/>
    </w:pPr>
  </w:style>
  <w:style w:type="paragraph" w:customStyle="1" w:styleId="ListAlpha5">
    <w:name w:val="List Alpha 5"/>
    <w:basedOn w:val="ListAlpha4"/>
    <w:rsid w:val="00AC09CA"/>
    <w:pPr>
      <w:numPr>
        <w:ilvl w:val="4"/>
      </w:numPr>
      <w:tabs>
        <w:tab w:val="clear" w:pos="1728"/>
        <w:tab w:val="num" w:pos="1037"/>
      </w:tabs>
      <w:ind w:left="1037" w:hanging="360"/>
    </w:pPr>
  </w:style>
  <w:style w:type="paragraph" w:customStyle="1" w:styleId="ListBullet1">
    <w:name w:val="List Bullet1"/>
    <w:basedOn w:val="prastasis"/>
    <w:next w:val="Sraassuenkleliais"/>
    <w:uiPriority w:val="99"/>
    <w:unhideWhenUsed/>
    <w:qFormat/>
    <w:rsid w:val="00AC09CA"/>
    <w:pPr>
      <w:numPr>
        <w:numId w:val="13"/>
      </w:numPr>
      <w:tabs>
        <w:tab w:val="clear" w:pos="346"/>
      </w:tabs>
      <w:spacing w:before="0"/>
      <w:ind w:left="720" w:hanging="360"/>
      <w:jc w:val="left"/>
    </w:pPr>
    <w:rPr>
      <w:rFonts w:ascii="Calibri" w:hAnsi="Calibri"/>
      <w:sz w:val="20"/>
      <w:szCs w:val="20"/>
      <w:lang w:val="en-US"/>
    </w:rPr>
  </w:style>
  <w:style w:type="paragraph" w:customStyle="1" w:styleId="ListBullet21">
    <w:name w:val="List Bullet 21"/>
    <w:basedOn w:val="prastasis"/>
    <w:next w:val="Sraassuenkleliais2"/>
    <w:uiPriority w:val="99"/>
    <w:unhideWhenUsed/>
    <w:qFormat/>
    <w:rsid w:val="00AC09CA"/>
    <w:pPr>
      <w:numPr>
        <w:ilvl w:val="1"/>
        <w:numId w:val="13"/>
      </w:numPr>
      <w:tabs>
        <w:tab w:val="clear" w:pos="691"/>
      </w:tabs>
      <w:spacing w:before="0"/>
      <w:ind w:left="1440" w:hanging="360"/>
      <w:jc w:val="left"/>
    </w:pPr>
    <w:rPr>
      <w:rFonts w:ascii="Calibri" w:hAnsi="Calibri"/>
      <w:sz w:val="20"/>
      <w:szCs w:val="20"/>
      <w:lang w:val="en-US"/>
    </w:rPr>
  </w:style>
  <w:style w:type="paragraph" w:customStyle="1" w:styleId="ListBullet31">
    <w:name w:val="List Bullet 31"/>
    <w:basedOn w:val="prastasis"/>
    <w:next w:val="Sraassuenkleliais3"/>
    <w:uiPriority w:val="99"/>
    <w:unhideWhenUsed/>
    <w:qFormat/>
    <w:rsid w:val="00AC09CA"/>
    <w:pPr>
      <w:numPr>
        <w:ilvl w:val="2"/>
        <w:numId w:val="13"/>
      </w:numPr>
      <w:tabs>
        <w:tab w:val="clear" w:pos="1037"/>
      </w:tabs>
      <w:spacing w:before="0"/>
      <w:ind w:left="2160" w:hanging="360"/>
      <w:jc w:val="left"/>
    </w:pPr>
    <w:rPr>
      <w:rFonts w:ascii="Calibri" w:hAnsi="Calibri"/>
      <w:sz w:val="20"/>
      <w:szCs w:val="20"/>
      <w:lang w:val="en-US"/>
    </w:rPr>
  </w:style>
  <w:style w:type="paragraph" w:customStyle="1" w:styleId="ListBullet41">
    <w:name w:val="List Bullet 41"/>
    <w:basedOn w:val="prastasis"/>
    <w:next w:val="Sraassuenkleliais4"/>
    <w:uiPriority w:val="99"/>
    <w:unhideWhenUsed/>
    <w:qFormat/>
    <w:rsid w:val="00AC09CA"/>
    <w:pPr>
      <w:numPr>
        <w:ilvl w:val="3"/>
        <w:numId w:val="13"/>
      </w:numPr>
      <w:tabs>
        <w:tab w:val="clear" w:pos="1382"/>
      </w:tabs>
      <w:spacing w:before="0"/>
      <w:ind w:left="2880" w:hanging="360"/>
      <w:jc w:val="left"/>
    </w:pPr>
    <w:rPr>
      <w:rFonts w:ascii="Calibri" w:hAnsi="Calibri"/>
      <w:sz w:val="20"/>
      <w:szCs w:val="20"/>
      <w:lang w:val="en-US"/>
    </w:rPr>
  </w:style>
  <w:style w:type="paragraph" w:customStyle="1" w:styleId="ListBullet51">
    <w:name w:val="List Bullet 51"/>
    <w:basedOn w:val="prastasis"/>
    <w:next w:val="Sraassuenkleliais5"/>
    <w:uiPriority w:val="99"/>
    <w:unhideWhenUsed/>
    <w:rsid w:val="00AC09CA"/>
    <w:pPr>
      <w:numPr>
        <w:ilvl w:val="4"/>
        <w:numId w:val="13"/>
      </w:numPr>
      <w:tabs>
        <w:tab w:val="clear" w:pos="1728"/>
      </w:tabs>
      <w:spacing w:before="0"/>
      <w:ind w:left="3600" w:hanging="360"/>
      <w:jc w:val="left"/>
    </w:pPr>
    <w:rPr>
      <w:rFonts w:ascii="Calibri" w:hAnsi="Calibri"/>
      <w:sz w:val="20"/>
      <w:szCs w:val="20"/>
      <w:lang w:val="en-US"/>
    </w:rPr>
  </w:style>
  <w:style w:type="paragraph" w:customStyle="1" w:styleId="ListBullet6">
    <w:name w:val="List Bullet 6"/>
    <w:basedOn w:val="Sraassuenkleliais5"/>
    <w:rsid w:val="00AC09CA"/>
    <w:pPr>
      <w:numPr>
        <w:ilvl w:val="5"/>
        <w:numId w:val="13"/>
      </w:numPr>
      <w:tabs>
        <w:tab w:val="clear" w:pos="2074"/>
      </w:tabs>
      <w:spacing w:before="0"/>
      <w:ind w:left="4320" w:hanging="360"/>
      <w:contextualSpacing w:val="0"/>
      <w:jc w:val="left"/>
    </w:pPr>
    <w:rPr>
      <w:rFonts w:ascii="Calibri" w:hAnsi="Calibri"/>
      <w:sz w:val="20"/>
      <w:szCs w:val="20"/>
      <w:lang w:val="en-US"/>
    </w:rPr>
  </w:style>
  <w:style w:type="paragraph" w:customStyle="1" w:styleId="ListBullet7">
    <w:name w:val="List Bullet 7"/>
    <w:basedOn w:val="ListBullet6"/>
    <w:rsid w:val="00AC09CA"/>
    <w:pPr>
      <w:numPr>
        <w:ilvl w:val="6"/>
      </w:numPr>
      <w:tabs>
        <w:tab w:val="clear" w:pos="2419"/>
        <w:tab w:val="num" w:pos="2074"/>
      </w:tabs>
      <w:ind w:left="2074" w:hanging="346"/>
    </w:pPr>
  </w:style>
  <w:style w:type="paragraph" w:customStyle="1" w:styleId="ListBullet8">
    <w:name w:val="List Bullet 8"/>
    <w:basedOn w:val="ListBullet7"/>
    <w:rsid w:val="00AC09CA"/>
    <w:pPr>
      <w:numPr>
        <w:ilvl w:val="7"/>
      </w:numPr>
      <w:tabs>
        <w:tab w:val="clear" w:pos="2765"/>
        <w:tab w:val="num" w:pos="2074"/>
      </w:tabs>
      <w:ind w:left="2074" w:hanging="360"/>
    </w:pPr>
  </w:style>
  <w:style w:type="paragraph" w:customStyle="1" w:styleId="ListBullet9">
    <w:name w:val="List Bullet 9"/>
    <w:basedOn w:val="ListBullet8"/>
    <w:rsid w:val="00AC09CA"/>
    <w:pPr>
      <w:numPr>
        <w:ilvl w:val="8"/>
      </w:numPr>
      <w:tabs>
        <w:tab w:val="clear" w:pos="3110"/>
        <w:tab w:val="num" w:pos="2074"/>
      </w:tabs>
      <w:ind w:left="2074" w:hanging="346"/>
    </w:pPr>
  </w:style>
  <w:style w:type="paragraph" w:customStyle="1" w:styleId="ListContinue1">
    <w:name w:val="List Continue1"/>
    <w:basedOn w:val="prastasis"/>
    <w:next w:val="Sraotsinys"/>
    <w:uiPriority w:val="99"/>
    <w:unhideWhenUsed/>
    <w:qFormat/>
    <w:rsid w:val="00AC09CA"/>
    <w:pPr>
      <w:spacing w:before="0"/>
      <w:ind w:left="346" w:firstLine="0"/>
      <w:jc w:val="left"/>
    </w:pPr>
    <w:rPr>
      <w:rFonts w:ascii="Calibri" w:hAnsi="Calibri"/>
      <w:sz w:val="20"/>
      <w:szCs w:val="20"/>
      <w:lang w:val="en-US"/>
    </w:rPr>
  </w:style>
  <w:style w:type="paragraph" w:customStyle="1" w:styleId="ListContinue21">
    <w:name w:val="List Continue 21"/>
    <w:basedOn w:val="Sraotsinys"/>
    <w:next w:val="Sraotsinys2"/>
    <w:uiPriority w:val="99"/>
    <w:unhideWhenUsed/>
    <w:qFormat/>
    <w:rsid w:val="00AC09CA"/>
    <w:pPr>
      <w:spacing w:before="0"/>
      <w:ind w:left="691" w:firstLine="0"/>
      <w:contextualSpacing w:val="0"/>
      <w:jc w:val="left"/>
    </w:pPr>
    <w:rPr>
      <w:rFonts w:ascii="Calibri" w:hAnsi="Calibri"/>
      <w:sz w:val="20"/>
      <w:szCs w:val="20"/>
      <w:lang w:val="en-US"/>
    </w:rPr>
  </w:style>
  <w:style w:type="paragraph" w:customStyle="1" w:styleId="ListContinue31">
    <w:name w:val="List Continue 31"/>
    <w:basedOn w:val="Sraassunumeriais2"/>
    <w:next w:val="Sraotsinys3"/>
    <w:uiPriority w:val="99"/>
    <w:unhideWhenUsed/>
    <w:qFormat/>
    <w:rsid w:val="00AC09CA"/>
    <w:pPr>
      <w:numPr>
        <w:ilvl w:val="0"/>
        <w:numId w:val="0"/>
      </w:numPr>
      <w:ind w:left="1037"/>
    </w:pPr>
  </w:style>
  <w:style w:type="paragraph" w:customStyle="1" w:styleId="ListContinue41">
    <w:name w:val="List Continue 41"/>
    <w:basedOn w:val="Sraotsinys3"/>
    <w:next w:val="Sraotsinys4"/>
    <w:uiPriority w:val="99"/>
    <w:unhideWhenUsed/>
    <w:qFormat/>
    <w:rsid w:val="00AC09CA"/>
    <w:pPr>
      <w:tabs>
        <w:tab w:val="left" w:pos="792"/>
      </w:tabs>
      <w:spacing w:before="0"/>
      <w:ind w:left="1382" w:firstLine="0"/>
      <w:contextualSpacing w:val="0"/>
      <w:jc w:val="left"/>
    </w:pPr>
    <w:rPr>
      <w:rFonts w:ascii="Calibri" w:hAnsi="Calibri"/>
      <w:sz w:val="20"/>
      <w:szCs w:val="20"/>
      <w:lang w:val="en-US"/>
    </w:rPr>
  </w:style>
  <w:style w:type="paragraph" w:customStyle="1" w:styleId="ListContinue51">
    <w:name w:val="List Continue 51"/>
    <w:basedOn w:val="Sraotsinys4"/>
    <w:next w:val="Sraotsinys5"/>
    <w:uiPriority w:val="99"/>
    <w:unhideWhenUsed/>
    <w:rsid w:val="00AC09CA"/>
    <w:pPr>
      <w:tabs>
        <w:tab w:val="left" w:pos="792"/>
      </w:tabs>
      <w:spacing w:before="0"/>
      <w:ind w:left="1728" w:firstLine="0"/>
      <w:contextualSpacing w:val="0"/>
      <w:jc w:val="left"/>
    </w:pPr>
    <w:rPr>
      <w:rFonts w:ascii="Calibri" w:hAnsi="Calibri"/>
      <w:sz w:val="20"/>
      <w:szCs w:val="20"/>
      <w:lang w:val="en-US"/>
    </w:rPr>
  </w:style>
  <w:style w:type="paragraph" w:customStyle="1" w:styleId="MacroText1">
    <w:name w:val="Macro Text1"/>
    <w:next w:val="Makrokomandostekstas"/>
    <w:link w:val="MacroTextChar"/>
    <w:uiPriority w:val="99"/>
    <w:unhideWhenUsed/>
    <w:rsid w:val="00AC09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Numatytasispastraiposriftas"/>
    <w:link w:val="MacroText1"/>
    <w:uiPriority w:val="99"/>
    <w:rsid w:val="00AC09CA"/>
    <w:rPr>
      <w:rFonts w:ascii="Consolas" w:hAnsi="Consolas"/>
      <w:sz w:val="20"/>
      <w:szCs w:val="20"/>
    </w:rPr>
  </w:style>
  <w:style w:type="paragraph" w:customStyle="1" w:styleId="MessageHeader1">
    <w:name w:val="Message Header1"/>
    <w:basedOn w:val="prastasis"/>
    <w:next w:val="Laikoantrat"/>
    <w:link w:val="MessageHeaderChar"/>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left"/>
    </w:pPr>
    <w:rPr>
      <w:rFonts w:ascii="Calibri" w:eastAsia="Times New Roman" w:hAnsi="Calibri" w:cs="Arial Unicode MS"/>
      <w:sz w:val="24"/>
      <w:szCs w:val="24"/>
      <w:lang w:val="en-US"/>
    </w:rPr>
  </w:style>
  <w:style w:type="character" w:customStyle="1" w:styleId="MessageHeaderChar">
    <w:name w:val="Message Header Char"/>
    <w:basedOn w:val="Numatytasispastraiposriftas"/>
    <w:link w:val="MessageHeader1"/>
    <w:uiPriority w:val="99"/>
    <w:semiHidden/>
    <w:rsid w:val="00AC09CA"/>
    <w:rPr>
      <w:rFonts w:ascii="Calibri" w:eastAsia="Times New Roman" w:hAnsi="Calibri" w:cs="Arial Unicode MS"/>
      <w:sz w:val="24"/>
      <w:szCs w:val="24"/>
      <w:shd w:val="pct20" w:color="auto" w:fill="auto"/>
      <w:lang w:val="en-US"/>
    </w:rPr>
  </w:style>
  <w:style w:type="paragraph" w:customStyle="1" w:styleId="Non-numberedHeading1">
    <w:name w:val="Non-numbered Heading 1"/>
    <w:basedOn w:val="prastasis"/>
    <w:next w:val="Pagrindinistekstas"/>
    <w:qFormat/>
    <w:rsid w:val="00AC09CA"/>
    <w:pPr>
      <w:keepNext/>
      <w:pageBreakBefore/>
      <w:spacing w:before="0" w:after="480"/>
      <w:ind w:firstLine="0"/>
      <w:jc w:val="left"/>
      <w:outlineLvl w:val="0"/>
    </w:pPr>
    <w:rPr>
      <w:rFonts w:ascii="Georgia" w:eastAsia="Times New Roman" w:hAnsi="Georgia" w:cs="Arial Unicode MS"/>
      <w:b/>
      <w:i/>
      <w:color w:val="000000"/>
      <w:sz w:val="48"/>
      <w:szCs w:val="32"/>
      <w:lang w:val="en-US"/>
    </w:rPr>
  </w:style>
  <w:style w:type="paragraph" w:customStyle="1" w:styleId="Non-numberedHeading2">
    <w:name w:val="Non-numbered Heading 2"/>
    <w:basedOn w:val="Non-numberedHeading1"/>
    <w:next w:val="Pagrindinistekstas"/>
    <w:qFormat/>
    <w:rsid w:val="00AC09CA"/>
    <w:pPr>
      <w:pageBreakBefore w:val="0"/>
      <w:spacing w:after="160"/>
      <w:outlineLvl w:val="1"/>
    </w:pPr>
    <w:rPr>
      <w:color w:val="821A1A"/>
      <w:sz w:val="32"/>
    </w:rPr>
  </w:style>
  <w:style w:type="paragraph" w:customStyle="1" w:styleId="Non-numberedHeading3">
    <w:name w:val="Non-numbered Heading 3"/>
    <w:basedOn w:val="Non-numberedHeading2"/>
    <w:next w:val="Pagrindinistekstas"/>
    <w:qFormat/>
    <w:rsid w:val="00AC09CA"/>
    <w:pPr>
      <w:outlineLvl w:val="2"/>
    </w:pPr>
    <w:rPr>
      <w:sz w:val="28"/>
    </w:rPr>
  </w:style>
  <w:style w:type="paragraph" w:customStyle="1" w:styleId="Non-numberedHeading4">
    <w:name w:val="Non-numbered Heading 4"/>
    <w:basedOn w:val="Non-numberedHeading3"/>
    <w:next w:val="Pagrindinistekstas"/>
    <w:qFormat/>
    <w:rsid w:val="00AC09CA"/>
    <w:pPr>
      <w:outlineLvl w:val="3"/>
    </w:pPr>
    <w:rPr>
      <w:b w:val="0"/>
    </w:rPr>
  </w:style>
  <w:style w:type="paragraph" w:customStyle="1" w:styleId="Non-numberedHeading5">
    <w:name w:val="Non-numbered Heading 5"/>
    <w:basedOn w:val="Non-numberedHeading4"/>
    <w:next w:val="Pagrindinistekstas"/>
    <w:rsid w:val="00AC09CA"/>
    <w:pPr>
      <w:outlineLvl w:val="4"/>
    </w:pPr>
    <w:rPr>
      <w:sz w:val="24"/>
    </w:rPr>
  </w:style>
  <w:style w:type="paragraph" w:customStyle="1" w:styleId="PwCAddress">
    <w:name w:val="PwC Address"/>
    <w:basedOn w:val="Pagrindinistekstas"/>
    <w:qFormat/>
    <w:rsid w:val="00AC09CA"/>
    <w:pPr>
      <w:widowControl/>
      <w:autoSpaceDE/>
      <w:autoSpaceDN/>
      <w:adjustRightInd/>
      <w:spacing w:after="0" w:line="200" w:lineRule="atLeast"/>
    </w:pPr>
    <w:rPr>
      <w:rFonts w:ascii="Georgia" w:eastAsia="Georgia" w:hAnsi="Georgia" w:cs="Arial Unicode MS"/>
      <w:i/>
      <w:sz w:val="18"/>
      <w:szCs w:val="20"/>
      <w:lang w:val="en-US"/>
    </w:rPr>
  </w:style>
  <w:style w:type="paragraph" w:customStyle="1" w:styleId="Quote1">
    <w:name w:val="Quote1"/>
    <w:basedOn w:val="prastasis"/>
    <w:next w:val="prastasis"/>
    <w:uiPriority w:val="29"/>
    <w:rsid w:val="00AC09CA"/>
    <w:pPr>
      <w:spacing w:before="0" w:after="160" w:line="276" w:lineRule="auto"/>
      <w:ind w:firstLine="0"/>
      <w:jc w:val="center"/>
    </w:pPr>
    <w:rPr>
      <w:rFonts w:ascii="Calibri" w:hAnsi="Calibri"/>
      <w:i/>
      <w:iCs/>
      <w:color w:val="404040"/>
      <w:sz w:val="20"/>
      <w:szCs w:val="20"/>
      <w:lang w:val="en-US"/>
    </w:rPr>
  </w:style>
  <w:style w:type="character" w:customStyle="1" w:styleId="CitataDiagrama">
    <w:name w:val="Citata Diagrama"/>
    <w:basedOn w:val="Numatytasispastraiposriftas"/>
    <w:link w:val="Citata"/>
    <w:uiPriority w:val="29"/>
    <w:rsid w:val="00AC09CA"/>
    <w:rPr>
      <w:i/>
      <w:iCs/>
      <w:color w:val="404040"/>
    </w:rPr>
  </w:style>
  <w:style w:type="paragraph" w:customStyle="1" w:styleId="Subtitle1">
    <w:name w:val="Subtitle1"/>
    <w:basedOn w:val="prastasis"/>
    <w:next w:val="prastasis"/>
    <w:uiPriority w:val="11"/>
    <w:rsid w:val="00AC09CA"/>
    <w:pPr>
      <w:numPr>
        <w:ilvl w:val="1"/>
      </w:numPr>
      <w:spacing w:before="0" w:after="1200"/>
      <w:ind w:left="2376" w:firstLine="567"/>
      <w:jc w:val="left"/>
    </w:pPr>
    <w:rPr>
      <w:rFonts w:ascii="Georgia" w:eastAsia="Times New Roman" w:hAnsi="Georgia"/>
      <w:spacing w:val="15"/>
      <w:sz w:val="64"/>
      <w:szCs w:val="20"/>
      <w:lang w:val="en-US"/>
    </w:rPr>
  </w:style>
  <w:style w:type="character" w:customStyle="1" w:styleId="PaantratDiagrama">
    <w:name w:val="Paantraštė Diagrama"/>
    <w:aliases w:val="lentelės Diagrama"/>
    <w:basedOn w:val="Numatytasispastraiposriftas"/>
    <w:link w:val="Paantrat"/>
    <w:uiPriority w:val="11"/>
    <w:rsid w:val="00AC09CA"/>
    <w:rPr>
      <w:rFonts w:ascii="Georgia" w:eastAsia="Times New Roman" w:hAnsi="Georgia"/>
      <w:spacing w:val="15"/>
      <w:sz w:val="64"/>
    </w:rPr>
  </w:style>
  <w:style w:type="character" w:customStyle="1" w:styleId="SubtleEmphasis1">
    <w:name w:val="Subtle Emphasis1"/>
    <w:basedOn w:val="Numatytasispastraiposriftas"/>
    <w:uiPriority w:val="19"/>
    <w:rsid w:val="00AC09CA"/>
    <w:rPr>
      <w:i/>
      <w:iCs/>
      <w:color w:val="7F7F7F"/>
    </w:rPr>
  </w:style>
  <w:style w:type="paragraph" w:customStyle="1" w:styleId="Title1">
    <w:name w:val="Title1"/>
    <w:basedOn w:val="prastasis"/>
    <w:next w:val="prastasis"/>
    <w:uiPriority w:val="10"/>
    <w:rsid w:val="00AC09CA"/>
    <w:pPr>
      <w:spacing w:before="0" w:after="0"/>
      <w:ind w:left="2376" w:firstLine="0"/>
      <w:contextualSpacing/>
      <w:jc w:val="left"/>
    </w:pPr>
    <w:rPr>
      <w:rFonts w:ascii="Georgia" w:eastAsia="Times New Roman" w:hAnsi="Georgia" w:cs="Arial Unicode MS"/>
      <w:b/>
      <w:i/>
      <w:spacing w:val="-10"/>
      <w:kern w:val="28"/>
      <w:sz w:val="64"/>
      <w:szCs w:val="56"/>
      <w:lang w:val="en-US"/>
    </w:rPr>
  </w:style>
  <w:style w:type="paragraph" w:customStyle="1" w:styleId="ListRoman">
    <w:name w:val="List Roman"/>
    <w:basedOn w:val="Pagrindinistekstas"/>
    <w:qFormat/>
    <w:rsid w:val="00AC09CA"/>
    <w:pPr>
      <w:widowControl/>
      <w:numPr>
        <w:numId w:val="14"/>
      </w:numPr>
      <w:autoSpaceDE/>
      <w:autoSpaceDN/>
      <w:adjustRightInd/>
      <w:spacing w:line="240" w:lineRule="auto"/>
    </w:pPr>
    <w:rPr>
      <w:rFonts w:ascii="Georgia" w:eastAsia="Georgia" w:hAnsi="Georgia" w:cs="Arial Unicode MS"/>
      <w:sz w:val="20"/>
      <w:szCs w:val="20"/>
      <w:lang w:val="en-US"/>
    </w:rPr>
  </w:style>
  <w:style w:type="paragraph" w:customStyle="1" w:styleId="ListRoman2">
    <w:name w:val="List Roman 2"/>
    <w:basedOn w:val="ListRoman"/>
    <w:qFormat/>
    <w:rsid w:val="00AC09CA"/>
    <w:pPr>
      <w:numPr>
        <w:ilvl w:val="1"/>
      </w:numPr>
      <w:tabs>
        <w:tab w:val="left" w:pos="792"/>
      </w:tabs>
    </w:pPr>
  </w:style>
  <w:style w:type="paragraph" w:customStyle="1" w:styleId="ListRoman3">
    <w:name w:val="List Roman 3"/>
    <w:basedOn w:val="ListRoman2"/>
    <w:qFormat/>
    <w:rsid w:val="00AC09CA"/>
    <w:pPr>
      <w:numPr>
        <w:ilvl w:val="2"/>
      </w:numPr>
      <w:tabs>
        <w:tab w:val="clear" w:pos="792"/>
        <w:tab w:val="left" w:pos="1195"/>
      </w:tabs>
    </w:pPr>
  </w:style>
  <w:style w:type="paragraph" w:customStyle="1" w:styleId="ListRoman4">
    <w:name w:val="List Roman 4"/>
    <w:basedOn w:val="ListRoman3"/>
    <w:qFormat/>
    <w:rsid w:val="00AC09CA"/>
    <w:pPr>
      <w:numPr>
        <w:ilvl w:val="3"/>
      </w:numPr>
      <w:tabs>
        <w:tab w:val="clear" w:pos="1195"/>
        <w:tab w:val="left" w:pos="1584"/>
      </w:tabs>
    </w:pPr>
  </w:style>
  <w:style w:type="paragraph" w:customStyle="1" w:styleId="ListRoman5">
    <w:name w:val="List Roman 5"/>
    <w:basedOn w:val="ListRoman4"/>
    <w:rsid w:val="00AC09CA"/>
    <w:pPr>
      <w:numPr>
        <w:ilvl w:val="4"/>
      </w:numPr>
      <w:tabs>
        <w:tab w:val="clear" w:pos="1584"/>
        <w:tab w:val="clear" w:pos="1728"/>
        <w:tab w:val="left" w:pos="1987"/>
      </w:tabs>
      <w:ind w:left="3600" w:hanging="360"/>
    </w:pPr>
  </w:style>
  <w:style w:type="table" w:customStyle="1" w:styleId="SmartTextTable11">
    <w:name w:val="Smart Text Table11"/>
    <w:basedOn w:val="prastojilentel"/>
    <w:next w:val="Lentelstinklelis"/>
    <w:uiPriority w:val="59"/>
    <w:rsid w:val="00AC09C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prastojilentel"/>
    <w:uiPriority w:val="99"/>
    <w:rsid w:val="00AC09CA"/>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
    <w:name w:val="PwC Table of Figures"/>
    <w:basedOn w:val="PwCTableText"/>
    <w:uiPriority w:val="99"/>
    <w:rsid w:val="00AC09CA"/>
    <w:pPr>
      <w:spacing w:after="0"/>
      <w:jc w:val="right"/>
    </w:pPr>
    <w:rPr>
      <w:rFonts w:ascii="Arial" w:hAnsi="Arial"/>
    </w:rPr>
    <w:tblPr/>
    <w:tblStylePr w:type="firstRow">
      <w:pPr>
        <w:jc w:val="right"/>
      </w:pPr>
      <w:rPr>
        <w:rFonts w:ascii="Bahnschrift SemiCondensed" w:hAnsi="Bahnschrift SemiCondensed"/>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
    <w:name w:val="Smart Text List Table"/>
    <w:basedOn w:val="PwCTableText"/>
    <w:uiPriority w:val="99"/>
    <w:rsid w:val="00AC09CA"/>
    <w:pPr>
      <w:spacing w:after="0"/>
    </w:pPr>
    <w:tblPr/>
    <w:tblStylePr w:type="firstRow">
      <w:pPr>
        <w:jc w:val="left"/>
      </w:pPr>
      <w:rPr>
        <w:rFonts w:ascii="Bahnschrift SemiCondensed" w:hAnsi="Bahnschrift SemiCondensed"/>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
    <w:name w:val="Smart Basic Table"/>
    <w:basedOn w:val="PwCTableText"/>
    <w:uiPriority w:val="99"/>
    <w:rsid w:val="00AC09CA"/>
    <w:pPr>
      <w:spacing w:after="0"/>
    </w:pPr>
    <w:tblPr/>
    <w:tblStylePr w:type="firstRow">
      <w:pPr>
        <w:jc w:val="left"/>
      </w:pPr>
      <w:rPr>
        <w:rFonts w:ascii="Bahnschrift SemiCondensed" w:hAnsi="Bahnschrift SemiCondensed"/>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paragraph" w:customStyle="1" w:styleId="BodyTextIndent1">
    <w:name w:val="Body Text Indent1"/>
    <w:basedOn w:val="prastasis"/>
    <w:next w:val="Pagrindiniotekstotrauka"/>
    <w:link w:val="BodyTextIndentChar"/>
    <w:uiPriority w:val="99"/>
    <w:semiHidden/>
    <w:unhideWhenUsed/>
    <w:rsid w:val="00AC09CA"/>
    <w:pPr>
      <w:spacing w:before="0"/>
      <w:ind w:left="360" w:firstLine="0"/>
      <w:jc w:val="left"/>
    </w:pPr>
    <w:rPr>
      <w:rFonts w:asciiTheme="minorHAnsi" w:hAnsiTheme="minorHAnsi"/>
      <w:sz w:val="20"/>
      <w:szCs w:val="20"/>
    </w:rPr>
  </w:style>
  <w:style w:type="character" w:customStyle="1" w:styleId="BodyTextIndentChar">
    <w:name w:val="Body Text Indent Char"/>
    <w:basedOn w:val="Numatytasispastraiposriftas"/>
    <w:link w:val="BodyTextIndent1"/>
    <w:uiPriority w:val="99"/>
    <w:semiHidden/>
    <w:rsid w:val="00AC09CA"/>
    <w:rPr>
      <w:sz w:val="20"/>
      <w:szCs w:val="20"/>
    </w:rPr>
  </w:style>
  <w:style w:type="character" w:customStyle="1" w:styleId="SubtleReference1">
    <w:name w:val="Subtle Reference1"/>
    <w:basedOn w:val="Numatytasispastraiposriftas"/>
    <w:uiPriority w:val="31"/>
    <w:rsid w:val="00AC09CA"/>
    <w:rPr>
      <w:smallCaps/>
      <w:color w:val="5A5A5A"/>
    </w:rPr>
  </w:style>
  <w:style w:type="paragraph" w:customStyle="1" w:styleId="AppendixHeading1">
    <w:name w:val="Appendix Heading 1"/>
    <w:basedOn w:val="Antrat1"/>
    <w:next w:val="AppendixHeading2"/>
    <w:rsid w:val="00AC09CA"/>
    <w:pPr>
      <w:keepLines w:val="0"/>
      <w:pageBreakBefore/>
      <w:numPr>
        <w:numId w:val="10"/>
      </w:numPr>
      <w:spacing w:before="0" w:after="480" w:line="0" w:lineRule="atLeast"/>
      <w:jc w:val="left"/>
    </w:pPr>
    <w:rPr>
      <w:rFonts w:ascii="Georgia" w:hAnsi="Georgia"/>
      <w:i/>
      <w:color w:val="000000"/>
      <w:sz w:val="48"/>
      <w:lang w:val="en-US"/>
    </w:rPr>
  </w:style>
  <w:style w:type="paragraph" w:customStyle="1" w:styleId="AppendixHeading2">
    <w:name w:val="Appendix Heading 2"/>
    <w:basedOn w:val="AppendixHeading1"/>
    <w:next w:val="Pagrindinistekstas"/>
    <w:rsid w:val="00AC09CA"/>
    <w:pPr>
      <w:pageBreakBefore w:val="0"/>
      <w:numPr>
        <w:ilvl w:val="1"/>
      </w:numPr>
      <w:spacing w:after="160"/>
      <w:outlineLvl w:val="1"/>
    </w:pPr>
    <w:rPr>
      <w:color w:val="821A1A"/>
      <w:sz w:val="32"/>
    </w:rPr>
  </w:style>
  <w:style w:type="paragraph" w:customStyle="1" w:styleId="AppendixHeading3">
    <w:name w:val="Appendix Heading 3"/>
    <w:basedOn w:val="AppendixHeading2"/>
    <w:next w:val="Pagrindinistekstas"/>
    <w:rsid w:val="00AC09CA"/>
    <w:pPr>
      <w:numPr>
        <w:ilvl w:val="2"/>
      </w:numPr>
      <w:outlineLvl w:val="2"/>
    </w:pPr>
    <w:rPr>
      <w:sz w:val="28"/>
    </w:rPr>
  </w:style>
  <w:style w:type="paragraph" w:customStyle="1" w:styleId="AppendixHeading4">
    <w:name w:val="Appendix Heading 4"/>
    <w:basedOn w:val="AppendixHeading3"/>
    <w:next w:val="Pagrindinistekstas"/>
    <w:rsid w:val="00AC09CA"/>
    <w:pPr>
      <w:numPr>
        <w:ilvl w:val="3"/>
      </w:numPr>
      <w:outlineLvl w:val="3"/>
    </w:pPr>
    <w:rPr>
      <w:b w:val="0"/>
    </w:rPr>
  </w:style>
  <w:style w:type="paragraph" w:customStyle="1" w:styleId="AppendixHeading5">
    <w:name w:val="Appendix Heading 5"/>
    <w:basedOn w:val="AppendixHeading4"/>
    <w:next w:val="Pagrindinistekstas"/>
    <w:rsid w:val="00AC09CA"/>
    <w:pPr>
      <w:numPr>
        <w:ilvl w:val="4"/>
      </w:numPr>
      <w:ind w:left="1800" w:hanging="1440"/>
      <w:outlineLvl w:val="4"/>
    </w:pPr>
    <w:rPr>
      <w:sz w:val="24"/>
    </w:rPr>
  </w:style>
  <w:style w:type="character" w:customStyle="1" w:styleId="AddressChar">
    <w:name w:val="Address Char"/>
    <w:basedOn w:val="Numatytasispastraiposriftas"/>
    <w:link w:val="Address"/>
    <w:locked/>
    <w:rsid w:val="00AC09CA"/>
    <w:rPr>
      <w:rFonts w:ascii="Calibri" w:hAnsi="Calibri"/>
      <w:i/>
      <w:sz w:val="18"/>
      <w:szCs w:val="20"/>
      <w:lang w:val="en-US"/>
    </w:rPr>
  </w:style>
  <w:style w:type="character" w:customStyle="1" w:styleId="DisclaimerChar">
    <w:name w:val="Disclaimer Char"/>
    <w:basedOn w:val="Numatytasispastraiposriftas"/>
    <w:link w:val="Disclaimer"/>
    <w:locked/>
    <w:rsid w:val="00AC09CA"/>
    <w:rPr>
      <w:rFonts w:ascii="Georgia" w:eastAsia="Georgia" w:hAnsi="Georgia" w:cs="Arial Unicode MS"/>
      <w:sz w:val="16"/>
      <w:szCs w:val="20"/>
      <w:lang w:val="en-US"/>
    </w:rPr>
  </w:style>
  <w:style w:type="paragraph" w:customStyle="1" w:styleId="TOAHeading1">
    <w:name w:val="TOA Heading1"/>
    <w:basedOn w:val="prastasis"/>
    <w:next w:val="prastasis"/>
    <w:uiPriority w:val="99"/>
    <w:unhideWhenUsed/>
    <w:rsid w:val="00AC09CA"/>
    <w:pPr>
      <w:spacing w:before="120" w:after="160"/>
      <w:ind w:firstLine="0"/>
      <w:jc w:val="left"/>
    </w:pPr>
    <w:rPr>
      <w:rFonts w:ascii="Georgia" w:eastAsia="Times New Roman" w:hAnsi="Georgia" w:cs="Arial Unicode MS"/>
      <w:b/>
      <w:bCs/>
      <w:sz w:val="24"/>
      <w:szCs w:val="24"/>
      <w:lang w:val="en-US"/>
    </w:rPr>
  </w:style>
  <w:style w:type="paragraph" w:customStyle="1" w:styleId="AppendixHeading1wSubheading">
    <w:name w:val="Appendix Heading 1 w/Subheading"/>
    <w:basedOn w:val="AppendixHeading1"/>
    <w:next w:val="Subheading"/>
    <w:rsid w:val="00AC09CA"/>
    <w:pPr>
      <w:spacing w:after="0"/>
      <w:ind w:left="0" w:firstLine="0"/>
    </w:pPr>
  </w:style>
  <w:style w:type="paragraph" w:customStyle="1" w:styleId="BlockText3">
    <w:name w:val="Block Text 3"/>
    <w:basedOn w:val="Pagrindinistekstas"/>
    <w:rsid w:val="00AC09CA"/>
    <w:pPr>
      <w:widowControl/>
      <w:pBdr>
        <w:top w:val="single" w:sz="8" w:space="10" w:color="821A1A"/>
        <w:left w:val="single" w:sz="8" w:space="10" w:color="821A1A"/>
        <w:bottom w:val="single" w:sz="8" w:space="10" w:color="821A1A"/>
        <w:right w:val="single" w:sz="8" w:space="10" w:color="821A1A"/>
      </w:pBdr>
      <w:shd w:val="clear" w:color="auto" w:fill="821A1A"/>
      <w:autoSpaceDE/>
      <w:autoSpaceDN/>
      <w:adjustRightInd/>
      <w:spacing w:after="160" w:line="240" w:lineRule="auto"/>
      <w:ind w:left="230" w:right="230"/>
    </w:pPr>
    <w:rPr>
      <w:rFonts w:ascii="Georgia" w:eastAsia="Georgia" w:hAnsi="Georgia" w:cs="Arial Unicode MS"/>
      <w:b/>
      <w:i/>
      <w:color w:val="FFFFFF"/>
      <w:sz w:val="22"/>
      <w:szCs w:val="20"/>
      <w:lang w:val="en-US"/>
    </w:rPr>
  </w:style>
  <w:style w:type="paragraph" w:customStyle="1" w:styleId="ExhibitHeading1wSubheading">
    <w:name w:val="Exhibit Heading 1 w/Subheading"/>
    <w:basedOn w:val="ExhibitHeading1"/>
    <w:next w:val="Subheading"/>
    <w:rsid w:val="00AC09CA"/>
    <w:pPr>
      <w:spacing w:after="0"/>
      <w:ind w:left="0" w:firstLine="0"/>
    </w:pPr>
  </w:style>
  <w:style w:type="paragraph" w:customStyle="1" w:styleId="Heading1wSubheading">
    <w:name w:val="Heading 1 w/Subheading"/>
    <w:basedOn w:val="Antrat1"/>
    <w:next w:val="Subheading"/>
    <w:rsid w:val="00AC09CA"/>
    <w:pPr>
      <w:keepLines w:val="0"/>
      <w:pageBreakBefore/>
      <w:spacing w:before="0" w:after="0" w:line="0" w:lineRule="atLeast"/>
      <w:jc w:val="left"/>
    </w:pPr>
    <w:rPr>
      <w:rFonts w:ascii="Georgia" w:hAnsi="Georgia"/>
      <w:i/>
      <w:color w:val="000000"/>
      <w:sz w:val="48"/>
      <w:lang w:val="en-US"/>
    </w:rPr>
  </w:style>
  <w:style w:type="paragraph" w:customStyle="1" w:styleId="Non-numberedHeading1wSubheading">
    <w:name w:val="Non-numbered Heading 1 w/Subheading"/>
    <w:basedOn w:val="Non-numberedHeading1"/>
    <w:next w:val="Subheading"/>
    <w:rsid w:val="00AC09CA"/>
    <w:pPr>
      <w:spacing w:after="0"/>
    </w:pPr>
  </w:style>
  <w:style w:type="paragraph" w:customStyle="1" w:styleId="Subheading">
    <w:name w:val="Subheading"/>
    <w:basedOn w:val="Heading1wSubheading"/>
    <w:rsid w:val="00AC09CA"/>
    <w:pPr>
      <w:pageBreakBefore w:val="0"/>
      <w:numPr>
        <w:numId w:val="0"/>
      </w:numPr>
      <w:spacing w:after="480"/>
    </w:pPr>
    <w:rPr>
      <w:b w:val="0"/>
      <w:i w:val="0"/>
      <w:sz w:val="44"/>
    </w:rPr>
  </w:style>
  <w:style w:type="character" w:customStyle="1" w:styleId="GuidanceChar">
    <w:name w:val="Guidance Char"/>
    <w:basedOn w:val="Numatytasispastraiposriftas"/>
    <w:link w:val="Guidance"/>
    <w:uiPriority w:val="99"/>
    <w:rsid w:val="00AC09CA"/>
    <w:rPr>
      <w:rFonts w:ascii="Arial" w:hAnsi="Arial"/>
      <w:color w:val="00A5FF"/>
      <w:sz w:val="16"/>
      <w:szCs w:val="20"/>
      <w:lang w:val="en-US"/>
    </w:rPr>
  </w:style>
  <w:style w:type="table" w:customStyle="1" w:styleId="LightList-Accent211">
    <w:name w:val="Light List - Accent 211"/>
    <w:basedOn w:val="prastojilentel"/>
    <w:next w:val="viesussraas2parykinimas"/>
    <w:uiPriority w:val="61"/>
    <w:rsid w:val="00AC09CA"/>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1">
    <w:name w:val="Medium Shading 1 - Accent 211"/>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character" w:customStyle="1" w:styleId="Heading5Char1">
    <w:name w:val="Heading 5 Char1"/>
    <w:basedOn w:val="Numatytasispastraiposriftas"/>
    <w:uiPriority w:val="9"/>
    <w:semiHidden/>
    <w:rsid w:val="00AC09CA"/>
    <w:rPr>
      <w:rFonts w:ascii="Cambria" w:eastAsia="Times New Roman" w:hAnsi="Cambria" w:cs="DokChampa"/>
      <w:color w:val="365F91"/>
    </w:rPr>
  </w:style>
  <w:style w:type="character" w:customStyle="1" w:styleId="Heading6Char1">
    <w:name w:val="Heading 6 Char1"/>
    <w:basedOn w:val="Numatytasispastraiposriftas"/>
    <w:uiPriority w:val="9"/>
    <w:semiHidden/>
    <w:rsid w:val="00AC09CA"/>
    <w:rPr>
      <w:rFonts w:ascii="Cambria" w:eastAsia="Times New Roman" w:hAnsi="Cambria" w:cs="DokChampa"/>
      <w:color w:val="243F60"/>
    </w:rPr>
  </w:style>
  <w:style w:type="character" w:customStyle="1" w:styleId="Heading7Char1">
    <w:name w:val="Heading 7 Char1"/>
    <w:basedOn w:val="Numatytasispastraiposriftas"/>
    <w:uiPriority w:val="9"/>
    <w:semiHidden/>
    <w:rsid w:val="00AC09CA"/>
    <w:rPr>
      <w:rFonts w:ascii="Cambria" w:eastAsia="Times New Roman" w:hAnsi="Cambria" w:cs="DokChampa"/>
      <w:i/>
      <w:iCs/>
      <w:color w:val="243F60"/>
    </w:rPr>
  </w:style>
  <w:style w:type="character" w:customStyle="1" w:styleId="Heading8Char1">
    <w:name w:val="Heading 8 Char1"/>
    <w:basedOn w:val="Numatytasispastraiposriftas"/>
    <w:uiPriority w:val="9"/>
    <w:semiHidden/>
    <w:rsid w:val="00AC09CA"/>
    <w:rPr>
      <w:rFonts w:ascii="Cambria" w:eastAsia="Times New Roman" w:hAnsi="Cambria" w:cs="DokChampa"/>
      <w:color w:val="272727"/>
      <w:sz w:val="21"/>
      <w:szCs w:val="21"/>
    </w:rPr>
  </w:style>
  <w:style w:type="character" w:customStyle="1" w:styleId="Heading9Char1">
    <w:name w:val="Heading 9 Char1"/>
    <w:basedOn w:val="Numatytasispastraiposriftas"/>
    <w:uiPriority w:val="9"/>
    <w:semiHidden/>
    <w:rsid w:val="00AC09CA"/>
    <w:rPr>
      <w:rFonts w:ascii="Cambria" w:eastAsia="Times New Roman" w:hAnsi="Cambria" w:cs="DokChampa"/>
      <w:i/>
      <w:iCs/>
      <w:color w:val="272727"/>
      <w:sz w:val="21"/>
      <w:szCs w:val="21"/>
    </w:rPr>
  </w:style>
  <w:style w:type="paragraph" w:customStyle="1" w:styleId="BlockText20">
    <w:name w:val="Block Text2"/>
    <w:basedOn w:val="prastasis"/>
    <w:next w:val="Tekstoblokas"/>
    <w:uiPriority w:val="99"/>
    <w:semiHidden/>
    <w:unhideWhenUsed/>
    <w:rsid w:val="00AC09CA"/>
    <w:pPr>
      <w:pBdr>
        <w:top w:val="single" w:sz="2" w:space="10" w:color="4F81BD" w:shadow="1" w:frame="1"/>
        <w:left w:val="single" w:sz="2" w:space="10" w:color="4F81BD" w:shadow="1" w:frame="1"/>
        <w:bottom w:val="single" w:sz="2" w:space="10" w:color="4F81BD" w:shadow="1" w:frame="1"/>
        <w:right w:val="single" w:sz="2" w:space="10" w:color="4F81BD" w:shadow="1" w:frame="1"/>
      </w:pBdr>
      <w:spacing w:before="0" w:after="200" w:line="276" w:lineRule="auto"/>
      <w:ind w:left="1152" w:right="1152" w:firstLine="0"/>
      <w:jc w:val="left"/>
    </w:pPr>
    <w:rPr>
      <w:rFonts w:ascii="Calibri" w:eastAsia="Times New Roman" w:hAnsi="Calibri"/>
      <w:i/>
      <w:iCs/>
      <w:color w:val="4F81BD"/>
      <w:lang w:val="en-US"/>
    </w:rPr>
  </w:style>
  <w:style w:type="character" w:styleId="HTMLakronimas">
    <w:name w:val="HTML Acronym"/>
    <w:basedOn w:val="Numatytasispastraiposriftas"/>
    <w:uiPriority w:val="99"/>
    <w:semiHidden/>
    <w:unhideWhenUsed/>
    <w:rsid w:val="00AC09CA"/>
  </w:style>
  <w:style w:type="character" w:customStyle="1" w:styleId="IntenseEmphasis2">
    <w:name w:val="Intense Emphasis2"/>
    <w:basedOn w:val="Numatytasispastraiposriftas"/>
    <w:uiPriority w:val="21"/>
    <w:qFormat/>
    <w:rsid w:val="00AC09CA"/>
    <w:rPr>
      <w:i/>
      <w:iCs/>
      <w:color w:val="4F81BD"/>
    </w:rPr>
  </w:style>
  <w:style w:type="character" w:customStyle="1" w:styleId="IntenseReference2">
    <w:name w:val="Intense Reference2"/>
    <w:basedOn w:val="Numatytasispastraiposriftas"/>
    <w:uiPriority w:val="32"/>
    <w:qFormat/>
    <w:rsid w:val="00AC09CA"/>
    <w:rPr>
      <w:b/>
      <w:bCs/>
      <w:smallCaps/>
      <w:color w:val="4F81BD"/>
      <w:spacing w:val="5"/>
    </w:rPr>
  </w:style>
  <w:style w:type="paragraph" w:customStyle="1" w:styleId="IntenseQuote2">
    <w:name w:val="Intense Quote2"/>
    <w:basedOn w:val="prastasis"/>
    <w:next w:val="prastasis"/>
    <w:uiPriority w:val="30"/>
    <w:qFormat/>
    <w:rsid w:val="00AC09CA"/>
    <w:pPr>
      <w:pBdr>
        <w:top w:val="single" w:sz="4" w:space="10" w:color="4F81BD"/>
        <w:bottom w:val="single" w:sz="4" w:space="10" w:color="4F81BD"/>
      </w:pBdr>
      <w:spacing w:before="360" w:after="360" w:line="276" w:lineRule="auto"/>
      <w:ind w:left="864" w:right="864" w:firstLine="0"/>
      <w:jc w:val="center"/>
    </w:pPr>
    <w:rPr>
      <w:rFonts w:ascii="Calibri" w:hAnsi="Calibri"/>
      <w:b/>
      <w:i/>
      <w:iCs/>
      <w:color w:val="821A1A"/>
      <w:lang w:val="en-US"/>
    </w:rPr>
  </w:style>
  <w:style w:type="character" w:customStyle="1" w:styleId="IntenseQuoteChar1">
    <w:name w:val="Intense Quote Char1"/>
    <w:basedOn w:val="Numatytasispastraiposriftas"/>
    <w:uiPriority w:val="30"/>
    <w:rsid w:val="00AC09CA"/>
    <w:rPr>
      <w:i/>
      <w:iCs/>
      <w:color w:val="4F81BD"/>
    </w:rPr>
  </w:style>
  <w:style w:type="paragraph" w:customStyle="1" w:styleId="MessageHeader2">
    <w:name w:val="Message Header2"/>
    <w:basedOn w:val="prastasis"/>
    <w:next w:val="Laikoantrat"/>
    <w:link w:val="MessageHeaderChar1"/>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Cambria" w:eastAsia="Times New Roman" w:hAnsi="Cambria" w:cs="DokChampa"/>
      <w:sz w:val="24"/>
      <w:szCs w:val="24"/>
    </w:rPr>
  </w:style>
  <w:style w:type="character" w:customStyle="1" w:styleId="MessageHeaderChar1">
    <w:name w:val="Message Header Char1"/>
    <w:basedOn w:val="Numatytasispastraiposriftas"/>
    <w:link w:val="MessageHeader2"/>
    <w:uiPriority w:val="99"/>
    <w:semiHidden/>
    <w:rsid w:val="00AC09CA"/>
    <w:rPr>
      <w:rFonts w:ascii="Cambria" w:eastAsia="Times New Roman" w:hAnsi="Cambria" w:cs="DokChampa"/>
      <w:sz w:val="24"/>
      <w:szCs w:val="24"/>
      <w:shd w:val="pct20" w:color="auto" w:fill="auto"/>
    </w:rPr>
  </w:style>
  <w:style w:type="paragraph" w:customStyle="1" w:styleId="Quote2">
    <w:name w:val="Quote2"/>
    <w:basedOn w:val="prastasis"/>
    <w:next w:val="prastasis"/>
    <w:uiPriority w:val="29"/>
    <w:qFormat/>
    <w:rsid w:val="00AC09CA"/>
    <w:pPr>
      <w:spacing w:before="200" w:after="160" w:line="276" w:lineRule="auto"/>
      <w:ind w:left="864" w:right="864" w:firstLine="0"/>
      <w:jc w:val="center"/>
    </w:pPr>
    <w:rPr>
      <w:rFonts w:ascii="Calibri" w:hAnsi="Calibri"/>
      <w:i/>
      <w:iCs/>
      <w:color w:val="404040"/>
      <w:lang w:val="en-US"/>
    </w:rPr>
  </w:style>
  <w:style w:type="character" w:customStyle="1" w:styleId="QuoteChar1">
    <w:name w:val="Quote Char1"/>
    <w:basedOn w:val="Numatytasispastraiposriftas"/>
    <w:uiPriority w:val="29"/>
    <w:rsid w:val="00AC09CA"/>
    <w:rPr>
      <w:i/>
      <w:iCs/>
      <w:color w:val="404040"/>
    </w:rPr>
  </w:style>
  <w:style w:type="paragraph" w:customStyle="1" w:styleId="lentels1">
    <w:name w:val="lentelės1"/>
    <w:basedOn w:val="prastasis"/>
    <w:next w:val="prastasis"/>
    <w:uiPriority w:val="11"/>
    <w:qFormat/>
    <w:rsid w:val="00AC09CA"/>
    <w:pPr>
      <w:numPr>
        <w:ilvl w:val="1"/>
      </w:numPr>
      <w:spacing w:before="0" w:after="160" w:line="276" w:lineRule="auto"/>
      <w:ind w:firstLine="567"/>
      <w:jc w:val="left"/>
    </w:pPr>
    <w:rPr>
      <w:rFonts w:ascii="Georgia" w:eastAsia="Times New Roman" w:hAnsi="Georgia"/>
      <w:spacing w:val="15"/>
      <w:sz w:val="64"/>
      <w:lang w:val="en-US"/>
    </w:rPr>
  </w:style>
  <w:style w:type="character" w:customStyle="1" w:styleId="SubtitleChar1">
    <w:name w:val="Subtitle Char1"/>
    <w:basedOn w:val="Numatytasispastraiposriftas"/>
    <w:uiPriority w:val="11"/>
    <w:rsid w:val="00AC09CA"/>
    <w:rPr>
      <w:rFonts w:eastAsia="Times New Roman"/>
      <w:color w:val="5A5A5A"/>
      <w:spacing w:val="15"/>
    </w:rPr>
  </w:style>
  <w:style w:type="character" w:customStyle="1" w:styleId="SubtleEmphasis2">
    <w:name w:val="Subtle Emphasis2"/>
    <w:basedOn w:val="Numatytasispastraiposriftas"/>
    <w:uiPriority w:val="19"/>
    <w:qFormat/>
    <w:rsid w:val="00AC09CA"/>
    <w:rPr>
      <w:i/>
      <w:iCs/>
      <w:color w:val="404040"/>
    </w:rPr>
  </w:style>
  <w:style w:type="character" w:customStyle="1" w:styleId="TitleChar1">
    <w:name w:val="Title Char1"/>
    <w:basedOn w:val="Numatytasispastraiposriftas"/>
    <w:uiPriority w:val="10"/>
    <w:rsid w:val="00AC09CA"/>
    <w:rPr>
      <w:rFonts w:ascii="Cambria" w:eastAsia="Times New Roman" w:hAnsi="Cambria" w:cs="DokChampa"/>
      <w:spacing w:val="-10"/>
      <w:kern w:val="28"/>
      <w:sz w:val="56"/>
      <w:szCs w:val="56"/>
    </w:rPr>
  </w:style>
  <w:style w:type="character" w:customStyle="1" w:styleId="SubtleReference2">
    <w:name w:val="Subtle Reference2"/>
    <w:basedOn w:val="Numatytasispastraiposriftas"/>
    <w:uiPriority w:val="31"/>
    <w:qFormat/>
    <w:rsid w:val="00AC09CA"/>
    <w:rPr>
      <w:smallCaps/>
      <w:color w:val="5A5A5A"/>
    </w:rPr>
  </w:style>
  <w:style w:type="table" w:customStyle="1" w:styleId="ListTable4-Accent61">
    <w:name w:val="List Table 4 - Accent 6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1">
    <w:name w:val="Medium Grid 3 - Accent 211"/>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
    <w:name w:val="Grid Table 5 Dark - Accent 111"/>
    <w:basedOn w:val="prastojilentel"/>
    <w:next w:val="GridTable5Dark-Accent112"/>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
    <w:name w:val="List Table 4 - Accent 62"/>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
    <w:name w:val="List Table 3 - Accent 61"/>
    <w:basedOn w:val="prastojilentel"/>
    <w:uiPriority w:val="48"/>
    <w:rsid w:val="00AC09CA"/>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
    <w:name w:val="List Table 3 - Accent 21"/>
    <w:basedOn w:val="prastojilentel"/>
    <w:uiPriority w:val="48"/>
    <w:rsid w:val="00AC09CA"/>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CM4">
    <w:name w:val="CM4"/>
    <w:basedOn w:val="Default"/>
    <w:next w:val="Default"/>
    <w:uiPriority w:val="99"/>
    <w:rsid w:val="00AC09CA"/>
    <w:rPr>
      <w:color w:val="auto"/>
    </w:rPr>
  </w:style>
  <w:style w:type="character" w:customStyle="1" w:styleId="UnresolvedMention6">
    <w:name w:val="Unresolved Mention6"/>
    <w:basedOn w:val="Numatytasispastraiposriftas"/>
    <w:uiPriority w:val="99"/>
    <w:semiHidden/>
    <w:unhideWhenUsed/>
    <w:rsid w:val="00AC09CA"/>
    <w:rPr>
      <w:color w:val="605E5C"/>
      <w:shd w:val="clear" w:color="auto" w:fill="E1DFDD"/>
    </w:rPr>
  </w:style>
  <w:style w:type="table" w:styleId="1vidutinisspalvinimas2parykinimas">
    <w:name w:val="Medium Shading 1 Accent 2"/>
    <w:basedOn w:val="prastojilentel"/>
    <w:uiPriority w:val="63"/>
    <w:unhideWhenUsed/>
    <w:rsid w:val="00AC09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tinklelis2parykinimas">
    <w:name w:val="Medium Grid 1 Accent 2"/>
    <w:basedOn w:val="prastojilentel"/>
    <w:uiPriority w:val="67"/>
    <w:unhideWhenUsed/>
    <w:rsid w:val="00AC09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vidutinistinklelis2parykinimas">
    <w:name w:val="Medium Grid 3 Accent 2"/>
    <w:basedOn w:val="prastojilentel"/>
    <w:uiPriority w:val="69"/>
    <w:unhideWhenUsed/>
    <w:rsid w:val="00AC09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vidutinissraas2parykinimas">
    <w:name w:val="Medium List 1 Accent 2"/>
    <w:basedOn w:val="prastojilentel"/>
    <w:uiPriority w:val="65"/>
    <w:unhideWhenUsed/>
    <w:rsid w:val="00AC09C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palvinimas6parykinimas">
    <w:name w:val="Medium Shading 1 Accent 6"/>
    <w:basedOn w:val="prastojilentel"/>
    <w:uiPriority w:val="63"/>
    <w:unhideWhenUsed/>
    <w:rsid w:val="00AC09C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viesustinklelis1parykinimas">
    <w:name w:val="Light Grid Accent 1"/>
    <w:basedOn w:val="prastojilentel"/>
    <w:uiPriority w:val="62"/>
    <w:unhideWhenUsed/>
    <w:rsid w:val="00AC09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unhideWhenUsed/>
    <w:rsid w:val="00AC09C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palvotassraas2parykinimas">
    <w:name w:val="Colorful List Accent 2"/>
    <w:basedOn w:val="prastojilentel"/>
    <w:uiPriority w:val="72"/>
    <w:unhideWhenUsed/>
    <w:rsid w:val="00AC09C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viesussraas3parykinimas">
    <w:name w:val="Light List Accent 3"/>
    <w:basedOn w:val="prastojilentel"/>
    <w:uiPriority w:val="61"/>
    <w:unhideWhenUsed/>
    <w:rsid w:val="00AC09C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1vidutinisspalvinimas1parykinimas">
    <w:name w:val="Medium Shading 1 Accent 1"/>
    <w:basedOn w:val="prastojilentel"/>
    <w:uiPriority w:val="63"/>
    <w:unhideWhenUsed/>
    <w:rsid w:val="00AC09C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ekstoblokas">
    <w:name w:val="Block Text"/>
    <w:basedOn w:val="prastasis"/>
    <w:uiPriority w:val="99"/>
    <w:semiHidden/>
    <w:unhideWhenUsed/>
    <w:rsid w:val="00AC09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Data">
    <w:name w:val="Date"/>
    <w:basedOn w:val="prastasis"/>
    <w:next w:val="prastasis"/>
    <w:link w:val="DataDiagrama"/>
    <w:uiPriority w:val="99"/>
    <w:unhideWhenUsed/>
    <w:rsid w:val="00AC09CA"/>
    <w:rPr>
      <w:rFonts w:asciiTheme="minorHAnsi" w:hAnsiTheme="minorHAnsi"/>
      <w:sz w:val="28"/>
      <w:szCs w:val="20"/>
    </w:rPr>
  </w:style>
  <w:style w:type="character" w:customStyle="1" w:styleId="DateChar1">
    <w:name w:val="Date Char1"/>
    <w:basedOn w:val="Numatytasispastraiposriftas"/>
    <w:uiPriority w:val="99"/>
    <w:semiHidden/>
    <w:rsid w:val="00AC09CA"/>
    <w:rPr>
      <w:rFonts w:ascii="Times New Roman" w:hAnsi="Times New Roman"/>
    </w:rPr>
  </w:style>
  <w:style w:type="paragraph" w:styleId="Iskirtacitata">
    <w:name w:val="Intense Quote"/>
    <w:basedOn w:val="prastasis"/>
    <w:next w:val="prastasis"/>
    <w:link w:val="IskirtacitataDiagrama"/>
    <w:uiPriority w:val="30"/>
    <w:qFormat/>
    <w:rsid w:val="00AC09CA"/>
    <w:pPr>
      <w:pBdr>
        <w:top w:val="single" w:sz="4" w:space="10" w:color="4472C4" w:themeColor="accent1"/>
        <w:bottom w:val="single" w:sz="4" w:space="10" w:color="4472C4" w:themeColor="accent1"/>
      </w:pBdr>
      <w:spacing w:before="360" w:after="360"/>
      <w:ind w:left="864" w:right="864"/>
      <w:jc w:val="center"/>
    </w:pPr>
    <w:rPr>
      <w:rFonts w:asciiTheme="minorHAnsi" w:hAnsiTheme="minorHAnsi"/>
      <w:b/>
      <w:i/>
      <w:iCs/>
      <w:color w:val="821A1A"/>
    </w:rPr>
  </w:style>
  <w:style w:type="character" w:customStyle="1" w:styleId="IntenseQuoteChar2">
    <w:name w:val="Intense Quote Char2"/>
    <w:basedOn w:val="Numatytasispastraiposriftas"/>
    <w:uiPriority w:val="30"/>
    <w:rsid w:val="00AC09CA"/>
    <w:rPr>
      <w:rFonts w:ascii="Times New Roman" w:hAnsi="Times New Roman"/>
      <w:i/>
      <w:iCs/>
      <w:color w:val="4472C4" w:themeColor="accent1"/>
    </w:rPr>
  </w:style>
  <w:style w:type="paragraph" w:styleId="Sraas">
    <w:name w:val="List"/>
    <w:basedOn w:val="prastasis"/>
    <w:uiPriority w:val="99"/>
    <w:unhideWhenUsed/>
    <w:rsid w:val="00AC09CA"/>
    <w:pPr>
      <w:ind w:left="360" w:hanging="360"/>
      <w:contextualSpacing/>
    </w:pPr>
  </w:style>
  <w:style w:type="paragraph" w:styleId="Sraas2">
    <w:name w:val="List 2"/>
    <w:basedOn w:val="prastasis"/>
    <w:uiPriority w:val="99"/>
    <w:unhideWhenUsed/>
    <w:rsid w:val="00AC09CA"/>
    <w:pPr>
      <w:ind w:left="720" w:hanging="360"/>
      <w:contextualSpacing/>
    </w:pPr>
  </w:style>
  <w:style w:type="paragraph" w:styleId="Sraas3">
    <w:name w:val="List 3"/>
    <w:basedOn w:val="prastasis"/>
    <w:uiPriority w:val="99"/>
    <w:unhideWhenUsed/>
    <w:rsid w:val="00AC09CA"/>
    <w:pPr>
      <w:ind w:left="1080" w:hanging="360"/>
      <w:contextualSpacing/>
    </w:pPr>
  </w:style>
  <w:style w:type="paragraph" w:styleId="Sraas4">
    <w:name w:val="List 4"/>
    <w:basedOn w:val="prastasis"/>
    <w:uiPriority w:val="99"/>
    <w:unhideWhenUsed/>
    <w:rsid w:val="00AC09CA"/>
    <w:pPr>
      <w:ind w:left="1440" w:hanging="360"/>
      <w:contextualSpacing/>
    </w:pPr>
  </w:style>
  <w:style w:type="paragraph" w:styleId="Sraas5">
    <w:name w:val="List 5"/>
    <w:basedOn w:val="prastasis"/>
    <w:uiPriority w:val="99"/>
    <w:unhideWhenUsed/>
    <w:rsid w:val="00AC09CA"/>
    <w:pPr>
      <w:ind w:left="1800" w:hanging="360"/>
      <w:contextualSpacing/>
    </w:pPr>
  </w:style>
  <w:style w:type="paragraph" w:styleId="Sraassuenkleliais">
    <w:name w:val="List Bullet"/>
    <w:basedOn w:val="prastasis"/>
    <w:uiPriority w:val="99"/>
    <w:unhideWhenUsed/>
    <w:qFormat/>
    <w:rsid w:val="00AC09CA"/>
    <w:pPr>
      <w:numPr>
        <w:numId w:val="5"/>
      </w:numPr>
      <w:contextualSpacing/>
    </w:pPr>
  </w:style>
  <w:style w:type="paragraph" w:styleId="Sraassuenkleliais2">
    <w:name w:val="List Bullet 2"/>
    <w:basedOn w:val="prastasis"/>
    <w:uiPriority w:val="99"/>
    <w:unhideWhenUsed/>
    <w:qFormat/>
    <w:rsid w:val="00AC09CA"/>
    <w:pPr>
      <w:numPr>
        <w:numId w:val="6"/>
      </w:numPr>
      <w:contextualSpacing/>
    </w:pPr>
  </w:style>
  <w:style w:type="paragraph" w:styleId="Sraassuenkleliais3">
    <w:name w:val="List Bullet 3"/>
    <w:basedOn w:val="prastasis"/>
    <w:uiPriority w:val="99"/>
    <w:unhideWhenUsed/>
    <w:qFormat/>
    <w:rsid w:val="00AC09CA"/>
    <w:pPr>
      <w:numPr>
        <w:numId w:val="7"/>
      </w:numPr>
      <w:contextualSpacing/>
    </w:pPr>
  </w:style>
  <w:style w:type="paragraph" w:styleId="Sraassuenkleliais4">
    <w:name w:val="List Bullet 4"/>
    <w:basedOn w:val="prastasis"/>
    <w:uiPriority w:val="99"/>
    <w:unhideWhenUsed/>
    <w:qFormat/>
    <w:rsid w:val="00AC09CA"/>
    <w:pPr>
      <w:numPr>
        <w:numId w:val="8"/>
      </w:numPr>
      <w:contextualSpacing/>
    </w:pPr>
  </w:style>
  <w:style w:type="paragraph" w:styleId="Sraassuenkleliais5">
    <w:name w:val="List Bullet 5"/>
    <w:basedOn w:val="prastasis"/>
    <w:uiPriority w:val="99"/>
    <w:unhideWhenUsed/>
    <w:rsid w:val="00AC09CA"/>
    <w:pPr>
      <w:numPr>
        <w:numId w:val="9"/>
      </w:numPr>
      <w:contextualSpacing/>
    </w:pPr>
  </w:style>
  <w:style w:type="paragraph" w:styleId="Sraotsinys">
    <w:name w:val="List Continue"/>
    <w:basedOn w:val="prastasis"/>
    <w:uiPriority w:val="99"/>
    <w:unhideWhenUsed/>
    <w:qFormat/>
    <w:rsid w:val="00AC09CA"/>
    <w:pPr>
      <w:ind w:left="360"/>
      <w:contextualSpacing/>
    </w:pPr>
  </w:style>
  <w:style w:type="paragraph" w:styleId="Sraotsinys2">
    <w:name w:val="List Continue 2"/>
    <w:basedOn w:val="prastasis"/>
    <w:uiPriority w:val="99"/>
    <w:unhideWhenUsed/>
    <w:qFormat/>
    <w:rsid w:val="00AC09CA"/>
    <w:pPr>
      <w:ind w:left="720"/>
      <w:contextualSpacing/>
    </w:pPr>
  </w:style>
  <w:style w:type="paragraph" w:styleId="Sraotsinys3">
    <w:name w:val="List Continue 3"/>
    <w:basedOn w:val="prastasis"/>
    <w:uiPriority w:val="99"/>
    <w:unhideWhenUsed/>
    <w:qFormat/>
    <w:rsid w:val="00AC09CA"/>
    <w:pPr>
      <w:ind w:left="1080"/>
      <w:contextualSpacing/>
    </w:pPr>
  </w:style>
  <w:style w:type="paragraph" w:styleId="Sraotsinys4">
    <w:name w:val="List Continue 4"/>
    <w:basedOn w:val="prastasis"/>
    <w:uiPriority w:val="99"/>
    <w:unhideWhenUsed/>
    <w:qFormat/>
    <w:rsid w:val="00AC09CA"/>
    <w:pPr>
      <w:ind w:left="1440"/>
      <w:contextualSpacing/>
    </w:pPr>
  </w:style>
  <w:style w:type="paragraph" w:styleId="Sraotsinys5">
    <w:name w:val="List Continue 5"/>
    <w:basedOn w:val="prastasis"/>
    <w:uiPriority w:val="99"/>
    <w:unhideWhenUsed/>
    <w:rsid w:val="00AC09CA"/>
    <w:pPr>
      <w:ind w:left="1800"/>
      <w:contextualSpacing/>
    </w:pPr>
  </w:style>
  <w:style w:type="paragraph" w:styleId="Makrokomandostekstas">
    <w:name w:val="macro"/>
    <w:link w:val="MakrokomandostekstasDiagrama"/>
    <w:uiPriority w:val="99"/>
    <w:unhideWhenUsed/>
    <w:rsid w:val="00AC09CA"/>
    <w:pPr>
      <w:tabs>
        <w:tab w:val="left" w:pos="480"/>
        <w:tab w:val="left" w:pos="960"/>
        <w:tab w:val="left" w:pos="1440"/>
        <w:tab w:val="left" w:pos="1920"/>
        <w:tab w:val="left" w:pos="2400"/>
        <w:tab w:val="left" w:pos="2880"/>
        <w:tab w:val="left" w:pos="3360"/>
        <w:tab w:val="left" w:pos="3840"/>
        <w:tab w:val="left" w:pos="4320"/>
      </w:tabs>
      <w:spacing w:before="60" w:after="0" w:line="240" w:lineRule="auto"/>
      <w:ind w:firstLine="567"/>
      <w:jc w:val="both"/>
    </w:pPr>
    <w:rPr>
      <w:rFonts w:ascii="Consolas" w:hAnsi="Consolas"/>
      <w:sz w:val="20"/>
      <w:szCs w:val="20"/>
    </w:rPr>
  </w:style>
  <w:style w:type="character" w:customStyle="1" w:styleId="MakrokomandostekstasDiagrama">
    <w:name w:val="Makrokomandos tekstas Diagrama"/>
    <w:basedOn w:val="Numatytasispastraiposriftas"/>
    <w:link w:val="Makrokomandostekstas"/>
    <w:uiPriority w:val="99"/>
    <w:semiHidden/>
    <w:rsid w:val="00AC09CA"/>
    <w:rPr>
      <w:rFonts w:ascii="Consolas" w:hAnsi="Consolas"/>
      <w:sz w:val="20"/>
      <w:szCs w:val="20"/>
    </w:rPr>
  </w:style>
  <w:style w:type="paragraph" w:styleId="Laikoantrat">
    <w:name w:val="Message Header"/>
    <w:basedOn w:val="prastasis"/>
    <w:link w:val="LaikoantratDiagrama"/>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uiPriority w:val="99"/>
    <w:semiHidden/>
    <w:rsid w:val="00AC09CA"/>
    <w:rPr>
      <w:rFonts w:asciiTheme="majorHAnsi" w:eastAsiaTheme="majorEastAsia" w:hAnsiTheme="majorHAnsi" w:cstheme="majorBidi"/>
      <w:sz w:val="24"/>
      <w:szCs w:val="24"/>
      <w:shd w:val="pct20" w:color="auto" w:fill="auto"/>
    </w:rPr>
  </w:style>
  <w:style w:type="paragraph" w:styleId="Citata">
    <w:name w:val="Quote"/>
    <w:basedOn w:val="prastasis"/>
    <w:next w:val="prastasis"/>
    <w:link w:val="CitataDiagrama"/>
    <w:uiPriority w:val="29"/>
    <w:qFormat/>
    <w:rsid w:val="00AC09CA"/>
    <w:pPr>
      <w:spacing w:before="200" w:after="160"/>
      <w:ind w:left="864" w:right="864"/>
      <w:jc w:val="center"/>
    </w:pPr>
    <w:rPr>
      <w:rFonts w:asciiTheme="minorHAnsi" w:hAnsiTheme="minorHAnsi"/>
      <w:i/>
      <w:iCs/>
      <w:color w:val="404040"/>
    </w:rPr>
  </w:style>
  <w:style w:type="character" w:customStyle="1" w:styleId="QuoteChar2">
    <w:name w:val="Quote Char2"/>
    <w:basedOn w:val="Numatytasispastraiposriftas"/>
    <w:uiPriority w:val="29"/>
    <w:rsid w:val="00AC09CA"/>
    <w:rPr>
      <w:rFonts w:ascii="Times New Roman" w:hAnsi="Times New Roman"/>
      <w:i/>
      <w:iCs/>
      <w:color w:val="404040" w:themeColor="text1" w:themeTint="BF"/>
    </w:rPr>
  </w:style>
  <w:style w:type="paragraph" w:styleId="Paantrat">
    <w:name w:val="Subtitle"/>
    <w:aliases w:val="lentelės"/>
    <w:basedOn w:val="prastasis"/>
    <w:next w:val="prastasis"/>
    <w:link w:val="PaantratDiagrama"/>
    <w:uiPriority w:val="11"/>
    <w:qFormat/>
    <w:rsid w:val="00AC09CA"/>
    <w:pPr>
      <w:numPr>
        <w:ilvl w:val="1"/>
      </w:numPr>
      <w:spacing w:after="160"/>
      <w:ind w:firstLine="567"/>
    </w:pPr>
    <w:rPr>
      <w:rFonts w:ascii="Georgia" w:eastAsia="Times New Roman" w:hAnsi="Georgia"/>
      <w:spacing w:val="15"/>
      <w:sz w:val="64"/>
    </w:rPr>
  </w:style>
  <w:style w:type="character" w:customStyle="1" w:styleId="SubtitleChar2">
    <w:name w:val="Subtitle Char2"/>
    <w:basedOn w:val="Numatytasispastraiposriftas"/>
    <w:uiPriority w:val="11"/>
    <w:rsid w:val="00AC09CA"/>
    <w:rPr>
      <w:rFonts w:eastAsiaTheme="minorEastAsia"/>
      <w:color w:val="5A5A5A" w:themeColor="text1" w:themeTint="A5"/>
      <w:spacing w:val="15"/>
    </w:rPr>
  </w:style>
  <w:style w:type="paragraph" w:styleId="Pagrindiniotekstotrauka">
    <w:name w:val="Body Text Indent"/>
    <w:basedOn w:val="prastasis"/>
    <w:link w:val="PagrindiniotekstotraukaDiagrama"/>
    <w:uiPriority w:val="99"/>
    <w:semiHidden/>
    <w:unhideWhenUsed/>
    <w:rsid w:val="00AC09CA"/>
    <w:pPr>
      <w:ind w:left="360"/>
    </w:pPr>
  </w:style>
  <w:style w:type="character" w:customStyle="1" w:styleId="PagrindiniotekstotraukaDiagrama">
    <w:name w:val="Pagrindinio teksto įtrauka Diagrama"/>
    <w:basedOn w:val="Numatytasispastraiposriftas"/>
    <w:link w:val="Pagrindiniotekstotrauka"/>
    <w:uiPriority w:val="99"/>
    <w:semiHidden/>
    <w:rsid w:val="00AC09CA"/>
    <w:rPr>
      <w:rFonts w:ascii="Times New Roman" w:hAnsi="Times New Roman"/>
    </w:rPr>
  </w:style>
  <w:style w:type="character" w:styleId="Rykuspabraukimas">
    <w:name w:val="Intense Emphasis"/>
    <w:basedOn w:val="Numatytasispastraiposriftas"/>
    <w:uiPriority w:val="21"/>
    <w:qFormat/>
    <w:rsid w:val="00AC09CA"/>
    <w:rPr>
      <w:i/>
      <w:iCs/>
      <w:color w:val="4472C4" w:themeColor="accent1"/>
    </w:rPr>
  </w:style>
  <w:style w:type="character" w:styleId="Rykinuoroda">
    <w:name w:val="Intense Reference"/>
    <w:basedOn w:val="Numatytasispastraiposriftas"/>
    <w:uiPriority w:val="32"/>
    <w:qFormat/>
    <w:rsid w:val="00AC09CA"/>
    <w:rPr>
      <w:b/>
      <w:bCs/>
      <w:smallCaps/>
      <w:color w:val="4472C4" w:themeColor="accent1"/>
      <w:spacing w:val="5"/>
    </w:rPr>
  </w:style>
  <w:style w:type="character" w:styleId="Nerykuspabraukimas">
    <w:name w:val="Subtle Emphasis"/>
    <w:aliases w:val="Popaveikslu"/>
    <w:basedOn w:val="Numatytasispastraiposriftas"/>
    <w:uiPriority w:val="19"/>
    <w:qFormat/>
    <w:rsid w:val="00AC09CA"/>
    <w:rPr>
      <w:i/>
      <w:iCs/>
      <w:color w:val="404040" w:themeColor="text1" w:themeTint="BF"/>
    </w:rPr>
  </w:style>
  <w:style w:type="character" w:styleId="Nerykinuoroda">
    <w:name w:val="Subtle Reference"/>
    <w:basedOn w:val="Numatytasispastraiposriftas"/>
    <w:uiPriority w:val="31"/>
    <w:qFormat/>
    <w:rsid w:val="00AC09CA"/>
    <w:rPr>
      <w:smallCaps/>
      <w:color w:val="5A5A5A" w:themeColor="text1" w:themeTint="A5"/>
    </w:rPr>
  </w:style>
  <w:style w:type="numbering" w:customStyle="1" w:styleId="NoList2">
    <w:name w:val="No List2"/>
    <w:next w:val="Sraonra"/>
    <w:uiPriority w:val="99"/>
    <w:semiHidden/>
    <w:unhideWhenUsed/>
    <w:rsid w:val="00AC09CA"/>
  </w:style>
  <w:style w:type="table" w:customStyle="1" w:styleId="SmartTextTable2">
    <w:name w:val="Smart Text Table2"/>
    <w:basedOn w:val="prastojilentel"/>
    <w:next w:val="Lentelstinklelis"/>
    <w:uiPriority w:val="59"/>
    <w:rsid w:val="00AC09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1">
    <w:name w:val="List Table 311"/>
    <w:basedOn w:val="prastojilentel"/>
    <w:uiPriority w:val="48"/>
    <w:rsid w:val="00AC09CA"/>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3">
    <w:name w:val="Grid Table 5 Dark - Accent 113"/>
    <w:basedOn w:val="prastojilentel"/>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2">
    <w:name w:val="Table Grid Light12"/>
    <w:basedOn w:val="prastojilentel"/>
    <w:uiPriority w:val="40"/>
    <w:rsid w:val="00AC09C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1">
    <w:name w:val="List Table 2 - Accent 111"/>
    <w:basedOn w:val="prastojilentel"/>
    <w:uiPriority w:val="47"/>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1">
    <w:name w:val="List Table 6 Colorful - Accent 1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1">
    <w:name w:val="List Table 3 - Accent 111"/>
    <w:basedOn w:val="prastojilentel"/>
    <w:uiPriority w:val="48"/>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1">
    <w:name w:val="Grid Table 6 Colorful - Accent 1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
    <w:name w:val="Table Grid2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1">
    <w:name w:val="Grid Table 5 Dark - Accent 12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1">
    <w:name w:val="Grid Table 4 - Accent 111"/>
    <w:basedOn w:val="prastojilentel"/>
    <w:uiPriority w:val="49"/>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
    <w:name w:val="Table Grid3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
    <w:name w:val="Grid Table 5 Dark - Accent 13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3">
    <w:name w:val="Light List - Accent 23"/>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2">
    <w:name w:val="Medium Shading 1 - Accent 22"/>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2">
    <w:name w:val="Medium Grid 1 - Accent 22"/>
    <w:basedOn w:val="prastojilentel"/>
    <w:next w:val="1vidutinistinklelis2parykinimas"/>
    <w:uiPriority w:val="67"/>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2">
    <w:name w:val="Medium Grid 3 - Accent 22"/>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2">
    <w:name w:val="Medium List 1 - Accent 22"/>
    <w:basedOn w:val="prastojilentel"/>
    <w:next w:val="1vidutinissraas2parykinimas"/>
    <w:uiPriority w:val="65"/>
    <w:rsid w:val="00AC09CA"/>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Univers 45 Ligh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2">
    <w:name w:val="Medium Shading 1 - Accent 62"/>
    <w:basedOn w:val="prastojilentel"/>
    <w:next w:val="1vidutinisspalvinimas6parykinimas"/>
    <w:uiPriority w:val="63"/>
    <w:rsid w:val="00AC09CA"/>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2">
    <w:name w:val="Light Grid - Accent 12"/>
    <w:basedOn w:val="prastojilentel"/>
    <w:next w:val="viesustinklelis1parykinimas"/>
    <w:uiPriority w:val="62"/>
    <w:rsid w:val="00AC09CA"/>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Univers 45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Univers 45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prastojilentel"/>
    <w:next w:val="viesustinklelis2parykinimas"/>
    <w:uiPriority w:val="62"/>
    <w:rsid w:val="00AC09CA"/>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Univers 45 Ligh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Univers 45 Ligh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2">
    <w:name w:val="Colorful List - Accent 22"/>
    <w:basedOn w:val="prastojilentel"/>
    <w:next w:val="Spalvotassraas2parykinimas"/>
    <w:uiPriority w:val="72"/>
    <w:rsid w:val="00AC09CA"/>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2">
    <w:name w:val="Šviesus sąrašas – 2 paryškinimas1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1">
    <w:name w:val="Šviesus sąrašas – 2 paryškinimas2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1">
    <w:name w:val="Šviesus sąrašas – 2 paryškinimas3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prastojilentel"/>
    <w:next w:val="viesussraas3parykinimas"/>
    <w:uiPriority w:val="61"/>
    <w:rsid w:val="00AC09CA"/>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2">
    <w:name w:val="Medium Shading 1 - Accent 12"/>
    <w:basedOn w:val="prastojilentel"/>
    <w:next w:val="1vidutinisspalvinimas1parykinimas"/>
    <w:uiPriority w:val="63"/>
    <w:rsid w:val="00AC09CA"/>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2">
    <w:name w:val="Smart Text Table12"/>
    <w:basedOn w:val="prastojilentel"/>
    <w:next w:val="Lentelstinklelis"/>
    <w:uiPriority w:val="59"/>
    <w:rsid w:val="00AC09C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prastojilentel"/>
    <w:uiPriority w:val="99"/>
    <w:rsid w:val="00AC09CA"/>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1">
    <w:name w:val="PwC Table of Figures1"/>
    <w:basedOn w:val="PwCTableText"/>
    <w:uiPriority w:val="99"/>
    <w:rsid w:val="00AC09CA"/>
    <w:pPr>
      <w:spacing w:after="0"/>
      <w:jc w:val="right"/>
    </w:pPr>
    <w:rPr>
      <w:rFonts w:ascii="Arial" w:hAnsi="Arial"/>
    </w:rPr>
    <w:tblPr/>
    <w:tblStylePr w:type="firstRow">
      <w:pPr>
        <w:jc w:val="right"/>
      </w:pPr>
      <w:rPr>
        <w:rFonts w:ascii="Bahnschrift SemiCondensed" w:hAnsi="Bahnschrift SemiCondensed"/>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1">
    <w:name w:val="Smart Text List Table1"/>
    <w:basedOn w:val="PwCTableText"/>
    <w:uiPriority w:val="99"/>
    <w:rsid w:val="00AC09CA"/>
    <w:pPr>
      <w:spacing w:after="0"/>
    </w:pPr>
    <w:tblPr/>
    <w:tblStylePr w:type="firstRow">
      <w:pPr>
        <w:jc w:val="left"/>
      </w:pPr>
      <w:rPr>
        <w:rFonts w:ascii="Bahnschrift SemiCondensed" w:hAnsi="Bahnschrift SemiCondensed"/>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1">
    <w:name w:val="Smart Basic Table1"/>
    <w:basedOn w:val="PwCTableText"/>
    <w:uiPriority w:val="99"/>
    <w:rsid w:val="00AC09CA"/>
    <w:pPr>
      <w:spacing w:after="0"/>
    </w:pPr>
    <w:tblPr/>
    <w:tblStylePr w:type="firstRow">
      <w:pPr>
        <w:jc w:val="left"/>
      </w:pPr>
      <w:rPr>
        <w:rFonts w:ascii="Bahnschrift SemiCondensed" w:hAnsi="Bahnschrift SemiCondensed"/>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2">
    <w:name w:val="Light List - Accent 212"/>
    <w:basedOn w:val="prastojilentel"/>
    <w:next w:val="viesussraas2parykinimas"/>
    <w:uiPriority w:val="61"/>
    <w:rsid w:val="00AC09CA"/>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2">
    <w:name w:val="Medium Shading 1 - Accent 212"/>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1">
    <w:name w:val="List Table 4 - Accent 61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2">
    <w:name w:val="Medium Grid 3 - Accent 212"/>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1">
    <w:name w:val="Grid Table 5 Dark - Accent 1111"/>
    <w:basedOn w:val="prastojilentel"/>
    <w:next w:val="GridTable5Dark-Accent112"/>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1">
    <w:name w:val="List Table 4 - Accent 62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prastojilentel"/>
    <w:uiPriority w:val="48"/>
    <w:rsid w:val="00AC09CA"/>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1">
    <w:name w:val="List Table 3 - Accent 211"/>
    <w:basedOn w:val="prastojilentel"/>
    <w:uiPriority w:val="48"/>
    <w:rsid w:val="00AC09CA"/>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3">
    <w:name w:val="No List3"/>
    <w:next w:val="Sraonra"/>
    <w:uiPriority w:val="99"/>
    <w:semiHidden/>
    <w:unhideWhenUsed/>
    <w:rsid w:val="00E67D15"/>
  </w:style>
  <w:style w:type="table" w:customStyle="1" w:styleId="SmartTextTable3">
    <w:name w:val="Smart Text Table3"/>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2">
    <w:name w:val="List Table 312"/>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4">
    <w:name w:val="Grid Table 5 Dark - Accent 114"/>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3">
    <w:name w:val="Table Grid Light13"/>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2">
    <w:name w:val="List Table 2 - Accent 112"/>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2">
    <w:name w:val="List Table 6 Colorful - Accent 112"/>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3">
    <w:name w:val="Table Grid1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2">
    <w:name w:val="Grid Table 5 Dark - Accent 112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2">
    <w:name w:val="List Table 3 - Accent 112"/>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2">
    <w:name w:val="Grid Table 6 Colorful - Accent 112"/>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
    <w:name w:val="Table Grid22"/>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
    <w:name w:val="Grid Table 5 Dark - Accent 12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2">
    <w:name w:val="Grid Table 4 - Accent 112"/>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2">
    <w:name w:val="Table Grid32"/>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2">
    <w:name w:val="Grid Table 5 Dark - Accent 13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4">
    <w:name w:val="Light List - Accent 2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
    <w:name w:val="Medium Shading 1 - Accent 23"/>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3">
    <w:name w:val="Medium Grid 1 - Accent 23"/>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3">
    <w:name w:val="Medium Grid 3 - Accent 23"/>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3">
    <w:name w:val="Medium List 1 - Accent 23"/>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Univers 45 Ligh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3">
    <w:name w:val="Medium Shading 1 - Accent 63"/>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3">
    <w:name w:val="Light Grid - Accent 13"/>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Univers 45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Univers 45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Univers 45 Ligh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Univers 45 Ligh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3">
    <w:name w:val="Colorful List - Accent 23"/>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3">
    <w:name w:val="Šviesus sąrašas – 2 paryškinimas1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2">
    <w:name w:val="Šviesus sąrašas – 2 paryškinimas22"/>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2">
    <w:name w:val="Šviesus sąrašas – 2 paryškinimas32"/>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3">
    <w:name w:val="Medium Shading 1 - Accent 13"/>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3">
    <w:name w:val="Smart Text Table13"/>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2">
    <w:name w:val="PwC Table Text2"/>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2">
    <w:name w:val="PwC Table of Figures2"/>
    <w:basedOn w:val="PwCTableText"/>
    <w:uiPriority w:val="99"/>
    <w:rsid w:val="00E67D15"/>
    <w:pPr>
      <w:spacing w:after="0"/>
      <w:jc w:val="right"/>
    </w:pPr>
    <w:rPr>
      <w:rFonts w:ascii="Arial" w:hAnsi="Arial"/>
    </w:rPr>
    <w:tblPr/>
    <w:tblStylePr w:type="firstRow">
      <w:pPr>
        <w:jc w:val="right"/>
      </w:pPr>
      <w:rPr>
        <w:rFonts w:ascii="Bahnschrift SemiCondensed" w:hAnsi="Bahnschrift SemiCondensed"/>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2">
    <w:name w:val="Smart Text List Table2"/>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2">
    <w:name w:val="Smart Basic Table2"/>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3">
    <w:name w:val="Light List - Accent 213"/>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3">
    <w:name w:val="Medium Shading 1 - Accent 213"/>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2">
    <w:name w:val="List Table 4 - Accent 612"/>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3">
    <w:name w:val="Medium Grid 3 - Accent 213"/>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2">
    <w:name w:val="Grid Table 5 Dark - Accent 1112"/>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2">
    <w:name w:val="List Table 4 - Accent 622"/>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2">
    <w:name w:val="List Table 3 - Accent 612"/>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2">
    <w:name w:val="List Table 3 - Accent 212"/>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4">
    <w:name w:val="No List4"/>
    <w:next w:val="Sraonra"/>
    <w:uiPriority w:val="99"/>
    <w:semiHidden/>
    <w:unhideWhenUsed/>
    <w:rsid w:val="00E67D15"/>
  </w:style>
  <w:style w:type="table" w:customStyle="1" w:styleId="SmartTextTable4">
    <w:name w:val="Smart Text Table4"/>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3">
    <w:name w:val="List Table 313"/>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5">
    <w:name w:val="Grid Table 5 Dark - Accent 115"/>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4">
    <w:name w:val="Table Grid Light14"/>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3">
    <w:name w:val="List Table 2 - Accent 113"/>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3">
    <w:name w:val="List Table 6 Colorful - Accent 113"/>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4">
    <w:name w:val="Table Grid1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3">
    <w:name w:val="Grid Table 5 Dark - Accent 112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3">
    <w:name w:val="List Table 3 - Accent 113"/>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3">
    <w:name w:val="Grid Table 6 Colorful - Accent 113"/>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3">
    <w:name w:val="Table Grid2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3">
    <w:name w:val="Grid Table 5 Dark - Accent 12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3">
    <w:name w:val="Grid Table 4 - Accent 113"/>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3">
    <w:name w:val="Table Grid3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3">
    <w:name w:val="Grid Table 5 Dark - Accent 13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5">
    <w:name w:val="Light List - Accent 25"/>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
    <w:name w:val="Medium Shading 1 - Accent 24"/>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4">
    <w:name w:val="Medium Grid 1 - Accent 24"/>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4">
    <w:name w:val="Medium Grid 3 - Accent 24"/>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4">
    <w:name w:val="Medium List 1 - Accent 24"/>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Univers 45 Ligh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4">
    <w:name w:val="Medium Shading 1 - Accent 64"/>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4">
    <w:name w:val="Light Grid - Accent 14"/>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Univers 45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Univers 45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Univers 45 Ligh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Univers 45 Ligh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4">
    <w:name w:val="Colorful List - Accent 24"/>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4">
    <w:name w:val="Šviesus sąrašas – 2 paryškinimas1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3">
    <w:name w:val="Šviesus sąrašas – 2 paryškinimas2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3">
    <w:name w:val="Šviesus sąrašas – 2 paryškinimas3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4">
    <w:name w:val="Medium Shading 1 - Accent 14"/>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4">
    <w:name w:val="Smart Text Table14"/>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3">
    <w:name w:val="PwC Table Text3"/>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3">
    <w:name w:val="PwC Table of Figures3"/>
    <w:basedOn w:val="PwCTableText"/>
    <w:uiPriority w:val="99"/>
    <w:rsid w:val="00E67D15"/>
    <w:pPr>
      <w:spacing w:after="0"/>
      <w:jc w:val="right"/>
    </w:pPr>
    <w:rPr>
      <w:rFonts w:ascii="Arial" w:hAnsi="Arial"/>
    </w:rPr>
    <w:tblPr/>
    <w:tblStylePr w:type="firstRow">
      <w:pPr>
        <w:jc w:val="right"/>
      </w:pPr>
      <w:rPr>
        <w:rFonts w:ascii="Bahnschrift SemiCondensed" w:hAnsi="Bahnschrift SemiCondensed"/>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3">
    <w:name w:val="Smart Text List Table3"/>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3">
    <w:name w:val="Smart Basic Table3"/>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4">
    <w:name w:val="Light List - Accent 214"/>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4">
    <w:name w:val="Medium Shading 1 - Accent 214"/>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3">
    <w:name w:val="List Table 4 - Accent 613"/>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4">
    <w:name w:val="Medium Grid 3 - Accent 214"/>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3">
    <w:name w:val="Grid Table 5 Dark - Accent 1113"/>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3">
    <w:name w:val="List Table 4 - Accent 623"/>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3">
    <w:name w:val="List Table 3 - Accent 613"/>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3">
    <w:name w:val="List Table 3 - Accent 213"/>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5">
    <w:name w:val="No List5"/>
    <w:next w:val="Sraonra"/>
    <w:uiPriority w:val="99"/>
    <w:semiHidden/>
    <w:unhideWhenUsed/>
    <w:rsid w:val="00E67D15"/>
  </w:style>
  <w:style w:type="table" w:customStyle="1" w:styleId="SmartTextTable5">
    <w:name w:val="Smart Text Table5"/>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4">
    <w:name w:val="List Table 314"/>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6">
    <w:name w:val="Grid Table 5 Dark - Accent 116"/>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5">
    <w:name w:val="Table Grid Light15"/>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4">
    <w:name w:val="List Table 2 - Accent 114"/>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4">
    <w:name w:val="List Table 6 Colorful - Accent 114"/>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4">
    <w:name w:val="Grid Table 5 Dark - Accent 112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4">
    <w:name w:val="List Table 3 - Accent 114"/>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4">
    <w:name w:val="Grid Table 6 Colorful - Accent 114"/>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4">
    <w:name w:val="Table Grid2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4">
    <w:name w:val="Grid Table 5 Dark - Accent 12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4">
    <w:name w:val="Grid Table 4 - Accent 114"/>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4">
    <w:name w:val="Table Grid3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4">
    <w:name w:val="Grid Table 5 Dark - Accent 13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6">
    <w:name w:val="Light List - Accent 26"/>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5">
    <w:name w:val="Medium Shading 1 - Accent 25"/>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5">
    <w:name w:val="Medium Grid 1 - Accent 25"/>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5">
    <w:name w:val="Medium Grid 3 - Accent 25"/>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5">
    <w:name w:val="Medium List 1 - Accent 25"/>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Univers 45 Ligh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5">
    <w:name w:val="Medium Shading 1 - Accent 65"/>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5">
    <w:name w:val="Light Grid - Accent 15"/>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Univers 45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Univers 45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5">
    <w:name w:val="Light Grid - Accent 25"/>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Univers 45 Ligh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Univers 45 Ligh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Univers 45 Light"/>
        <w:b/>
        <w:bCs/>
      </w:rPr>
    </w:tblStylePr>
    <w:tblStylePr w:type="lastCol">
      <w:rPr>
        <w:rFonts w:ascii="Cambria" w:eastAsia="Times New Roman" w:hAnsi="Cambria" w:cs="Univers 45 Ligh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5">
    <w:name w:val="Colorful List - Accent 25"/>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5">
    <w:name w:val="Šviesus sąrašas – 2 paryškinimas15"/>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4">
    <w:name w:val="Šviesus sąrašas – 2 paryškinimas2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4">
    <w:name w:val="Šviesus sąrašas – 2 paryškinimas3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5">
    <w:name w:val="Light List - Accent 35"/>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5">
    <w:name w:val="Medium Shading 1 - Accent 15"/>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5">
    <w:name w:val="Smart Text Table15"/>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4">
    <w:name w:val="PwC Table Text4"/>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4">
    <w:name w:val="PwC Table of Figures4"/>
    <w:basedOn w:val="PwCTableText"/>
    <w:uiPriority w:val="99"/>
    <w:rsid w:val="00E67D15"/>
    <w:pPr>
      <w:spacing w:after="0"/>
      <w:jc w:val="right"/>
    </w:pPr>
    <w:rPr>
      <w:rFonts w:ascii="Arial" w:hAnsi="Arial"/>
    </w:rPr>
    <w:tblPr/>
    <w:tblStylePr w:type="firstRow">
      <w:pPr>
        <w:jc w:val="right"/>
      </w:pPr>
      <w:rPr>
        <w:rFonts w:ascii="Bahnschrift SemiCondensed" w:hAnsi="Bahnschrift SemiCondensed"/>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4">
    <w:name w:val="Smart Text List Table4"/>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4">
    <w:name w:val="Smart Basic Table4"/>
    <w:basedOn w:val="PwCTableText"/>
    <w:uiPriority w:val="99"/>
    <w:rsid w:val="00E67D15"/>
    <w:pPr>
      <w:spacing w:after="0"/>
    </w:pPr>
    <w:tblPr/>
    <w:tblStylePr w:type="firstRow">
      <w:pPr>
        <w:jc w:val="left"/>
      </w:pPr>
      <w:rPr>
        <w:rFonts w:ascii="Bahnschrift SemiCondensed" w:hAnsi="Bahnschrift SemiCondensed"/>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5">
    <w:name w:val="Light List - Accent 215"/>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5">
    <w:name w:val="Medium Shading 1 - Accent 215"/>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4">
    <w:name w:val="List Table 4 - Accent 614"/>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5">
    <w:name w:val="Medium Grid 3 - Accent 215"/>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4">
    <w:name w:val="Grid Table 5 Dark - Accent 1114"/>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4">
    <w:name w:val="List Table 4 - Accent 624"/>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4">
    <w:name w:val="List Table 3 - Accent 614"/>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4">
    <w:name w:val="List Table 3 - Accent 214"/>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UnresolvedMention7">
    <w:name w:val="Unresolved Mention7"/>
    <w:basedOn w:val="Numatytasispastraiposriftas"/>
    <w:uiPriority w:val="99"/>
    <w:semiHidden/>
    <w:unhideWhenUsed/>
    <w:rsid w:val="00F7104D"/>
    <w:rPr>
      <w:color w:val="605E5C"/>
      <w:shd w:val="clear" w:color="auto" w:fill="E1DFDD"/>
    </w:rPr>
  </w:style>
  <w:style w:type="character" w:customStyle="1" w:styleId="UnresolvedMention8">
    <w:name w:val="Unresolved Mention8"/>
    <w:basedOn w:val="Numatytasispastraiposriftas"/>
    <w:uiPriority w:val="99"/>
    <w:semiHidden/>
    <w:unhideWhenUsed/>
    <w:rsid w:val="00A44B27"/>
    <w:rPr>
      <w:color w:val="605E5C"/>
      <w:shd w:val="clear" w:color="auto" w:fill="E1DFDD"/>
    </w:rPr>
  </w:style>
  <w:style w:type="character" w:customStyle="1" w:styleId="UnresolvedMention9">
    <w:name w:val="Unresolved Mention9"/>
    <w:basedOn w:val="Numatytasispastraiposriftas"/>
    <w:uiPriority w:val="99"/>
    <w:semiHidden/>
    <w:unhideWhenUsed/>
    <w:rsid w:val="0056582E"/>
    <w:rPr>
      <w:color w:val="605E5C"/>
      <w:shd w:val="clear" w:color="auto" w:fill="E1DFDD"/>
    </w:rPr>
  </w:style>
  <w:style w:type="paragraph" w:customStyle="1" w:styleId="CharCharCharChar">
    <w:name w:val="Char Char Char Char"/>
    <w:aliases w:val="Char2"/>
    <w:basedOn w:val="prastasis"/>
    <w:next w:val="prastasis"/>
    <w:uiPriority w:val="99"/>
    <w:rsid w:val="00EE6360"/>
    <w:pPr>
      <w:spacing w:before="0" w:after="160" w:line="240" w:lineRule="exact"/>
      <w:ind w:firstLine="0"/>
      <w:textAlignment w:val="baseline"/>
    </w:pPr>
    <w:rPr>
      <w:rFonts w:asciiTheme="minorHAnsi" w:eastAsiaTheme="minorEastAsia" w:hAnsiTheme="minorHAnsi"/>
      <w:sz w:val="20"/>
      <w:szCs w:val="20"/>
      <w:vertAlign w:val="superscript"/>
    </w:rPr>
  </w:style>
  <w:style w:type="table" w:customStyle="1" w:styleId="TableGrid4">
    <w:name w:val="Table Grid4"/>
    <w:basedOn w:val="prastojilentel"/>
    <w:next w:val="Lentelstinklelis"/>
    <w:uiPriority w:val="39"/>
    <w:rsid w:val="00A836D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Numatytasispastraiposriftas"/>
    <w:uiPriority w:val="99"/>
    <w:semiHidden/>
    <w:unhideWhenUsed/>
    <w:rsid w:val="005C2C96"/>
    <w:rPr>
      <w:color w:val="605E5C"/>
      <w:shd w:val="clear" w:color="auto" w:fill="E1DFDD"/>
    </w:rPr>
  </w:style>
  <w:style w:type="character" w:customStyle="1" w:styleId="Neapdorotaspaminjimas1">
    <w:name w:val="Neapdorotas paminėjimas1"/>
    <w:basedOn w:val="Numatytasispastraiposriftas"/>
    <w:uiPriority w:val="99"/>
    <w:semiHidden/>
    <w:unhideWhenUsed/>
    <w:rsid w:val="005631E1"/>
    <w:rPr>
      <w:color w:val="605E5C"/>
      <w:shd w:val="clear" w:color="auto" w:fill="E1DFDD"/>
    </w:rPr>
  </w:style>
  <w:style w:type="character" w:styleId="Neapdorotaspaminjimas">
    <w:name w:val="Unresolved Mention"/>
    <w:basedOn w:val="Numatytasispastraiposriftas"/>
    <w:uiPriority w:val="99"/>
    <w:semiHidden/>
    <w:unhideWhenUsed/>
    <w:rsid w:val="00224D27"/>
    <w:rPr>
      <w:color w:val="605E5C"/>
      <w:shd w:val="clear" w:color="auto" w:fill="E1DFDD"/>
    </w:rPr>
  </w:style>
  <w:style w:type="character" w:customStyle="1" w:styleId="cf01">
    <w:name w:val="cf01"/>
    <w:basedOn w:val="Numatytasispastraiposriftas"/>
    <w:rsid w:val="005027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674">
      <w:bodyDiv w:val="1"/>
      <w:marLeft w:val="0"/>
      <w:marRight w:val="0"/>
      <w:marTop w:val="0"/>
      <w:marBottom w:val="0"/>
      <w:divBdr>
        <w:top w:val="none" w:sz="0" w:space="0" w:color="auto"/>
        <w:left w:val="none" w:sz="0" w:space="0" w:color="auto"/>
        <w:bottom w:val="none" w:sz="0" w:space="0" w:color="auto"/>
        <w:right w:val="none" w:sz="0" w:space="0" w:color="auto"/>
      </w:divBdr>
    </w:div>
    <w:div w:id="7369297">
      <w:bodyDiv w:val="1"/>
      <w:marLeft w:val="0"/>
      <w:marRight w:val="0"/>
      <w:marTop w:val="0"/>
      <w:marBottom w:val="0"/>
      <w:divBdr>
        <w:top w:val="none" w:sz="0" w:space="0" w:color="auto"/>
        <w:left w:val="none" w:sz="0" w:space="0" w:color="auto"/>
        <w:bottom w:val="none" w:sz="0" w:space="0" w:color="auto"/>
        <w:right w:val="none" w:sz="0" w:space="0" w:color="auto"/>
      </w:divBdr>
    </w:div>
    <w:div w:id="9065173">
      <w:bodyDiv w:val="1"/>
      <w:marLeft w:val="0"/>
      <w:marRight w:val="0"/>
      <w:marTop w:val="0"/>
      <w:marBottom w:val="0"/>
      <w:divBdr>
        <w:top w:val="none" w:sz="0" w:space="0" w:color="auto"/>
        <w:left w:val="none" w:sz="0" w:space="0" w:color="auto"/>
        <w:bottom w:val="none" w:sz="0" w:space="0" w:color="auto"/>
        <w:right w:val="none" w:sz="0" w:space="0" w:color="auto"/>
      </w:divBdr>
    </w:div>
    <w:div w:id="22288327">
      <w:bodyDiv w:val="1"/>
      <w:marLeft w:val="0"/>
      <w:marRight w:val="0"/>
      <w:marTop w:val="0"/>
      <w:marBottom w:val="0"/>
      <w:divBdr>
        <w:top w:val="none" w:sz="0" w:space="0" w:color="auto"/>
        <w:left w:val="none" w:sz="0" w:space="0" w:color="auto"/>
        <w:bottom w:val="none" w:sz="0" w:space="0" w:color="auto"/>
        <w:right w:val="none" w:sz="0" w:space="0" w:color="auto"/>
      </w:divBdr>
    </w:div>
    <w:div w:id="33389268">
      <w:bodyDiv w:val="1"/>
      <w:marLeft w:val="0"/>
      <w:marRight w:val="0"/>
      <w:marTop w:val="0"/>
      <w:marBottom w:val="0"/>
      <w:divBdr>
        <w:top w:val="none" w:sz="0" w:space="0" w:color="auto"/>
        <w:left w:val="none" w:sz="0" w:space="0" w:color="auto"/>
        <w:bottom w:val="none" w:sz="0" w:space="0" w:color="auto"/>
        <w:right w:val="none" w:sz="0" w:space="0" w:color="auto"/>
      </w:divBdr>
    </w:div>
    <w:div w:id="34434662">
      <w:bodyDiv w:val="1"/>
      <w:marLeft w:val="0"/>
      <w:marRight w:val="0"/>
      <w:marTop w:val="0"/>
      <w:marBottom w:val="0"/>
      <w:divBdr>
        <w:top w:val="none" w:sz="0" w:space="0" w:color="auto"/>
        <w:left w:val="none" w:sz="0" w:space="0" w:color="auto"/>
        <w:bottom w:val="none" w:sz="0" w:space="0" w:color="auto"/>
        <w:right w:val="none" w:sz="0" w:space="0" w:color="auto"/>
      </w:divBdr>
    </w:div>
    <w:div w:id="93209026">
      <w:bodyDiv w:val="1"/>
      <w:marLeft w:val="0"/>
      <w:marRight w:val="0"/>
      <w:marTop w:val="0"/>
      <w:marBottom w:val="0"/>
      <w:divBdr>
        <w:top w:val="none" w:sz="0" w:space="0" w:color="auto"/>
        <w:left w:val="none" w:sz="0" w:space="0" w:color="auto"/>
        <w:bottom w:val="none" w:sz="0" w:space="0" w:color="auto"/>
        <w:right w:val="none" w:sz="0" w:space="0" w:color="auto"/>
      </w:divBdr>
    </w:div>
    <w:div w:id="94912417">
      <w:bodyDiv w:val="1"/>
      <w:marLeft w:val="0"/>
      <w:marRight w:val="0"/>
      <w:marTop w:val="0"/>
      <w:marBottom w:val="0"/>
      <w:divBdr>
        <w:top w:val="none" w:sz="0" w:space="0" w:color="auto"/>
        <w:left w:val="none" w:sz="0" w:space="0" w:color="auto"/>
        <w:bottom w:val="none" w:sz="0" w:space="0" w:color="auto"/>
        <w:right w:val="none" w:sz="0" w:space="0" w:color="auto"/>
      </w:divBdr>
    </w:div>
    <w:div w:id="189224687">
      <w:bodyDiv w:val="1"/>
      <w:marLeft w:val="0"/>
      <w:marRight w:val="0"/>
      <w:marTop w:val="0"/>
      <w:marBottom w:val="0"/>
      <w:divBdr>
        <w:top w:val="none" w:sz="0" w:space="0" w:color="auto"/>
        <w:left w:val="none" w:sz="0" w:space="0" w:color="auto"/>
        <w:bottom w:val="none" w:sz="0" w:space="0" w:color="auto"/>
        <w:right w:val="none" w:sz="0" w:space="0" w:color="auto"/>
      </w:divBdr>
    </w:div>
    <w:div w:id="214047399">
      <w:bodyDiv w:val="1"/>
      <w:marLeft w:val="0"/>
      <w:marRight w:val="0"/>
      <w:marTop w:val="0"/>
      <w:marBottom w:val="0"/>
      <w:divBdr>
        <w:top w:val="none" w:sz="0" w:space="0" w:color="auto"/>
        <w:left w:val="none" w:sz="0" w:space="0" w:color="auto"/>
        <w:bottom w:val="none" w:sz="0" w:space="0" w:color="auto"/>
        <w:right w:val="none" w:sz="0" w:space="0" w:color="auto"/>
      </w:divBdr>
    </w:div>
    <w:div w:id="224920487">
      <w:bodyDiv w:val="1"/>
      <w:marLeft w:val="0"/>
      <w:marRight w:val="0"/>
      <w:marTop w:val="0"/>
      <w:marBottom w:val="0"/>
      <w:divBdr>
        <w:top w:val="none" w:sz="0" w:space="0" w:color="auto"/>
        <w:left w:val="none" w:sz="0" w:space="0" w:color="auto"/>
        <w:bottom w:val="none" w:sz="0" w:space="0" w:color="auto"/>
        <w:right w:val="none" w:sz="0" w:space="0" w:color="auto"/>
      </w:divBdr>
    </w:div>
    <w:div w:id="236912824">
      <w:bodyDiv w:val="1"/>
      <w:marLeft w:val="0"/>
      <w:marRight w:val="0"/>
      <w:marTop w:val="0"/>
      <w:marBottom w:val="0"/>
      <w:divBdr>
        <w:top w:val="none" w:sz="0" w:space="0" w:color="auto"/>
        <w:left w:val="none" w:sz="0" w:space="0" w:color="auto"/>
        <w:bottom w:val="none" w:sz="0" w:space="0" w:color="auto"/>
        <w:right w:val="none" w:sz="0" w:space="0" w:color="auto"/>
      </w:divBdr>
    </w:div>
    <w:div w:id="253710613">
      <w:bodyDiv w:val="1"/>
      <w:marLeft w:val="0"/>
      <w:marRight w:val="0"/>
      <w:marTop w:val="0"/>
      <w:marBottom w:val="0"/>
      <w:divBdr>
        <w:top w:val="none" w:sz="0" w:space="0" w:color="auto"/>
        <w:left w:val="none" w:sz="0" w:space="0" w:color="auto"/>
        <w:bottom w:val="none" w:sz="0" w:space="0" w:color="auto"/>
        <w:right w:val="none" w:sz="0" w:space="0" w:color="auto"/>
      </w:divBdr>
    </w:div>
    <w:div w:id="255481792">
      <w:bodyDiv w:val="1"/>
      <w:marLeft w:val="0"/>
      <w:marRight w:val="0"/>
      <w:marTop w:val="0"/>
      <w:marBottom w:val="0"/>
      <w:divBdr>
        <w:top w:val="none" w:sz="0" w:space="0" w:color="auto"/>
        <w:left w:val="none" w:sz="0" w:space="0" w:color="auto"/>
        <w:bottom w:val="none" w:sz="0" w:space="0" w:color="auto"/>
        <w:right w:val="none" w:sz="0" w:space="0" w:color="auto"/>
      </w:divBdr>
    </w:div>
    <w:div w:id="258485309">
      <w:bodyDiv w:val="1"/>
      <w:marLeft w:val="0"/>
      <w:marRight w:val="0"/>
      <w:marTop w:val="0"/>
      <w:marBottom w:val="0"/>
      <w:divBdr>
        <w:top w:val="none" w:sz="0" w:space="0" w:color="auto"/>
        <w:left w:val="none" w:sz="0" w:space="0" w:color="auto"/>
        <w:bottom w:val="none" w:sz="0" w:space="0" w:color="auto"/>
        <w:right w:val="none" w:sz="0" w:space="0" w:color="auto"/>
      </w:divBdr>
    </w:div>
    <w:div w:id="313488270">
      <w:bodyDiv w:val="1"/>
      <w:marLeft w:val="0"/>
      <w:marRight w:val="0"/>
      <w:marTop w:val="0"/>
      <w:marBottom w:val="0"/>
      <w:divBdr>
        <w:top w:val="none" w:sz="0" w:space="0" w:color="auto"/>
        <w:left w:val="none" w:sz="0" w:space="0" w:color="auto"/>
        <w:bottom w:val="none" w:sz="0" w:space="0" w:color="auto"/>
        <w:right w:val="none" w:sz="0" w:space="0" w:color="auto"/>
      </w:divBdr>
    </w:div>
    <w:div w:id="328413956">
      <w:bodyDiv w:val="1"/>
      <w:marLeft w:val="0"/>
      <w:marRight w:val="0"/>
      <w:marTop w:val="0"/>
      <w:marBottom w:val="0"/>
      <w:divBdr>
        <w:top w:val="none" w:sz="0" w:space="0" w:color="auto"/>
        <w:left w:val="none" w:sz="0" w:space="0" w:color="auto"/>
        <w:bottom w:val="none" w:sz="0" w:space="0" w:color="auto"/>
        <w:right w:val="none" w:sz="0" w:space="0" w:color="auto"/>
      </w:divBdr>
    </w:div>
    <w:div w:id="361514385">
      <w:bodyDiv w:val="1"/>
      <w:marLeft w:val="0"/>
      <w:marRight w:val="0"/>
      <w:marTop w:val="0"/>
      <w:marBottom w:val="0"/>
      <w:divBdr>
        <w:top w:val="none" w:sz="0" w:space="0" w:color="auto"/>
        <w:left w:val="none" w:sz="0" w:space="0" w:color="auto"/>
        <w:bottom w:val="none" w:sz="0" w:space="0" w:color="auto"/>
        <w:right w:val="none" w:sz="0" w:space="0" w:color="auto"/>
      </w:divBdr>
    </w:div>
    <w:div w:id="373963679">
      <w:bodyDiv w:val="1"/>
      <w:marLeft w:val="0"/>
      <w:marRight w:val="0"/>
      <w:marTop w:val="0"/>
      <w:marBottom w:val="0"/>
      <w:divBdr>
        <w:top w:val="none" w:sz="0" w:space="0" w:color="auto"/>
        <w:left w:val="none" w:sz="0" w:space="0" w:color="auto"/>
        <w:bottom w:val="none" w:sz="0" w:space="0" w:color="auto"/>
        <w:right w:val="none" w:sz="0" w:space="0" w:color="auto"/>
      </w:divBdr>
    </w:div>
    <w:div w:id="402336304">
      <w:bodyDiv w:val="1"/>
      <w:marLeft w:val="0"/>
      <w:marRight w:val="0"/>
      <w:marTop w:val="0"/>
      <w:marBottom w:val="0"/>
      <w:divBdr>
        <w:top w:val="none" w:sz="0" w:space="0" w:color="auto"/>
        <w:left w:val="none" w:sz="0" w:space="0" w:color="auto"/>
        <w:bottom w:val="none" w:sz="0" w:space="0" w:color="auto"/>
        <w:right w:val="none" w:sz="0" w:space="0" w:color="auto"/>
      </w:divBdr>
    </w:div>
    <w:div w:id="467093117">
      <w:bodyDiv w:val="1"/>
      <w:marLeft w:val="0"/>
      <w:marRight w:val="0"/>
      <w:marTop w:val="0"/>
      <w:marBottom w:val="0"/>
      <w:divBdr>
        <w:top w:val="none" w:sz="0" w:space="0" w:color="auto"/>
        <w:left w:val="none" w:sz="0" w:space="0" w:color="auto"/>
        <w:bottom w:val="none" w:sz="0" w:space="0" w:color="auto"/>
        <w:right w:val="none" w:sz="0" w:space="0" w:color="auto"/>
      </w:divBdr>
    </w:div>
    <w:div w:id="477191798">
      <w:bodyDiv w:val="1"/>
      <w:marLeft w:val="0"/>
      <w:marRight w:val="0"/>
      <w:marTop w:val="0"/>
      <w:marBottom w:val="0"/>
      <w:divBdr>
        <w:top w:val="none" w:sz="0" w:space="0" w:color="auto"/>
        <w:left w:val="none" w:sz="0" w:space="0" w:color="auto"/>
        <w:bottom w:val="none" w:sz="0" w:space="0" w:color="auto"/>
        <w:right w:val="none" w:sz="0" w:space="0" w:color="auto"/>
      </w:divBdr>
    </w:div>
    <w:div w:id="493106683">
      <w:bodyDiv w:val="1"/>
      <w:marLeft w:val="0"/>
      <w:marRight w:val="0"/>
      <w:marTop w:val="0"/>
      <w:marBottom w:val="0"/>
      <w:divBdr>
        <w:top w:val="none" w:sz="0" w:space="0" w:color="auto"/>
        <w:left w:val="none" w:sz="0" w:space="0" w:color="auto"/>
        <w:bottom w:val="none" w:sz="0" w:space="0" w:color="auto"/>
        <w:right w:val="none" w:sz="0" w:space="0" w:color="auto"/>
      </w:divBdr>
    </w:div>
    <w:div w:id="506017605">
      <w:bodyDiv w:val="1"/>
      <w:marLeft w:val="0"/>
      <w:marRight w:val="0"/>
      <w:marTop w:val="0"/>
      <w:marBottom w:val="0"/>
      <w:divBdr>
        <w:top w:val="none" w:sz="0" w:space="0" w:color="auto"/>
        <w:left w:val="none" w:sz="0" w:space="0" w:color="auto"/>
        <w:bottom w:val="none" w:sz="0" w:space="0" w:color="auto"/>
        <w:right w:val="none" w:sz="0" w:space="0" w:color="auto"/>
      </w:divBdr>
    </w:div>
    <w:div w:id="507210900">
      <w:bodyDiv w:val="1"/>
      <w:marLeft w:val="0"/>
      <w:marRight w:val="0"/>
      <w:marTop w:val="0"/>
      <w:marBottom w:val="0"/>
      <w:divBdr>
        <w:top w:val="none" w:sz="0" w:space="0" w:color="auto"/>
        <w:left w:val="none" w:sz="0" w:space="0" w:color="auto"/>
        <w:bottom w:val="none" w:sz="0" w:space="0" w:color="auto"/>
        <w:right w:val="none" w:sz="0" w:space="0" w:color="auto"/>
      </w:divBdr>
    </w:div>
    <w:div w:id="535776851">
      <w:bodyDiv w:val="1"/>
      <w:marLeft w:val="0"/>
      <w:marRight w:val="0"/>
      <w:marTop w:val="0"/>
      <w:marBottom w:val="0"/>
      <w:divBdr>
        <w:top w:val="none" w:sz="0" w:space="0" w:color="auto"/>
        <w:left w:val="none" w:sz="0" w:space="0" w:color="auto"/>
        <w:bottom w:val="none" w:sz="0" w:space="0" w:color="auto"/>
        <w:right w:val="none" w:sz="0" w:space="0" w:color="auto"/>
      </w:divBdr>
    </w:div>
    <w:div w:id="565529564">
      <w:bodyDiv w:val="1"/>
      <w:marLeft w:val="0"/>
      <w:marRight w:val="0"/>
      <w:marTop w:val="0"/>
      <w:marBottom w:val="0"/>
      <w:divBdr>
        <w:top w:val="none" w:sz="0" w:space="0" w:color="auto"/>
        <w:left w:val="none" w:sz="0" w:space="0" w:color="auto"/>
        <w:bottom w:val="none" w:sz="0" w:space="0" w:color="auto"/>
        <w:right w:val="none" w:sz="0" w:space="0" w:color="auto"/>
      </w:divBdr>
    </w:div>
    <w:div w:id="573124528">
      <w:bodyDiv w:val="1"/>
      <w:marLeft w:val="0"/>
      <w:marRight w:val="0"/>
      <w:marTop w:val="0"/>
      <w:marBottom w:val="0"/>
      <w:divBdr>
        <w:top w:val="none" w:sz="0" w:space="0" w:color="auto"/>
        <w:left w:val="none" w:sz="0" w:space="0" w:color="auto"/>
        <w:bottom w:val="none" w:sz="0" w:space="0" w:color="auto"/>
        <w:right w:val="none" w:sz="0" w:space="0" w:color="auto"/>
      </w:divBdr>
    </w:div>
    <w:div w:id="578446728">
      <w:bodyDiv w:val="1"/>
      <w:marLeft w:val="0"/>
      <w:marRight w:val="0"/>
      <w:marTop w:val="0"/>
      <w:marBottom w:val="0"/>
      <w:divBdr>
        <w:top w:val="none" w:sz="0" w:space="0" w:color="auto"/>
        <w:left w:val="none" w:sz="0" w:space="0" w:color="auto"/>
        <w:bottom w:val="none" w:sz="0" w:space="0" w:color="auto"/>
        <w:right w:val="none" w:sz="0" w:space="0" w:color="auto"/>
      </w:divBdr>
    </w:div>
    <w:div w:id="580872140">
      <w:bodyDiv w:val="1"/>
      <w:marLeft w:val="0"/>
      <w:marRight w:val="0"/>
      <w:marTop w:val="0"/>
      <w:marBottom w:val="0"/>
      <w:divBdr>
        <w:top w:val="none" w:sz="0" w:space="0" w:color="auto"/>
        <w:left w:val="none" w:sz="0" w:space="0" w:color="auto"/>
        <w:bottom w:val="none" w:sz="0" w:space="0" w:color="auto"/>
        <w:right w:val="none" w:sz="0" w:space="0" w:color="auto"/>
      </w:divBdr>
    </w:div>
    <w:div w:id="589000312">
      <w:bodyDiv w:val="1"/>
      <w:marLeft w:val="0"/>
      <w:marRight w:val="0"/>
      <w:marTop w:val="0"/>
      <w:marBottom w:val="0"/>
      <w:divBdr>
        <w:top w:val="none" w:sz="0" w:space="0" w:color="auto"/>
        <w:left w:val="none" w:sz="0" w:space="0" w:color="auto"/>
        <w:bottom w:val="none" w:sz="0" w:space="0" w:color="auto"/>
        <w:right w:val="none" w:sz="0" w:space="0" w:color="auto"/>
      </w:divBdr>
    </w:div>
    <w:div w:id="618144187">
      <w:bodyDiv w:val="1"/>
      <w:marLeft w:val="0"/>
      <w:marRight w:val="0"/>
      <w:marTop w:val="0"/>
      <w:marBottom w:val="0"/>
      <w:divBdr>
        <w:top w:val="none" w:sz="0" w:space="0" w:color="auto"/>
        <w:left w:val="none" w:sz="0" w:space="0" w:color="auto"/>
        <w:bottom w:val="none" w:sz="0" w:space="0" w:color="auto"/>
        <w:right w:val="none" w:sz="0" w:space="0" w:color="auto"/>
      </w:divBdr>
    </w:div>
    <w:div w:id="618410787">
      <w:bodyDiv w:val="1"/>
      <w:marLeft w:val="0"/>
      <w:marRight w:val="0"/>
      <w:marTop w:val="0"/>
      <w:marBottom w:val="0"/>
      <w:divBdr>
        <w:top w:val="none" w:sz="0" w:space="0" w:color="auto"/>
        <w:left w:val="none" w:sz="0" w:space="0" w:color="auto"/>
        <w:bottom w:val="none" w:sz="0" w:space="0" w:color="auto"/>
        <w:right w:val="none" w:sz="0" w:space="0" w:color="auto"/>
      </w:divBdr>
    </w:div>
    <w:div w:id="628390580">
      <w:bodyDiv w:val="1"/>
      <w:marLeft w:val="0"/>
      <w:marRight w:val="0"/>
      <w:marTop w:val="0"/>
      <w:marBottom w:val="0"/>
      <w:divBdr>
        <w:top w:val="none" w:sz="0" w:space="0" w:color="auto"/>
        <w:left w:val="none" w:sz="0" w:space="0" w:color="auto"/>
        <w:bottom w:val="none" w:sz="0" w:space="0" w:color="auto"/>
        <w:right w:val="none" w:sz="0" w:space="0" w:color="auto"/>
      </w:divBdr>
    </w:div>
    <w:div w:id="629825711">
      <w:bodyDiv w:val="1"/>
      <w:marLeft w:val="0"/>
      <w:marRight w:val="0"/>
      <w:marTop w:val="0"/>
      <w:marBottom w:val="0"/>
      <w:divBdr>
        <w:top w:val="none" w:sz="0" w:space="0" w:color="auto"/>
        <w:left w:val="none" w:sz="0" w:space="0" w:color="auto"/>
        <w:bottom w:val="none" w:sz="0" w:space="0" w:color="auto"/>
        <w:right w:val="none" w:sz="0" w:space="0" w:color="auto"/>
      </w:divBdr>
    </w:div>
    <w:div w:id="717170490">
      <w:bodyDiv w:val="1"/>
      <w:marLeft w:val="0"/>
      <w:marRight w:val="0"/>
      <w:marTop w:val="0"/>
      <w:marBottom w:val="0"/>
      <w:divBdr>
        <w:top w:val="none" w:sz="0" w:space="0" w:color="auto"/>
        <w:left w:val="none" w:sz="0" w:space="0" w:color="auto"/>
        <w:bottom w:val="none" w:sz="0" w:space="0" w:color="auto"/>
        <w:right w:val="none" w:sz="0" w:space="0" w:color="auto"/>
      </w:divBdr>
    </w:div>
    <w:div w:id="720790776">
      <w:bodyDiv w:val="1"/>
      <w:marLeft w:val="0"/>
      <w:marRight w:val="0"/>
      <w:marTop w:val="0"/>
      <w:marBottom w:val="0"/>
      <w:divBdr>
        <w:top w:val="none" w:sz="0" w:space="0" w:color="auto"/>
        <w:left w:val="none" w:sz="0" w:space="0" w:color="auto"/>
        <w:bottom w:val="none" w:sz="0" w:space="0" w:color="auto"/>
        <w:right w:val="none" w:sz="0" w:space="0" w:color="auto"/>
      </w:divBdr>
    </w:div>
    <w:div w:id="782916618">
      <w:bodyDiv w:val="1"/>
      <w:marLeft w:val="0"/>
      <w:marRight w:val="0"/>
      <w:marTop w:val="0"/>
      <w:marBottom w:val="0"/>
      <w:divBdr>
        <w:top w:val="none" w:sz="0" w:space="0" w:color="auto"/>
        <w:left w:val="none" w:sz="0" w:space="0" w:color="auto"/>
        <w:bottom w:val="none" w:sz="0" w:space="0" w:color="auto"/>
        <w:right w:val="none" w:sz="0" w:space="0" w:color="auto"/>
      </w:divBdr>
    </w:div>
    <w:div w:id="783310220">
      <w:bodyDiv w:val="1"/>
      <w:marLeft w:val="0"/>
      <w:marRight w:val="0"/>
      <w:marTop w:val="0"/>
      <w:marBottom w:val="0"/>
      <w:divBdr>
        <w:top w:val="none" w:sz="0" w:space="0" w:color="auto"/>
        <w:left w:val="none" w:sz="0" w:space="0" w:color="auto"/>
        <w:bottom w:val="none" w:sz="0" w:space="0" w:color="auto"/>
        <w:right w:val="none" w:sz="0" w:space="0" w:color="auto"/>
      </w:divBdr>
    </w:div>
    <w:div w:id="816721906">
      <w:bodyDiv w:val="1"/>
      <w:marLeft w:val="0"/>
      <w:marRight w:val="0"/>
      <w:marTop w:val="0"/>
      <w:marBottom w:val="0"/>
      <w:divBdr>
        <w:top w:val="none" w:sz="0" w:space="0" w:color="auto"/>
        <w:left w:val="none" w:sz="0" w:space="0" w:color="auto"/>
        <w:bottom w:val="none" w:sz="0" w:space="0" w:color="auto"/>
        <w:right w:val="none" w:sz="0" w:space="0" w:color="auto"/>
      </w:divBdr>
    </w:div>
    <w:div w:id="828642145">
      <w:bodyDiv w:val="1"/>
      <w:marLeft w:val="0"/>
      <w:marRight w:val="0"/>
      <w:marTop w:val="0"/>
      <w:marBottom w:val="0"/>
      <w:divBdr>
        <w:top w:val="none" w:sz="0" w:space="0" w:color="auto"/>
        <w:left w:val="none" w:sz="0" w:space="0" w:color="auto"/>
        <w:bottom w:val="none" w:sz="0" w:space="0" w:color="auto"/>
        <w:right w:val="none" w:sz="0" w:space="0" w:color="auto"/>
      </w:divBdr>
    </w:div>
    <w:div w:id="844519004">
      <w:bodyDiv w:val="1"/>
      <w:marLeft w:val="0"/>
      <w:marRight w:val="0"/>
      <w:marTop w:val="0"/>
      <w:marBottom w:val="0"/>
      <w:divBdr>
        <w:top w:val="none" w:sz="0" w:space="0" w:color="auto"/>
        <w:left w:val="none" w:sz="0" w:space="0" w:color="auto"/>
        <w:bottom w:val="none" w:sz="0" w:space="0" w:color="auto"/>
        <w:right w:val="none" w:sz="0" w:space="0" w:color="auto"/>
      </w:divBdr>
    </w:div>
    <w:div w:id="851919779">
      <w:bodyDiv w:val="1"/>
      <w:marLeft w:val="0"/>
      <w:marRight w:val="0"/>
      <w:marTop w:val="0"/>
      <w:marBottom w:val="0"/>
      <w:divBdr>
        <w:top w:val="none" w:sz="0" w:space="0" w:color="auto"/>
        <w:left w:val="none" w:sz="0" w:space="0" w:color="auto"/>
        <w:bottom w:val="none" w:sz="0" w:space="0" w:color="auto"/>
        <w:right w:val="none" w:sz="0" w:space="0" w:color="auto"/>
      </w:divBdr>
    </w:div>
    <w:div w:id="853956238">
      <w:bodyDiv w:val="1"/>
      <w:marLeft w:val="0"/>
      <w:marRight w:val="0"/>
      <w:marTop w:val="0"/>
      <w:marBottom w:val="0"/>
      <w:divBdr>
        <w:top w:val="none" w:sz="0" w:space="0" w:color="auto"/>
        <w:left w:val="none" w:sz="0" w:space="0" w:color="auto"/>
        <w:bottom w:val="none" w:sz="0" w:space="0" w:color="auto"/>
        <w:right w:val="none" w:sz="0" w:space="0" w:color="auto"/>
      </w:divBdr>
    </w:div>
    <w:div w:id="894467829">
      <w:bodyDiv w:val="1"/>
      <w:marLeft w:val="0"/>
      <w:marRight w:val="0"/>
      <w:marTop w:val="0"/>
      <w:marBottom w:val="0"/>
      <w:divBdr>
        <w:top w:val="none" w:sz="0" w:space="0" w:color="auto"/>
        <w:left w:val="none" w:sz="0" w:space="0" w:color="auto"/>
        <w:bottom w:val="none" w:sz="0" w:space="0" w:color="auto"/>
        <w:right w:val="none" w:sz="0" w:space="0" w:color="auto"/>
      </w:divBdr>
    </w:div>
    <w:div w:id="899174015">
      <w:bodyDiv w:val="1"/>
      <w:marLeft w:val="0"/>
      <w:marRight w:val="0"/>
      <w:marTop w:val="0"/>
      <w:marBottom w:val="0"/>
      <w:divBdr>
        <w:top w:val="none" w:sz="0" w:space="0" w:color="auto"/>
        <w:left w:val="none" w:sz="0" w:space="0" w:color="auto"/>
        <w:bottom w:val="none" w:sz="0" w:space="0" w:color="auto"/>
        <w:right w:val="none" w:sz="0" w:space="0" w:color="auto"/>
      </w:divBdr>
    </w:div>
    <w:div w:id="942764808">
      <w:bodyDiv w:val="1"/>
      <w:marLeft w:val="0"/>
      <w:marRight w:val="0"/>
      <w:marTop w:val="0"/>
      <w:marBottom w:val="0"/>
      <w:divBdr>
        <w:top w:val="none" w:sz="0" w:space="0" w:color="auto"/>
        <w:left w:val="none" w:sz="0" w:space="0" w:color="auto"/>
        <w:bottom w:val="none" w:sz="0" w:space="0" w:color="auto"/>
        <w:right w:val="none" w:sz="0" w:space="0" w:color="auto"/>
      </w:divBdr>
    </w:div>
    <w:div w:id="943226354">
      <w:bodyDiv w:val="1"/>
      <w:marLeft w:val="0"/>
      <w:marRight w:val="0"/>
      <w:marTop w:val="0"/>
      <w:marBottom w:val="0"/>
      <w:divBdr>
        <w:top w:val="none" w:sz="0" w:space="0" w:color="auto"/>
        <w:left w:val="none" w:sz="0" w:space="0" w:color="auto"/>
        <w:bottom w:val="none" w:sz="0" w:space="0" w:color="auto"/>
        <w:right w:val="none" w:sz="0" w:space="0" w:color="auto"/>
      </w:divBdr>
    </w:div>
    <w:div w:id="946154216">
      <w:bodyDiv w:val="1"/>
      <w:marLeft w:val="0"/>
      <w:marRight w:val="0"/>
      <w:marTop w:val="0"/>
      <w:marBottom w:val="0"/>
      <w:divBdr>
        <w:top w:val="none" w:sz="0" w:space="0" w:color="auto"/>
        <w:left w:val="none" w:sz="0" w:space="0" w:color="auto"/>
        <w:bottom w:val="none" w:sz="0" w:space="0" w:color="auto"/>
        <w:right w:val="none" w:sz="0" w:space="0" w:color="auto"/>
      </w:divBdr>
    </w:div>
    <w:div w:id="974720202">
      <w:bodyDiv w:val="1"/>
      <w:marLeft w:val="0"/>
      <w:marRight w:val="0"/>
      <w:marTop w:val="0"/>
      <w:marBottom w:val="0"/>
      <w:divBdr>
        <w:top w:val="none" w:sz="0" w:space="0" w:color="auto"/>
        <w:left w:val="none" w:sz="0" w:space="0" w:color="auto"/>
        <w:bottom w:val="none" w:sz="0" w:space="0" w:color="auto"/>
        <w:right w:val="none" w:sz="0" w:space="0" w:color="auto"/>
      </w:divBdr>
    </w:div>
    <w:div w:id="999043293">
      <w:bodyDiv w:val="1"/>
      <w:marLeft w:val="0"/>
      <w:marRight w:val="0"/>
      <w:marTop w:val="0"/>
      <w:marBottom w:val="0"/>
      <w:divBdr>
        <w:top w:val="none" w:sz="0" w:space="0" w:color="auto"/>
        <w:left w:val="none" w:sz="0" w:space="0" w:color="auto"/>
        <w:bottom w:val="none" w:sz="0" w:space="0" w:color="auto"/>
        <w:right w:val="none" w:sz="0" w:space="0" w:color="auto"/>
      </w:divBdr>
    </w:div>
    <w:div w:id="1049690153">
      <w:bodyDiv w:val="1"/>
      <w:marLeft w:val="0"/>
      <w:marRight w:val="0"/>
      <w:marTop w:val="0"/>
      <w:marBottom w:val="0"/>
      <w:divBdr>
        <w:top w:val="none" w:sz="0" w:space="0" w:color="auto"/>
        <w:left w:val="none" w:sz="0" w:space="0" w:color="auto"/>
        <w:bottom w:val="none" w:sz="0" w:space="0" w:color="auto"/>
        <w:right w:val="none" w:sz="0" w:space="0" w:color="auto"/>
      </w:divBdr>
    </w:div>
    <w:div w:id="1064061901">
      <w:bodyDiv w:val="1"/>
      <w:marLeft w:val="0"/>
      <w:marRight w:val="0"/>
      <w:marTop w:val="0"/>
      <w:marBottom w:val="0"/>
      <w:divBdr>
        <w:top w:val="none" w:sz="0" w:space="0" w:color="auto"/>
        <w:left w:val="none" w:sz="0" w:space="0" w:color="auto"/>
        <w:bottom w:val="none" w:sz="0" w:space="0" w:color="auto"/>
        <w:right w:val="none" w:sz="0" w:space="0" w:color="auto"/>
      </w:divBdr>
    </w:div>
    <w:div w:id="1094282510">
      <w:bodyDiv w:val="1"/>
      <w:marLeft w:val="0"/>
      <w:marRight w:val="0"/>
      <w:marTop w:val="0"/>
      <w:marBottom w:val="0"/>
      <w:divBdr>
        <w:top w:val="none" w:sz="0" w:space="0" w:color="auto"/>
        <w:left w:val="none" w:sz="0" w:space="0" w:color="auto"/>
        <w:bottom w:val="none" w:sz="0" w:space="0" w:color="auto"/>
        <w:right w:val="none" w:sz="0" w:space="0" w:color="auto"/>
      </w:divBdr>
    </w:div>
    <w:div w:id="1101023621">
      <w:bodyDiv w:val="1"/>
      <w:marLeft w:val="0"/>
      <w:marRight w:val="0"/>
      <w:marTop w:val="0"/>
      <w:marBottom w:val="0"/>
      <w:divBdr>
        <w:top w:val="none" w:sz="0" w:space="0" w:color="auto"/>
        <w:left w:val="none" w:sz="0" w:space="0" w:color="auto"/>
        <w:bottom w:val="none" w:sz="0" w:space="0" w:color="auto"/>
        <w:right w:val="none" w:sz="0" w:space="0" w:color="auto"/>
      </w:divBdr>
    </w:div>
    <w:div w:id="1130130629">
      <w:bodyDiv w:val="1"/>
      <w:marLeft w:val="0"/>
      <w:marRight w:val="0"/>
      <w:marTop w:val="0"/>
      <w:marBottom w:val="0"/>
      <w:divBdr>
        <w:top w:val="none" w:sz="0" w:space="0" w:color="auto"/>
        <w:left w:val="none" w:sz="0" w:space="0" w:color="auto"/>
        <w:bottom w:val="none" w:sz="0" w:space="0" w:color="auto"/>
        <w:right w:val="none" w:sz="0" w:space="0" w:color="auto"/>
      </w:divBdr>
    </w:div>
    <w:div w:id="1172523622">
      <w:bodyDiv w:val="1"/>
      <w:marLeft w:val="0"/>
      <w:marRight w:val="0"/>
      <w:marTop w:val="0"/>
      <w:marBottom w:val="0"/>
      <w:divBdr>
        <w:top w:val="none" w:sz="0" w:space="0" w:color="auto"/>
        <w:left w:val="none" w:sz="0" w:space="0" w:color="auto"/>
        <w:bottom w:val="none" w:sz="0" w:space="0" w:color="auto"/>
        <w:right w:val="none" w:sz="0" w:space="0" w:color="auto"/>
      </w:divBdr>
    </w:div>
    <w:div w:id="1181628901">
      <w:bodyDiv w:val="1"/>
      <w:marLeft w:val="0"/>
      <w:marRight w:val="0"/>
      <w:marTop w:val="0"/>
      <w:marBottom w:val="0"/>
      <w:divBdr>
        <w:top w:val="none" w:sz="0" w:space="0" w:color="auto"/>
        <w:left w:val="none" w:sz="0" w:space="0" w:color="auto"/>
        <w:bottom w:val="none" w:sz="0" w:space="0" w:color="auto"/>
        <w:right w:val="none" w:sz="0" w:space="0" w:color="auto"/>
      </w:divBdr>
    </w:div>
    <w:div w:id="1208109591">
      <w:bodyDiv w:val="1"/>
      <w:marLeft w:val="0"/>
      <w:marRight w:val="0"/>
      <w:marTop w:val="0"/>
      <w:marBottom w:val="0"/>
      <w:divBdr>
        <w:top w:val="none" w:sz="0" w:space="0" w:color="auto"/>
        <w:left w:val="none" w:sz="0" w:space="0" w:color="auto"/>
        <w:bottom w:val="none" w:sz="0" w:space="0" w:color="auto"/>
        <w:right w:val="none" w:sz="0" w:space="0" w:color="auto"/>
      </w:divBdr>
    </w:div>
    <w:div w:id="1213075299">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320502589">
      <w:bodyDiv w:val="1"/>
      <w:marLeft w:val="0"/>
      <w:marRight w:val="0"/>
      <w:marTop w:val="0"/>
      <w:marBottom w:val="0"/>
      <w:divBdr>
        <w:top w:val="none" w:sz="0" w:space="0" w:color="auto"/>
        <w:left w:val="none" w:sz="0" w:space="0" w:color="auto"/>
        <w:bottom w:val="none" w:sz="0" w:space="0" w:color="auto"/>
        <w:right w:val="none" w:sz="0" w:space="0" w:color="auto"/>
      </w:divBdr>
    </w:div>
    <w:div w:id="1330330757">
      <w:bodyDiv w:val="1"/>
      <w:marLeft w:val="0"/>
      <w:marRight w:val="0"/>
      <w:marTop w:val="0"/>
      <w:marBottom w:val="0"/>
      <w:divBdr>
        <w:top w:val="none" w:sz="0" w:space="0" w:color="auto"/>
        <w:left w:val="none" w:sz="0" w:space="0" w:color="auto"/>
        <w:bottom w:val="none" w:sz="0" w:space="0" w:color="auto"/>
        <w:right w:val="none" w:sz="0" w:space="0" w:color="auto"/>
      </w:divBdr>
    </w:div>
    <w:div w:id="1333296046">
      <w:bodyDiv w:val="1"/>
      <w:marLeft w:val="0"/>
      <w:marRight w:val="0"/>
      <w:marTop w:val="0"/>
      <w:marBottom w:val="0"/>
      <w:divBdr>
        <w:top w:val="none" w:sz="0" w:space="0" w:color="auto"/>
        <w:left w:val="none" w:sz="0" w:space="0" w:color="auto"/>
        <w:bottom w:val="none" w:sz="0" w:space="0" w:color="auto"/>
        <w:right w:val="none" w:sz="0" w:space="0" w:color="auto"/>
      </w:divBdr>
    </w:div>
    <w:div w:id="1341395639">
      <w:bodyDiv w:val="1"/>
      <w:marLeft w:val="0"/>
      <w:marRight w:val="0"/>
      <w:marTop w:val="0"/>
      <w:marBottom w:val="0"/>
      <w:divBdr>
        <w:top w:val="none" w:sz="0" w:space="0" w:color="auto"/>
        <w:left w:val="none" w:sz="0" w:space="0" w:color="auto"/>
        <w:bottom w:val="none" w:sz="0" w:space="0" w:color="auto"/>
        <w:right w:val="none" w:sz="0" w:space="0" w:color="auto"/>
      </w:divBdr>
    </w:div>
    <w:div w:id="1379932137">
      <w:bodyDiv w:val="1"/>
      <w:marLeft w:val="0"/>
      <w:marRight w:val="0"/>
      <w:marTop w:val="0"/>
      <w:marBottom w:val="0"/>
      <w:divBdr>
        <w:top w:val="none" w:sz="0" w:space="0" w:color="auto"/>
        <w:left w:val="none" w:sz="0" w:space="0" w:color="auto"/>
        <w:bottom w:val="none" w:sz="0" w:space="0" w:color="auto"/>
        <w:right w:val="none" w:sz="0" w:space="0" w:color="auto"/>
      </w:divBdr>
    </w:div>
    <w:div w:id="1383989386">
      <w:bodyDiv w:val="1"/>
      <w:marLeft w:val="0"/>
      <w:marRight w:val="0"/>
      <w:marTop w:val="0"/>
      <w:marBottom w:val="0"/>
      <w:divBdr>
        <w:top w:val="none" w:sz="0" w:space="0" w:color="auto"/>
        <w:left w:val="none" w:sz="0" w:space="0" w:color="auto"/>
        <w:bottom w:val="none" w:sz="0" w:space="0" w:color="auto"/>
        <w:right w:val="none" w:sz="0" w:space="0" w:color="auto"/>
      </w:divBdr>
    </w:div>
    <w:div w:id="1401101310">
      <w:bodyDiv w:val="1"/>
      <w:marLeft w:val="0"/>
      <w:marRight w:val="0"/>
      <w:marTop w:val="0"/>
      <w:marBottom w:val="0"/>
      <w:divBdr>
        <w:top w:val="none" w:sz="0" w:space="0" w:color="auto"/>
        <w:left w:val="none" w:sz="0" w:space="0" w:color="auto"/>
        <w:bottom w:val="none" w:sz="0" w:space="0" w:color="auto"/>
        <w:right w:val="none" w:sz="0" w:space="0" w:color="auto"/>
      </w:divBdr>
    </w:div>
    <w:div w:id="1415391908">
      <w:bodyDiv w:val="1"/>
      <w:marLeft w:val="0"/>
      <w:marRight w:val="0"/>
      <w:marTop w:val="0"/>
      <w:marBottom w:val="0"/>
      <w:divBdr>
        <w:top w:val="none" w:sz="0" w:space="0" w:color="auto"/>
        <w:left w:val="none" w:sz="0" w:space="0" w:color="auto"/>
        <w:bottom w:val="none" w:sz="0" w:space="0" w:color="auto"/>
        <w:right w:val="none" w:sz="0" w:space="0" w:color="auto"/>
      </w:divBdr>
    </w:div>
    <w:div w:id="1415971915">
      <w:bodyDiv w:val="1"/>
      <w:marLeft w:val="0"/>
      <w:marRight w:val="0"/>
      <w:marTop w:val="0"/>
      <w:marBottom w:val="0"/>
      <w:divBdr>
        <w:top w:val="none" w:sz="0" w:space="0" w:color="auto"/>
        <w:left w:val="none" w:sz="0" w:space="0" w:color="auto"/>
        <w:bottom w:val="none" w:sz="0" w:space="0" w:color="auto"/>
        <w:right w:val="none" w:sz="0" w:space="0" w:color="auto"/>
      </w:divBdr>
    </w:div>
    <w:div w:id="1426993522">
      <w:bodyDiv w:val="1"/>
      <w:marLeft w:val="0"/>
      <w:marRight w:val="0"/>
      <w:marTop w:val="0"/>
      <w:marBottom w:val="0"/>
      <w:divBdr>
        <w:top w:val="none" w:sz="0" w:space="0" w:color="auto"/>
        <w:left w:val="none" w:sz="0" w:space="0" w:color="auto"/>
        <w:bottom w:val="none" w:sz="0" w:space="0" w:color="auto"/>
        <w:right w:val="none" w:sz="0" w:space="0" w:color="auto"/>
      </w:divBdr>
    </w:div>
    <w:div w:id="1506088254">
      <w:bodyDiv w:val="1"/>
      <w:marLeft w:val="0"/>
      <w:marRight w:val="0"/>
      <w:marTop w:val="0"/>
      <w:marBottom w:val="0"/>
      <w:divBdr>
        <w:top w:val="none" w:sz="0" w:space="0" w:color="auto"/>
        <w:left w:val="none" w:sz="0" w:space="0" w:color="auto"/>
        <w:bottom w:val="none" w:sz="0" w:space="0" w:color="auto"/>
        <w:right w:val="none" w:sz="0" w:space="0" w:color="auto"/>
      </w:divBdr>
    </w:div>
    <w:div w:id="1507479847">
      <w:bodyDiv w:val="1"/>
      <w:marLeft w:val="0"/>
      <w:marRight w:val="0"/>
      <w:marTop w:val="0"/>
      <w:marBottom w:val="0"/>
      <w:divBdr>
        <w:top w:val="none" w:sz="0" w:space="0" w:color="auto"/>
        <w:left w:val="none" w:sz="0" w:space="0" w:color="auto"/>
        <w:bottom w:val="none" w:sz="0" w:space="0" w:color="auto"/>
        <w:right w:val="none" w:sz="0" w:space="0" w:color="auto"/>
      </w:divBdr>
    </w:div>
    <w:div w:id="1542203445">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4538497">
      <w:bodyDiv w:val="1"/>
      <w:marLeft w:val="0"/>
      <w:marRight w:val="0"/>
      <w:marTop w:val="0"/>
      <w:marBottom w:val="0"/>
      <w:divBdr>
        <w:top w:val="none" w:sz="0" w:space="0" w:color="auto"/>
        <w:left w:val="none" w:sz="0" w:space="0" w:color="auto"/>
        <w:bottom w:val="none" w:sz="0" w:space="0" w:color="auto"/>
        <w:right w:val="none" w:sz="0" w:space="0" w:color="auto"/>
      </w:divBdr>
    </w:div>
    <w:div w:id="1569266780">
      <w:bodyDiv w:val="1"/>
      <w:marLeft w:val="0"/>
      <w:marRight w:val="0"/>
      <w:marTop w:val="0"/>
      <w:marBottom w:val="0"/>
      <w:divBdr>
        <w:top w:val="none" w:sz="0" w:space="0" w:color="auto"/>
        <w:left w:val="none" w:sz="0" w:space="0" w:color="auto"/>
        <w:bottom w:val="none" w:sz="0" w:space="0" w:color="auto"/>
        <w:right w:val="none" w:sz="0" w:space="0" w:color="auto"/>
      </w:divBdr>
    </w:div>
    <w:div w:id="1612013779">
      <w:bodyDiv w:val="1"/>
      <w:marLeft w:val="0"/>
      <w:marRight w:val="0"/>
      <w:marTop w:val="0"/>
      <w:marBottom w:val="0"/>
      <w:divBdr>
        <w:top w:val="none" w:sz="0" w:space="0" w:color="auto"/>
        <w:left w:val="none" w:sz="0" w:space="0" w:color="auto"/>
        <w:bottom w:val="none" w:sz="0" w:space="0" w:color="auto"/>
        <w:right w:val="none" w:sz="0" w:space="0" w:color="auto"/>
      </w:divBdr>
    </w:div>
    <w:div w:id="1638997468">
      <w:bodyDiv w:val="1"/>
      <w:marLeft w:val="0"/>
      <w:marRight w:val="0"/>
      <w:marTop w:val="0"/>
      <w:marBottom w:val="0"/>
      <w:divBdr>
        <w:top w:val="none" w:sz="0" w:space="0" w:color="auto"/>
        <w:left w:val="none" w:sz="0" w:space="0" w:color="auto"/>
        <w:bottom w:val="none" w:sz="0" w:space="0" w:color="auto"/>
        <w:right w:val="none" w:sz="0" w:space="0" w:color="auto"/>
      </w:divBdr>
    </w:div>
    <w:div w:id="1712918572">
      <w:bodyDiv w:val="1"/>
      <w:marLeft w:val="0"/>
      <w:marRight w:val="0"/>
      <w:marTop w:val="0"/>
      <w:marBottom w:val="0"/>
      <w:divBdr>
        <w:top w:val="none" w:sz="0" w:space="0" w:color="auto"/>
        <w:left w:val="none" w:sz="0" w:space="0" w:color="auto"/>
        <w:bottom w:val="none" w:sz="0" w:space="0" w:color="auto"/>
        <w:right w:val="none" w:sz="0" w:space="0" w:color="auto"/>
      </w:divBdr>
    </w:div>
    <w:div w:id="1716661880">
      <w:bodyDiv w:val="1"/>
      <w:marLeft w:val="0"/>
      <w:marRight w:val="0"/>
      <w:marTop w:val="0"/>
      <w:marBottom w:val="0"/>
      <w:divBdr>
        <w:top w:val="none" w:sz="0" w:space="0" w:color="auto"/>
        <w:left w:val="none" w:sz="0" w:space="0" w:color="auto"/>
        <w:bottom w:val="none" w:sz="0" w:space="0" w:color="auto"/>
        <w:right w:val="none" w:sz="0" w:space="0" w:color="auto"/>
      </w:divBdr>
    </w:div>
    <w:div w:id="1720132691">
      <w:bodyDiv w:val="1"/>
      <w:marLeft w:val="0"/>
      <w:marRight w:val="0"/>
      <w:marTop w:val="0"/>
      <w:marBottom w:val="0"/>
      <w:divBdr>
        <w:top w:val="none" w:sz="0" w:space="0" w:color="auto"/>
        <w:left w:val="none" w:sz="0" w:space="0" w:color="auto"/>
        <w:bottom w:val="none" w:sz="0" w:space="0" w:color="auto"/>
        <w:right w:val="none" w:sz="0" w:space="0" w:color="auto"/>
      </w:divBdr>
    </w:div>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 w:id="1727559902">
      <w:bodyDiv w:val="1"/>
      <w:marLeft w:val="0"/>
      <w:marRight w:val="0"/>
      <w:marTop w:val="0"/>
      <w:marBottom w:val="0"/>
      <w:divBdr>
        <w:top w:val="none" w:sz="0" w:space="0" w:color="auto"/>
        <w:left w:val="none" w:sz="0" w:space="0" w:color="auto"/>
        <w:bottom w:val="none" w:sz="0" w:space="0" w:color="auto"/>
        <w:right w:val="none" w:sz="0" w:space="0" w:color="auto"/>
      </w:divBdr>
    </w:div>
    <w:div w:id="1728721693">
      <w:bodyDiv w:val="1"/>
      <w:marLeft w:val="0"/>
      <w:marRight w:val="0"/>
      <w:marTop w:val="0"/>
      <w:marBottom w:val="0"/>
      <w:divBdr>
        <w:top w:val="none" w:sz="0" w:space="0" w:color="auto"/>
        <w:left w:val="none" w:sz="0" w:space="0" w:color="auto"/>
        <w:bottom w:val="none" w:sz="0" w:space="0" w:color="auto"/>
        <w:right w:val="none" w:sz="0" w:space="0" w:color="auto"/>
      </w:divBdr>
    </w:div>
    <w:div w:id="1755080735">
      <w:bodyDiv w:val="1"/>
      <w:marLeft w:val="0"/>
      <w:marRight w:val="0"/>
      <w:marTop w:val="0"/>
      <w:marBottom w:val="0"/>
      <w:divBdr>
        <w:top w:val="none" w:sz="0" w:space="0" w:color="auto"/>
        <w:left w:val="none" w:sz="0" w:space="0" w:color="auto"/>
        <w:bottom w:val="none" w:sz="0" w:space="0" w:color="auto"/>
        <w:right w:val="none" w:sz="0" w:space="0" w:color="auto"/>
      </w:divBdr>
    </w:div>
    <w:div w:id="1756441127">
      <w:bodyDiv w:val="1"/>
      <w:marLeft w:val="0"/>
      <w:marRight w:val="0"/>
      <w:marTop w:val="0"/>
      <w:marBottom w:val="0"/>
      <w:divBdr>
        <w:top w:val="none" w:sz="0" w:space="0" w:color="auto"/>
        <w:left w:val="none" w:sz="0" w:space="0" w:color="auto"/>
        <w:bottom w:val="none" w:sz="0" w:space="0" w:color="auto"/>
        <w:right w:val="none" w:sz="0" w:space="0" w:color="auto"/>
      </w:divBdr>
    </w:div>
    <w:div w:id="1797526006">
      <w:bodyDiv w:val="1"/>
      <w:marLeft w:val="0"/>
      <w:marRight w:val="0"/>
      <w:marTop w:val="0"/>
      <w:marBottom w:val="0"/>
      <w:divBdr>
        <w:top w:val="none" w:sz="0" w:space="0" w:color="auto"/>
        <w:left w:val="none" w:sz="0" w:space="0" w:color="auto"/>
        <w:bottom w:val="none" w:sz="0" w:space="0" w:color="auto"/>
        <w:right w:val="none" w:sz="0" w:space="0" w:color="auto"/>
      </w:divBdr>
    </w:div>
    <w:div w:id="1815441174">
      <w:bodyDiv w:val="1"/>
      <w:marLeft w:val="0"/>
      <w:marRight w:val="0"/>
      <w:marTop w:val="0"/>
      <w:marBottom w:val="0"/>
      <w:divBdr>
        <w:top w:val="none" w:sz="0" w:space="0" w:color="auto"/>
        <w:left w:val="none" w:sz="0" w:space="0" w:color="auto"/>
        <w:bottom w:val="none" w:sz="0" w:space="0" w:color="auto"/>
        <w:right w:val="none" w:sz="0" w:space="0" w:color="auto"/>
      </w:divBdr>
    </w:div>
    <w:div w:id="1822889067">
      <w:bodyDiv w:val="1"/>
      <w:marLeft w:val="0"/>
      <w:marRight w:val="0"/>
      <w:marTop w:val="0"/>
      <w:marBottom w:val="0"/>
      <w:divBdr>
        <w:top w:val="none" w:sz="0" w:space="0" w:color="auto"/>
        <w:left w:val="none" w:sz="0" w:space="0" w:color="auto"/>
        <w:bottom w:val="none" w:sz="0" w:space="0" w:color="auto"/>
        <w:right w:val="none" w:sz="0" w:space="0" w:color="auto"/>
      </w:divBdr>
    </w:div>
    <w:div w:id="1848665918">
      <w:bodyDiv w:val="1"/>
      <w:marLeft w:val="0"/>
      <w:marRight w:val="0"/>
      <w:marTop w:val="0"/>
      <w:marBottom w:val="0"/>
      <w:divBdr>
        <w:top w:val="none" w:sz="0" w:space="0" w:color="auto"/>
        <w:left w:val="none" w:sz="0" w:space="0" w:color="auto"/>
        <w:bottom w:val="none" w:sz="0" w:space="0" w:color="auto"/>
        <w:right w:val="none" w:sz="0" w:space="0" w:color="auto"/>
      </w:divBdr>
    </w:div>
    <w:div w:id="1874734529">
      <w:bodyDiv w:val="1"/>
      <w:marLeft w:val="0"/>
      <w:marRight w:val="0"/>
      <w:marTop w:val="0"/>
      <w:marBottom w:val="0"/>
      <w:divBdr>
        <w:top w:val="none" w:sz="0" w:space="0" w:color="auto"/>
        <w:left w:val="none" w:sz="0" w:space="0" w:color="auto"/>
        <w:bottom w:val="none" w:sz="0" w:space="0" w:color="auto"/>
        <w:right w:val="none" w:sz="0" w:space="0" w:color="auto"/>
      </w:divBdr>
    </w:div>
    <w:div w:id="1875537633">
      <w:bodyDiv w:val="1"/>
      <w:marLeft w:val="0"/>
      <w:marRight w:val="0"/>
      <w:marTop w:val="0"/>
      <w:marBottom w:val="0"/>
      <w:divBdr>
        <w:top w:val="none" w:sz="0" w:space="0" w:color="auto"/>
        <w:left w:val="none" w:sz="0" w:space="0" w:color="auto"/>
        <w:bottom w:val="none" w:sz="0" w:space="0" w:color="auto"/>
        <w:right w:val="none" w:sz="0" w:space="0" w:color="auto"/>
      </w:divBdr>
    </w:div>
    <w:div w:id="1892769384">
      <w:bodyDiv w:val="1"/>
      <w:marLeft w:val="0"/>
      <w:marRight w:val="0"/>
      <w:marTop w:val="0"/>
      <w:marBottom w:val="0"/>
      <w:divBdr>
        <w:top w:val="none" w:sz="0" w:space="0" w:color="auto"/>
        <w:left w:val="none" w:sz="0" w:space="0" w:color="auto"/>
        <w:bottom w:val="none" w:sz="0" w:space="0" w:color="auto"/>
        <w:right w:val="none" w:sz="0" w:space="0" w:color="auto"/>
      </w:divBdr>
    </w:div>
    <w:div w:id="1923219479">
      <w:bodyDiv w:val="1"/>
      <w:marLeft w:val="0"/>
      <w:marRight w:val="0"/>
      <w:marTop w:val="0"/>
      <w:marBottom w:val="0"/>
      <w:divBdr>
        <w:top w:val="none" w:sz="0" w:space="0" w:color="auto"/>
        <w:left w:val="none" w:sz="0" w:space="0" w:color="auto"/>
        <w:bottom w:val="none" w:sz="0" w:space="0" w:color="auto"/>
        <w:right w:val="none" w:sz="0" w:space="0" w:color="auto"/>
      </w:divBdr>
    </w:div>
    <w:div w:id="1935361668">
      <w:bodyDiv w:val="1"/>
      <w:marLeft w:val="0"/>
      <w:marRight w:val="0"/>
      <w:marTop w:val="0"/>
      <w:marBottom w:val="0"/>
      <w:divBdr>
        <w:top w:val="none" w:sz="0" w:space="0" w:color="auto"/>
        <w:left w:val="none" w:sz="0" w:space="0" w:color="auto"/>
        <w:bottom w:val="none" w:sz="0" w:space="0" w:color="auto"/>
        <w:right w:val="none" w:sz="0" w:space="0" w:color="auto"/>
      </w:divBdr>
    </w:div>
    <w:div w:id="1942105197">
      <w:bodyDiv w:val="1"/>
      <w:marLeft w:val="0"/>
      <w:marRight w:val="0"/>
      <w:marTop w:val="0"/>
      <w:marBottom w:val="0"/>
      <w:divBdr>
        <w:top w:val="none" w:sz="0" w:space="0" w:color="auto"/>
        <w:left w:val="none" w:sz="0" w:space="0" w:color="auto"/>
        <w:bottom w:val="none" w:sz="0" w:space="0" w:color="auto"/>
        <w:right w:val="none" w:sz="0" w:space="0" w:color="auto"/>
      </w:divBdr>
    </w:div>
    <w:div w:id="1984892849">
      <w:bodyDiv w:val="1"/>
      <w:marLeft w:val="0"/>
      <w:marRight w:val="0"/>
      <w:marTop w:val="0"/>
      <w:marBottom w:val="0"/>
      <w:divBdr>
        <w:top w:val="none" w:sz="0" w:space="0" w:color="auto"/>
        <w:left w:val="none" w:sz="0" w:space="0" w:color="auto"/>
        <w:bottom w:val="none" w:sz="0" w:space="0" w:color="auto"/>
        <w:right w:val="none" w:sz="0" w:space="0" w:color="auto"/>
      </w:divBdr>
    </w:div>
    <w:div w:id="1999266393">
      <w:bodyDiv w:val="1"/>
      <w:marLeft w:val="0"/>
      <w:marRight w:val="0"/>
      <w:marTop w:val="0"/>
      <w:marBottom w:val="0"/>
      <w:divBdr>
        <w:top w:val="none" w:sz="0" w:space="0" w:color="auto"/>
        <w:left w:val="none" w:sz="0" w:space="0" w:color="auto"/>
        <w:bottom w:val="none" w:sz="0" w:space="0" w:color="auto"/>
        <w:right w:val="none" w:sz="0" w:space="0" w:color="auto"/>
      </w:divBdr>
    </w:div>
    <w:div w:id="2012944443">
      <w:bodyDiv w:val="1"/>
      <w:marLeft w:val="0"/>
      <w:marRight w:val="0"/>
      <w:marTop w:val="0"/>
      <w:marBottom w:val="0"/>
      <w:divBdr>
        <w:top w:val="none" w:sz="0" w:space="0" w:color="auto"/>
        <w:left w:val="none" w:sz="0" w:space="0" w:color="auto"/>
        <w:bottom w:val="none" w:sz="0" w:space="0" w:color="auto"/>
        <w:right w:val="none" w:sz="0" w:space="0" w:color="auto"/>
      </w:divBdr>
    </w:div>
    <w:div w:id="2033528978">
      <w:bodyDiv w:val="1"/>
      <w:marLeft w:val="0"/>
      <w:marRight w:val="0"/>
      <w:marTop w:val="0"/>
      <w:marBottom w:val="0"/>
      <w:divBdr>
        <w:top w:val="none" w:sz="0" w:space="0" w:color="auto"/>
        <w:left w:val="none" w:sz="0" w:space="0" w:color="auto"/>
        <w:bottom w:val="none" w:sz="0" w:space="0" w:color="auto"/>
        <w:right w:val="none" w:sz="0" w:space="0" w:color="auto"/>
      </w:divBdr>
    </w:div>
    <w:div w:id="2064865217">
      <w:bodyDiv w:val="1"/>
      <w:marLeft w:val="0"/>
      <w:marRight w:val="0"/>
      <w:marTop w:val="0"/>
      <w:marBottom w:val="0"/>
      <w:divBdr>
        <w:top w:val="none" w:sz="0" w:space="0" w:color="auto"/>
        <w:left w:val="none" w:sz="0" w:space="0" w:color="auto"/>
        <w:bottom w:val="none" w:sz="0" w:space="0" w:color="auto"/>
        <w:right w:val="none" w:sz="0" w:space="0" w:color="auto"/>
      </w:divBdr>
    </w:div>
    <w:div w:id="2082479950">
      <w:bodyDiv w:val="1"/>
      <w:marLeft w:val="0"/>
      <w:marRight w:val="0"/>
      <w:marTop w:val="0"/>
      <w:marBottom w:val="0"/>
      <w:divBdr>
        <w:top w:val="none" w:sz="0" w:space="0" w:color="auto"/>
        <w:left w:val="none" w:sz="0" w:space="0" w:color="auto"/>
        <w:bottom w:val="none" w:sz="0" w:space="0" w:color="auto"/>
        <w:right w:val="none" w:sz="0" w:space="0" w:color="auto"/>
      </w:divBdr>
    </w:div>
    <w:div w:id="2089421426">
      <w:bodyDiv w:val="1"/>
      <w:marLeft w:val="0"/>
      <w:marRight w:val="0"/>
      <w:marTop w:val="0"/>
      <w:marBottom w:val="0"/>
      <w:divBdr>
        <w:top w:val="none" w:sz="0" w:space="0" w:color="auto"/>
        <w:left w:val="none" w:sz="0" w:space="0" w:color="auto"/>
        <w:bottom w:val="none" w:sz="0" w:space="0" w:color="auto"/>
        <w:right w:val="none" w:sz="0" w:space="0" w:color="auto"/>
      </w:divBdr>
    </w:div>
    <w:div w:id="2117208634">
      <w:bodyDiv w:val="1"/>
      <w:marLeft w:val="0"/>
      <w:marRight w:val="0"/>
      <w:marTop w:val="0"/>
      <w:marBottom w:val="0"/>
      <w:divBdr>
        <w:top w:val="none" w:sz="0" w:space="0" w:color="auto"/>
        <w:left w:val="none" w:sz="0" w:space="0" w:color="auto"/>
        <w:bottom w:val="none" w:sz="0" w:space="0" w:color="auto"/>
        <w:right w:val="none" w:sz="0" w:space="0" w:color="auto"/>
      </w:divBdr>
    </w:div>
    <w:div w:id="21422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TAIS.106350/asr" TargetMode="External"/><Relationship Id="rId13" Type="http://schemas.openxmlformats.org/officeDocument/2006/relationships/hyperlink" Target="https://www.irena.org/publications/2022/Jul/Renewable-Power-Generation-Costs-in-2021" TargetMode="External"/><Relationship Id="rId18" Type="http://schemas.openxmlformats.org/officeDocument/2006/relationships/hyperlink" Target="https://www.nrel.gov/docs/fy12osti/51664.pdf" TargetMode="External"/><Relationship Id="rId3" Type="http://schemas.openxmlformats.org/officeDocument/2006/relationships/hyperlink" Target="https://ens.dk/sites/ens.dk/files/Analyser/technology_data_for_el_and_dh.xlsx" TargetMode="External"/><Relationship Id="rId21" Type="http://schemas.openxmlformats.org/officeDocument/2006/relationships/hyperlink" Target="https://www.nrel.gov/state-local-tribal/blog/posts/stat-faqs-part2-lifetime-of-pv-panels.html" TargetMode="External"/><Relationship Id="rId7" Type="http://schemas.openxmlformats.org/officeDocument/2006/relationships/hyperlink" Target="https://energy.ec.europa.eu/topics/energy&#8211;strategy/clean&#8211;energy&#8211;all&#8211;europeans&#8211;package_en" TargetMode="External"/><Relationship Id="rId12" Type="http://schemas.openxmlformats.org/officeDocument/2006/relationships/hyperlink" Target="https://e&#8211;seimas.lrs.lt/portal/legalAct/lt/TAP/26a26360cd3511ecb69ea7b9ba9d787b" TargetMode="External"/><Relationship Id="rId17" Type="http://schemas.openxmlformats.org/officeDocument/2006/relationships/hyperlink" Target="https://www.forbes.com/home-improvement/solar/how-long-do-solar-panels-last/" TargetMode="External"/><Relationship Id="rId2" Type="http://schemas.openxmlformats.org/officeDocument/2006/relationships/hyperlink" Target="https://www.eparkai.lt/saules-ir-vejo-parku-palyginimas" TargetMode="External"/><Relationship Id="rId16" Type="http://schemas.openxmlformats.org/officeDocument/2006/relationships/hyperlink" Target="https://ens.dk/sites/ens.dk/files/Analyser/technology_data_for_el_and_dh.xlsx" TargetMode="External"/><Relationship Id="rId20" Type="http://schemas.openxmlformats.org/officeDocument/2006/relationships/hyperlink" Target="https://www.nrel.gov/docs/fy12osti/51664.pdf" TargetMode="External"/><Relationship Id="rId1" Type="http://schemas.openxmlformats.org/officeDocument/2006/relationships/hyperlink" Target="https://eur-lex.europa.eu/legal-content/LT/TXT/HTML/?uri=CELEX:52022DC0230&amp;from=EN" TargetMode="External"/><Relationship Id="rId6" Type="http://schemas.openxmlformats.org/officeDocument/2006/relationships/hyperlink" Target="https://eur-lex.europa.eu/legal-content/LT/TXT/HTML/?uri=CELEX:52022DC0230&amp;from=EN" TargetMode="External"/><Relationship Id="rId11" Type="http://schemas.openxmlformats.org/officeDocument/2006/relationships/hyperlink" Target="https://www.cso.ie/en/releasesandpublications/ep/p-ndecber/non-domesticelectricityconsumptionbybuildingenergyratings2021/" TargetMode="External"/><Relationship Id="rId24" Type="http://schemas.openxmlformats.org/officeDocument/2006/relationships/hyperlink" Target="https://www.lb.lt/lt/leidiniai/bankuveiklos-apzvalga-2019-m-ii-ketv" TargetMode="External"/><Relationship Id="rId5" Type="http://schemas.openxmlformats.org/officeDocument/2006/relationships/hyperlink" Target="https://www.ecb.europa.eu/pub/economic-bulletin/html/eb202206.en.html" TargetMode="External"/><Relationship Id="rId15" Type="http://schemas.openxmlformats.org/officeDocument/2006/relationships/hyperlink" Target="https://www.ecb.europa.eu/pub/economic-bulletin/html/eb202206.en.html" TargetMode="External"/><Relationship Id="rId23" Type="http://schemas.openxmlformats.org/officeDocument/2006/relationships/hyperlink" Target="https://www.vert.lt/Puslapiai/bendra/Paslaugos/Pilieciu-energetikos-bendrijos-statuto-turetojas.aspx" TargetMode="External"/><Relationship Id="rId10" Type="http://schemas.openxmlformats.org/officeDocument/2006/relationships/hyperlink" Target="https://www.vipa.lt/wp-content/uploads/2021/11/FINAL-powerty_newsletter04_lt-002.pdf" TargetMode="External"/><Relationship Id="rId19" Type="http://schemas.openxmlformats.org/officeDocument/2006/relationships/hyperlink" Target="https://www.eparkai.lt/saules-ir-vejo-parku-palyginimas" TargetMode="External"/><Relationship Id="rId4" Type="http://schemas.openxmlformats.org/officeDocument/2006/relationships/hyperlink" Target="https://www.lb.lt/lt/mv-ekonomikos-analize-ir-prognozes" TargetMode="External"/><Relationship Id="rId9" Type="http://schemas.openxmlformats.org/officeDocument/2006/relationships/hyperlink" Target="https://eur-lex.europa.eu/legal-content/LT/TXT/?uri=CELEX%3A32018L2001" TargetMode="External"/><Relationship Id="rId14" Type="http://schemas.openxmlformats.org/officeDocument/2006/relationships/hyperlink" Target="https://www.lb.lt/lt/mv-ekonomikos-analize-ir-prognozes" TargetMode="External"/><Relationship Id="rId22" Type="http://schemas.openxmlformats.org/officeDocument/2006/relationships/hyperlink" Target="https://www.vert.lt/Puslapiai/bendra/Paslaugos/atsinaujinanciu-istekliu-energijos-bendriju-statuso-turetoj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C27593F7CE32488644236B65325095" ma:contentTypeVersion="15" ma:contentTypeDescription="Create a new document." ma:contentTypeScope="" ma:versionID="f97ff27d9edc5c77a65fe6fde8af4d15">
  <xsd:schema xmlns:xsd="http://www.w3.org/2001/XMLSchema" xmlns:xs="http://www.w3.org/2001/XMLSchema" xmlns:p="http://schemas.microsoft.com/office/2006/metadata/properties" xmlns:ns2="aa9e6e09-e6d7-4e1d-8b4f-f6925042cf8c" xmlns:ns3="2b41295b-4a78-4db4-b0ce-1c0c63904a83" targetNamespace="http://schemas.microsoft.com/office/2006/metadata/properties" ma:root="true" ma:fieldsID="507c32ee675b2bc45ef1dd794b50e90b" ns2:_="" ns3:_="">
    <xsd:import namespace="aa9e6e09-e6d7-4e1d-8b4f-f6925042cf8c"/>
    <xsd:import namespace="2b41295b-4a78-4db4-b0ce-1c0c63904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6e09-e6d7-4e1d-8b4f-f6925042c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403b0b-d9bd-45c8-b1ab-bc3073bb6d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1295b-4a78-4db4-b0ce-1c0c63904a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4155c8-b76f-4c60-92a0-aa6fa8260698}" ma:internalName="TaxCatchAll" ma:showField="CatchAllData" ma:web="2b41295b-4a78-4db4-b0ce-1c0c63904a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e6e09-e6d7-4e1d-8b4f-f6925042cf8c">
      <Terms xmlns="http://schemas.microsoft.com/office/infopath/2007/PartnerControls"/>
    </lcf76f155ced4ddcb4097134ff3c332f>
    <TaxCatchAll xmlns="2b41295b-4a78-4db4-b0ce-1c0c63904a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060F4-5202-4A24-ACC4-DB7619B1548A}">
  <ds:schemaRefs>
    <ds:schemaRef ds:uri="http://schemas.openxmlformats.org/officeDocument/2006/bibliography"/>
  </ds:schemaRefs>
</ds:datastoreItem>
</file>

<file path=customXml/itemProps2.xml><?xml version="1.0" encoding="utf-8"?>
<ds:datastoreItem xmlns:ds="http://schemas.openxmlformats.org/officeDocument/2006/customXml" ds:itemID="{2BD0B57D-0512-434C-BF7A-50C39EB5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6e09-e6d7-4e1d-8b4f-f6925042cf8c"/>
    <ds:schemaRef ds:uri="2b41295b-4a78-4db4-b0ce-1c0c6390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5A5C9-4250-40CB-A2D5-5C904D7DA74C}">
  <ds:schemaRefs>
    <ds:schemaRef ds:uri="http://schemas.microsoft.com/office/2006/metadata/properties"/>
    <ds:schemaRef ds:uri="http://schemas.microsoft.com/office/infopath/2007/PartnerControls"/>
    <ds:schemaRef ds:uri="aa9e6e09-e6d7-4e1d-8b4f-f6925042cf8c"/>
    <ds:schemaRef ds:uri="2b41295b-4a78-4db4-b0ce-1c0c63904a83"/>
  </ds:schemaRefs>
</ds:datastoreItem>
</file>

<file path=customXml/itemProps4.xml><?xml version="1.0" encoding="utf-8"?>
<ds:datastoreItem xmlns:ds="http://schemas.openxmlformats.org/officeDocument/2006/customXml" ds:itemID="{02953345-F0CC-45C6-AEDF-BF1E1710F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5803</TotalTime>
  <Pages>56</Pages>
  <Words>98834</Words>
  <Characters>56336</Characters>
  <Application>Microsoft Office Word</Application>
  <DocSecurity>0</DocSecurity>
  <Lines>469</Lines>
  <Paragraphs>309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154861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Vikmonaitė | BGI</dc:creator>
  <cp:lastModifiedBy>Goda Idzelytė</cp:lastModifiedBy>
  <cp:revision>46</cp:revision>
  <cp:lastPrinted>2024-07-02T07:50:00Z</cp:lastPrinted>
  <dcterms:created xsi:type="dcterms:W3CDTF">2024-06-21T12:02:00Z</dcterms:created>
  <dcterms:modified xsi:type="dcterms:W3CDTF">2024-07-02T09:50:00Z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0x010100AEC27593F7CE32488644236B65325095</vt:lpwstr>
  </property>
  <property fmtid="{D5CDD505-2E9C-101B-9397-08002B2CF9AE}" pid="4" name="lcf76f155ced4ddcb4097134ff3c332f">
    <vt:lpwstr/>
  </property>
  <property fmtid="{D5CDD505-2E9C-101B-9397-08002B2CF9AE}" pid="5" name="TaxCatchAll">
    <vt:lpwstr/>
  </property>
</Properties>
</file>