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 w:val="right" w:pos="9638"/>
        </w:tabs>
      </w:pPr>
    </w:p>
    <w:p>
      <w:pPr>
        <w:tabs>
          <w:tab w:val="center" w:pos="4819"/>
          <w:tab w:val="right" w:pos="9638"/>
          <w:tab w:val="left" w:pos="9779"/>
        </w:tabs>
        <w:jc w:val="center"/>
        <w:rPr>
          <w:lang w:val="en-US"/>
        </w:rPr>
      </w:pPr>
    </w:p>
    <w:p>
      <w:pPr>
        <w:tabs>
          <w:tab w:val="center" w:pos="4153"/>
          <w:tab w:val="right" w:pos="8306"/>
        </w:tabs>
        <w:ind w:right="1416" w:firstLine="124"/>
        <w:jc w:val="right"/>
        <w:rPr>
          <w:b/>
          <w:bCs/>
          <w:szCs w:val="24"/>
        </w:rPr>
      </w:pPr>
      <w:r>
        <w:rPr>
          <w:b/>
          <w:bCs/>
          <w:szCs w:val="24"/>
        </w:rPr>
        <w:t>Projektas</w:t>
      </w:r>
    </w:p>
    <w:p>
      <w:pPr>
        <w:tabs>
          <w:tab w:val="center" w:pos="4153"/>
          <w:tab w:val="right" w:pos="8306"/>
        </w:tabs>
        <w:jc w:val="center"/>
        <w:rPr>
          <w:szCs w:val="24"/>
        </w:rPr>
      </w:pPr>
    </w:p>
    <w:p>
      <w:pPr>
        <w:tabs>
          <w:tab w:val="center" w:pos="4153"/>
          <w:tab w:val="right" w:pos="8306"/>
        </w:tabs>
        <w:jc w:val="center"/>
        <w:rPr>
          <w:b/>
          <w:bCs/>
          <w:szCs w:val="24"/>
        </w:rPr>
      </w:pPr>
    </w:p>
    <w:p>
      <w:pPr>
        <w:tabs>
          <w:tab w:val="center" w:pos="4153"/>
          <w:tab w:val="right" w:pos="8306"/>
        </w:tabs>
        <w:jc w:val="center"/>
        <w:rPr>
          <w:b/>
          <w:bCs/>
          <w:szCs w:val="24"/>
        </w:rPr>
      </w:pPr>
      <w:r>
        <w:rPr>
          <w:b/>
          <w:bCs/>
          <w:szCs w:val="24"/>
        </w:rPr>
        <w:t>LIETUVOS RESPUBLIKOS SVEIKATOS APSAUGOS MINISTRAS</w:t>
      </w:r>
    </w:p>
    <w:p>
      <w:pPr>
        <w:tabs>
          <w:tab w:val="center" w:pos="4153"/>
          <w:tab w:val="right" w:pos="8306"/>
        </w:tabs>
        <w:jc w:val="center"/>
        <w:rPr>
          <w:b/>
          <w:bCs/>
          <w:szCs w:val="24"/>
        </w:rPr>
      </w:pPr>
    </w:p>
    <w:p>
      <w:pPr>
        <w:tabs>
          <w:tab w:val="center" w:pos="4153"/>
          <w:tab w:val="right" w:pos="8306"/>
        </w:tabs>
        <w:jc w:val="center"/>
        <w:rPr>
          <w:b/>
          <w:bCs/>
          <w:szCs w:val="24"/>
        </w:rPr>
      </w:pPr>
      <w:r>
        <w:rPr>
          <w:b/>
          <w:bCs/>
          <w:szCs w:val="24"/>
        </w:rPr>
        <w:t>ĮSAKYMAS</w:t>
      </w:r>
    </w:p>
    <w:p>
      <w:pPr>
        <w:jc w:val="center"/>
        <w:rPr>
          <w:b/>
          <w:bCs/>
          <w:szCs w:val="24"/>
        </w:rPr>
      </w:pPr>
      <w:r>
        <w:rPr>
          <w:b/>
          <w:bCs/>
          <w:szCs w:val="24"/>
        </w:rPr>
        <w:t xml:space="preserve">DĖL LIETUVOS RESPUBLIKOS SVEIKATOS APSAUGOS MINISTRO 2022 M. GEGUŽĖS 20 D. ĮSAKYMO NR. V-988 „DĖL </w:t>
      </w:r>
      <w:r>
        <w:rPr>
          <w:b/>
          <w:bCs/>
          <w:caps/>
          <w:color w:val="000000"/>
          <w:szCs w:val="24"/>
          <w:lang w:eastAsia="lt-LT"/>
        </w:rPr>
        <w:t xml:space="preserve">2022–2030 METŲ PLĖTROS PROGRAMOS VALDYTOJOS LIETUVOS RESPUBLIKOS SVEIKATOS APSAUGOS MINISTERIJOS SVEIKATOS PRIEŽIŪROS KOKYBĖS IR EFEKTYVUMO </w:t>
      </w:r>
      <w:r>
        <w:rPr>
          <w:b/>
          <w:bCs/>
          <w:caps/>
          <w:szCs w:val="24"/>
          <w:lang w:eastAsia="lt-LT"/>
        </w:rPr>
        <w:t>DIDINIMO PLĖTROS PROGRAMOS PAŽANGOS PRIEMONĖS NR. 11-002-02-11-01 „GERINTI SVEIKATOS PRIEŽIŪROS PASLAUGŲ KOKYBĘ IR PRIEINAMUMĄ“ APRAŠO patvirtinimo“ PAKEITIMO</w:t>
      </w:r>
    </w:p>
    <w:p>
      <w:pPr>
        <w:jc w:val="center"/>
        <w:rPr>
          <w:szCs w:val="24"/>
        </w:rPr>
      </w:pPr>
    </w:p>
    <w:p>
      <w:pPr>
        <w:jc w:val="center"/>
        <w:rPr>
          <w:szCs w:val="24"/>
        </w:rPr>
      </w:pPr>
      <w:r>
        <w:rPr>
          <w:szCs w:val="24"/>
        </w:rPr>
        <w:t xml:space="preserve">2024 m.             d. Nr. </w:t>
      </w:r>
    </w:p>
    <w:p>
      <w:pPr>
        <w:jc w:val="center"/>
        <w:rPr>
          <w:szCs w:val="24"/>
        </w:rPr>
      </w:pPr>
      <w:r>
        <w:rPr>
          <w:szCs w:val="24"/>
        </w:rPr>
        <w:t>Vilnius</w:t>
      </w:r>
    </w:p>
    <w:p>
      <w:pPr>
        <w:ind w:firstLine="851"/>
        <w:jc w:val="both"/>
        <w:rPr>
          <w:szCs w:val="24"/>
        </w:rPr>
      </w:pPr>
    </w:p>
    <w:p>
      <w:pPr>
        <w:spacing w:line="360" w:lineRule="atLeast"/>
        <w:ind w:firstLine="720"/>
        <w:jc w:val="both"/>
        <w:rPr>
          <w:szCs w:val="24"/>
        </w:rPr>
      </w:pPr>
      <w:r>
        <w:rPr>
          <w:szCs w:val="24"/>
        </w:rPr>
        <w:t>P a k e i č i u 2022–2030 metų plėtros programos valdytojos Lietuvos Respublikos sveikatos apsaugos ministerijos sveikatos priežiūros kokybės ir efektyvumo didinimo plėtros programos pažangos priemonės Nr. 11</w:t>
      </w:r>
      <w:r>
        <w:rPr>
          <w:caps/>
          <w:szCs w:val="24"/>
        </w:rPr>
        <w:t xml:space="preserve">-002-02-11-01 </w:t>
      </w:r>
      <w:r>
        <w:rPr>
          <w:szCs w:val="24"/>
        </w:rPr>
        <w:t>„Gerinti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w:t>
      </w:r>
      <w:r>
        <w:rPr>
          <w:caps/>
          <w:szCs w:val="24"/>
        </w:rPr>
        <w:t xml:space="preserve">-002-02-11-01 </w:t>
      </w:r>
      <w:r>
        <w:rPr>
          <w:szCs w:val="24"/>
        </w:rPr>
        <w:t>„Gerinti sveikatos priežiūros paslaugų kokybę ir prieinamumą“ aprašo patvirtinimo“, ir papildau 30 priedu (pridedama).</w:t>
      </w:r>
    </w:p>
    <w:p/>
    <w:p/>
    <w:p>
      <w:pPr>
        <w:rPr>
          <w:szCs w:val="24"/>
        </w:rPr>
      </w:pPr>
    </w:p>
    <w:p>
      <w:pPr>
        <w:rPr>
          <w:szCs w:val="24"/>
        </w:rPr>
      </w:pPr>
      <w:r>
        <w:rPr>
          <w:szCs w:val="24"/>
        </w:rPr>
        <w:t>Sveikatos apsaugos ministras</w:t>
        <w:tab/>
        <w:t xml:space="preserve">                                                                                                                                              </w:t>
        <w:tab/>
        <w:t xml:space="preserve">   </w:t>
        <w:tab/>
        <w:tab/>
        <w:tab/>
        <w:tab/>
      </w:r>
    </w:p>
    <w:p>
      <w:pPr>
        <w:jc w:val="both"/>
        <w:rPr>
          <w:szCs w:val="24"/>
        </w:rPr>
      </w:pPr>
    </w:p>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567" w:right="993" w:bottom="1701" w:left="1134" w:header="567" w:footer="567" w:gutter="0"/>
          <w:pgNumType w:start="0"/>
          <w:cols w:space="1296"/>
          <w:titlePg/>
          <w:docGrid w:linePitch="360"/>
        </w:sectPr>
      </w:pPr>
    </w:p>
    <w:p>
      <w:pPr>
        <w:tabs>
          <w:tab w:val="center" w:pos="4680"/>
          <w:tab w:val="right" w:pos="9360"/>
        </w:tabs>
        <w:rPr>
          <w:sz w:val="22"/>
          <w:szCs w:val="22"/>
          <w:lang w:eastAsia="lt-LT"/>
        </w:rPr>
      </w:pPr>
    </w:p>
    <w:p>
      <w:pPr>
        <w:ind w:left="10065"/>
        <w:jc w:val="both"/>
        <w:rPr>
          <w:szCs w:val="24"/>
        </w:rPr>
      </w:pPr>
      <w:r>
        <w:rPr>
          <w:szCs w:val="24"/>
        </w:rPr>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w:t>
      </w:r>
      <w:r>
        <w:rPr>
          <w:szCs w:val="24"/>
        </w:rPr>
        <w:t>30</w:t>
      </w:r>
      <w:r>
        <w:rPr>
          <w:szCs w:val="24"/>
        </w:rPr>
        <w:t xml:space="preserve"> priedas  </w:t>
      </w:r>
    </w:p>
    <w:p>
      <w:pPr>
        <w:jc w:val="center"/>
        <w:rPr>
          <w:i/>
          <w:szCs w:val="24"/>
        </w:rPr>
      </w:pPr>
    </w:p>
    <w:p>
      <w:pPr>
        <w:jc w:val="center"/>
        <w:rPr>
          <w:iCs/>
          <w:szCs w:val="24"/>
        </w:rPr>
      </w:pPr>
      <w:r>
        <w:rPr>
          <w:b/>
          <w:bCs/>
          <w:szCs w:val="24"/>
        </w:rPr>
        <w:t>2022–2030 METŲ SVEIKATOS PRIEŽIŪROS KOKYBĖS IR EFEKTYVUMO DIDINIMO PLĖTROS PROGRAMOS PAŽANGOS PRIEMONĖS NR. 11-002-02-11-01 „GERINTI SVEIKATOS PRIEŽIŪROS PASLAUGŲ KOKYBĘ IR PRIEINAMUMĄ“</w:t>
      </w:r>
    </w:p>
    <w:p>
      <w:pPr>
        <w:jc w:val="center"/>
        <w:rPr>
          <w:b/>
          <w:szCs w:val="24"/>
        </w:rPr>
      </w:pPr>
      <w:r>
        <w:rPr>
          <w:b/>
          <w:bCs/>
          <w:szCs w:val="24"/>
        </w:rPr>
        <w:t>PROJEKTŲ FINANSAVIMO SĄLYGŲ APRAŠAS NR. 30</w:t>
      </w:r>
    </w:p>
    <w:p>
      <w:pPr>
        <w:rPr>
          <w:bCs/>
          <w:i/>
          <w:szCs w:val="24"/>
        </w:rPr>
      </w:pPr>
    </w:p>
    <w:p>
      <w:pPr>
        <w:spacing w:line="259" w:lineRule="auto"/>
        <w:jc w:val="center"/>
        <w:rPr>
          <w:b/>
          <w:bCs/>
        </w:rPr>
      </w:pPr>
      <w:r>
        <w:rPr>
          <w:b/>
          <w:bCs/>
        </w:rPr>
        <w:t>I</w:t>
      </w:r>
      <w:r>
        <w:rPr>
          <w:b/>
          <w:bCs/>
        </w:rPr>
        <w:t xml:space="preserve"> SKYRIUS</w:t>
      </w:r>
    </w:p>
    <w:p>
      <w:pPr>
        <w:spacing w:line="259" w:lineRule="auto"/>
        <w:jc w:val="center"/>
        <w:rPr>
          <w:b/>
          <w:bCs/>
        </w:rPr>
      </w:pPr>
      <w:r>
        <w:rPr>
          <w:b/>
          <w:bCs/>
        </w:rPr>
        <w:t>VEIKLOS AR POVEIKLĖS, KURIOMS NUSTATOMOS PROJEKTŲ FINANSAVIMO SĄLYGOS IR JŲ RODIKLIAI</w:t>
      </w:r>
    </w:p>
    <w:p>
      <w:pPr>
        <w:spacing w:line="259" w:lineRule="auto"/>
        <w:jc w:val="center"/>
        <w:rPr>
          <w:b/>
          <w:szCs w:val="24"/>
        </w:rPr>
      </w:pPr>
    </w:p>
    <w:tbl>
      <w:tblPr>
        <w:tblW w:w="154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25"/>
        <w:gridCol w:w="1236"/>
        <w:gridCol w:w="1134"/>
        <w:gridCol w:w="1134"/>
        <w:gridCol w:w="1457"/>
        <w:gridCol w:w="1344"/>
        <w:gridCol w:w="1080"/>
        <w:gridCol w:w="1344"/>
        <w:gridCol w:w="1051"/>
        <w:gridCol w:w="1132"/>
        <w:gridCol w:w="859"/>
        <w:gridCol w:w="1153"/>
      </w:tblGrid>
      <w:tr>
        <w:tc>
          <w:tcPr>
            <w:tcW w:w="15467" w:type="dxa"/>
            <w:gridSpan w:val="13"/>
            <w:vAlign w:val="center"/>
          </w:tcPr>
          <w:p>
            <w:pPr>
              <w:ind w:left="720" w:hanging="360"/>
              <w:jc w:val="both"/>
              <w:rPr>
                <w:b/>
                <w:sz w:val="22"/>
                <w:szCs w:val="22"/>
              </w:rPr>
            </w:pPr>
            <w:r>
              <w:rPr>
                <w:b/>
                <w:sz w:val="22"/>
                <w:szCs w:val="22"/>
              </w:rPr>
              <w:t>1.</w:t>
              <w:tab/>
              <w:t>Veiklos ar poveiklės, kurioms nustatomos projektų finansavimo sąlygos</w:t>
            </w:r>
          </w:p>
        </w:tc>
      </w:tr>
      <w:tr>
        <w:tc>
          <w:tcPr>
            <w:tcW w:w="1418" w:type="dxa"/>
            <w:vAlign w:val="center"/>
          </w:tcPr>
          <w:p>
            <w:pPr>
              <w:jc w:val="center"/>
              <w:rPr>
                <w:b/>
                <w:sz w:val="20"/>
              </w:rPr>
            </w:pPr>
            <w:r>
              <w:rPr>
                <w:b/>
                <w:sz w:val="20"/>
              </w:rPr>
              <w:t xml:space="preserve">Veiklos ar poveiklės </w:t>
            </w:r>
            <w:r>
              <w:rPr>
                <w:b/>
                <w:color w:val="000000"/>
                <w:sz w:val="20"/>
              </w:rPr>
              <w:t xml:space="preserve">numeris ir </w:t>
            </w:r>
            <w:r>
              <w:rPr>
                <w:b/>
                <w:sz w:val="20"/>
              </w:rPr>
              <w:t>pavadinimas</w:t>
            </w:r>
          </w:p>
        </w:tc>
        <w:tc>
          <w:tcPr>
            <w:tcW w:w="1125" w:type="dxa"/>
            <w:vAlign w:val="center"/>
          </w:tcPr>
          <w:p>
            <w:pPr>
              <w:jc w:val="center"/>
              <w:rPr>
                <w:b/>
                <w:sz w:val="20"/>
              </w:rPr>
            </w:pPr>
            <w:r>
              <w:rPr>
                <w:b/>
                <w:sz w:val="20"/>
              </w:rPr>
              <w:t>Finansa-vimo šaltinis</w:t>
            </w:r>
          </w:p>
        </w:tc>
        <w:tc>
          <w:tcPr>
            <w:tcW w:w="1236" w:type="dxa"/>
            <w:vAlign w:val="center"/>
          </w:tcPr>
          <w:p>
            <w:pPr>
              <w:jc w:val="center"/>
              <w:rPr>
                <w:b/>
                <w:sz w:val="20"/>
              </w:rPr>
            </w:pPr>
            <w:r>
              <w:rPr>
                <w:b/>
                <w:sz w:val="20"/>
              </w:rPr>
              <w:t>Prioritetas ar komponen-tas</w:t>
            </w:r>
          </w:p>
        </w:tc>
        <w:tc>
          <w:tcPr>
            <w:tcW w:w="1134" w:type="dxa"/>
            <w:vAlign w:val="center"/>
          </w:tcPr>
          <w:p>
            <w:pPr>
              <w:jc w:val="center"/>
              <w:rPr>
                <w:b/>
                <w:sz w:val="20"/>
              </w:rPr>
            </w:pPr>
            <w:r>
              <w:rPr>
                <w:b/>
                <w:sz w:val="20"/>
              </w:rPr>
              <w:t>Uždavi-nys ar priemonė</w:t>
            </w:r>
          </w:p>
        </w:tc>
        <w:tc>
          <w:tcPr>
            <w:tcW w:w="1134" w:type="dxa"/>
            <w:vAlign w:val="center"/>
          </w:tcPr>
          <w:p>
            <w:pPr>
              <w:jc w:val="center"/>
              <w:rPr>
                <w:b/>
                <w:sz w:val="20"/>
              </w:rPr>
            </w:pPr>
            <w:r>
              <w:rPr>
                <w:b/>
                <w:sz w:val="20"/>
              </w:rPr>
              <w:t>Veikla ar paprie-monė</w:t>
            </w:r>
          </w:p>
        </w:tc>
        <w:tc>
          <w:tcPr>
            <w:tcW w:w="1457" w:type="dxa"/>
            <w:vAlign w:val="center"/>
          </w:tcPr>
          <w:p>
            <w:pPr>
              <w:jc w:val="center"/>
              <w:rPr>
                <w:b/>
                <w:sz w:val="20"/>
              </w:rPr>
            </w:pPr>
            <w:r>
              <w:rPr>
                <w:b/>
                <w:sz w:val="20"/>
              </w:rPr>
              <w:t>Intervencinės priemonės kodas</w:t>
            </w:r>
          </w:p>
        </w:tc>
        <w:tc>
          <w:tcPr>
            <w:tcW w:w="1344" w:type="dxa"/>
            <w:vAlign w:val="center"/>
          </w:tcPr>
          <w:p>
            <w:pPr>
              <w:jc w:val="center"/>
              <w:rPr>
                <w:b/>
                <w:sz w:val="20"/>
              </w:rPr>
            </w:pPr>
            <w:r>
              <w:rPr>
                <w:b/>
                <w:sz w:val="20"/>
              </w:rPr>
              <w:t>Regionas, kuriam priskiriama veikla ar poveiklė</w:t>
            </w:r>
          </w:p>
        </w:tc>
        <w:tc>
          <w:tcPr>
            <w:tcW w:w="1080" w:type="dxa"/>
            <w:vAlign w:val="center"/>
          </w:tcPr>
          <w:p>
            <w:pPr>
              <w:jc w:val="center"/>
              <w:rPr>
                <w:b/>
                <w:sz w:val="20"/>
              </w:rPr>
            </w:pPr>
            <w:r>
              <w:rPr>
                <w:b/>
                <w:sz w:val="20"/>
              </w:rPr>
              <w:t>Paramos formos kodas</w:t>
            </w:r>
          </w:p>
        </w:tc>
        <w:tc>
          <w:tcPr>
            <w:tcW w:w="1344" w:type="dxa"/>
            <w:vAlign w:val="center"/>
          </w:tcPr>
          <w:p>
            <w:pPr>
              <w:jc w:val="center"/>
              <w:rPr>
                <w:b/>
                <w:sz w:val="20"/>
              </w:rPr>
            </w:pPr>
            <w:r>
              <w:rPr>
                <w:b/>
                <w:sz w:val="20"/>
              </w:rPr>
              <w:t>Pagrindinės teritorinės srities kodas (-ai)</w:t>
            </w:r>
          </w:p>
        </w:tc>
        <w:tc>
          <w:tcPr>
            <w:tcW w:w="1051" w:type="dxa"/>
            <w:vAlign w:val="center"/>
          </w:tcPr>
          <w:p>
            <w:pPr>
              <w:jc w:val="center"/>
              <w:rPr>
                <w:b/>
                <w:sz w:val="20"/>
              </w:rPr>
            </w:pPr>
            <w:r>
              <w:rPr>
                <w:b/>
                <w:sz w:val="20"/>
              </w:rPr>
              <w:t xml:space="preserve">Ekono-minės veiklos kodas </w:t>
            </w:r>
          </w:p>
          <w:p>
            <w:pPr>
              <w:jc w:val="center"/>
              <w:rPr>
                <w:b/>
                <w:sz w:val="20"/>
              </w:rPr>
            </w:pPr>
            <w:r>
              <w:rPr>
                <w:b/>
                <w:sz w:val="20"/>
              </w:rPr>
              <w:t>(-ai)</w:t>
            </w:r>
          </w:p>
        </w:tc>
        <w:tc>
          <w:tcPr>
            <w:tcW w:w="1132" w:type="dxa"/>
            <w:vAlign w:val="center"/>
          </w:tcPr>
          <w:p>
            <w:pPr>
              <w:jc w:val="center"/>
              <w:rPr>
                <w:b/>
                <w:sz w:val="20"/>
              </w:rPr>
            </w:pPr>
            <w:r>
              <w:rPr>
                <w:b/>
                <w:sz w:val="20"/>
              </w:rPr>
              <w:t>„Europos socialinio fondo +“ (toliau – ESF+) antrinių temų kodai</w:t>
            </w:r>
          </w:p>
        </w:tc>
        <w:tc>
          <w:tcPr>
            <w:tcW w:w="859" w:type="dxa"/>
            <w:vAlign w:val="center"/>
          </w:tcPr>
          <w:p>
            <w:pPr>
              <w:jc w:val="center"/>
              <w:rPr>
                <w:b/>
                <w:sz w:val="20"/>
              </w:rPr>
            </w:pPr>
            <w:r>
              <w:rPr>
                <w:b/>
                <w:sz w:val="20"/>
              </w:rPr>
              <w:t>Lyčių lygybės mat-mens kodas</w:t>
            </w:r>
          </w:p>
        </w:tc>
        <w:tc>
          <w:tcPr>
            <w:tcW w:w="1149" w:type="dxa"/>
            <w:vAlign w:val="center"/>
          </w:tcPr>
          <w:p>
            <w:pPr>
              <w:jc w:val="center"/>
              <w:rPr>
                <w:b/>
                <w:sz w:val="20"/>
              </w:rPr>
            </w:pPr>
            <w:r>
              <w:rPr>
                <w:b/>
                <w:sz w:val="20"/>
              </w:rPr>
              <w:t>Nepanau-dotos Ekonomi-kos gaivinimo ir atsparumo didinimo priemonės lėšos</w:t>
            </w:r>
          </w:p>
          <w:p>
            <w:pPr>
              <w:jc w:val="center"/>
              <w:rPr>
                <w:b/>
                <w:sz w:val="20"/>
              </w:rPr>
            </w:pPr>
            <w:r>
              <w:rPr>
                <w:b/>
                <w:sz w:val="20"/>
              </w:rPr>
              <w:t>(Taip / Ne)</w:t>
            </w:r>
          </w:p>
        </w:tc>
      </w:tr>
      <w:tr>
        <w:trPr>
          <w:trHeight w:val="278"/>
        </w:trPr>
        <w:tc>
          <w:tcPr>
            <w:tcW w:w="1418" w:type="dxa"/>
            <w:tcMar>
              <w:left w:w="28" w:type="dxa"/>
              <w:right w:w="28" w:type="dxa"/>
            </w:tcMar>
          </w:tcPr>
          <w:p>
            <w:pPr>
              <w:ind w:firstLine="48"/>
              <w:jc w:val="center"/>
              <w:rPr>
                <w:i/>
                <w:sz w:val="18"/>
                <w:szCs w:val="18"/>
              </w:rPr>
            </w:pPr>
            <w:r>
              <w:rPr>
                <w:sz w:val="20"/>
              </w:rPr>
              <w:t>3.5. Inovatyvių specializuotų sveikatos priežiūros paslaugų teikimo ir organizavimo modelių kūrimas ir išbandymas, Vidurio ir vakarų Lietuvos regionas</w:t>
            </w:r>
          </w:p>
        </w:tc>
        <w:tc>
          <w:tcPr>
            <w:tcW w:w="1125" w:type="dxa"/>
            <w:tcMar>
              <w:left w:w="28" w:type="dxa"/>
              <w:right w:w="28" w:type="dxa"/>
            </w:tcMar>
          </w:tcPr>
          <w:p>
            <w:pPr>
              <w:jc w:val="center"/>
              <w:rPr>
                <w:b/>
                <w:i/>
                <w:sz w:val="18"/>
                <w:szCs w:val="18"/>
              </w:rPr>
            </w:pPr>
            <w:r>
              <w:rPr>
                <w:sz w:val="20"/>
              </w:rPr>
              <w:t>Europos Sąjungos fondų lėšos (toliau – ES lėšos) ir bendrojo finansavimo lėšos (toliau – BF lėšos)</w:t>
            </w:r>
          </w:p>
        </w:tc>
        <w:tc>
          <w:tcPr>
            <w:tcW w:w="1236" w:type="dxa"/>
            <w:tcMar>
              <w:left w:w="28" w:type="dxa"/>
              <w:right w:w="28" w:type="dxa"/>
            </w:tcMar>
          </w:tcPr>
          <w:p>
            <w:pPr>
              <w:jc w:val="center"/>
              <w:rPr>
                <w:sz w:val="20"/>
              </w:rPr>
            </w:pPr>
            <w:r>
              <w:rPr>
                <w:sz w:val="20"/>
              </w:rPr>
              <w:t>4</w:t>
            </w:r>
          </w:p>
        </w:tc>
        <w:tc>
          <w:tcPr>
            <w:tcW w:w="1134" w:type="dxa"/>
            <w:tcMar>
              <w:left w:w="28" w:type="dxa"/>
              <w:right w:w="28" w:type="dxa"/>
            </w:tcMar>
          </w:tcPr>
          <w:p>
            <w:pPr>
              <w:jc w:val="center"/>
              <w:rPr>
                <w:sz w:val="20"/>
              </w:rPr>
            </w:pPr>
            <w:r>
              <w:rPr>
                <w:sz w:val="20"/>
              </w:rPr>
              <w:t>4.8</w:t>
            </w:r>
          </w:p>
        </w:tc>
        <w:tc>
          <w:tcPr>
            <w:tcW w:w="1134" w:type="dxa"/>
            <w:tcMar>
              <w:left w:w="28" w:type="dxa"/>
              <w:right w:w="28" w:type="dxa"/>
            </w:tcMar>
          </w:tcPr>
          <w:p>
            <w:pPr>
              <w:jc w:val="center"/>
              <w:rPr>
                <w:sz w:val="20"/>
              </w:rPr>
            </w:pPr>
            <w:r>
              <w:rPr>
                <w:sz w:val="20"/>
              </w:rPr>
              <w:t>4.8.8</w:t>
            </w:r>
          </w:p>
          <w:p>
            <w:pPr>
              <w:jc w:val="center"/>
              <w:rPr>
                <w:sz w:val="20"/>
              </w:rPr>
            </w:pPr>
            <w:r>
              <w:rPr>
                <w:sz w:val="20"/>
              </w:rPr>
              <w:t>Gerinti aukštos kokybės specializuotos sveikatos priežiūros prieinamumą</w:t>
            </w:r>
          </w:p>
        </w:tc>
        <w:tc>
          <w:tcPr>
            <w:tcW w:w="1457" w:type="dxa"/>
            <w:tcMar>
              <w:left w:w="28" w:type="dxa"/>
              <w:right w:w="28" w:type="dxa"/>
            </w:tcMar>
          </w:tcPr>
          <w:p>
            <w:pPr>
              <w:jc w:val="center"/>
              <w:rPr>
                <w:sz w:val="20"/>
              </w:rPr>
            </w:pPr>
            <w:r>
              <w:rPr>
                <w:sz w:val="20"/>
              </w:rPr>
              <w:t>160</w:t>
            </w:r>
          </w:p>
        </w:tc>
        <w:tc>
          <w:tcPr>
            <w:tcW w:w="1344" w:type="dxa"/>
            <w:tcMar>
              <w:left w:w="28" w:type="dxa"/>
              <w:right w:w="28" w:type="dxa"/>
            </w:tcMar>
          </w:tcPr>
          <w:p>
            <w:pPr>
              <w:jc w:val="center"/>
              <w:rPr>
                <w:sz w:val="20"/>
              </w:rPr>
            </w:pPr>
            <w:r>
              <w:rPr>
                <w:sz w:val="20"/>
              </w:rPr>
              <w:t>Vidurio ir vakarų Lietuvos</w:t>
            </w:r>
          </w:p>
        </w:tc>
        <w:tc>
          <w:tcPr>
            <w:tcW w:w="1080" w:type="dxa"/>
            <w:tcMar>
              <w:left w:w="28" w:type="dxa"/>
              <w:right w:w="28" w:type="dxa"/>
            </w:tcMar>
          </w:tcPr>
          <w:p>
            <w:pPr>
              <w:jc w:val="center"/>
              <w:rPr>
                <w:sz w:val="20"/>
              </w:rPr>
            </w:pPr>
            <w:r>
              <w:rPr>
                <w:sz w:val="20"/>
              </w:rPr>
              <w:t>01</w:t>
            </w:r>
          </w:p>
        </w:tc>
        <w:tc>
          <w:tcPr>
            <w:tcW w:w="1344" w:type="dxa"/>
            <w:tcMar>
              <w:left w:w="28" w:type="dxa"/>
              <w:right w:w="28" w:type="dxa"/>
            </w:tcMar>
          </w:tcPr>
          <w:p>
            <w:pPr>
              <w:jc w:val="center"/>
              <w:rPr>
                <w:sz w:val="20"/>
              </w:rPr>
            </w:pPr>
            <w:r>
              <w:rPr>
                <w:sz w:val="20"/>
              </w:rPr>
              <w:t>33</w:t>
            </w:r>
          </w:p>
        </w:tc>
        <w:tc>
          <w:tcPr>
            <w:tcW w:w="1051" w:type="dxa"/>
            <w:tcMar>
              <w:left w:w="28" w:type="dxa"/>
              <w:right w:w="28" w:type="dxa"/>
            </w:tcMar>
          </w:tcPr>
          <w:p>
            <w:pPr>
              <w:jc w:val="center"/>
              <w:rPr>
                <w:sz w:val="20"/>
              </w:rPr>
            </w:pPr>
            <w:r>
              <w:rPr>
                <w:sz w:val="20"/>
              </w:rPr>
              <w:t>22</w:t>
            </w:r>
          </w:p>
        </w:tc>
        <w:tc>
          <w:tcPr>
            <w:tcW w:w="1132" w:type="dxa"/>
            <w:tcMar>
              <w:left w:w="28" w:type="dxa"/>
              <w:right w:w="28" w:type="dxa"/>
            </w:tcMar>
          </w:tcPr>
          <w:p>
            <w:pPr>
              <w:jc w:val="center"/>
              <w:rPr>
                <w:sz w:val="20"/>
              </w:rPr>
            </w:pPr>
            <w:r>
              <w:rPr>
                <w:sz w:val="20"/>
              </w:rPr>
              <w:t>09</w:t>
            </w:r>
          </w:p>
        </w:tc>
        <w:tc>
          <w:tcPr>
            <w:tcW w:w="859" w:type="dxa"/>
            <w:tcMar>
              <w:left w:w="28" w:type="dxa"/>
              <w:right w:w="28" w:type="dxa"/>
            </w:tcMar>
          </w:tcPr>
          <w:p>
            <w:pPr>
              <w:jc w:val="center"/>
              <w:rPr>
                <w:sz w:val="20"/>
              </w:rPr>
            </w:pPr>
            <w:r>
              <w:rPr>
                <w:sz w:val="20"/>
              </w:rPr>
              <w:t>03</w:t>
            </w:r>
          </w:p>
        </w:tc>
        <w:tc>
          <w:tcPr>
            <w:tcW w:w="1149" w:type="dxa"/>
          </w:tcPr>
          <w:p>
            <w:pPr>
              <w:jc w:val="center"/>
              <w:rPr>
                <w:sz w:val="20"/>
              </w:rPr>
            </w:pPr>
            <w:r>
              <w:rPr>
                <w:sz w:val="20"/>
              </w:rPr>
              <w:t>Ne</w:t>
            </w:r>
          </w:p>
        </w:tc>
      </w:tr>
    </w:tbl>
    <w:p>
      <w:pPr>
        <w:jc w:val="both"/>
        <w:rPr>
          <w:bCs/>
        </w:rPr>
      </w:pPr>
      <w:r>
        <w:rPr>
          <w:b/>
          <w:szCs w:val="24"/>
        </w:rPr>
        <w:t xml:space="preserve">Pastaba. </w:t>
      </w:r>
      <w:r>
        <w:rPr>
          <w:bCs/>
        </w:rPr>
        <w:t>Sąvoka „Nepanaudotos EGADP lėšos“ suprantama taip, kaip ji apibrėžta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72</w:t>
      </w:r>
      <w:r>
        <w:rPr>
          <w:bCs/>
          <w:vertAlign w:val="superscript"/>
        </w:rPr>
        <w:t>1</w:t>
      </w:r>
      <w:r>
        <w:rPr>
          <w:bCs/>
        </w:rPr>
        <w:t xml:space="preserve"> punkte.</w:t>
      </w:r>
    </w:p>
    <w:p>
      <w:pPr>
        <w:ind w:firstLine="567"/>
        <w:jc w:val="both"/>
        <w:rPr>
          <w:b/>
          <w:i/>
          <w:iC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251"/>
      </w:tblGrid>
      <w:tr>
        <w:trPr>
          <w:trHeight w:val="405"/>
        </w:trPr>
        <w:tc>
          <w:tcPr>
            <w:tcW w:w="14601" w:type="dxa"/>
            <w:gridSpan w:val="4"/>
            <w:shd w:val="clear" w:color="auto" w:fill="auto"/>
            <w:vAlign w:val="center"/>
          </w:tcPr>
          <w:p>
            <w:pPr>
              <w:rPr>
                <w:sz w:val="22"/>
                <w:szCs w:val="22"/>
              </w:rPr>
            </w:pPr>
            <w:r>
              <w:rPr>
                <w:b/>
                <w:sz w:val="22"/>
                <w:szCs w:val="22"/>
              </w:rPr>
              <w:t>2. Veiklos ar poveiklės rodikliai</w:t>
            </w:r>
          </w:p>
        </w:tc>
      </w:tr>
      <w:tr>
        <w:trPr>
          <w:trHeight w:val="405"/>
        </w:trPr>
        <w:tc>
          <w:tcPr>
            <w:tcW w:w="3783" w:type="dxa"/>
            <w:shd w:val="clear" w:color="auto" w:fill="auto"/>
            <w:vAlign w:val="center"/>
          </w:tcPr>
          <w:p>
            <w:pPr>
              <w:jc w:val="center"/>
              <w:rPr>
                <w:sz w:val="22"/>
                <w:szCs w:val="22"/>
              </w:rPr>
            </w:pPr>
            <w:r>
              <w:rPr>
                <w:sz w:val="22"/>
                <w:szCs w:val="22"/>
              </w:rPr>
              <w:t>Rodiklio pavadinimas</w:t>
            </w:r>
          </w:p>
        </w:tc>
        <w:tc>
          <w:tcPr>
            <w:tcW w:w="3784" w:type="dxa"/>
            <w:shd w:val="clear" w:color="auto" w:fill="auto"/>
            <w:vAlign w:val="center"/>
          </w:tcPr>
          <w:p>
            <w:pPr>
              <w:jc w:val="center"/>
              <w:rPr>
                <w:sz w:val="22"/>
                <w:szCs w:val="22"/>
              </w:rPr>
            </w:pPr>
            <w:r>
              <w:rPr>
                <w:sz w:val="22"/>
                <w:szCs w:val="22"/>
              </w:rPr>
              <w:t>Rodiklio kodas</w:t>
            </w:r>
          </w:p>
        </w:tc>
        <w:tc>
          <w:tcPr>
            <w:tcW w:w="3783" w:type="dxa"/>
            <w:shd w:val="clear" w:color="auto" w:fill="auto"/>
            <w:vAlign w:val="center"/>
          </w:tcPr>
          <w:p>
            <w:pPr>
              <w:jc w:val="center"/>
              <w:rPr>
                <w:sz w:val="22"/>
                <w:szCs w:val="22"/>
              </w:rPr>
            </w:pPr>
            <w:r>
              <w:rPr>
                <w:sz w:val="22"/>
                <w:szCs w:val="22"/>
              </w:rPr>
              <w:t>Matavimo vienetai</w:t>
            </w:r>
          </w:p>
        </w:tc>
        <w:tc>
          <w:tcPr>
            <w:tcW w:w="3251" w:type="dxa"/>
            <w:shd w:val="clear" w:color="auto" w:fill="auto"/>
            <w:vAlign w:val="center"/>
          </w:tcPr>
          <w:p>
            <w:pPr>
              <w:jc w:val="center"/>
              <w:rPr>
                <w:sz w:val="22"/>
                <w:szCs w:val="22"/>
              </w:rPr>
            </w:pPr>
            <w:r>
              <w:rPr>
                <w:sz w:val="22"/>
                <w:szCs w:val="22"/>
              </w:rPr>
              <w:t>Siektina reikšmė ir pasiekimo data</w:t>
            </w:r>
          </w:p>
        </w:tc>
      </w:tr>
      <w:tr>
        <w:trPr>
          <w:trHeight w:val="416"/>
        </w:trPr>
        <w:tc>
          <w:tcPr>
            <w:tcW w:w="3783" w:type="dxa"/>
          </w:tcPr>
          <w:p>
            <w:pPr>
              <w:jc w:val="center"/>
              <w:rPr>
                <w:i/>
                <w:iCs/>
                <w:sz w:val="22"/>
                <w:szCs w:val="22"/>
              </w:rPr>
            </w:pPr>
            <w:r>
              <w:rPr>
                <w:sz w:val="22"/>
                <w:szCs w:val="22"/>
              </w:rPr>
              <w:t>2.1. Paramą gavusių nacionalinio, regionų ar vietos lygmens viešojo administravimo ar viešąsias paslaugas teikiančių įstaigų skaičius</w:t>
            </w:r>
          </w:p>
        </w:tc>
        <w:tc>
          <w:tcPr>
            <w:tcW w:w="3784" w:type="dxa"/>
          </w:tcPr>
          <w:p>
            <w:pPr>
              <w:jc w:val="center"/>
              <w:rPr>
                <w:sz w:val="22"/>
                <w:szCs w:val="22"/>
              </w:rPr>
            </w:pPr>
            <w:r>
              <w:rPr>
                <w:sz w:val="22"/>
                <w:szCs w:val="22"/>
              </w:rPr>
              <w:t>P.B.2.0518</w:t>
            </w:r>
          </w:p>
          <w:p>
            <w:pPr>
              <w:jc w:val="center"/>
              <w:rPr>
                <w:sz w:val="22"/>
                <w:szCs w:val="22"/>
                <w:lang w:eastAsia="lt-LT"/>
              </w:rPr>
            </w:pPr>
            <w:r>
              <w:rPr>
                <w:sz w:val="22"/>
                <w:szCs w:val="22"/>
                <w:lang w:eastAsia="lt-LT"/>
              </w:rPr>
              <w:t>P-11-002-02-11-01-22</w:t>
            </w:r>
          </w:p>
          <w:p>
            <w:pPr>
              <w:jc w:val="center"/>
              <w:rPr>
                <w:i/>
                <w:iCs/>
                <w:sz w:val="22"/>
                <w:szCs w:val="22"/>
              </w:rPr>
            </w:pPr>
          </w:p>
        </w:tc>
        <w:tc>
          <w:tcPr>
            <w:tcW w:w="3783" w:type="dxa"/>
          </w:tcPr>
          <w:p>
            <w:pPr>
              <w:jc w:val="center"/>
              <w:rPr>
                <w:i/>
                <w:iCs/>
                <w:sz w:val="22"/>
                <w:szCs w:val="22"/>
              </w:rPr>
            </w:pPr>
            <w:r>
              <w:rPr>
                <w:sz w:val="22"/>
                <w:szCs w:val="22"/>
              </w:rPr>
              <w:t>Subjektų skaičius</w:t>
            </w:r>
          </w:p>
        </w:tc>
        <w:tc>
          <w:tcPr>
            <w:tcW w:w="3251" w:type="dxa"/>
          </w:tcPr>
          <w:p>
            <w:pPr>
              <w:jc w:val="center"/>
              <w:rPr>
                <w:sz w:val="22"/>
                <w:szCs w:val="22"/>
              </w:rPr>
            </w:pPr>
            <w:r>
              <w:rPr>
                <w:sz w:val="22"/>
                <w:szCs w:val="22"/>
              </w:rPr>
              <w:t>6</w:t>
            </w:r>
          </w:p>
          <w:p>
            <w:pPr>
              <w:jc w:val="center"/>
              <w:rPr>
                <w:i/>
                <w:iCs/>
                <w:sz w:val="22"/>
                <w:szCs w:val="22"/>
              </w:rPr>
            </w:pPr>
            <w:r>
              <w:rPr>
                <w:sz w:val="22"/>
                <w:szCs w:val="22"/>
              </w:rPr>
              <w:t>(2029 m.)</w:t>
            </w:r>
          </w:p>
        </w:tc>
      </w:tr>
      <w:tr>
        <w:trPr>
          <w:trHeight w:val="416"/>
        </w:trPr>
        <w:tc>
          <w:tcPr>
            <w:tcW w:w="3783" w:type="dxa"/>
          </w:tcPr>
          <w:p>
            <w:pPr>
              <w:jc w:val="center"/>
              <w:rPr>
                <w:sz w:val="22"/>
                <w:szCs w:val="22"/>
              </w:rPr>
            </w:pPr>
            <w:r>
              <w:rPr>
                <w:sz w:val="22"/>
                <w:szCs w:val="22"/>
              </w:rPr>
              <w:t>2.2. Pacientų pasitenkinimas gautomis paslaugomis</w:t>
            </w:r>
          </w:p>
        </w:tc>
        <w:tc>
          <w:tcPr>
            <w:tcW w:w="3784" w:type="dxa"/>
          </w:tcPr>
          <w:p>
            <w:pPr>
              <w:jc w:val="center"/>
              <w:rPr>
                <w:sz w:val="22"/>
                <w:szCs w:val="22"/>
                <w:lang w:eastAsia="lt-LT"/>
              </w:rPr>
            </w:pPr>
            <w:r>
              <w:rPr>
                <w:sz w:val="22"/>
                <w:szCs w:val="22"/>
                <w:lang w:eastAsia="lt-LT"/>
              </w:rPr>
              <w:t>R.S.2.3529</w:t>
            </w:r>
          </w:p>
          <w:p>
            <w:pPr>
              <w:jc w:val="center"/>
              <w:rPr>
                <w:sz w:val="22"/>
                <w:szCs w:val="22"/>
              </w:rPr>
            </w:pPr>
            <w:r>
              <w:rPr>
                <w:sz w:val="22"/>
                <w:szCs w:val="22"/>
                <w:lang w:eastAsia="lt-LT"/>
              </w:rPr>
              <w:t>R-11-002-02-11-01-27</w:t>
            </w:r>
          </w:p>
        </w:tc>
        <w:tc>
          <w:tcPr>
            <w:tcW w:w="3783" w:type="dxa"/>
          </w:tcPr>
          <w:p>
            <w:pPr>
              <w:jc w:val="center"/>
              <w:rPr>
                <w:sz w:val="22"/>
                <w:szCs w:val="22"/>
              </w:rPr>
            </w:pPr>
            <w:r>
              <w:rPr>
                <w:sz w:val="22"/>
                <w:szCs w:val="22"/>
              </w:rPr>
              <w:t>Proc.</w:t>
            </w:r>
          </w:p>
        </w:tc>
        <w:tc>
          <w:tcPr>
            <w:tcW w:w="3251" w:type="dxa"/>
          </w:tcPr>
          <w:p>
            <w:pPr>
              <w:jc w:val="center"/>
              <w:rPr>
                <w:sz w:val="22"/>
                <w:szCs w:val="22"/>
              </w:rPr>
            </w:pPr>
            <w:r>
              <w:rPr>
                <w:sz w:val="22"/>
                <w:szCs w:val="22"/>
              </w:rPr>
              <w:t>70</w:t>
            </w:r>
          </w:p>
          <w:p>
            <w:pPr>
              <w:jc w:val="center"/>
              <w:rPr>
                <w:sz w:val="22"/>
                <w:szCs w:val="22"/>
              </w:rPr>
            </w:pPr>
            <w:r>
              <w:rPr>
                <w:sz w:val="22"/>
                <w:szCs w:val="22"/>
              </w:rPr>
              <w:t>(2029 m.)</w:t>
            </w:r>
          </w:p>
        </w:tc>
      </w:tr>
    </w:tbl>
    <w:p>
      <w:pPr>
        <w:jc w:val="both"/>
        <w:rPr>
          <w:i/>
          <w:iCs/>
          <w:szCs w:val="24"/>
        </w:rPr>
      </w:pPr>
      <w:r>
        <w:rPr>
          <w:b/>
          <w:szCs w:val="24"/>
        </w:rPr>
        <w:t>Pastaba.</w:t>
      </w:r>
      <w:r>
        <w:rPr>
          <w:i/>
          <w:iCs/>
          <w:szCs w:val="24"/>
        </w:rPr>
        <w:t xml:space="preserve"> </w:t>
      </w:r>
      <w:r>
        <w:rPr>
          <w:bCs/>
          <w:szCs w:val="24"/>
        </w:rPr>
        <w:t>Pacientų pasitenkinimo gautomis paslaugomis rodiklis vykdomiems projektams netaikomas ir į projekto įgyvendinimo planą (toliau – PĮP) ir finansavimo sutartį neįtraukiamas.</w:t>
      </w:r>
    </w:p>
    <w:p>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trPr>
          <w:trHeight w:val="298"/>
        </w:trPr>
        <w:tc>
          <w:tcPr>
            <w:tcW w:w="15158" w:type="dxa"/>
          </w:tcPr>
          <w:p>
            <w:pPr>
              <w:jc w:val="both"/>
              <w:rPr>
                <w:szCs w:val="24"/>
              </w:rPr>
            </w:pPr>
            <w:r>
              <w:rPr>
                <w:b/>
                <w:bCs/>
                <w:szCs w:val="24"/>
              </w:rPr>
              <w:t>3.</w:t>
            </w:r>
            <w:r>
              <w:rPr>
                <w:szCs w:val="24"/>
              </w:rPr>
              <w:t xml:space="preserve"> Ministerijos stebėsenos rodiklių aprašymo kortelės</w:t>
            </w:r>
          </w:p>
        </w:tc>
      </w:tr>
      <w:tr>
        <w:trPr>
          <w:trHeight w:val="315"/>
        </w:trPr>
        <w:tc>
          <w:tcPr>
            <w:tcW w:w="15158" w:type="dxa"/>
          </w:tcPr>
          <w:p>
            <w:pPr>
              <w:spacing w:line="259" w:lineRule="auto"/>
              <w:jc w:val="both"/>
              <w:rPr>
                <w:iCs/>
                <w:szCs w:val="24"/>
              </w:rPr>
            </w:pPr>
            <w:r>
              <w:rPr>
                <w:iCs/>
                <w:szCs w:val="24"/>
              </w:rPr>
              <w:t>Stebėsenos rodiklio aprašymo kortelės skelbiamos Lietuvos Respublikos sveikatos apsaugos ministerijos interneto svetainėje</w:t>
            </w:r>
          </w:p>
          <w:p>
            <w:pPr>
              <w:spacing w:line="259" w:lineRule="auto"/>
              <w:jc w:val="both"/>
              <w:rPr>
                <w:i/>
                <w:iCs/>
                <w:szCs w:val="24"/>
              </w:rPr>
            </w:pPr>
            <w:r>
              <w:rPr>
                <w:iCs/>
                <w:szCs w:val="24"/>
              </w:rPr>
              <w:t>https://sam.lrv.lt/lt/administracine-informacija/planavimo-dokumentai/pletros-programos/sveikatos-prieziuros-kokybes-ir-efektyvumo-didinimo-pletros-programa/priemone-nr-11-002-02-11-01-gerinti-sveikatos-prieziuros-paslaugu-kokybe-ir-prieinamuma</w:t>
            </w:r>
          </w:p>
        </w:tc>
      </w:tr>
    </w:tbl>
    <w:p>
      <w:pPr>
        <w:jc w:val="center"/>
        <w:rPr>
          <w:szCs w:val="24"/>
        </w:rPr>
      </w:pPr>
    </w:p>
    <w:p>
      <w:pPr>
        <w:jc w:val="center"/>
        <w:rPr>
          <w:b/>
          <w:bCs/>
          <w:szCs w:val="24"/>
        </w:rPr>
      </w:pPr>
      <w:r>
        <w:rPr>
          <w:b/>
          <w:bCs/>
          <w:szCs w:val="24"/>
        </w:rPr>
        <w:t>II</w:t>
      </w:r>
      <w:r>
        <w:rPr>
          <w:b/>
          <w:bCs/>
          <w:szCs w:val="24"/>
        </w:rPr>
        <w:t xml:space="preserve"> SKYRIUS</w:t>
      </w:r>
    </w:p>
    <w:p>
      <w:pPr>
        <w:jc w:val="center"/>
        <w:rPr>
          <w:b/>
          <w:szCs w:val="24"/>
        </w:rPr>
      </w:pPr>
      <w:r>
        <w:rPr>
          <w:b/>
          <w:szCs w:val="24"/>
        </w:rPr>
        <w:t>SPECIALIEJI FINANSAVIMO REIKALAVIMAI</w:t>
      </w:r>
    </w:p>
    <w:p>
      <w:pPr>
        <w:rPr>
          <w:b/>
          <w:i/>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rPr>
          <w:trHeight w:val="121"/>
        </w:trPr>
        <w:tc>
          <w:tcPr>
            <w:tcW w:w="14596" w:type="dxa"/>
          </w:tcPr>
          <w:p>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tc>
          <w:tcPr>
            <w:tcW w:w="14596" w:type="dxa"/>
          </w:tcPr>
          <w:p>
            <w:pPr>
              <w:tabs>
                <w:tab w:val="left" w:pos="606"/>
              </w:tabs>
              <w:spacing w:line="276" w:lineRule="auto"/>
              <w:jc w:val="both"/>
              <w:rPr>
                <w:szCs w:val="24"/>
              </w:rPr>
            </w:pPr>
            <w:r>
              <w:rPr>
                <w:szCs w:val="24"/>
              </w:rPr>
              <w:t>Teisės aktai, kuriais vadovaujamasi rengiant, teikiant ir vertinant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Pažangos priemonė) patvirtintą 2022–2030 metų sveikatos priežiūros kokybės ir efektyvumo didinimo plėtros programos pažangos priemonės Nr. 11-002-02-11-01 „Gerinti sveikatos priežiūros paslaugų kokybę ir prieinamumą“ projektų finansavimo sąlygų aprašą Nr. 30 (toliau – Aprašas):</w:t>
            </w:r>
          </w:p>
          <w:p>
            <w:pPr>
              <w:tabs>
                <w:tab w:val="left" w:pos="600"/>
              </w:tabs>
              <w:ind w:left="29"/>
              <w:jc w:val="both"/>
              <w:rPr>
                <w:b/>
                <w:bCs/>
                <w:color w:val="000000"/>
                <w:szCs w:val="24"/>
              </w:rPr>
            </w:pPr>
            <w:r>
              <w:rPr>
                <w:b/>
                <w:bCs/>
                <w:color w:val="000000"/>
                <w:szCs w:val="24"/>
              </w:rPr>
              <w:t>4.1. bendrieji teisės aktai:</w:t>
            </w:r>
          </w:p>
          <w:p>
            <w:pPr>
              <w:tabs>
                <w:tab w:val="left" w:pos="606"/>
              </w:tabs>
              <w:spacing w:line="276" w:lineRule="auto"/>
              <w:jc w:val="both"/>
              <w:rPr>
                <w:szCs w:val="24"/>
              </w:rPr>
            </w:pPr>
            <w:r>
              <w:rPr>
                <w:szCs w:val="24"/>
              </w:rPr>
              <w:t xml:space="preserve">4.1.1. 2021 m. birželio 24 d. Europos Parlamento ir Tarybos reglamentas </w:t>
            </w:r>
            <w:fldSimple w:instr="HYPERLINK http://eur-lex.europa.eu/legal-content/LIT/TXT/?uri=CELEX:32021R1060&amp;locale=lt \t _blank">
              <w:r>
                <w:rPr>
                  <w:szCs w:val="24"/>
                  <w:u w:val="single"/>
                  <w:color w:val="0000FF" w:themeColor="hyperlink"/>
                </w:rPr>
                <w:t>(ES)2021/1060</w:t>
              </w:r>
            </w:fldSimple>
            <w:r>
              <w:rPr>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pPr>
              <w:tabs>
                <w:tab w:val="left" w:pos="606"/>
              </w:tabs>
              <w:spacing w:line="276" w:lineRule="auto"/>
              <w:jc w:val="both"/>
              <w:rPr>
                <w:szCs w:val="24"/>
              </w:rPr>
            </w:pPr>
            <w:r>
              <w:rPr>
                <w:szCs w:val="24"/>
              </w:rPr>
              <w:t>4.1.2. 2022 m. rugpjūčio 3 d. Europos Komisijos sprendimas Nr. C(2022)5742, kuriuo patvirtinta 2021–2027 metų Europos Sąjungos fondų investicijų programa (toliau – Investicijų programa);</w:t>
            </w:r>
          </w:p>
          <w:p>
            <w:pPr>
              <w:tabs>
                <w:tab w:val="left" w:pos="606"/>
              </w:tabs>
              <w:spacing w:line="276" w:lineRule="auto"/>
              <w:jc w:val="both"/>
              <w:rPr>
                <w:szCs w:val="24"/>
              </w:rPr>
            </w:pPr>
            <w:r>
              <w:rPr>
                <w:szCs w:val="24"/>
              </w:rPr>
              <w:t xml:space="preserve">4.1.3. Lietuvos Respublikos Vyriausybės 2020 m. rugsėjo 9 d.  nutarimas Nr. 998 „Dėl 2021–2030 m. nacionalinio pažangos plano patvirtinimo“;</w:t>
            </w:r>
          </w:p>
          <w:p>
            <w:pPr>
              <w:tabs>
                <w:tab w:val="left" w:pos="606"/>
              </w:tabs>
              <w:spacing w:line="276" w:lineRule="auto"/>
              <w:jc w:val="both"/>
              <w:rPr>
                <w:szCs w:val="24"/>
              </w:rPr>
            </w:pPr>
            <w:r>
              <w:rPr>
                <w:szCs w:val="24"/>
              </w:rPr>
              <w:t xml:space="preserve">4.1.4. Lietuvos Respublikos Vyriausybės 2021 m. balandžio 28 d.  nutarimas Nr. 292 „Dėl Strateginio valdymo metodikos patvirtinimo“;</w:t>
            </w:r>
          </w:p>
          <w:p>
            <w:pPr>
              <w:tabs>
                <w:tab w:val="left" w:pos="606"/>
              </w:tabs>
              <w:spacing w:line="276" w:lineRule="auto"/>
              <w:jc w:val="both"/>
              <w:rPr>
                <w:szCs w:val="24"/>
              </w:rPr>
            </w:pPr>
            <w:r>
              <w:rPr>
                <w:szCs w:val="24"/>
              </w:rPr>
              <w:t xml:space="preserve">4.1.5.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w:t>
            </w:r>
            <w:r>
              <w:t>(toliau – Administravimo taisyklės)</w:t>
            </w:r>
            <w:r>
              <w:rPr>
                <w:szCs w:val="24"/>
              </w:rPr>
              <w:t xml:space="preserve"> ir Projektų administravimo ir finansavimo taisyklės (toliau – PAFT);</w:t>
            </w:r>
          </w:p>
          <w:p>
            <w:pPr>
              <w:jc w:val="both"/>
              <w:rPr>
                <w:color w:val="000000"/>
                <w:szCs w:val="24"/>
              </w:rPr>
            </w:pPr>
            <w:r>
              <w:rPr>
                <w:b/>
                <w:bCs/>
                <w:color w:val="000000"/>
                <w:szCs w:val="24"/>
              </w:rPr>
              <w:t xml:space="preserve">4.2. specialieji teisės aktai: </w:t>
            </w:r>
          </w:p>
          <w:p>
            <w:pPr>
              <w:tabs>
                <w:tab w:val="left" w:pos="606"/>
              </w:tabs>
              <w:spacing w:line="276" w:lineRule="auto"/>
              <w:jc w:val="both"/>
              <w:rPr>
                <w:szCs w:val="24"/>
              </w:rPr>
            </w:pPr>
            <w:r>
              <w:rPr>
                <w:szCs w:val="24"/>
              </w:rPr>
              <w:t>4.2.1. Lietuvos Respublikos sveikatos sistemos įstatymas;</w:t>
            </w:r>
          </w:p>
          <w:p>
            <w:pPr>
              <w:tabs>
                <w:tab w:val="left" w:pos="606"/>
              </w:tabs>
              <w:spacing w:line="276" w:lineRule="auto"/>
              <w:jc w:val="both"/>
              <w:rPr>
                <w:szCs w:val="24"/>
              </w:rPr>
            </w:pPr>
            <w:r>
              <w:rPr>
                <w:szCs w:val="24"/>
              </w:rPr>
              <w:t>4.2.2. Lietuvos Respublikos sveikatos draudimo įstatymas;</w:t>
            </w:r>
          </w:p>
          <w:p>
            <w:pPr>
              <w:tabs>
                <w:tab w:val="left" w:pos="606"/>
              </w:tabs>
              <w:spacing w:line="276" w:lineRule="auto"/>
              <w:jc w:val="both"/>
              <w:rPr>
                <w:szCs w:val="24"/>
              </w:rPr>
            </w:pPr>
            <w:r>
              <w:rPr>
                <w:szCs w:val="24"/>
              </w:rPr>
              <w:t>4.2.3. Lietuvos Respublikos sveikatos priežiūros įstaigų įstatymas;</w:t>
            </w:r>
          </w:p>
          <w:p>
            <w:pPr>
              <w:tabs>
                <w:tab w:val="left" w:pos="606"/>
              </w:tabs>
              <w:spacing w:line="276" w:lineRule="auto"/>
              <w:jc w:val="both"/>
              <w:rPr>
                <w:szCs w:val="24"/>
              </w:rPr>
            </w:pPr>
            <w:r>
              <w:rPr>
                <w:szCs w:val="24"/>
              </w:rPr>
              <w:t xml:space="preserve">4.2.4. Lietuvos Respublikos valstybės informacinių išteklių valdymo įstatymas; </w:t>
            </w:r>
          </w:p>
          <w:p>
            <w:pPr>
              <w:tabs>
                <w:tab w:val="left" w:pos="606"/>
              </w:tabs>
              <w:spacing w:line="276" w:lineRule="auto"/>
              <w:jc w:val="both"/>
              <w:rPr>
                <w:szCs w:val="24"/>
              </w:rPr>
            </w:pPr>
            <w:r>
              <w:rPr>
                <w:szCs w:val="24"/>
              </w:rPr>
              <w:t>4.2.5. Lietuvos Respublikos kibernetinio saugumo įstatymas;</w:t>
            </w:r>
          </w:p>
          <w:p>
            <w:pPr>
              <w:tabs>
                <w:tab w:val="left" w:pos="606"/>
              </w:tabs>
              <w:spacing w:line="276" w:lineRule="auto"/>
              <w:jc w:val="both"/>
              <w:rPr>
                <w:szCs w:val="24"/>
              </w:rPr>
            </w:pPr>
            <w:r>
              <w:rPr>
                <w:szCs w:val="24"/>
              </w:rPr>
              <w:t>4.2.6. Lietuvos Respublikos Vyriausybės 2013 m. vasario 27 d. nutarimas Nr. 180 „Dėl Valstybės informacinių sistemų steigimo, kūrimo, modernizavimo ir likvidavimo tvarkos aprašo patvirtinimo“;</w:t>
            </w:r>
          </w:p>
          <w:p>
            <w:pPr>
              <w:tabs>
                <w:tab w:val="left" w:pos="606"/>
              </w:tabs>
              <w:spacing w:line="276" w:lineRule="auto"/>
              <w:jc w:val="both"/>
              <w:rPr>
                <w:szCs w:val="24"/>
              </w:rPr>
            </w:pPr>
            <w:r>
              <w:rPr>
                <w:szCs w:val="24"/>
              </w:rPr>
              <w:t xml:space="preserve">4.2.7. Lietuvos Respublikos Vyriausybės 2014 m. balandžio 23 d. nutarimas Nr. 370 „Dėl Privalomojo sveikatos draudimo fondo biudžeto lėšomis apmokamų asmens sveikatos priežiūros paslaugų teikimo sąlygų sąrašo patvirtinimo“; </w:t>
            </w:r>
          </w:p>
          <w:p>
            <w:pPr>
              <w:tabs>
                <w:tab w:val="left" w:pos="606"/>
              </w:tabs>
              <w:spacing w:line="276" w:lineRule="auto"/>
              <w:jc w:val="both"/>
              <w:rPr>
                <w:szCs w:val="24"/>
              </w:rPr>
            </w:pPr>
            <w:r>
              <w:rPr>
                <w:szCs w:val="24"/>
              </w:rPr>
              <w:t>4.2.8. Lietuvos Respublikos sveikatos apsaugos ministro 2005 m. gruodžio 5 d. įsakymas Nr. V-943 „Dėl Pirminės ambulatorinės asmens sveikatos priežiūros paslaugų teikimo organizavimo ir šių paslaugų išlaidų apmokėjimo tvarkos aprašo tvirtinimo“;</w:t>
            </w:r>
          </w:p>
          <w:p>
            <w:pPr>
              <w:tabs>
                <w:tab w:val="left" w:pos="606"/>
              </w:tabs>
              <w:spacing w:line="276" w:lineRule="auto"/>
              <w:jc w:val="both"/>
              <w:rPr>
                <w:szCs w:val="24"/>
              </w:rPr>
            </w:pPr>
            <w:r>
              <w:rPr>
                <w:szCs w:val="24"/>
              </w:rPr>
              <w:t xml:space="preserve">4.2.9. Lietuvos Respublikos sveikatos apsaugos ministro 2006 m. gruodžio 22 d. įsakymas Nr. V-1113 „Dėl Asmens sveikatos priežiūros paslaugų apmokėjimo tvarkos aprašo patvirtinimo“; </w:t>
            </w:r>
          </w:p>
          <w:p>
            <w:pPr>
              <w:tabs>
                <w:tab w:val="left" w:pos="606"/>
              </w:tabs>
              <w:spacing w:line="276" w:lineRule="auto"/>
              <w:jc w:val="both"/>
              <w:rPr>
                <w:szCs w:val="24"/>
              </w:rPr>
            </w:pPr>
            <w:r>
              <w:rPr>
                <w:szCs w:val="24"/>
              </w:rPr>
              <w:t>4.2.10. Informacinės visuomenės plėtros komiteto prie Susisiekimo ministerijos direktoriaus 2013 m. gegužės 23 d. įsakymas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p>
          <w:p>
            <w:pPr>
              <w:tabs>
                <w:tab w:val="left" w:pos="606"/>
              </w:tabs>
              <w:spacing w:line="276" w:lineRule="auto"/>
              <w:jc w:val="both"/>
              <w:rPr>
                <w:szCs w:val="24"/>
              </w:rPr>
            </w:pPr>
            <w:r>
              <w:rPr>
                <w:szCs w:val="24"/>
              </w:rPr>
              <w:t>4.2.11. Informacinės visuomenės plėtros komiteto prie Susisiekimo ministerijos direktoriaus 2014 m. vasario 25 d. įsakymas Nr. T-29 „Dėl Valstybės informacinių sistemų gyvavimo ciklo valdymo metodikos patvirtinimo“;</w:t>
            </w:r>
          </w:p>
          <w:p>
            <w:pPr>
              <w:tabs>
                <w:tab w:val="left" w:pos="606"/>
              </w:tabs>
              <w:spacing w:line="276" w:lineRule="auto"/>
              <w:jc w:val="both"/>
              <w:rPr>
                <w:szCs w:val="24"/>
              </w:rPr>
            </w:pPr>
            <w:r>
              <w:rPr>
                <w:szCs w:val="24"/>
              </w:rPr>
              <w:t>4.2.12. Informacinės visuomenės plėtros komiteto prie Susisiekimo ministerijos direktoriaus 2014 m. gegužės 5 d. įsakymas Nr. T-65 „Dėl Kuriamų viešųjų ir administracinių elektroninių paslaugų tinkamumo naudotojams užtikrinimo priemonių metodinių rekomendacijų patvirtinimo“;</w:t>
            </w:r>
          </w:p>
          <w:p>
            <w:pPr>
              <w:tabs>
                <w:tab w:val="left" w:pos="606"/>
              </w:tabs>
              <w:spacing w:line="276" w:lineRule="auto"/>
              <w:jc w:val="both"/>
              <w:rPr>
                <w:szCs w:val="24"/>
              </w:rPr>
            </w:pPr>
            <w:r>
              <w:rPr>
                <w:szCs w:val="24"/>
              </w:rPr>
              <w:t>4.2.13. Lietuvos Respublikos susisiekimo ministro 2015 m. spalio 7 d. įsakymas Nr. 3-416(1.5 E) „Dėl metodinių dokumentų patvirtinimo“;</w:t>
            </w:r>
          </w:p>
          <w:p>
            <w:pPr>
              <w:tabs>
                <w:tab w:val="left" w:pos="606"/>
              </w:tabs>
              <w:spacing w:line="276" w:lineRule="auto"/>
              <w:jc w:val="both"/>
              <w:rPr>
                <w:szCs w:val="24"/>
              </w:rPr>
            </w:pPr>
            <w:r>
              <w:rPr>
                <w:szCs w:val="24"/>
              </w:rPr>
              <w:t xml:space="preserve">4.2.14. Lietuvos Respublikos sveikatos apsaugos ministro 2021 m. gruodžio 10 d. įsakymas Nr. V-2818 „Dėl Medicininės reabilitacijos ir antirecidyvinio sanatorinio gydymo bei psichosocialinės reabilitacijos paslaugų apmokėjimo tvarkos aprašo patvirtinimo“; </w:t>
            </w:r>
          </w:p>
          <w:p>
            <w:pPr>
              <w:jc w:val="both"/>
              <w:rPr>
                <w:b/>
                <w:bCs/>
                <w:i/>
                <w:iCs/>
                <w:sz w:val="22"/>
                <w:szCs w:val="22"/>
              </w:rPr>
            </w:pPr>
            <w:r>
              <w:rPr>
                <w:szCs w:val="24"/>
              </w:rPr>
              <w:t>4.2.15. Lietuvos Respublikos sveikatos apsaugos ministro 2023 m. gegužės 22 d. įsakymas Nr. V-589 „Dėl Sveikatos centrui priskiriamų sveikatos priežiūros paslaugų teikimo organizavimo tvarkos aprašo patvirtinimo“.</w:t>
            </w:r>
          </w:p>
        </w:tc>
      </w:tr>
      <w:tr>
        <w:tc>
          <w:tcPr>
            <w:tcW w:w="14596" w:type="dxa"/>
          </w:tcPr>
          <w:p>
            <w:pPr>
              <w:rPr>
                <w:bCs/>
                <w:szCs w:val="24"/>
              </w:rPr>
            </w:pPr>
            <w:r>
              <w:rPr>
                <w:b/>
                <w:szCs w:val="24"/>
              </w:rPr>
              <w:t>5</w:t>
            </w:r>
            <w:r>
              <w:rPr>
                <w:bCs/>
                <w:szCs w:val="24"/>
              </w:rPr>
              <w:t xml:space="preserve">. </w:t>
            </w:r>
            <w:r>
              <w:rPr>
                <w:b/>
                <w:szCs w:val="24"/>
              </w:rPr>
              <w:t>Reikalavimai projektams, pareiškėjams ir partneriams</w:t>
            </w:r>
          </w:p>
        </w:tc>
      </w:tr>
      <w:tr>
        <w:trPr>
          <w:trHeight w:val="841"/>
        </w:trPr>
        <w:tc>
          <w:tcPr>
            <w:tcW w:w="14596" w:type="dxa"/>
          </w:tcPr>
          <w:p>
            <w:pPr>
              <w:jc w:val="both"/>
              <w:rPr>
                <w:b/>
                <w:bCs/>
                <w:i/>
                <w:iCs/>
                <w:sz w:val="22"/>
                <w:szCs w:val="22"/>
              </w:rPr>
            </w:pPr>
            <w:r>
              <w:rPr>
                <w:b/>
                <w:bCs/>
                <w:sz w:val="22"/>
                <w:szCs w:val="22"/>
              </w:rPr>
              <w:t>5.1. Reikalavimai projektams</w:t>
            </w:r>
          </w:p>
          <w:p>
            <w:pPr>
              <w:tabs>
                <w:tab w:val="left" w:pos="606"/>
              </w:tabs>
              <w:spacing w:line="276" w:lineRule="auto"/>
              <w:jc w:val="both"/>
              <w:rPr>
                <w:szCs w:val="24"/>
              </w:rPr>
            </w:pPr>
            <w:r>
              <w:rPr>
                <w:szCs w:val="24"/>
              </w:rPr>
              <w:t>5.1.1. Pagal šį Aprašą finansuojama veikla atitinka Pažangos priemonės III skyriaus „Plėtros programos pažangos priemonės veiklų suvestinė“ 3 veiklos „Pažangių ir įrodymais pagrįstų technologijų sveikatos sektoriuje diegimas“ 3.5 poveiklę „Inovatyvių specializuotų sveikatos priežiūros paslaugų teikimo ir organizavimo modelių kūrimas ir išbandymas, Vidurio ir vakarų Lietuvos regionas“.</w:t>
            </w:r>
          </w:p>
          <w:p>
            <w:pPr>
              <w:jc w:val="both"/>
              <w:rPr>
                <w:szCs w:val="24"/>
              </w:rPr>
            </w:pPr>
            <w:r>
              <w:rPr>
                <w:szCs w:val="24"/>
              </w:rPr>
              <w:t>5.1.2. Įgyvendinant Pažangos priemonę, remiama veikla „Asmens sveikatos priežiūros įstaigų apmokėjimo modelio už pasiektus rezultatus sukūrimas ir išbandymas“.</w:t>
            </w:r>
          </w:p>
          <w:p>
            <w:pPr>
              <w:tabs>
                <w:tab w:val="left" w:pos="606"/>
              </w:tabs>
              <w:spacing w:line="276" w:lineRule="auto"/>
              <w:jc w:val="both"/>
              <w:rPr>
                <w:szCs w:val="24"/>
              </w:rPr>
            </w:pPr>
            <w:r>
              <w:rPr>
                <w:szCs w:val="24"/>
              </w:rPr>
              <w:t>5.1.3. Pagal šį Aprašą įgyvendinamas 1 (vienas) projektas</w:t>
            </w:r>
            <w:r>
              <w:rPr>
                <w:color w:val="00B050"/>
                <w:szCs w:val="24"/>
              </w:rPr>
              <w:t>.</w:t>
            </w:r>
          </w:p>
          <w:p>
            <w:pPr>
              <w:tabs>
                <w:tab w:val="left" w:pos="606"/>
              </w:tabs>
              <w:spacing w:line="276" w:lineRule="auto"/>
              <w:jc w:val="both"/>
              <w:rPr>
                <w:szCs w:val="24"/>
              </w:rPr>
            </w:pPr>
            <w:r>
              <w:rPr>
                <w:szCs w:val="24"/>
              </w:rPr>
              <w:t>5.1.4. Projektams taikoma finansavimo forma – dotacija.</w:t>
            </w:r>
          </w:p>
          <w:p>
            <w:pPr>
              <w:tabs>
                <w:tab w:val="left" w:pos="606"/>
              </w:tabs>
              <w:spacing w:line="276" w:lineRule="auto"/>
              <w:jc w:val="both"/>
              <w:rPr>
                <w:szCs w:val="24"/>
              </w:rPr>
            </w:pPr>
            <w:r>
              <w:rPr>
                <w:szCs w:val="24"/>
              </w:rPr>
              <w:t>5.1.5. Projektui pagal šį Aprašą įgyvendinti skiriama iki 900 000,00 Eur (devynių šimtų tūkstančių eurų) lėšų, iš kurių:</w:t>
            </w:r>
          </w:p>
          <w:p>
            <w:pPr>
              <w:tabs>
                <w:tab w:val="left" w:pos="606"/>
              </w:tabs>
              <w:spacing w:line="276" w:lineRule="auto"/>
              <w:jc w:val="both"/>
              <w:rPr>
                <w:szCs w:val="24"/>
              </w:rPr>
            </w:pPr>
            <w:r>
              <w:rPr>
                <w:szCs w:val="24"/>
              </w:rPr>
              <w:t xml:space="preserve">5.1.5.1. iki 765 000,00 Eur (septynių šimtų šešiasdešimt  penkių tūkstančių eurų) ES lėšos;</w:t>
            </w:r>
          </w:p>
          <w:p>
            <w:pPr>
              <w:tabs>
                <w:tab w:val="left" w:pos="606"/>
              </w:tabs>
              <w:spacing w:line="276" w:lineRule="auto"/>
              <w:jc w:val="both"/>
              <w:rPr>
                <w:szCs w:val="24"/>
              </w:rPr>
            </w:pPr>
            <w:r>
              <w:rPr>
                <w:szCs w:val="24"/>
              </w:rPr>
              <w:t xml:space="preserve">5.1.5.2. iki 135 000,00 Eur (vieno šimto trisdešimt  penkių tūkstančių eurų) BF lėšos.</w:t>
            </w:r>
          </w:p>
          <w:p>
            <w:pPr>
              <w:tabs>
                <w:tab w:val="left" w:pos="606"/>
              </w:tabs>
              <w:spacing w:line="276" w:lineRule="auto"/>
              <w:jc w:val="both"/>
              <w:rPr>
                <w:szCs w:val="24"/>
              </w:rPr>
            </w:pPr>
            <w:r>
              <w:rPr>
                <w:szCs w:val="24"/>
              </w:rPr>
              <w:t>5.1.6. Projekto tinkamų finansuoti išlaidų dalis, kurios nepadengia projektui skiriamo finansavimo lėšos, turi būti finansuojama iš projekto vykdytojo lėšų.</w:t>
            </w:r>
          </w:p>
          <w:p>
            <w:pPr>
              <w:tabs>
                <w:tab w:val="left" w:pos="606"/>
                <w:tab w:val="left" w:pos="10680"/>
              </w:tabs>
              <w:spacing w:line="276" w:lineRule="auto"/>
              <w:jc w:val="both"/>
              <w:rPr>
                <w:szCs w:val="24"/>
              </w:rPr>
            </w:pPr>
            <w:r>
              <w:rPr>
                <w:szCs w:val="24"/>
              </w:rPr>
              <w:t>5.1.7. Projekto veiklos turi būti vykdomos Lietuvos Respublikoje.</w:t>
              <w:tab/>
            </w:r>
          </w:p>
          <w:p>
            <w:pPr>
              <w:tabs>
                <w:tab w:val="left" w:pos="606"/>
              </w:tabs>
              <w:spacing w:line="276" w:lineRule="auto"/>
              <w:jc w:val="both"/>
              <w:rPr>
                <w:szCs w:val="24"/>
              </w:rPr>
            </w:pPr>
            <w:r>
              <w:rPr>
                <w:szCs w:val="24"/>
              </w:rPr>
              <w:t xml:space="preserve">5.1.8. Projektas priskiriamas Vidurio ir vakarų Lietuvos regionui. Taikant Reglamento </w:t>
            </w:r>
            <w:fldSimple w:instr="HYPERLINK http://eur-lex.europa.eu/legal-content/LIT/TXT/?uri=CELEX:32021R1060&amp;locale=lt \t _blank">
              <w:r>
                <w:rPr>
                  <w:szCs w:val="24"/>
                  <w:u w:val="single"/>
                  <w:color w:val="0000FF" w:themeColor="hyperlink"/>
                </w:rPr>
                <w:t>(ES) 2021/1060</w:t>
              </w:r>
            </w:fldSimple>
            <w:r>
              <w:rPr>
                <w:szCs w:val="24"/>
              </w:rPr>
              <w:t xml:space="preserve"> 63 straipsnio 3 dalies nuostatą dėl ESF+, su veiksmais susijusios išlaidos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pPr>
              <w:tabs>
                <w:tab w:val="left" w:pos="606"/>
              </w:tabs>
              <w:spacing w:line="276" w:lineRule="auto"/>
              <w:jc w:val="both"/>
              <w:rPr>
                <w:szCs w:val="24"/>
              </w:rPr>
            </w:pPr>
            <w:r>
              <w:rPr>
                <w:szCs w:val="24"/>
              </w:rPr>
              <w:t>5.1.9. Projekto išlaidos turi būti patirtos ir apmokėtos nuo 2021 m. sausio 1 d. iki 2029 m. spalio 1 d.</w:t>
            </w:r>
          </w:p>
          <w:p>
            <w:pPr>
              <w:tabs>
                <w:tab w:val="left" w:pos="606"/>
              </w:tabs>
              <w:spacing w:line="276" w:lineRule="auto"/>
              <w:jc w:val="both"/>
              <w:rPr>
                <w:szCs w:val="24"/>
              </w:rPr>
            </w:pPr>
            <w:r>
              <w:rPr>
                <w:szCs w:val="24"/>
              </w:rPr>
              <w:t>5.1.10. Projektui taikomos matomumo ir informavimo priemonės nurodytos PAFT VIII skyriaus „Kiti projektų reikalavimai“ pirmame skirsnyje „Informavimas apie projektą ir komunikacija“. Papildomi matomumo reikalavimai nenustatomi.</w:t>
            </w:r>
          </w:p>
          <w:p>
            <w:pPr>
              <w:tabs>
                <w:tab w:val="left" w:pos="606"/>
              </w:tabs>
              <w:spacing w:line="276" w:lineRule="auto"/>
              <w:jc w:val="both"/>
              <w:rPr>
                <w:szCs w:val="24"/>
              </w:rPr>
            </w:pPr>
            <w:r>
              <w:rPr>
                <w:szCs w:val="24"/>
              </w:rPr>
              <w:t>5.1.11. Kartu su PĮP administruojančiajai institucijai turi būti pateikti šie priedai:</w:t>
            </w:r>
          </w:p>
          <w:p>
            <w:pPr>
              <w:tabs>
                <w:tab w:val="left" w:pos="604"/>
              </w:tabs>
              <w:spacing w:line="276" w:lineRule="auto"/>
              <w:jc w:val="both"/>
              <w:rPr>
                <w:szCs w:val="24"/>
              </w:rPr>
            </w:pPr>
            <w:r>
              <w:rPr>
                <w:szCs w:val="24"/>
              </w:rPr>
              <w:t>5.1.11.1. įgaliojimas pasirašyti PĮP, jei jį pasirašo ne pareiškėjo įstaigos vadovas;</w:t>
            </w:r>
          </w:p>
          <w:p>
            <w:pPr>
              <w:tabs>
                <w:tab w:val="left" w:pos="604"/>
              </w:tabs>
              <w:spacing w:line="276" w:lineRule="auto"/>
              <w:jc w:val="both"/>
              <w:rPr>
                <w:szCs w:val="24"/>
              </w:rPr>
            </w:pPr>
            <w:r>
              <w:rPr>
                <w:szCs w:val="24"/>
              </w:rPr>
              <w:t>5.1.11.2. pasirašytos partnerių deklaracijos (PAFT 1 priedo 1 priedas) (taikoma, jei projektas bus įgyvendinamas su partneriu (-iais);</w:t>
            </w:r>
          </w:p>
          <w:p>
            <w:pPr>
              <w:tabs>
                <w:tab w:val="left" w:pos="604"/>
              </w:tabs>
              <w:spacing w:line="276" w:lineRule="auto"/>
              <w:jc w:val="both"/>
              <w:rPr>
                <w:szCs w:val="24"/>
              </w:rPr>
            </w:pPr>
            <w:r>
              <w:rPr>
                <w:szCs w:val="24"/>
              </w:rPr>
              <w:t>5.1.11.3. informacija apie projekto biudžeto paskirstymą pagal pareiškėjus ir partnerius (PAFT 1 priedo 2 priedas) (taikoma, jei projektas bus įgyvendinamas su partneriu (-iais);</w:t>
            </w:r>
          </w:p>
          <w:p>
            <w:pPr>
              <w:tabs>
                <w:tab w:val="left" w:pos="606"/>
              </w:tabs>
              <w:spacing w:line="276" w:lineRule="auto"/>
              <w:jc w:val="both"/>
              <w:rPr>
                <w:szCs w:val="24"/>
              </w:rPr>
            </w:pPr>
            <w:r>
              <w:rPr>
                <w:szCs w:val="24"/>
              </w:rPr>
              <w:t xml:space="preserve">5.1.11.4. dokumentai, pagrindžiantys projekto išlaidų pagrįstumą (sudarytos sutartys, komerciniai pasiūlymai, nuorodos į rinkoje esančias kainas (pvz.,  Centrinėje viešųjų pirkimų informacinėje sistemoje) ir kt.); </w:t>
            </w:r>
          </w:p>
          <w:p>
            <w:pPr>
              <w:tabs>
                <w:tab w:val="left" w:pos="606"/>
              </w:tabs>
              <w:spacing w:line="276" w:lineRule="auto"/>
              <w:jc w:val="both"/>
              <w:rPr>
                <w:szCs w:val="24"/>
              </w:rPr>
            </w:pPr>
            <w:r>
              <w:rPr>
                <w:szCs w:val="24"/>
              </w:rPr>
              <w:t>5.1.11.5. dokumentai, pagrindžiantys darbo užmokesčio išlaidų pagrįstumą (veiklų sąrašas, kuriame būtų nurodyta projektą vykdančių asmenų darbo valandos projekte, valandinis įkainis, jo pagrindimas). Sudarant projekto biudžetą ir nustatant išlaidas projektą vykdantiems asmenims, kurie yra projekto vykdytojo ir (ar) partnerio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darbo užmokesčio paskyrimo ir išmokėjimo faktą;</w:t>
            </w:r>
          </w:p>
          <w:p>
            <w:pPr>
              <w:tabs>
                <w:tab w:val="left" w:pos="606"/>
              </w:tabs>
              <w:spacing w:line="276" w:lineRule="auto"/>
              <w:jc w:val="both"/>
              <w:rPr>
                <w:szCs w:val="24"/>
              </w:rPr>
            </w:pPr>
            <w:r>
              <w:rPr>
                <w:szCs w:val="24"/>
              </w:rPr>
              <w:t>5.1.11.6. pareiškėjo ir (ar) partnerio įsipareigojimo padengti netinkamas finansuoti, tačiau šiam projektui įgyvendinti būtinas išlaidas, ir tinkamas išlaidas, kurių nepadengia projekto finansavimas, pagrindimo dokumentas (juridinio asmens valdymo organo, turinčio kompetenciją priimti atitinkamą sprendimą, ministerijos, kaip asignavimų valdytojos, garantinis raštas, paskolos sutartis, garantinis banko raštas ir kt.).</w:t>
            </w:r>
          </w:p>
          <w:p>
            <w:pPr>
              <w:tabs>
                <w:tab w:val="left" w:pos="606"/>
              </w:tabs>
              <w:spacing w:line="276" w:lineRule="auto"/>
              <w:jc w:val="both"/>
              <w:rPr>
                <w:szCs w:val="24"/>
              </w:rPr>
            </w:pPr>
            <w:r>
              <w:rPr>
                <w:szCs w:val="24"/>
              </w:rPr>
              <w:t xml:space="preserve">5.1.12. Projekto veiklos turi būti įgyvendintos per 24 mėnesius nuo projekto sutarties įsigaliojimo. Prireikus projekto veiklos gali būti pratęstos pagrįstam laikotarpiui, bet ne ilgiau kaip iki 2029 m. </w:t>
            </w:r>
            <w:r>
              <w:t>rugpjūčio 30 d.</w:t>
            </w:r>
          </w:p>
          <w:p>
            <w:pPr>
              <w:tabs>
                <w:tab w:val="left" w:pos="606"/>
              </w:tabs>
              <w:spacing w:line="276" w:lineRule="auto"/>
              <w:jc w:val="both"/>
              <w:rPr>
                <w:szCs w:val="24"/>
              </w:rPr>
            </w:pPr>
            <w:r>
              <w:rPr>
                <w:szCs w:val="24"/>
              </w:rPr>
              <w:t xml:space="preserve">5.1.13. Projekto veiklos gali būti pradėtos vykdyti iki projekto sutarties pasirašymo, tačiau turi atitikti PAFT ir šio Aprašo nuostatas. Visos projekto veiklos negali būti baigtos iki pareiškėjui pateikiant PĮP. </w:t>
            </w:r>
          </w:p>
          <w:p>
            <w:pPr>
              <w:tabs>
                <w:tab w:val="left" w:pos="606"/>
              </w:tabs>
              <w:spacing w:line="276" w:lineRule="auto"/>
              <w:jc w:val="both"/>
              <w:rPr>
                <w:szCs w:val="24"/>
              </w:rPr>
            </w:pPr>
            <w:r>
              <w:rPr>
                <w:szCs w:val="24"/>
              </w:rPr>
              <w:t>5.1.14. Pareiškėjas ir (ar) partneris, vykdydami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Pareiškėjas ir (ar) partneris prisiima riziką apmokėti administruojančiosios institucijos pripažintas netinkamomis finansuoti išlaidas.</w:t>
            </w:r>
          </w:p>
          <w:p>
            <w:pPr>
              <w:jc w:val="both"/>
              <w:rPr>
                <w:szCs w:val="24"/>
              </w:rPr>
            </w:pPr>
            <w:r>
              <w:rPr>
                <w:szCs w:val="24"/>
              </w:rPr>
              <w:t>5.1.15. Pagal Aprašo 5.1.2 papunktyje nurodytą investicijų paskirtį ir veiklas parengtas dokumentas turi būti patvirtintas sveikatos apsaugos ministro įsakymu bei paskelbtas Teisės aktų registre.</w:t>
            </w:r>
          </w:p>
          <w:p>
            <w:pPr>
              <w:jc w:val="both"/>
              <w:rPr>
                <w:szCs w:val="24"/>
              </w:rPr>
            </w:pPr>
            <w:r>
              <w:rPr>
                <w:szCs w:val="24"/>
              </w:rPr>
              <w:t>5.1.16. P</w:t>
            </w:r>
            <w:r>
              <w:t>rojektu turi būti siekiama planuojamai vykdyti veiklai numatyto rodiklio „</w:t>
            </w:r>
            <w:r>
              <w:rPr>
                <w:szCs w:val="24"/>
              </w:rPr>
              <w:t>Paramą gavusių nacionalinio, regionų ar vietos lygmens viešojo administravimo ar viešąsias paslaugas teikiančių įstaigų skaičius“.</w:t>
            </w:r>
          </w:p>
        </w:tc>
      </w:tr>
      <w:tr>
        <w:trPr>
          <w:trHeight w:val="690"/>
        </w:trPr>
        <w:tc>
          <w:tcPr>
            <w:tcW w:w="14596" w:type="dxa"/>
          </w:tcPr>
          <w:p>
            <w:pPr>
              <w:jc w:val="both"/>
              <w:rPr>
                <w:b/>
                <w:bCs/>
                <w:sz w:val="22"/>
                <w:szCs w:val="22"/>
              </w:rPr>
            </w:pPr>
            <w:r>
              <w:rPr>
                <w:b/>
                <w:bCs/>
                <w:sz w:val="22"/>
                <w:szCs w:val="22"/>
              </w:rPr>
              <w:t>5.2.</w:t>
            </w:r>
            <w:r>
              <w:rPr>
                <w:b/>
                <w:bCs/>
                <w:i/>
                <w:iCs/>
                <w:sz w:val="22"/>
                <w:szCs w:val="22"/>
              </w:rPr>
              <w:t xml:space="preserve"> </w:t>
            </w:r>
            <w:r>
              <w:rPr>
                <w:b/>
                <w:bCs/>
                <w:sz w:val="22"/>
                <w:szCs w:val="22"/>
              </w:rPr>
              <w:t xml:space="preserve">Reikalavimai pareiškėjams </w:t>
            </w:r>
          </w:p>
          <w:p>
            <w:pPr>
              <w:tabs>
                <w:tab w:val="left" w:pos="606"/>
              </w:tabs>
              <w:spacing w:line="276" w:lineRule="auto"/>
              <w:jc w:val="both"/>
              <w:rPr>
                <w:szCs w:val="24"/>
              </w:rPr>
            </w:pPr>
            <w:r>
              <w:rPr>
                <w:szCs w:val="24"/>
              </w:rPr>
              <w:t>5.2.1. Galimas pareiškėjas – Valstybinė ligonių kasa prie Sveikatos apsaugos ministerijos.</w:t>
            </w:r>
          </w:p>
          <w:p>
            <w:pPr>
              <w:tabs>
                <w:tab w:val="left" w:pos="606"/>
              </w:tabs>
              <w:spacing w:line="276" w:lineRule="auto"/>
              <w:jc w:val="both"/>
              <w:rPr>
                <w:szCs w:val="24"/>
              </w:rPr>
            </w:pPr>
            <w:r>
              <w:rPr>
                <w:szCs w:val="24"/>
              </w:rPr>
              <w:t>5.2.2. Iki projekto sutarties sudarymo pareiškėjas su partneriu (-iais) turi susitarti dėl tarpusavio teisių ir pareigų įgyvendinant projektą ir pateikti administruojančiajai institucijai tai įrodantį dokumentą.</w:t>
            </w:r>
          </w:p>
        </w:tc>
      </w:tr>
      <w:tr>
        <w:tc>
          <w:tcPr>
            <w:tcW w:w="14596" w:type="dxa"/>
          </w:tcPr>
          <w:p>
            <w:pPr>
              <w:jc w:val="both"/>
              <w:rPr>
                <w:b/>
                <w:bCs/>
                <w:sz w:val="22"/>
                <w:szCs w:val="22"/>
              </w:rPr>
            </w:pPr>
            <w:r>
              <w:rPr>
                <w:b/>
                <w:bCs/>
                <w:sz w:val="22"/>
                <w:szCs w:val="22"/>
              </w:rPr>
              <w:t>5.3.</w:t>
            </w:r>
            <w:r>
              <w:rPr>
                <w:b/>
                <w:bCs/>
                <w:i/>
                <w:iCs/>
                <w:sz w:val="22"/>
                <w:szCs w:val="22"/>
              </w:rPr>
              <w:t xml:space="preserve"> </w:t>
            </w:r>
            <w:r>
              <w:rPr>
                <w:b/>
                <w:bCs/>
                <w:sz w:val="22"/>
                <w:szCs w:val="22"/>
              </w:rPr>
              <w:t>Reikalavimai partneriams</w:t>
            </w:r>
          </w:p>
          <w:p>
            <w:pPr>
              <w:tabs>
                <w:tab w:val="left" w:pos="606"/>
              </w:tabs>
              <w:spacing w:line="276" w:lineRule="auto"/>
              <w:jc w:val="both"/>
              <w:rPr>
                <w:szCs w:val="24"/>
              </w:rPr>
            </w:pPr>
            <w:r>
              <w:rPr>
                <w:szCs w:val="24"/>
              </w:rPr>
              <w:t>5.3.1. Galimi partneriai – Klaipėdos rajono sveikatos centras, Panevėžio rajono sveikatos centras, Prienų rajono sveikatos centras, Šiaulių miesto sveikatos centras, Švenčionių rajono savivaldybės sveikatos centras.</w:t>
            </w:r>
          </w:p>
        </w:tc>
      </w:tr>
      <w:tr>
        <w:tc>
          <w:tcPr>
            <w:tcW w:w="14596" w:type="dxa"/>
          </w:tcPr>
          <w:p>
            <w:pPr>
              <w:jc w:val="both"/>
              <w:rPr>
                <w:b/>
                <w:iCs/>
                <w:szCs w:val="24"/>
              </w:rPr>
            </w:pPr>
            <w:r>
              <w:rPr>
                <w:b/>
                <w:szCs w:val="24"/>
              </w:rPr>
              <w:t>6. Reikalavimai jungtinio projekto projektams ir jungtinio projekto projektų pareiškėjams</w:t>
            </w:r>
          </w:p>
        </w:tc>
      </w:tr>
      <w:tr>
        <w:trPr>
          <w:trHeight w:val="699"/>
        </w:trPr>
        <w:tc>
          <w:tcPr>
            <w:tcW w:w="14596" w:type="dxa"/>
          </w:tcPr>
          <w:p>
            <w:pPr>
              <w:jc w:val="both"/>
              <w:rPr>
                <w:b/>
                <w:bCs/>
                <w:i/>
                <w:iCs/>
                <w:sz w:val="22"/>
                <w:szCs w:val="22"/>
              </w:rPr>
            </w:pPr>
            <w:r>
              <w:rPr>
                <w:b/>
                <w:bCs/>
                <w:sz w:val="22"/>
                <w:szCs w:val="22"/>
              </w:rPr>
              <w:t>6.1. Reikalavimai jungtinio projekto projektams</w:t>
            </w:r>
          </w:p>
          <w:p>
            <w:pPr>
              <w:jc w:val="both"/>
              <w:rPr>
                <w:i/>
                <w:iCs/>
                <w:sz w:val="22"/>
                <w:szCs w:val="22"/>
              </w:rPr>
            </w:pPr>
            <w:r>
              <w:rPr>
                <w:szCs w:val="24"/>
              </w:rPr>
              <w:t>Netaikoma.</w:t>
            </w:r>
          </w:p>
        </w:tc>
      </w:tr>
      <w:tr>
        <w:trPr>
          <w:trHeight w:val="714"/>
        </w:trPr>
        <w:tc>
          <w:tcPr>
            <w:tcW w:w="14596" w:type="dxa"/>
          </w:tcPr>
          <w:p>
            <w:pPr>
              <w:jc w:val="both"/>
              <w:rPr>
                <w:b/>
                <w:bCs/>
                <w:i/>
                <w:iCs/>
                <w:sz w:val="22"/>
                <w:szCs w:val="22"/>
              </w:rPr>
            </w:pPr>
            <w:r>
              <w:rPr>
                <w:b/>
                <w:bCs/>
                <w:sz w:val="22"/>
                <w:szCs w:val="22"/>
              </w:rPr>
              <w:t>6.2. Reikalavimai jungtinio projekto projektų pareiškėjams</w:t>
            </w:r>
          </w:p>
          <w:p>
            <w:pPr>
              <w:jc w:val="both"/>
              <w:rPr>
                <w:b/>
                <w:bCs/>
                <w:i/>
                <w:iCs/>
                <w:sz w:val="22"/>
                <w:szCs w:val="22"/>
              </w:rPr>
            </w:pPr>
            <w:r>
              <w:rPr>
                <w:szCs w:val="24"/>
              </w:rPr>
              <w:t>Netaikoma.</w:t>
            </w:r>
          </w:p>
        </w:tc>
      </w:tr>
      <w:tr>
        <w:trPr>
          <w:trHeight w:val="285"/>
        </w:trPr>
        <w:tc>
          <w:tcPr>
            <w:tcW w:w="14596" w:type="dxa"/>
          </w:tcPr>
          <w:p>
            <w:pPr>
              <w:rPr>
                <w:bCs/>
                <w:szCs w:val="24"/>
              </w:rPr>
            </w:pPr>
            <w:r>
              <w:rPr>
                <w:b/>
                <w:szCs w:val="24"/>
              </w:rPr>
              <w:t>7. Projekto tikslinės grupės</w:t>
            </w:r>
          </w:p>
        </w:tc>
      </w:tr>
      <w:tr>
        <w:trPr>
          <w:trHeight w:val="335"/>
        </w:trPr>
        <w:tc>
          <w:tcPr>
            <w:tcW w:w="14596" w:type="dxa"/>
          </w:tcPr>
          <w:p>
            <w:pPr>
              <w:jc w:val="both"/>
              <w:rPr>
                <w:sz w:val="22"/>
                <w:szCs w:val="22"/>
              </w:rPr>
            </w:pPr>
            <w:r>
              <w:t>Projekto tikslinė grupė – sveikatos centruose dirbantys sveikatos priežiūros specialistai ir kiti sveikatos priežiūros srityje dirbantys specialistai</w:t>
            </w:r>
            <w:r>
              <w:rPr>
                <w:i/>
                <w:sz w:val="22"/>
                <w:szCs w:val="22"/>
              </w:rPr>
              <w:t>.</w:t>
            </w:r>
          </w:p>
        </w:tc>
      </w:tr>
      <w:tr>
        <w:trPr>
          <w:trHeight w:val="285"/>
        </w:trPr>
        <w:tc>
          <w:tcPr>
            <w:tcW w:w="14596" w:type="dxa"/>
          </w:tcPr>
          <w:p>
            <w:pPr>
              <w:rPr>
                <w:bCs/>
                <w:sz w:val="22"/>
                <w:szCs w:val="22"/>
              </w:rPr>
            </w:pPr>
            <w:r>
              <w:rPr>
                <w:b/>
                <w:szCs w:val="24"/>
              </w:rPr>
              <w:t>8.</w:t>
            </w:r>
            <w:r>
              <w:rPr>
                <w:bCs/>
                <w:szCs w:val="24"/>
              </w:rPr>
              <w:t xml:space="preserve"> </w:t>
            </w:r>
            <w:r>
              <w:rPr>
                <w:b/>
                <w:szCs w:val="24"/>
              </w:rPr>
              <w:t>Horizontaliųjų principų (toliau – HP) reikalavimai</w:t>
            </w:r>
          </w:p>
        </w:tc>
      </w:tr>
      <w:tr>
        <w:tc>
          <w:tcPr>
            <w:tcW w:w="14596" w:type="dxa"/>
          </w:tcPr>
          <w:p>
            <w:pPr>
              <w:tabs>
                <w:tab w:val="left" w:pos="606"/>
              </w:tabs>
              <w:spacing w:line="276" w:lineRule="auto"/>
              <w:jc w:val="both"/>
              <w:rPr>
                <w:szCs w:val="24"/>
              </w:rPr>
            </w:pPr>
            <w:r>
              <w:rPr>
                <w:szCs w:val="24"/>
              </w:rPr>
              <w:t>8.1. 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laikantis HP.</w:t>
            </w:r>
          </w:p>
          <w:p>
            <w:pPr>
              <w:jc w:val="both"/>
              <w:rPr>
                <w:i/>
                <w:iCs/>
                <w:sz w:val="22"/>
                <w:szCs w:val="22"/>
              </w:rPr>
            </w:pPr>
            <w:r>
              <w:rPr>
                <w:szCs w:val="24"/>
              </w:rPr>
              <w:t>8.2.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fldSimple w:instr="HYPERLINK http://eur-lex.europa.eu/legal-content/LIT/TXT/?uri=CELEX:32020R0852&amp;locale=lt \t _blank">
              <w:r>
                <w:rPr>
                  <w:szCs w:val="24"/>
                  <w:u w:val="single"/>
                  <w:color w:val="0000FF" w:themeColor="hyperlink"/>
                </w:rPr>
                <w:t>(ES) 2020/852</w:t>
              </w:r>
            </w:fldSimple>
            <w:r>
              <w:rPr>
                <w:szCs w:val="24"/>
              </w:rPr>
              <w:t> dėl sistemos tvariam investavimui palengvinti sukūrimo, kuriuo iš dalies keičiamas Reglamentas </w:t>
            </w:r>
            <w:fldSimple w:instr="HYPERLINK http://eur-lex.europa.eu/legal-content/LIT/TXT/?uri=CELEX:32019R2088&amp;locale=lt \t _blank">
              <w:r>
                <w:rPr>
                  <w:szCs w:val="24"/>
                  <w:u w:val="single"/>
                  <w:color w:val="0000FF" w:themeColor="hyperlink"/>
                </w:rPr>
                <w:t>(ES) 2019/2088</w:t>
              </w:r>
            </w:fldSimple>
            <w:r>
              <w:rPr>
                <w:szCs w:val="24"/>
              </w:rPr>
              <w:t>, 17 straipsnyje. Projekto atitikties reikšmingos žalos nedarymo HP vertinimo reikalavimai pateikiami Aprašo priede „Projekto atitikties reikšmingos žalos nedarymo horizontaliajam principui vertinimo reikalavimų aprašas“.</w:t>
            </w:r>
          </w:p>
        </w:tc>
      </w:tr>
      <w:tr>
        <w:tc>
          <w:tcPr>
            <w:tcW w:w="14596" w:type="dxa"/>
          </w:tcPr>
          <w:p>
            <w:pPr>
              <w:spacing w:line="259" w:lineRule="auto"/>
              <w:jc w:val="both"/>
              <w:rPr>
                <w:b/>
                <w:iCs/>
                <w:szCs w:val="24"/>
              </w:rPr>
            </w:pPr>
            <w:r>
              <w:rPr>
                <w:b/>
                <w:iCs/>
                <w:szCs w:val="24"/>
              </w:rPr>
              <w:t>9. Europos Sąjungos pagrindinių teisių chartijos (toliau – Chartija) reikalavimai</w:t>
            </w:r>
          </w:p>
        </w:tc>
      </w:tr>
      <w:tr>
        <w:tc>
          <w:tcPr>
            <w:tcW w:w="14596" w:type="dxa"/>
          </w:tcPr>
          <w:p>
            <w:pPr>
              <w:tabs>
                <w:tab w:val="left" w:pos="606"/>
              </w:tabs>
              <w:spacing w:line="276" w:lineRule="auto"/>
              <w:jc w:val="both"/>
              <w:rPr>
                <w:szCs w:val="24"/>
              </w:rPr>
            </w:pPr>
            <w:r>
              <w:rPr>
                <w:szCs w:val="24"/>
              </w:rPr>
              <w:t>Projekto įgyvendinimo metu turi būti nepažeidžiamos Chartijos nuostatos: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p>
            <w:pPr>
              <w:jc w:val="both"/>
              <w:rPr>
                <w:i/>
                <w:iCs/>
                <w:sz w:val="22"/>
                <w:szCs w:val="22"/>
              </w:rPr>
            </w:pPr>
            <w:r>
              <w:rPr>
                <w:szCs w:val="24"/>
              </w:rPr>
              <w:t>Projektuose neturi būti numatyta veiksmų, kurie galėtų riboti ar pažeisti Chartijoje numatytas pagrindines teises.</w:t>
            </w:r>
          </w:p>
        </w:tc>
      </w:tr>
      <w:tr>
        <w:tc>
          <w:tcPr>
            <w:tcW w:w="14596" w:type="dxa"/>
          </w:tcPr>
          <w:p>
            <w:pPr>
              <w:rPr>
                <w:b/>
                <w:szCs w:val="24"/>
              </w:rPr>
            </w:pPr>
            <w:r>
              <w:rPr>
                <w:b/>
                <w:szCs w:val="24"/>
              </w:rPr>
              <w:t>10. Apskritis, kurioje gali būti įgyvendinami projektai</w:t>
            </w:r>
          </w:p>
        </w:tc>
      </w:tr>
      <w:tr>
        <w:tc>
          <w:tcPr>
            <w:tcW w:w="14596" w:type="dxa"/>
          </w:tcPr>
          <w:p>
            <w:pPr>
              <w:jc w:val="both"/>
              <w:rPr>
                <w:i/>
                <w:sz w:val="22"/>
                <w:szCs w:val="22"/>
              </w:rPr>
            </w:pPr>
            <w:r>
              <w:rPr>
                <w:szCs w:val="24"/>
              </w:rPr>
              <w:t>Netaikoma.</w:t>
            </w:r>
          </w:p>
        </w:tc>
      </w:tr>
      <w:tr>
        <w:tc>
          <w:tcPr>
            <w:tcW w:w="14596" w:type="dxa"/>
          </w:tcPr>
          <w:p>
            <w:pPr>
              <w:jc w:val="both"/>
              <w:rPr>
                <w:b/>
                <w:szCs w:val="24"/>
              </w:rPr>
            </w:pPr>
            <w:r>
              <w:rPr>
                <w:b/>
                <w:szCs w:val="24"/>
              </w:rPr>
              <w:t>11. Reikalavimai valstybės pagalbai (kurie nėra nurodyti kituose Aprašo punktuose)</w:t>
            </w:r>
          </w:p>
        </w:tc>
      </w:tr>
      <w:tr>
        <w:tc>
          <w:tcPr>
            <w:tcW w:w="14596" w:type="dxa"/>
          </w:tcPr>
          <w:p>
            <w:pPr>
              <w:tabs>
                <w:tab w:val="left" w:pos="606"/>
              </w:tabs>
              <w:spacing w:line="276" w:lineRule="auto"/>
              <w:jc w:val="both"/>
              <w:rPr>
                <w:i/>
                <w:iCs/>
                <w:sz w:val="22"/>
                <w:szCs w:val="22"/>
              </w:rPr>
            </w:pPr>
            <w:r>
              <w:rPr>
                <w:szCs w:val="24"/>
              </w:rPr>
              <w:t xml:space="preserve">Pagal šį Aprašą valstybės pagalba, kaip ji apibrėžta Sutarties dėl Europos Sąjungos veikimo 107 straipsnyje, ir de minimis pagalba, kuri atitinka 2023 m. gruodžio 13 d. Komisijos reglamentas </w:t>
            </w:r>
            <w:fldSimple w:instr="HYPERLINK http://eur-lex.europa.eu/legal-content/LIT/TXT/?uri=CELEX:32831R2023&amp;locale=lt \t _blank">
              <w:r>
                <w:rPr>
                  <w:szCs w:val="24"/>
                  <w:u w:val="single"/>
                  <w:color w:val="0000FF" w:themeColor="hyperlink"/>
                </w:rPr>
                <w:t>(ES) Nr. 2023/2831</w:t>
              </w:r>
            </w:fldSimple>
            <w:r>
              <w:rPr>
                <w:szCs w:val="24"/>
              </w:rPr>
              <w:t xml:space="preserve"> dėl Sutarties dėl Europos Sąjungos veikimo 107 ir 108 straipsnių taikymo de minimis pagalbai nuostatas, neteikiama.</w:t>
            </w:r>
          </w:p>
        </w:tc>
      </w:tr>
      <w:tr>
        <w:tc>
          <w:tcPr>
            <w:tcW w:w="14596" w:type="dxa"/>
          </w:tcPr>
          <w:p>
            <w:pPr>
              <w:ind w:left="426" w:hanging="426"/>
              <w:jc w:val="both"/>
              <w:rPr>
                <w:bCs/>
                <w:szCs w:val="24"/>
              </w:rPr>
            </w:pPr>
            <w:r>
              <w:rPr>
                <w:b/>
                <w:szCs w:val="24"/>
              </w:rPr>
              <w:t>12</w:t>
            </w:r>
            <w:r>
              <w:rPr>
                <w:bCs/>
                <w:szCs w:val="24"/>
              </w:rPr>
              <w:t xml:space="preserve">. </w:t>
            </w:r>
            <w:r>
              <w:rPr>
                <w:b/>
                <w:szCs w:val="24"/>
              </w:rPr>
              <w:t>Projektų atrankos kriterijai</w:t>
            </w:r>
          </w:p>
          <w:p>
            <w:pPr>
              <w:jc w:val="both"/>
              <w:rPr>
                <w:i/>
                <w:szCs w:val="24"/>
              </w:rPr>
            </w:pPr>
            <w:r>
              <w:t xml:space="preserve">(Kiekvienas projektas turi atitikti PAFT </w:t>
            </w:r>
            <w:r>
              <w:rPr>
                <w:iCs/>
                <w:color w:val="000000"/>
              </w:rPr>
              <w:t>2 priede nustatytus projektų bendruosius atrankos kriterijus.)</w:t>
            </w:r>
          </w:p>
        </w:tc>
      </w:tr>
      <w:tr>
        <w:trPr>
          <w:trHeight w:val="440"/>
        </w:trPr>
        <w:tc>
          <w:tcPr>
            <w:tcW w:w="14596" w:type="dxa"/>
          </w:tcPr>
          <w:p>
            <w:pPr>
              <w:jc w:val="both"/>
              <w:rPr>
                <w:i/>
                <w:sz w:val="22"/>
                <w:szCs w:val="22"/>
              </w:rPr>
            </w:pPr>
            <w:r>
              <w:rPr>
                <w:szCs w:val="24"/>
              </w:rPr>
              <w:t>Specialieji ir prioritetiniai projektų atrankos kriterijai nėra nustatomi.</w:t>
            </w:r>
          </w:p>
        </w:tc>
      </w:tr>
      <w:tr>
        <w:trPr>
          <w:trHeight w:val="309"/>
        </w:trPr>
        <w:tc>
          <w:tcPr>
            <w:tcW w:w="14596" w:type="dxa"/>
          </w:tcPr>
          <w:p>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p>
            <w:pPr>
              <w:jc w:val="both"/>
              <w:rPr>
                <w:i/>
                <w:sz w:val="22"/>
                <w:szCs w:val="22"/>
              </w:rPr>
            </w:pPr>
            <w:r>
              <w:t xml:space="preserve">(Kiekvienas jungtinio projekto projektas turi atitikti PAFT </w:t>
            </w:r>
            <w:r>
              <w:rPr>
                <w:iCs/>
                <w:color w:val="000000"/>
              </w:rPr>
              <w:t>2 priede nustatytus projektų bendruosius atrankos kriterijus.)</w:t>
            </w:r>
          </w:p>
        </w:tc>
      </w:tr>
      <w:tr>
        <w:trPr>
          <w:trHeight w:val="571"/>
        </w:trPr>
        <w:tc>
          <w:tcPr>
            <w:tcW w:w="14596" w:type="dxa"/>
          </w:tcPr>
          <w:p>
            <w:pPr>
              <w:jc w:val="both"/>
              <w:rPr>
                <w:i/>
                <w:sz w:val="22"/>
                <w:szCs w:val="22"/>
              </w:rPr>
            </w:pPr>
            <w:r>
              <w:rPr>
                <w:szCs w:val="24"/>
              </w:rPr>
              <w:t>Specialieji ir prioritetiniai projektų atrankos kriterijai nėra nustatomi.</w:t>
            </w:r>
          </w:p>
        </w:tc>
      </w:tr>
      <w:tr>
        <w:tc>
          <w:tcPr>
            <w:tcW w:w="14596" w:type="dxa"/>
          </w:tcPr>
          <w:p>
            <w:pPr>
              <w:rPr>
                <w:bCs/>
                <w:szCs w:val="24"/>
              </w:rPr>
            </w:pPr>
            <w:r>
              <w:rPr>
                <w:b/>
                <w:szCs w:val="24"/>
              </w:rPr>
              <w:t>14</w:t>
            </w:r>
            <w:r>
              <w:rPr>
                <w:bCs/>
                <w:szCs w:val="24"/>
              </w:rPr>
              <w:t xml:space="preserve">. </w:t>
            </w:r>
            <w:r>
              <w:rPr>
                <w:b/>
                <w:szCs w:val="24"/>
              </w:rPr>
              <w:t>Reikalavimai įgyvendinus projektų veiklas</w:t>
            </w:r>
          </w:p>
        </w:tc>
      </w:tr>
      <w:tr>
        <w:trPr>
          <w:trHeight w:val="541"/>
        </w:trPr>
        <w:tc>
          <w:tcPr>
            <w:tcW w:w="14596" w:type="dxa"/>
          </w:tcPr>
          <w:p>
            <w:pPr>
              <w:jc w:val="both"/>
              <w:rPr>
                <w:i/>
                <w:sz w:val="22"/>
                <w:szCs w:val="22"/>
              </w:rPr>
            </w:pPr>
            <w:r>
              <w:rPr>
                <w:szCs w:val="24"/>
              </w:rPr>
              <w:t>Netaikoma.</w:t>
            </w:r>
          </w:p>
        </w:tc>
      </w:tr>
      <w:tr>
        <w:tc>
          <w:tcPr>
            <w:tcW w:w="14596" w:type="dxa"/>
          </w:tcPr>
          <w:p>
            <w:pPr>
              <w:rPr>
                <w:b/>
                <w:szCs w:val="24"/>
              </w:rPr>
            </w:pPr>
            <w:r>
              <w:rPr>
                <w:b/>
                <w:szCs w:val="24"/>
              </w:rPr>
              <w:t>15. Kiti reikalavimai</w:t>
            </w:r>
          </w:p>
        </w:tc>
      </w:tr>
      <w:tr>
        <w:tc>
          <w:tcPr>
            <w:tcW w:w="14596" w:type="dxa"/>
          </w:tcPr>
          <w:p>
            <w:pPr>
              <w:tabs>
                <w:tab w:val="left" w:pos="1134"/>
              </w:tabs>
              <w:jc w:val="both"/>
              <w:rPr>
                <w:i/>
                <w:sz w:val="22"/>
                <w:szCs w:val="22"/>
              </w:rPr>
            </w:pPr>
            <w:r>
              <w:rPr>
                <w:szCs w:val="24"/>
              </w:rPr>
              <w:t>Vadovaudamasi Administravimo taisyklių 99.4 papunkčiu, projektą administruojanti institucija gali priimti PĮP, pateiktą po kvietime teikti projekto įgyvendinimo planus nustatyto PĮP pateikimo termino pabaigos, gavusi ir įvertinusi pareiškėjo argumentus.</w:t>
            </w:r>
          </w:p>
        </w:tc>
      </w:tr>
    </w:tbl>
    <w:p>
      <w:pPr>
        <w:jc w:val="center"/>
        <w:rPr>
          <w:b/>
          <w:color w:val="FF0000"/>
          <w:szCs w:val="24"/>
        </w:rPr>
      </w:pPr>
    </w:p>
    <w:p>
      <w:pPr>
        <w:jc w:val="center"/>
        <w:rPr>
          <w:b/>
          <w:szCs w:val="24"/>
        </w:rPr>
      </w:pPr>
      <w:r>
        <w:rPr>
          <w:b/>
          <w:szCs w:val="24"/>
        </w:rPr>
        <w:t>III</w:t>
      </w:r>
      <w:r>
        <w:rPr>
          <w:b/>
          <w:szCs w:val="24"/>
        </w:rPr>
        <w:t xml:space="preserve"> SKYRIUS</w:t>
      </w:r>
    </w:p>
    <w:p>
      <w:pPr>
        <w:jc w:val="center"/>
        <w:rPr>
          <w:b/>
          <w:szCs w:val="24"/>
        </w:rPr>
      </w:pPr>
      <w:r>
        <w:rPr>
          <w:b/>
          <w:szCs w:val="24"/>
        </w:rPr>
        <w:t>IŠLAIDŲ TINKAMUMO FINANSUOTI REIKALAVIMAI</w:t>
      </w:r>
    </w:p>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c>
          <w:tcPr>
            <w:tcW w:w="14596" w:type="dxa"/>
          </w:tcPr>
          <w:p>
            <w:pPr>
              <w:jc w:val="both"/>
              <w:rPr>
                <w:bCs/>
                <w:szCs w:val="24"/>
              </w:rPr>
            </w:pPr>
            <w:r>
              <w:rPr>
                <w:b/>
                <w:szCs w:val="24"/>
              </w:rPr>
              <w:t>16</w:t>
            </w:r>
            <w:r>
              <w:rPr>
                <w:bCs/>
                <w:szCs w:val="24"/>
              </w:rPr>
              <w:t xml:space="preserve">. </w:t>
            </w:r>
            <w:r>
              <w:rPr>
                <w:b/>
                <w:szCs w:val="24"/>
              </w:rPr>
              <w:t>Išlaidų tinkamumo finansuoti reikalavimai</w:t>
            </w:r>
          </w:p>
        </w:tc>
      </w:tr>
      <w:tr>
        <w:tc>
          <w:tcPr>
            <w:tcW w:w="14596" w:type="dxa"/>
          </w:tcPr>
          <w:p>
            <w:pPr>
              <w:tabs>
                <w:tab w:val="left" w:pos="606"/>
              </w:tabs>
              <w:spacing w:line="276" w:lineRule="auto"/>
              <w:jc w:val="both"/>
              <w:rPr>
                <w:szCs w:val="24"/>
              </w:rPr>
            </w:pPr>
            <w:r>
              <w:rPr>
                <w:szCs w:val="24"/>
              </w:rPr>
              <w:t>16.1.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pPr>
              <w:tabs>
                <w:tab w:val="left" w:pos="606"/>
              </w:tabs>
              <w:spacing w:line="276" w:lineRule="auto"/>
              <w:jc w:val="both"/>
              <w:rPr>
                <w:szCs w:val="24"/>
              </w:rPr>
            </w:pPr>
            <w:r>
              <w:rPr>
                <w:szCs w:val="24"/>
              </w:rPr>
              <w:t>16.2. Didžiausia galima projektų finansuojamoji dalis sudaro 100 proc. visų tinkamų finansuoti projekto išlaidų. Pareiškėjas savo iniciatyva ir savo ir (arba) kitų šaltinių lėšomis gali prisidėti prie projekto įgyvendinimo.</w:t>
            </w:r>
          </w:p>
          <w:p>
            <w:pPr>
              <w:tabs>
                <w:tab w:val="left" w:pos="606"/>
              </w:tabs>
              <w:spacing w:line="276" w:lineRule="auto"/>
              <w:jc w:val="both"/>
              <w:rPr>
                <w:szCs w:val="24"/>
              </w:rPr>
            </w:pPr>
            <w:r>
              <w:rPr>
                <w:szCs w:val="24"/>
              </w:rPr>
              <w:t>16.3. Projekto tinkamų finansuoti išlaidų dalis, kurios nepadengia projektui skiriamo finansavimo lėšos, turi būti finansuojama iš projekto vykdytojo lėšų.</w:t>
            </w:r>
          </w:p>
          <w:p>
            <w:pPr>
              <w:tabs>
                <w:tab w:val="left" w:pos="606"/>
              </w:tabs>
              <w:spacing w:line="276" w:lineRule="auto"/>
              <w:jc w:val="both"/>
              <w:rPr>
                <w:szCs w:val="24"/>
              </w:rPr>
            </w:pPr>
            <w:r>
              <w:rPr>
                <w:szCs w:val="24"/>
              </w:rPr>
              <w:t>16.4. Projekto vykdytojui, vadovaujantis PAFT numatytomis sąlygomis, gali būti mokamas avansas.</w:t>
            </w:r>
          </w:p>
          <w:p>
            <w:pPr>
              <w:tabs>
                <w:tab w:val="left" w:pos="606"/>
              </w:tabs>
              <w:spacing w:line="276" w:lineRule="auto"/>
              <w:jc w:val="both"/>
              <w:rPr>
                <w:szCs w:val="24"/>
              </w:rPr>
            </w:pPr>
            <w:r>
              <w:rPr>
                <w:szCs w:val="24"/>
              </w:rPr>
              <w:t>16.5. Projekto išlaidos projekto įgyvendinimo metu apmokamos išlaidų kompensavimo būdu projekto vykdytojui deklaruojant patirtas ir apmokėtas išlaidas, supaprastintai apmokamas išlaidas arba kartu derinant šias abi apmokėjimo formas.</w:t>
            </w:r>
          </w:p>
          <w:p>
            <w:pPr>
              <w:tabs>
                <w:tab w:val="left" w:pos="606"/>
              </w:tabs>
              <w:spacing w:line="276" w:lineRule="auto"/>
              <w:jc w:val="both"/>
              <w:rPr>
                <w:szCs w:val="24"/>
              </w:rPr>
            </w:pPr>
            <w:r>
              <w:rPr>
                <w:szCs w:val="24"/>
              </w:rPr>
              <w:t>16.6. Projektams taikomi supaprastinti išlaidų dydžiai, kurie nurodyti Aprašo 17 punkte „Projektų veiklų ir jungtinio projekto projektų įgyvendinimui taikomi supaprastintai apmokamų išlaidų dydžiai“.</w:t>
            </w:r>
          </w:p>
          <w:p>
            <w:pPr>
              <w:tabs>
                <w:tab w:val="left" w:pos="606"/>
              </w:tabs>
              <w:spacing w:line="276" w:lineRule="auto"/>
              <w:jc w:val="both"/>
              <w:rPr>
                <w:szCs w:val="24"/>
              </w:rPr>
            </w:pPr>
            <w:r>
              <w:rPr>
                <w:szCs w:val="24"/>
              </w:rPr>
              <w:t>16.7. Pagal Aprašą netinkamos finansuoti projekto lėšomis išlaidos nustatytos PAFT VII skyriaus „Projektų išlaidų reikalavimai“ 3 skirsnyje „Netinkamos finansuoti išlaidos“, taip pat netinkamos finansuoti projekto lėšomis:</w:t>
            </w:r>
          </w:p>
          <w:p>
            <w:pPr>
              <w:tabs>
                <w:tab w:val="left" w:pos="606"/>
              </w:tabs>
              <w:spacing w:line="276" w:lineRule="auto"/>
              <w:jc w:val="both"/>
              <w:rPr>
                <w:szCs w:val="24"/>
              </w:rPr>
            </w:pPr>
            <w:r>
              <w:rPr>
                <w:szCs w:val="24"/>
              </w:rPr>
              <w:t>16.7.1. infrastruktūros, žemės ir kito nekilnojamojo turto pirkimo išlaidos;</w:t>
            </w:r>
          </w:p>
          <w:p>
            <w:pPr>
              <w:tabs>
                <w:tab w:val="left" w:pos="606"/>
              </w:tabs>
              <w:spacing w:line="276" w:lineRule="auto"/>
              <w:jc w:val="both"/>
              <w:rPr>
                <w:szCs w:val="24"/>
              </w:rPr>
            </w:pPr>
            <w:r>
              <w:rPr>
                <w:szCs w:val="24"/>
              </w:rPr>
              <w:t>16.7.2. baldų, įrangos (įrenginių) ar transporto priemonių pirkimo išlaidos, lizingo (finansinės nuomos), eksploatavimo ir susijusios išlaidos;</w:t>
            </w:r>
          </w:p>
          <w:p>
            <w:pPr>
              <w:tabs>
                <w:tab w:val="left" w:pos="606"/>
              </w:tabs>
              <w:spacing w:line="276" w:lineRule="auto"/>
              <w:jc w:val="both"/>
              <w:rPr>
                <w:szCs w:val="24"/>
              </w:rPr>
            </w:pPr>
            <w:r>
              <w:rPr>
                <w:szCs w:val="24"/>
              </w:rPr>
              <w:t>16.7.3. pastatų, kitų statinių ir patalpų statybos, rekonstravimo, remonto ir panašios išlaidos;</w:t>
            </w:r>
          </w:p>
          <w:p>
            <w:pPr>
              <w:tabs>
                <w:tab w:val="left" w:pos="606"/>
              </w:tabs>
              <w:spacing w:line="276" w:lineRule="auto"/>
              <w:jc w:val="both"/>
              <w:rPr>
                <w:szCs w:val="24"/>
              </w:rPr>
            </w:pPr>
            <w:r>
              <w:rPr>
                <w:szCs w:val="24"/>
              </w:rPr>
              <w:t>16.7.4. naudojamo ilgalaikio turto nusidėvėjimo (amortizacijos) sąnaudos;</w:t>
            </w:r>
          </w:p>
          <w:p>
            <w:pPr>
              <w:tabs>
                <w:tab w:val="left" w:pos="606"/>
              </w:tabs>
              <w:spacing w:line="276" w:lineRule="auto"/>
              <w:jc w:val="both"/>
              <w:rPr>
                <w:szCs w:val="24"/>
              </w:rPr>
            </w:pPr>
            <w:r>
              <w:rPr>
                <w:szCs w:val="24"/>
              </w:rPr>
              <w:t>16.7.5. nepiniginis projekto vykdytojo / partnerio įnašas;</w:t>
            </w:r>
          </w:p>
          <w:p>
            <w:pPr>
              <w:tabs>
                <w:tab w:val="left" w:pos="606"/>
              </w:tabs>
              <w:spacing w:line="276" w:lineRule="auto"/>
              <w:jc w:val="both"/>
              <w:rPr>
                <w:szCs w:val="24"/>
              </w:rPr>
            </w:pPr>
            <w:r>
              <w:rPr>
                <w:szCs w:val="24"/>
              </w:rPr>
              <w:t>16.7.6. vienkartinės, kanceliarinės priemonės, higienos prekės ir kitos panašios paslaugoms teikti reikalingos priemonės;</w:t>
            </w:r>
          </w:p>
          <w:p>
            <w:pPr>
              <w:tabs>
                <w:tab w:val="left" w:pos="606"/>
              </w:tabs>
              <w:spacing w:line="276" w:lineRule="auto"/>
              <w:jc w:val="both"/>
              <w:rPr>
                <w:szCs w:val="24"/>
              </w:rPr>
            </w:pPr>
            <w:r>
              <w:rPr>
                <w:szCs w:val="24"/>
              </w:rPr>
              <w:t>16.7.7. išlaidos, kuriomis pakeičiamos periodinės nacionalinės biudžeto išlaidos (tokios kaip valstybės tarnautojų, mokytojų, gydytojų atlyginimai už kasdienį darbą, periodinės infrastruktūros priežiūros išlaidos ir pan. (angl. </w:t>
            </w:r>
            <w:r>
              <w:rPr>
                <w:i/>
                <w:iCs/>
                <w:szCs w:val="24"/>
              </w:rPr>
              <w:t>recurrent costs</w:t>
            </w:r>
            <w:r>
              <w:rPr>
                <w:szCs w:val="24"/>
              </w:rPr>
              <w:t>), išskyrus atvejus, kai tokios išlaidos suderintos su Europos Komisija.</w:t>
            </w:r>
          </w:p>
          <w:p>
            <w:pPr>
              <w:tabs>
                <w:tab w:val="left" w:pos="606"/>
              </w:tabs>
              <w:spacing w:line="276" w:lineRule="auto"/>
              <w:jc w:val="both"/>
              <w:rPr>
                <w:szCs w:val="24"/>
              </w:rPr>
            </w:pPr>
            <w:r>
              <w:rPr>
                <w:szCs w:val="24"/>
              </w:rPr>
              <w:t>16.8. Darbo užmokesčio išlaidos tinkamos finansuoti esamiems įstaigų darbuotojams tik tuo atveju, jei darbo užmokestis mokamas už papildomų funkcijų ar užduočių, nenustatytų pareigybės aprašyme, vykdymą.</w:t>
            </w:r>
          </w:p>
          <w:p>
            <w:pPr>
              <w:jc w:val="both"/>
              <w:rPr>
                <w:sz w:val="22"/>
                <w:szCs w:val="22"/>
              </w:rPr>
            </w:pPr>
            <w:r>
              <w:rPr>
                <w:szCs w:val="24"/>
              </w:rPr>
              <w:t>16.9. Kryžminis finansavimas netaikomas.</w:t>
            </w:r>
          </w:p>
        </w:tc>
      </w:tr>
    </w:tbl>
    <w:p/>
    <w:p>
      <w:pPr>
        <w:jc w:val="center"/>
        <w:rPr>
          <w:b/>
          <w:szCs w:val="24"/>
        </w:rPr>
      </w:pPr>
      <w:r>
        <w:rPr>
          <w:b/>
          <w:szCs w:val="24"/>
        </w:rPr>
        <w:t>IV</w:t>
      </w:r>
      <w:r>
        <w:rPr>
          <w:b/>
          <w:szCs w:val="24"/>
        </w:rPr>
        <w:t xml:space="preserve"> SKYRIUS</w:t>
      </w:r>
    </w:p>
    <w:p>
      <w:pPr>
        <w:jc w:val="center"/>
        <w:rPr>
          <w:b/>
          <w:szCs w:val="24"/>
        </w:rPr>
      </w:pPr>
      <w:r>
        <w:rPr>
          <w:b/>
          <w:szCs w:val="24"/>
        </w:rPr>
        <w:t>SUPAPRASTINTAI APMOKAMŲ IŠLAIDŲ DYDŽIAI</w:t>
      </w:r>
    </w:p>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rPr>
          <w:trHeight w:val="349"/>
        </w:trPr>
        <w:tc>
          <w:tcPr>
            <w:tcW w:w="14596" w:type="dxa"/>
          </w:tcPr>
          <w:p>
            <w:pPr>
              <w:jc w:val="both"/>
              <w:rPr>
                <w:bCs/>
                <w:szCs w:val="24"/>
              </w:rPr>
            </w:pPr>
            <w:r>
              <w:rPr>
                <w:b/>
                <w:szCs w:val="24"/>
              </w:rPr>
              <w:t>17. Projektų veiklų ir jungtinio projekto projektų įgyvendinimui taikomi supaprastintai apmokamų išlaidų dydžiai</w:t>
            </w:r>
          </w:p>
        </w:tc>
      </w:tr>
      <w:tr>
        <w:tc>
          <w:tcPr>
            <w:tcW w:w="14596" w:type="dxa"/>
          </w:tcPr>
          <w:p>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198"/>
              <w:gridCol w:w="2198"/>
              <w:gridCol w:w="2198"/>
              <w:gridCol w:w="5589"/>
            </w:tblGrid>
            <w:tr>
              <w:tc>
                <w:tcPr>
                  <w:tcW w:w="14898" w:type="dxa"/>
                  <w:gridSpan w:val="5"/>
                  <w:tcBorders>
                    <w:top w:val="single" w:sz="8" w:space="0" w:color="auto"/>
                    <w:left w:val="single" w:sz="8" w:space="0" w:color="auto"/>
                    <w:bottom w:val="single" w:sz="8" w:space="0" w:color="auto"/>
                    <w:right w:val="single" w:sz="8" w:space="0" w:color="auto"/>
                  </w:tcBorders>
                </w:tcPr>
                <w:p>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pPr>
                    <w:jc w:val="both"/>
                    <w:rPr>
                      <w:b/>
                      <w:bCs/>
                      <w:sz w:val="22"/>
                      <w:szCs w:val="22"/>
                    </w:rPr>
                  </w:pPr>
                  <w:r>
                    <w:rPr>
                      <w:rFonts w:eastAsia="MS Gothic"/>
                      <w:b/>
                      <w:bCs/>
                      <w:szCs w:val="24"/>
                    </w:rPr>
                    <w:t>X</w:t>
                  </w:r>
                  <w:r>
                    <w:rPr>
                      <w:b/>
                      <w:bCs/>
                      <w:sz w:val="22"/>
                      <w:szCs w:val="22"/>
                    </w:rPr>
                    <w:t xml:space="preserve"> Neindeksuojama</w:t>
                  </w:r>
                </w:p>
              </w:tc>
            </w:tr>
            <w:tr>
              <w:tc>
                <w:tcPr>
                  <w:tcW w:w="2313" w:type="dxa"/>
                  <w:tcBorders>
                    <w:top w:val="single" w:sz="8" w:space="0" w:color="auto"/>
                    <w:left w:val="single" w:sz="8" w:space="0" w:color="auto"/>
                    <w:bottom w:val="single" w:sz="8" w:space="0" w:color="auto"/>
                    <w:right w:val="single" w:sz="8" w:space="0" w:color="auto"/>
                  </w:tcBorders>
                  <w:vAlign w:val="center"/>
                </w:tcPr>
                <w:p>
                  <w:pPr>
                    <w:jc w:val="center"/>
                    <w:rPr>
                      <w:b/>
                      <w:bCs/>
                      <w:sz w:val="22"/>
                      <w:szCs w:val="22"/>
                    </w:rPr>
                  </w:pPr>
                  <w:r>
                    <w:rPr>
                      <w:b/>
                      <w:bCs/>
                      <w:sz w:val="22"/>
                      <w:szCs w:val="22"/>
                    </w:rPr>
                    <w:t>Veiklos ir (ar) išlaidos, kurioms taikomi supaprastintai apmokamų išlaidų dydžiai</w:t>
                  </w:r>
                </w:p>
              </w:tc>
              <w:tc>
                <w:tcPr>
                  <w:tcW w:w="2332" w:type="dxa"/>
                  <w:tcBorders>
                    <w:top w:val="single" w:sz="8" w:space="0" w:color="auto"/>
                    <w:left w:val="single" w:sz="8" w:space="0" w:color="auto"/>
                    <w:bottom w:val="single" w:sz="8" w:space="0" w:color="auto"/>
                    <w:right w:val="single" w:sz="8" w:space="0" w:color="auto"/>
                  </w:tcBorders>
                  <w:vAlign w:val="center"/>
                </w:tcPr>
                <w:p>
                  <w:pPr>
                    <w:jc w:val="center"/>
                    <w:rPr>
                      <w:b/>
                      <w:bCs/>
                      <w:sz w:val="22"/>
                      <w:szCs w:val="22"/>
                    </w:rPr>
                  </w:pPr>
                  <w:r>
                    <w:rPr>
                      <w:b/>
                      <w:bCs/>
                      <w:sz w:val="22"/>
                      <w:szCs w:val="22"/>
                    </w:rPr>
                    <w:t>Supaprastintai apmokamų išlaidų dydžio kodas</w:t>
                  </w:r>
                </w:p>
              </w:tc>
              <w:tc>
                <w:tcPr>
                  <w:tcW w:w="2332" w:type="dxa"/>
                  <w:tcBorders>
                    <w:top w:val="single" w:sz="8" w:space="0" w:color="auto"/>
                    <w:left w:val="single" w:sz="8" w:space="0" w:color="auto"/>
                    <w:bottom w:val="single" w:sz="8" w:space="0" w:color="auto"/>
                    <w:right w:val="single" w:sz="8" w:space="0" w:color="auto"/>
                  </w:tcBorders>
                  <w:vAlign w:val="center"/>
                </w:tcPr>
                <w:p>
                  <w:pPr>
                    <w:jc w:val="center"/>
                    <w:rPr>
                      <w:b/>
                      <w:bCs/>
                      <w:i/>
                      <w:iCs/>
                      <w:color w:val="808080"/>
                      <w:sz w:val="22"/>
                      <w:szCs w:val="22"/>
                    </w:rPr>
                  </w:pPr>
                  <w:r>
                    <w:rPr>
                      <w:b/>
                      <w:bCs/>
                      <w:sz w:val="22"/>
                      <w:szCs w:val="22"/>
                    </w:rPr>
                    <w:t>Supaprastintai apmokamų išlaidų dydžio versija</w:t>
                  </w:r>
                </w:p>
              </w:tc>
              <w:tc>
                <w:tcPr>
                  <w:tcW w:w="2332" w:type="dxa"/>
                  <w:tcBorders>
                    <w:top w:val="single" w:sz="8" w:space="0" w:color="auto"/>
                    <w:left w:val="single" w:sz="8" w:space="0" w:color="auto"/>
                    <w:bottom w:val="single" w:sz="8" w:space="0" w:color="auto"/>
                    <w:right w:val="single" w:sz="8" w:space="0" w:color="auto"/>
                  </w:tcBorders>
                  <w:vAlign w:val="center"/>
                </w:tcPr>
                <w:p>
                  <w:pPr>
                    <w:jc w:val="center"/>
                    <w:rPr>
                      <w:b/>
                      <w:bCs/>
                      <w:sz w:val="22"/>
                      <w:szCs w:val="22"/>
                    </w:rPr>
                  </w:pPr>
                  <w:r>
                    <w:rPr>
                      <w:b/>
                      <w:bCs/>
                      <w:sz w:val="22"/>
                      <w:szCs w:val="22"/>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pPr>
                    <w:jc w:val="center"/>
                    <w:rPr>
                      <w:b/>
                      <w:bCs/>
                      <w:sz w:val="22"/>
                      <w:szCs w:val="22"/>
                    </w:rPr>
                  </w:pPr>
                  <w:r>
                    <w:rPr>
                      <w:b/>
                      <w:bCs/>
                      <w:sz w:val="22"/>
                      <w:szCs w:val="22"/>
                    </w:rPr>
                    <w:t>Papildoma informacija</w:t>
                  </w:r>
                </w:p>
              </w:tc>
            </w:tr>
            <w:tr>
              <w:tc>
                <w:tcPr>
                  <w:tcW w:w="2313" w:type="dxa"/>
                  <w:tcBorders>
                    <w:top w:val="single" w:sz="8" w:space="0" w:color="auto"/>
                    <w:left w:val="single" w:sz="8" w:space="0" w:color="auto"/>
                    <w:bottom w:val="single" w:sz="8" w:space="0" w:color="auto"/>
                    <w:right w:val="single" w:sz="8" w:space="0" w:color="auto"/>
                  </w:tcBorders>
                </w:tcPr>
                <w:p>
                  <w:pPr>
                    <w:spacing w:line="276" w:lineRule="auto"/>
                    <w:jc w:val="center"/>
                    <w:rPr>
                      <w:szCs w:val="24"/>
                    </w:rPr>
                  </w:pPr>
                  <w:r>
                    <w:rPr>
                      <w:szCs w:val="24"/>
                    </w:rPr>
                    <w:t>Matomumo ir informavimo apie projektą priemonės</w:t>
                  </w:r>
                </w:p>
                <w:p>
                  <w:pPr>
                    <w:jc w:val="center"/>
                    <w:rPr>
                      <w:i/>
                      <w:iCs/>
                      <w:sz w:val="20"/>
                    </w:rPr>
                  </w:pPr>
                </w:p>
              </w:tc>
              <w:tc>
                <w:tcPr>
                  <w:tcW w:w="2332" w:type="dxa"/>
                  <w:tcBorders>
                    <w:top w:val="single" w:sz="8" w:space="0" w:color="auto"/>
                    <w:left w:val="single" w:sz="8" w:space="0" w:color="auto"/>
                    <w:bottom w:val="single" w:sz="8" w:space="0" w:color="auto"/>
                    <w:right w:val="single" w:sz="8" w:space="0" w:color="auto"/>
                  </w:tcBorders>
                </w:tcPr>
                <w:p>
                  <w:pPr>
                    <w:jc w:val="center"/>
                    <w:rPr>
                      <w:szCs w:val="24"/>
                    </w:rPr>
                  </w:pPr>
                  <w:r>
                    <w:rPr>
                      <w:szCs w:val="24"/>
                    </w:rPr>
                    <w:t>FS-01-01</w:t>
                  </w:r>
                </w:p>
                <w:p>
                  <w:pPr>
                    <w:jc w:val="center"/>
                    <w:rPr>
                      <w:i/>
                      <w:iCs/>
                      <w:sz w:val="20"/>
                    </w:rPr>
                  </w:pP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03</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Įgyvendintų privalomų matomumo ir informavimo priemonių apie ES fondų investicijų veiklas fiksuotoji suma (toliau – FS), pirmojo rinkinio FS be pridėtinės vertės mokesčio (toliau – PVM)</w:t>
                  </w:r>
                </w:p>
              </w:tc>
              <w:tc>
                <w:tcPr>
                  <w:tcW w:w="5589"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r>
              <w:tc>
                <w:tcPr>
                  <w:tcW w:w="2313" w:type="dxa"/>
                  <w:tcBorders>
                    <w:top w:val="single" w:sz="8" w:space="0" w:color="auto"/>
                    <w:left w:val="single" w:sz="8" w:space="0" w:color="auto"/>
                    <w:bottom w:val="single" w:sz="8" w:space="0" w:color="auto"/>
                    <w:right w:val="single" w:sz="8" w:space="0" w:color="auto"/>
                  </w:tcBorders>
                </w:tcPr>
                <w:p>
                  <w:pPr>
                    <w:spacing w:line="276" w:lineRule="auto"/>
                    <w:jc w:val="center"/>
                    <w:rPr>
                      <w:szCs w:val="24"/>
                    </w:rPr>
                  </w:pPr>
                  <w:r>
                    <w:rPr>
                      <w:szCs w:val="24"/>
                    </w:rPr>
                    <w:t>Matomumo ir informavimo apie projektą priemonės</w:t>
                  </w:r>
                </w:p>
                <w:p>
                  <w:pPr>
                    <w:jc w:val="center"/>
                    <w:rPr>
                      <w:i/>
                      <w:iCs/>
                      <w:sz w:val="20"/>
                    </w:rPr>
                  </w:pP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FS-01-02</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color w:val="000000"/>
                    </w:rPr>
                    <w:t>03</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Įgyvendintų privalomų matomumo ir informavimo priemonių apie ES fondų investicijų veiklas FS, pirmojo rinkinio FS su PVM</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r>
              <w:tc>
                <w:tcPr>
                  <w:tcW w:w="2313" w:type="dxa"/>
                  <w:tcBorders>
                    <w:top w:val="single" w:sz="8" w:space="0" w:color="auto"/>
                    <w:left w:val="single" w:sz="8" w:space="0" w:color="auto"/>
                    <w:bottom w:val="single" w:sz="8" w:space="0" w:color="auto"/>
                    <w:right w:val="single" w:sz="8" w:space="0" w:color="auto"/>
                  </w:tcBorders>
                </w:tcPr>
                <w:p>
                  <w:pPr>
                    <w:spacing w:line="276" w:lineRule="auto"/>
                    <w:jc w:val="center"/>
                    <w:rPr>
                      <w:szCs w:val="24"/>
                    </w:rPr>
                  </w:pPr>
                  <w:r>
                    <w:rPr>
                      <w:szCs w:val="24"/>
                    </w:rPr>
                    <w:t>Matomumo ir informavimo apie projektą priemonės</w:t>
                  </w:r>
                </w:p>
                <w:p>
                  <w:pPr>
                    <w:jc w:val="center"/>
                    <w:rPr>
                      <w:i/>
                      <w:iCs/>
                      <w:sz w:val="20"/>
                    </w:rPr>
                  </w:pPr>
                </w:p>
              </w:tc>
              <w:tc>
                <w:tcPr>
                  <w:tcW w:w="2332" w:type="dxa"/>
                  <w:tcBorders>
                    <w:top w:val="single" w:sz="8" w:space="0" w:color="auto"/>
                    <w:left w:val="single" w:sz="8" w:space="0" w:color="auto"/>
                    <w:bottom w:val="single" w:sz="8" w:space="0" w:color="auto"/>
                    <w:right w:val="single" w:sz="8" w:space="0" w:color="auto"/>
                  </w:tcBorders>
                </w:tcPr>
                <w:p>
                  <w:pPr>
                    <w:spacing w:line="276" w:lineRule="auto"/>
                    <w:jc w:val="center"/>
                    <w:rPr>
                      <w:szCs w:val="24"/>
                    </w:rPr>
                  </w:pPr>
                  <w:r>
                    <w:rPr>
                      <w:szCs w:val="24"/>
                    </w:rPr>
                    <w:t>FS-01-03</w:t>
                  </w:r>
                </w:p>
                <w:p>
                  <w:pPr>
                    <w:jc w:val="center"/>
                    <w:rPr>
                      <w:i/>
                      <w:iCs/>
                      <w:sz w:val="20"/>
                    </w:rPr>
                  </w:pP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color w:val="000000"/>
                    </w:rPr>
                    <w:t>03</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 xml:space="preserve">Įgyvendintų privalomų matomumo ir informavimo priemonių apie ES fondų investicijų veiklas FS, antrojo rinkinio FS be PVM </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r>
              <w:tc>
                <w:tcPr>
                  <w:tcW w:w="2313"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Matomumo ir informavimo apie projektą priemonės</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FS-01-04</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color w:val="000000"/>
                    </w:rPr>
                    <w:t>03</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Įgyvendintų privalomų matomumo ir informavimo priemonių apie ES fondų investicijų veiklas FS, antrojo rinkinio FS su PVM</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r>
              <w:tc>
                <w:tcPr>
                  <w:tcW w:w="2313"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Netiesioginės išlaidos</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FN-01</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iCs/>
                      <w:szCs w:val="24"/>
                    </w:rPr>
                    <w:t>7 proc.</w:t>
                  </w:r>
                </w:p>
              </w:tc>
            </w:tr>
            <w:tr>
              <w:tc>
                <w:tcPr>
                  <w:tcW w:w="2313"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FN-05-01</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color w:val="000000"/>
                    </w:rPr>
                    <w:t>01</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Fiksuotoji norma, taikoma, kai priklauso 20 d. d. (jeigu dirbama 5 d. d. per savaitę) arba 24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r>
              <w:tc>
                <w:tcPr>
                  <w:tcW w:w="2313"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FN-05-02</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color w:val="000000"/>
                    </w:rPr>
                    <w:t>01</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Fiksuotoji norma, taikoma, kai priklauso nuo 21 iki 25 d. d. (jeigu dirbama 5 d. d. per savaitę) arba nuo 25 iki 30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r>
              <w:tc>
                <w:tcPr>
                  <w:tcW w:w="2313"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FN-05-03</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color w:val="000000"/>
                    </w:rPr>
                    <w:t>01</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Fiksuotoji norma, taikoma, kai priklauso nuo 26 iki 30 d. d. (jeigu dirbama 5 d. d. per savaitę) arba nuo 31 iki 36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r>
              <w:tc>
                <w:tcPr>
                  <w:tcW w:w="2313"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FN-05-04</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color w:val="000000"/>
                    </w:rPr>
                    <w:t>01</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Fiksuotoji norma, taikoma, kai priklauso nuo 31 iki 36 d. d. (jeigu dirbama 5 d. d. per savaitę) arba nuo 37 iki 42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r>
              <w:tc>
                <w:tcPr>
                  <w:tcW w:w="2313"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FN-05-05</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color w:val="000000"/>
                    </w:rPr>
                    <w:t>01</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Fiksuotoji norma, taikoma, kai priklauso nuo 37 iki 39 d. d. (jeigu dirbama 5 d. d. per savaitę) arba nuo 43 iki 47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r>
              <w:tc>
                <w:tcPr>
                  <w:tcW w:w="2313"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FN-05-06</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color w:val="000000"/>
                    </w:rPr>
                    <w:t>01</w:t>
                  </w:r>
                </w:p>
              </w:tc>
              <w:tc>
                <w:tcPr>
                  <w:tcW w:w="2332" w:type="dxa"/>
                  <w:tcBorders>
                    <w:top w:val="single" w:sz="8" w:space="0" w:color="auto"/>
                    <w:left w:val="single" w:sz="8" w:space="0" w:color="auto"/>
                    <w:bottom w:val="single" w:sz="8" w:space="0" w:color="auto"/>
                    <w:right w:val="single" w:sz="8" w:space="0" w:color="auto"/>
                  </w:tcBorders>
                  <w:vAlign w:val="bottom"/>
                </w:tcPr>
                <w:p>
                  <w:pPr>
                    <w:jc w:val="center"/>
                    <w:rPr>
                      <w:i/>
                      <w:iCs/>
                      <w:sz w:val="20"/>
                    </w:rPr>
                  </w:pPr>
                  <w:r>
                    <w:rPr>
                      <w:szCs w:val="24"/>
                    </w:rPr>
                    <w:t>Fiksuotoji norma, taikoma, kai priklauso 40 d. d. (jeigu dirbama 5 d. d. per savaitę) arba 48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r>
              <w:tc>
                <w:tcPr>
                  <w:tcW w:w="2313"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Kasmetinių atostogų išlaidos</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szCs w:val="24"/>
                    </w:rPr>
                    <w:t>FN-05-07</w:t>
                  </w:r>
                </w:p>
              </w:tc>
              <w:tc>
                <w:tcPr>
                  <w:tcW w:w="2332" w:type="dxa"/>
                  <w:tcBorders>
                    <w:top w:val="single" w:sz="8" w:space="0" w:color="auto"/>
                    <w:left w:val="single" w:sz="8" w:space="0" w:color="auto"/>
                    <w:bottom w:val="single" w:sz="8" w:space="0" w:color="auto"/>
                    <w:right w:val="single" w:sz="8" w:space="0" w:color="auto"/>
                  </w:tcBorders>
                </w:tcPr>
                <w:p>
                  <w:pPr>
                    <w:jc w:val="center"/>
                    <w:rPr>
                      <w:i/>
                      <w:iCs/>
                      <w:sz w:val="20"/>
                    </w:rPr>
                  </w:pPr>
                  <w:r>
                    <w:rPr>
                      <w:color w:val="000000"/>
                    </w:rPr>
                    <w:t>01</w:t>
                  </w:r>
                </w:p>
              </w:tc>
              <w:tc>
                <w:tcPr>
                  <w:tcW w:w="2332" w:type="dxa"/>
                  <w:tcBorders>
                    <w:top w:val="single" w:sz="8" w:space="0" w:color="auto"/>
                    <w:left w:val="single" w:sz="8" w:space="0" w:color="auto"/>
                    <w:bottom w:val="single" w:sz="8" w:space="0" w:color="auto"/>
                    <w:right w:val="single" w:sz="8" w:space="0" w:color="auto"/>
                  </w:tcBorders>
                  <w:vAlign w:val="bottom"/>
                </w:tcPr>
                <w:p>
                  <w:pPr>
                    <w:jc w:val="center"/>
                    <w:rPr>
                      <w:i/>
                      <w:iCs/>
                      <w:sz w:val="20"/>
                    </w:rPr>
                  </w:pPr>
                  <w:r>
                    <w:rPr>
                      <w:szCs w:val="24"/>
                    </w:rPr>
                    <w:t>Fiksuotoji norma, taikoma, kai priklauso nuo 41 d. d. (jeigu dirbama 5 d. d. per savaitę) arba nuo 49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pPr>
                    <w:jc w:val="center"/>
                    <w:rPr>
                      <w:i/>
                      <w:color w:val="000000"/>
                      <w:sz w:val="20"/>
                    </w:rPr>
                  </w:pPr>
                  <w:r>
                    <w:rPr>
                      <w:szCs w:val="24"/>
                    </w:rPr>
                    <w:t xml:space="preserve">Supaprastintai apmokamų išlaidų dydžių registras yra paskelbtas Europos Sąjungos investicijų interneto svetainėje adresu </w:t>
                  </w:r>
                  <w:r>
                    <w:rPr>
                      <w:szCs w:val="24"/>
                      <w:shd w:val="clear" w:color="auto" w:fill="FFFFFF"/>
                    </w:rPr>
                    <w:t>https://2021.esinvesticijos.lt/dokumentai/supaprastintai-apmokamu-islaidu-dydziu-registras</w:t>
                  </w:r>
                </w:p>
              </w:tc>
            </w:tr>
          </w:tbl>
          <w:p>
            <w:pPr>
              <w:jc w:val="both"/>
              <w:rPr>
                <w:i/>
                <w:iCs/>
                <w:sz w:val="22"/>
                <w:szCs w:val="22"/>
              </w:rPr>
            </w:pPr>
          </w:p>
          <w:p>
            <w:pPr>
              <w:jc w:val="both"/>
              <w:rPr>
                <w:i/>
                <w:iCs/>
                <w:sz w:val="22"/>
                <w:szCs w:val="22"/>
              </w:rPr>
            </w:pPr>
          </w:p>
        </w:tc>
      </w:tr>
    </w:tbl>
    <w:p/>
    <w:p>
      <w:pPr>
        <w:jc w:val="center"/>
        <w:rPr>
          <w:rFonts w:eastAsia="Calibri"/>
          <w:sz w:val="20"/>
        </w:rPr>
        <w:sectPr>
          <w:pgSz w:w="16838" w:h="11906" w:orient="landscape"/>
          <w:pgMar w:top="1134" w:right="567" w:bottom="993" w:left="1701" w:header="567" w:footer="567" w:gutter="0"/>
          <w:cols w:space="1296"/>
          <w:titlePg/>
          <w:docGrid w:linePitch="360"/>
        </w:sectPr>
      </w:pPr>
      <w:r>
        <w:rPr>
          <w:rFonts w:eastAsia="Calibri"/>
          <w:szCs w:val="24"/>
        </w:rPr>
        <w:t>________________</w:t>
      </w:r>
    </w:p>
    <w:p>
      <w:pPr>
        <w:tabs>
          <w:tab w:val="center" w:pos="4680"/>
          <w:tab w:val="right" w:pos="9360"/>
        </w:tabs>
        <w:rPr>
          <w:sz w:val="22"/>
          <w:szCs w:val="22"/>
          <w:lang w:eastAsia="lt-LT"/>
        </w:rPr>
      </w:pPr>
    </w:p>
    <w:p>
      <w:pPr>
        <w:ind w:left="10206"/>
        <w:jc w:val="both"/>
        <w:rPr>
          <w:szCs w:val="24"/>
        </w:rPr>
      </w:pPr>
      <w:r>
        <w:rPr>
          <w:szCs w:val="24"/>
        </w:rPr>
        <w:t>2022–2030 metų sveikatos priežiūros kokybės ir efektyvumo didinimo plėtros programos pažangos priemonės Nr. 11-002-11-01 „Gerinti sveikatos priežiūros paslaugų kokybę ir prieinamumą“ projekto finansavimo sąlygų aprašo Nr. 30</w:t>
      </w:r>
    </w:p>
    <w:p>
      <w:pPr>
        <w:tabs>
          <w:tab w:val="left" w:pos="10065"/>
        </w:tabs>
        <w:ind w:firstLine="10354"/>
        <w:rPr>
          <w:szCs w:val="24"/>
        </w:rPr>
      </w:pPr>
      <w:r>
        <w:rPr>
          <w:szCs w:val="24"/>
        </w:rPr>
        <w:t>priedas</w:t>
      </w:r>
    </w:p>
    <w:p>
      <w:pPr>
        <w:jc w:val="center"/>
        <w:rPr>
          <w:szCs w:val="24"/>
        </w:rPr>
      </w:pPr>
    </w:p>
    <w:p>
      <w:pPr>
        <w:jc w:val="center"/>
        <w:rPr>
          <w:rFonts w:eastAsia="Calibri"/>
          <w:b/>
          <w:bCs/>
          <w:szCs w:val="24"/>
        </w:rPr>
      </w:pPr>
    </w:p>
    <w:p>
      <w:pPr>
        <w:jc w:val="center"/>
        <w:rPr>
          <w:rFonts w:eastAsia="Calibri"/>
          <w:b/>
          <w:bCs/>
          <w:szCs w:val="24"/>
        </w:rPr>
      </w:pPr>
      <w:r>
        <w:rPr>
          <w:rFonts w:eastAsia="Calibri"/>
          <w:b/>
          <w:bCs/>
          <w:szCs w:val="24"/>
        </w:rPr>
        <w:t>PROJEKTO ATITIKTIES REIKŠMINGOS ŽALOS NEDARYMO HORIZONTALIAJAM PRINCIPUI VERTINIMO REIKALAVIMŲ APRAŠAS</w:t>
      </w:r>
    </w:p>
    <w:p>
      <w:pPr>
        <w:jc w:val="center"/>
        <w:rPr>
          <w:rFonts w:eastAsia="Calibri"/>
          <w:b/>
          <w:bCs/>
          <w:szCs w:val="24"/>
        </w:rPr>
      </w:pPr>
    </w:p>
    <w:p>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pPr>
        <w:spacing w:line="276" w:lineRule="auto"/>
        <w:jc w:val="both"/>
        <w:rPr>
          <w:rFonts w:eastAsia="Calibri"/>
          <w:bCs/>
          <w:szCs w:val="24"/>
        </w:rPr>
      </w:pPr>
      <w:r>
        <w:rPr>
          <w:rFonts w:ascii="Wingdings 2" w:eastAsia="Wingdings 2" w:hAnsi="Wingdings 2" w:cs="Wingdings 2"/>
        </w:rPr>
        <w:sym w:font="Wingdings 2" w:char="00A3"/>
      </w:r>
      <w:r>
        <w:t xml:space="preserve"> </w:t>
      </w:r>
      <w:r>
        <w:rPr>
          <w:rFonts w:eastAsia="Calibri"/>
          <w:bCs/>
          <w:szCs w:val="24"/>
        </w:rPr>
        <w:t>Ekonomikos gaivinimo ir atsparumo didinimo priemonė (toliau – EGADP)</w:t>
      </w:r>
    </w:p>
    <w:p>
      <w:pPr>
        <w:spacing w:line="276" w:lineRule="auto"/>
        <w:jc w:val="both"/>
        <w:rPr>
          <w:rFonts w:eastAsia="Calibri"/>
          <w:bCs/>
          <w:szCs w:val="24"/>
        </w:rPr>
      </w:pPr>
      <w:r>
        <w:t>X Europos Sąjungos fondų i</w:t>
      </w:r>
      <w:r>
        <w:rPr>
          <w:rFonts w:eastAsia="Calibri"/>
          <w:bCs/>
          <w:szCs w:val="24"/>
        </w:rPr>
        <w:t>nvesticijų programa (toliau – ESFIP)</w:t>
      </w:r>
    </w:p>
    <w:p>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4"/>
        <w:gridCol w:w="5330"/>
      </w:tblGrid>
      <w:tr>
        <w:tc>
          <w:tcPr>
            <w:tcW w:w="4933" w:type="dxa"/>
          </w:tcPr>
          <w:p>
            <w:pPr>
              <w:jc w:val="center"/>
              <w:rPr>
                <w:rFonts w:eastAsia="Calibri"/>
                <w:b/>
                <w:szCs w:val="24"/>
              </w:rPr>
            </w:pPr>
            <w:r>
              <w:rPr>
                <w:rFonts w:eastAsia="Calibri"/>
                <w:b/>
                <w:szCs w:val="24"/>
              </w:rPr>
              <w:t>Aplinkos tikslai</w:t>
            </w:r>
          </w:p>
          <w:p>
            <w:pPr>
              <w:jc w:val="both"/>
              <w:rPr>
                <w:rFonts w:eastAsia="Calibri"/>
                <w:szCs w:val="24"/>
              </w:rPr>
            </w:pPr>
            <w:r>
              <w:rPr>
                <w:rFonts w:eastAsia="Calibri"/>
                <w:szCs w:val="24"/>
              </w:rPr>
              <w:t>(</w:t>
            </w:r>
            <w:r>
              <w:rPr>
                <w:rFonts w:eastAsia="Calibri"/>
                <w:i/>
                <w:szCs w:val="24"/>
              </w:rPr>
              <w:t xml:space="preserve">pagal 2020 m. birželio 18 d. Europos Parlamento ir Tarybos reglamentą </w:t>
            </w:r>
            <w:fldSimple w:instr="HYPERLINK http://eur-lex.europa.eu/legal-content/LIT/TXT/?uri=CELEX:32020R0852&amp;locale=lt \t _blank">
              <w:r>
                <w:rPr>
                  <w:rFonts w:eastAsia="Calibri"/>
                  <w:i/>
                  <w:szCs w:val="24"/>
                  <w:u w:val="single"/>
                  <w:color w:val="0000FF" w:themeColor="hyperlink"/>
                </w:rPr>
                <w:t>(ES) 2020/852</w:t>
              </w:r>
            </w:fldSimple>
            <w:r>
              <w:rPr>
                <w:rFonts w:eastAsia="Calibri"/>
                <w:i/>
                <w:szCs w:val="24"/>
              </w:rPr>
              <w:t xml:space="preserve"> dėl sistemos tvariam investavimui palengvinti sukūrimo, kuriuo iš dalies keičiamas Reglamentas </w:t>
            </w:r>
            <w:fldSimple w:instr="HYPERLINK http://eur-lex.europa.eu/legal-content/LIT/TXT/?uri=CELEX:32088R2019&amp;locale=lt \t _blank">
              <w:r>
                <w:rPr>
                  <w:rFonts w:eastAsia="Calibri"/>
                  <w:i/>
                  <w:szCs w:val="24"/>
                  <w:u w:val="single"/>
                  <w:color w:val="0000FF" w:themeColor="hyperlink"/>
                </w:rPr>
                <w:t>(ES) Nr. 2019/2088</w:t>
              </w:r>
            </w:fldSimple>
            <w:r>
              <w:rPr>
                <w:rFonts w:eastAsia="Calibri"/>
                <w:i/>
                <w:szCs w:val="24"/>
              </w:rPr>
              <w:t>)</w:t>
            </w:r>
          </w:p>
        </w:tc>
        <w:tc>
          <w:tcPr>
            <w:tcW w:w="4678" w:type="dxa"/>
          </w:tcPr>
          <w:p>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pPr>
              <w:jc w:val="both"/>
              <w:rPr>
                <w:rFonts w:eastAsia="Calibri"/>
                <w:b/>
                <w:bCs/>
                <w:i/>
                <w:szCs w:val="24"/>
              </w:rPr>
            </w:pPr>
            <w:r>
              <w:rPr>
                <w:rFonts w:eastAsia="Calibri"/>
                <w:bCs/>
                <w:i/>
                <w:szCs w:val="24"/>
              </w:rPr>
              <w:t>(papildomai gali būti nurodomi nacionaliniai teisės aktai, kuriais įgyvendinami vertinimo anketose minimi Europos Sąjungos teisės aktai)</w:t>
            </w:r>
          </w:p>
        </w:tc>
        <w:tc>
          <w:tcPr>
            <w:tcW w:w="5387" w:type="dxa"/>
          </w:tcPr>
          <w:p>
            <w:pPr>
              <w:jc w:val="center"/>
              <w:rPr>
                <w:rFonts w:eastAsia="Calibri"/>
                <w:b/>
                <w:i/>
                <w:sz w:val="20"/>
              </w:rPr>
            </w:pPr>
            <w:r>
              <w:rPr>
                <w:rFonts w:eastAsia="Calibri"/>
                <w:b/>
                <w:szCs w:val="24"/>
              </w:rPr>
              <w:t>Pagrindimo dokumentai</w:t>
            </w:r>
          </w:p>
          <w:p>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tc>
          <w:tcPr>
            <w:tcW w:w="4933" w:type="dxa"/>
          </w:tcPr>
          <w:p>
            <w:pPr>
              <w:tabs>
                <w:tab w:val="left" w:pos="289"/>
              </w:tabs>
              <w:ind w:firstLine="5"/>
              <w:jc w:val="both"/>
              <w:rPr>
                <w:rFonts w:eastAsia="Calibri"/>
                <w:szCs w:val="24"/>
              </w:rPr>
            </w:pPr>
            <w:r>
              <w:rPr>
                <w:rFonts w:eastAsia="Calibri"/>
                <w:szCs w:val="24"/>
              </w:rPr>
              <w:t>1.</w:t>
              <w:tab/>
              <w:t>Klimato kaitos švelninimas</w:t>
            </w:r>
          </w:p>
        </w:tc>
        <w:tc>
          <w:tcPr>
            <w:tcW w:w="4678" w:type="dxa"/>
          </w:tcPr>
          <w:p>
            <w:pPr>
              <w:jc w:val="both"/>
              <w:rPr>
                <w:rFonts w:eastAsia="Calibri"/>
                <w:bCs/>
                <w:iCs/>
                <w:szCs w:val="24"/>
              </w:rPr>
            </w:pPr>
            <w:r>
              <w:rPr>
                <w:rFonts w:eastAsia="Calibri"/>
                <w:bCs/>
                <w:iCs/>
                <w:szCs w:val="24"/>
              </w:rPr>
              <w:t xml:space="preserve">Vertinama, kad planuojamos įgyvendinti veiklos dėl savo pobūdžio neturi jokio neigiamo tiesioginio ar netiesioginio poveikio šiam aplinkos tikslui arba numatomas jų poveikis yra nereikšmingas, t. y. nenumatoma, kad įgyvendinamos veiklos prisidės prie šiltnamio efektą sukeliančių dujų išsiskyrimo. </w:t>
            </w:r>
          </w:p>
          <w:p>
            <w:pPr>
              <w:jc w:val="both"/>
              <w:rPr>
                <w:rFonts w:eastAsia="Calibri"/>
                <w:bCs/>
                <w:i/>
                <w:sz w:val="20"/>
              </w:rPr>
            </w:pPr>
          </w:p>
        </w:tc>
        <w:tc>
          <w:tcPr>
            <w:tcW w:w="5387" w:type="dxa"/>
          </w:tcPr>
          <w:p>
            <w:pPr>
              <w:tabs>
                <w:tab w:val="left" w:pos="589"/>
              </w:tabs>
              <w:jc w:val="both"/>
              <w:rPr>
                <w:rFonts w:eastAsia="Calibri"/>
                <w:bCs/>
                <w:iCs/>
                <w:szCs w:val="24"/>
              </w:rPr>
            </w:pPr>
            <w:r>
              <w:rPr>
                <w:rFonts w:eastAsia="Calibri"/>
                <w:bCs/>
                <w:iCs/>
                <w:szCs w:val="24"/>
              </w:rPr>
              <w:t xml:space="preserve">Netaikoma, nes veiklos apima </w:t>
            </w:r>
            <w:r>
              <w:rPr>
                <w:szCs w:val="24"/>
              </w:rPr>
              <w:t>asmens sveikatos priežiūros įstaigų apmokėjimo modelio už pasiektus rezultatus sukūrimą ir išbandymą.</w:t>
            </w:r>
          </w:p>
        </w:tc>
      </w:tr>
      <w:tr>
        <w:tc>
          <w:tcPr>
            <w:tcW w:w="4933" w:type="dxa"/>
          </w:tcPr>
          <w:p>
            <w:pPr>
              <w:tabs>
                <w:tab w:val="left" w:pos="289"/>
              </w:tabs>
              <w:ind w:firstLine="5"/>
              <w:jc w:val="both"/>
              <w:rPr>
                <w:rFonts w:eastAsia="Calibri"/>
                <w:szCs w:val="24"/>
              </w:rPr>
            </w:pPr>
            <w:r>
              <w:rPr>
                <w:rFonts w:eastAsia="Calibri"/>
                <w:szCs w:val="24"/>
              </w:rPr>
              <w:t>2.</w:t>
              <w:tab/>
              <w:t>Prisitaikymas prie klimato kaitos</w:t>
            </w:r>
          </w:p>
        </w:tc>
        <w:tc>
          <w:tcPr>
            <w:tcW w:w="4678" w:type="dxa"/>
          </w:tcPr>
          <w:p>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neturi jokio neigiamo tiesioginio ar netiesioginio poveikio šiam aplinkos tikslui arba numatomas jų poveikis yra nereikšmingas, t. y. nenumatoma, kad įgyvendinamos veiklos darys neigiamą poveikį klimatui, žmonėms, gamtai ar turtui.</w:t>
            </w:r>
          </w:p>
          <w:p>
            <w:pPr>
              <w:jc w:val="both"/>
              <w:rPr>
                <w:rFonts w:eastAsia="Calibri"/>
                <w:bCs/>
                <w:szCs w:val="24"/>
              </w:rPr>
            </w:pPr>
          </w:p>
        </w:tc>
        <w:tc>
          <w:tcPr>
            <w:tcW w:w="5387" w:type="dxa"/>
          </w:tcPr>
          <w:p>
            <w:pPr>
              <w:tabs>
                <w:tab w:val="left" w:pos="589"/>
              </w:tabs>
              <w:jc w:val="both"/>
              <w:rPr>
                <w:rFonts w:eastAsia="Calibri"/>
                <w:szCs w:val="24"/>
              </w:rPr>
            </w:pPr>
            <w:r>
              <w:rPr>
                <w:rFonts w:eastAsia="Calibri"/>
                <w:bCs/>
                <w:iCs/>
                <w:szCs w:val="24"/>
              </w:rPr>
              <w:t xml:space="preserve">Netaikoma, nes veiklos apima </w:t>
            </w:r>
            <w:r>
              <w:rPr>
                <w:szCs w:val="24"/>
              </w:rPr>
              <w:t>asmens sveikatos priežiūros įstaigų apmokėjimo modelio už pasiektus rezultatus sukūrimą ir išbandymą.</w:t>
            </w:r>
          </w:p>
        </w:tc>
      </w:tr>
      <w:tr>
        <w:tc>
          <w:tcPr>
            <w:tcW w:w="4933" w:type="dxa"/>
          </w:tcPr>
          <w:p>
            <w:pPr>
              <w:tabs>
                <w:tab w:val="left" w:pos="289"/>
              </w:tabs>
              <w:ind w:firstLine="5"/>
              <w:jc w:val="both"/>
              <w:rPr>
                <w:rFonts w:eastAsia="Calibri"/>
                <w:szCs w:val="24"/>
              </w:rPr>
            </w:pPr>
            <w:r>
              <w:rPr>
                <w:rFonts w:eastAsia="Calibri"/>
                <w:szCs w:val="24"/>
              </w:rPr>
              <w:t>3.</w:t>
              <w:tab/>
              <w:t>Tausus vandens ir jūrų išteklių naudojimas ir apsauga</w:t>
            </w:r>
          </w:p>
        </w:tc>
        <w:tc>
          <w:tcPr>
            <w:tcW w:w="4678" w:type="dxa"/>
          </w:tcPr>
          <w:p>
            <w:pPr>
              <w:jc w:val="both"/>
              <w:rPr>
                <w:rFonts w:eastAsia="Calibri"/>
                <w:szCs w:val="24"/>
              </w:rPr>
            </w:pPr>
            <w:r>
              <w:rPr>
                <w:bCs/>
                <w:szCs w:val="24"/>
              </w:rPr>
              <w:t xml:space="preserve">Vertinama, kad planuojamos įgyvendinti veiklos </w:t>
            </w:r>
            <w:r>
              <w:rPr>
                <w:rFonts w:eastAsia="Calibri"/>
                <w:bCs/>
                <w:iCs/>
                <w:szCs w:val="24"/>
              </w:rPr>
              <w:t xml:space="preserve">dėl savo pobūdžio </w:t>
            </w:r>
            <w:r>
              <w:rPr>
                <w:bCs/>
                <w:szCs w:val="24"/>
              </w:rPr>
              <w:t>neturi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w:t>
            </w:r>
            <w:r>
              <w:rPr>
                <w:rFonts w:eastAsia="Calibri"/>
              </w:rPr>
              <w:t>gyvendinant projektą nenumatoma naudoti vandens ir jūrų išteklių.</w:t>
            </w:r>
          </w:p>
          <w:p>
            <w:pPr>
              <w:jc w:val="both"/>
              <w:rPr>
                <w:rFonts w:eastAsia="Calibri"/>
                <w:szCs w:val="24"/>
              </w:rPr>
            </w:pPr>
          </w:p>
        </w:tc>
        <w:tc>
          <w:tcPr>
            <w:tcW w:w="5387" w:type="dxa"/>
          </w:tcPr>
          <w:p>
            <w:pPr>
              <w:tabs>
                <w:tab w:val="left" w:pos="589"/>
              </w:tabs>
              <w:jc w:val="both"/>
              <w:rPr>
                <w:szCs w:val="24"/>
              </w:rPr>
            </w:pPr>
            <w:r>
              <w:rPr>
                <w:rFonts w:eastAsia="Calibri"/>
                <w:bCs/>
                <w:iCs/>
                <w:szCs w:val="24"/>
              </w:rPr>
              <w:t xml:space="preserve">Netaikoma, nes veiklos apima </w:t>
            </w:r>
            <w:r>
              <w:rPr>
                <w:szCs w:val="24"/>
              </w:rPr>
              <w:t>asmens sveikatos priežiūros įstaigų apmokėjimo modelio už pasiektus rezultatus sukūrimą ir išbandymą.</w:t>
            </w:r>
          </w:p>
        </w:tc>
      </w:tr>
      <w:tr>
        <w:tc>
          <w:tcPr>
            <w:tcW w:w="4933" w:type="dxa"/>
          </w:tcPr>
          <w:p>
            <w:pPr>
              <w:tabs>
                <w:tab w:val="left" w:pos="289"/>
              </w:tabs>
              <w:ind w:firstLine="5"/>
              <w:jc w:val="both"/>
              <w:rPr>
                <w:rFonts w:eastAsia="Calibri"/>
                <w:szCs w:val="24"/>
              </w:rPr>
            </w:pPr>
            <w:r>
              <w:rPr>
                <w:rFonts w:eastAsia="Calibri"/>
                <w:szCs w:val="24"/>
              </w:rPr>
              <w:t>4.</w:t>
              <w:tab/>
              <w:t>Perėjimas prie žiedinės ekonomikos, įskaitant atliekų prevenciją ir perdirbimą</w:t>
            </w:r>
          </w:p>
        </w:tc>
        <w:tc>
          <w:tcPr>
            <w:tcW w:w="4678" w:type="dxa"/>
          </w:tcPr>
          <w:p>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neturi jokio neigiamo tiesioginio ar netiesioginio poveikio šiam aplinkos tikslui arba numatomas jų poveikis yra nereikšmingas, nes vykdant veiklas nenumatoma kurti infrastruktūros, kuri galėtų daryti žalą </w:t>
            </w:r>
            <w:r>
              <w:rPr>
                <w:bCs/>
                <w:color w:val="000000"/>
                <w:szCs w:val="24"/>
                <w:shd w:val="clear" w:color="auto" w:fill="FFFFFF"/>
              </w:rPr>
              <w:t>žiedinei ekonomikai</w:t>
            </w:r>
            <w:r>
              <w:rPr>
                <w:bCs/>
                <w:szCs w:val="24"/>
              </w:rPr>
              <w:t xml:space="preserve">, įskaitant atliekų prevenciją ir perdirbimą. </w:t>
            </w:r>
            <w:r>
              <w:rPr>
                <w:bCs/>
              </w:rPr>
              <w:t>Nenumatoma, kad įgyvendinant projektą galėtų susidaryti atliekų.</w:t>
            </w:r>
          </w:p>
          <w:p>
            <w:pPr>
              <w:jc w:val="both"/>
              <w:rPr>
                <w:rFonts w:eastAsia="Calibri"/>
                <w:bCs/>
                <w:szCs w:val="24"/>
              </w:rPr>
            </w:pPr>
          </w:p>
        </w:tc>
        <w:tc>
          <w:tcPr>
            <w:tcW w:w="5387" w:type="dxa"/>
          </w:tcPr>
          <w:p>
            <w:pPr>
              <w:tabs>
                <w:tab w:val="left" w:pos="589"/>
              </w:tabs>
              <w:jc w:val="both"/>
              <w:rPr>
                <w:szCs w:val="24"/>
              </w:rPr>
            </w:pPr>
            <w:r>
              <w:rPr>
                <w:rFonts w:eastAsia="Calibri"/>
                <w:bCs/>
                <w:iCs/>
                <w:szCs w:val="24"/>
              </w:rPr>
              <w:t xml:space="preserve">Netaikoma, nes veiklos apima </w:t>
            </w:r>
            <w:r>
              <w:rPr>
                <w:szCs w:val="24"/>
              </w:rPr>
              <w:t>asmens sveikatos priežiūros įstaigų apmokėjimo modelio už pasiektus rezultatus sukūrimą ir išbandymą.</w:t>
            </w:r>
          </w:p>
          <w:p>
            <w:pPr>
              <w:jc w:val="both"/>
              <w:rPr>
                <w:rFonts w:eastAsia="Calibri"/>
                <w:szCs w:val="24"/>
              </w:rPr>
            </w:pPr>
          </w:p>
        </w:tc>
      </w:tr>
      <w:tr>
        <w:tc>
          <w:tcPr>
            <w:tcW w:w="4933" w:type="dxa"/>
          </w:tcPr>
          <w:p>
            <w:pPr>
              <w:tabs>
                <w:tab w:val="left" w:pos="289"/>
              </w:tabs>
              <w:ind w:firstLine="5"/>
              <w:jc w:val="both"/>
              <w:rPr>
                <w:rFonts w:eastAsia="Calibri"/>
                <w:szCs w:val="24"/>
              </w:rPr>
            </w:pPr>
            <w:r>
              <w:rPr>
                <w:rFonts w:eastAsia="Calibri"/>
                <w:szCs w:val="24"/>
              </w:rPr>
              <w:t>5.</w:t>
              <w:tab/>
            </w:r>
            <w:r>
              <w:rPr>
                <w:rFonts w:eastAsia="Calibri"/>
                <w:bCs/>
                <w:szCs w:val="24"/>
              </w:rPr>
              <w:t>Oro, vandens ar žemės taršos prevencija ir kontrolė</w:t>
            </w:r>
          </w:p>
        </w:tc>
        <w:tc>
          <w:tcPr>
            <w:tcW w:w="4678" w:type="dxa"/>
          </w:tcPr>
          <w:p>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neturi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p>
            <w:pPr>
              <w:jc w:val="both"/>
              <w:rPr>
                <w:rFonts w:eastAsia="Calibri"/>
                <w:szCs w:val="24"/>
              </w:rPr>
            </w:pPr>
          </w:p>
        </w:tc>
        <w:tc>
          <w:tcPr>
            <w:tcW w:w="5387" w:type="dxa"/>
          </w:tcPr>
          <w:p>
            <w:pPr>
              <w:tabs>
                <w:tab w:val="left" w:pos="589"/>
              </w:tabs>
              <w:jc w:val="both"/>
              <w:rPr>
                <w:szCs w:val="24"/>
              </w:rPr>
            </w:pPr>
            <w:r>
              <w:rPr>
                <w:rFonts w:eastAsia="Calibri"/>
                <w:bCs/>
                <w:iCs/>
                <w:szCs w:val="24"/>
              </w:rPr>
              <w:t xml:space="preserve">Netaikoma, nes veiklos apima </w:t>
            </w:r>
            <w:r>
              <w:rPr>
                <w:szCs w:val="24"/>
              </w:rPr>
              <w:t>asmens sveikatos priežiūros įstaigų apmokėjimo modelio už pasiektus rezultatus sukūrimą ir išbandymą.</w:t>
            </w:r>
          </w:p>
          <w:p>
            <w:pPr>
              <w:jc w:val="both"/>
              <w:rPr>
                <w:rFonts w:eastAsia="Calibri"/>
                <w:szCs w:val="24"/>
              </w:rPr>
            </w:pPr>
          </w:p>
        </w:tc>
      </w:tr>
      <w:tr>
        <w:tc>
          <w:tcPr>
            <w:tcW w:w="4933" w:type="dxa"/>
          </w:tcPr>
          <w:p>
            <w:pPr>
              <w:tabs>
                <w:tab w:val="left" w:pos="289"/>
              </w:tabs>
              <w:ind w:left="5" w:firstLine="5"/>
              <w:jc w:val="both"/>
              <w:rPr>
                <w:rFonts w:eastAsia="Calibri"/>
                <w:szCs w:val="24"/>
              </w:rPr>
            </w:pPr>
            <w:r>
              <w:rPr>
                <w:rFonts w:eastAsia="Calibri"/>
                <w:szCs w:val="24"/>
              </w:rPr>
              <w:t>6.</w:t>
              <w:tab/>
              <w:t>Biologinės įvairovės ir ekosistemų apsauga ir atkūrimas</w:t>
            </w:r>
          </w:p>
        </w:tc>
        <w:tc>
          <w:tcPr>
            <w:tcW w:w="4678" w:type="dxa"/>
          </w:tcPr>
          <w:p>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neturi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p>
            <w:pPr>
              <w:jc w:val="both"/>
              <w:rPr>
                <w:bCs/>
                <w:szCs w:val="24"/>
              </w:rPr>
            </w:pPr>
          </w:p>
        </w:tc>
        <w:tc>
          <w:tcPr>
            <w:tcW w:w="5387" w:type="dxa"/>
          </w:tcPr>
          <w:p>
            <w:pPr>
              <w:tabs>
                <w:tab w:val="left" w:pos="589"/>
              </w:tabs>
              <w:jc w:val="both"/>
              <w:rPr>
                <w:rFonts w:eastAsia="Calibri"/>
                <w:szCs w:val="24"/>
              </w:rPr>
            </w:pPr>
            <w:r>
              <w:rPr>
                <w:rFonts w:eastAsia="Calibri"/>
                <w:bCs/>
                <w:iCs/>
                <w:szCs w:val="24"/>
              </w:rPr>
              <w:t xml:space="preserve">Netaikoma, nes veiklos apima </w:t>
            </w:r>
            <w:r>
              <w:rPr>
                <w:szCs w:val="24"/>
              </w:rPr>
              <w:t>asmens sveikatos priežiūros įstaigų apmokėjimo modelio už pasiektus rezultatus sukūrimą ir išbandymą.</w:t>
            </w:r>
          </w:p>
        </w:tc>
      </w:tr>
    </w:tbl>
    <w:p>
      <w:pPr>
        <w:spacing w:line="276" w:lineRule="auto"/>
        <w:jc w:val="center"/>
        <w:rPr>
          <w:sz w:val="22"/>
          <w:szCs w:val="22"/>
        </w:rPr>
      </w:pPr>
      <w:r>
        <w:rPr>
          <w:rFonts w:ascii="Calibri" w:eastAsia="Calibri" w:hAnsi="Calibri"/>
          <w:sz w:val="22"/>
          <w:szCs w:val="22"/>
        </w:rPr>
        <w:t>________________</w:t>
      </w:r>
    </w:p>
    <w:p/>
    <w:p>
      <w:pPr>
        <w:spacing w:line="276" w:lineRule="auto"/>
        <w:jc w:val="center"/>
        <w:rPr>
          <w:rFonts w:eastAsia="Calibri"/>
          <w:sz w:val="20"/>
        </w:rPr>
      </w:pPr>
    </w:p>
    <w:p>
      <w:pPr>
        <w:spacing w:line="276" w:lineRule="auto"/>
        <w:rPr>
          <w:sz w:val="22"/>
          <w:szCs w:val="22"/>
        </w:rPr>
      </w:pPr>
    </w:p>
    <w:sectPr>
      <w:pgSz w:w="16838" w:h="11906" w:orient="landscape"/>
      <w:pgMar w:top="1134" w:right="567" w:bottom="993"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pPr>
      <w:tabs>
        <w:tab w:val="center" w:pos="4819"/>
        <w:tab w:val="right" w:pos="9638"/>
      </w:tabs>
      <w:jc w:val="right"/>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03761E4-C106-4468-9814-6EFAA3E5FEC8}"/>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92490">
      <w:bodyDiv w:val="1"/>
      <w:marLeft w:val="0"/>
      <w:marRight w:val="0"/>
      <w:marTop w:val="0"/>
      <w:marBottom w:val="0"/>
      <w:divBdr>
        <w:top w:val="none" w:sz="0" w:space="0" w:color="auto"/>
        <w:left w:val="none" w:sz="0" w:space="0" w:color="auto"/>
        <w:bottom w:val="none" w:sz="0" w:space="0" w:color="auto"/>
        <w:right w:val="none" w:sz="0" w:space="0" w:color="auto"/>
      </w:divBdr>
    </w:div>
    <w:div w:id="157498929">
      <w:bodyDiv w:val="1"/>
      <w:marLeft w:val="0"/>
      <w:marRight w:val="0"/>
      <w:marTop w:val="0"/>
      <w:marBottom w:val="0"/>
      <w:divBdr>
        <w:top w:val="none" w:sz="0" w:space="0" w:color="auto"/>
        <w:left w:val="none" w:sz="0" w:space="0" w:color="auto"/>
        <w:bottom w:val="none" w:sz="0" w:space="0" w:color="auto"/>
        <w:right w:val="none" w:sz="0" w:space="0" w:color="auto"/>
      </w:divBdr>
    </w:div>
    <w:div w:id="212691826">
      <w:bodyDiv w:val="1"/>
      <w:marLeft w:val="0"/>
      <w:marRight w:val="0"/>
      <w:marTop w:val="0"/>
      <w:marBottom w:val="0"/>
      <w:divBdr>
        <w:top w:val="none" w:sz="0" w:space="0" w:color="auto"/>
        <w:left w:val="none" w:sz="0" w:space="0" w:color="auto"/>
        <w:bottom w:val="none" w:sz="0" w:space="0" w:color="auto"/>
        <w:right w:val="none" w:sz="0" w:space="0" w:color="auto"/>
      </w:divBdr>
    </w:div>
    <w:div w:id="216092581">
      <w:bodyDiv w:val="1"/>
      <w:marLeft w:val="0"/>
      <w:marRight w:val="0"/>
      <w:marTop w:val="0"/>
      <w:marBottom w:val="0"/>
      <w:divBdr>
        <w:top w:val="none" w:sz="0" w:space="0" w:color="auto"/>
        <w:left w:val="none" w:sz="0" w:space="0" w:color="auto"/>
        <w:bottom w:val="none" w:sz="0" w:space="0" w:color="auto"/>
        <w:right w:val="none" w:sz="0" w:space="0" w:color="auto"/>
      </w:divBdr>
    </w:div>
    <w:div w:id="227345338">
      <w:bodyDiv w:val="1"/>
      <w:marLeft w:val="0"/>
      <w:marRight w:val="0"/>
      <w:marTop w:val="0"/>
      <w:marBottom w:val="0"/>
      <w:divBdr>
        <w:top w:val="none" w:sz="0" w:space="0" w:color="auto"/>
        <w:left w:val="none" w:sz="0" w:space="0" w:color="auto"/>
        <w:bottom w:val="none" w:sz="0" w:space="0" w:color="auto"/>
        <w:right w:val="none" w:sz="0" w:space="0" w:color="auto"/>
      </w:divBdr>
    </w:div>
    <w:div w:id="233008537">
      <w:bodyDiv w:val="1"/>
      <w:marLeft w:val="0"/>
      <w:marRight w:val="0"/>
      <w:marTop w:val="0"/>
      <w:marBottom w:val="0"/>
      <w:divBdr>
        <w:top w:val="none" w:sz="0" w:space="0" w:color="auto"/>
        <w:left w:val="none" w:sz="0" w:space="0" w:color="auto"/>
        <w:bottom w:val="none" w:sz="0" w:space="0" w:color="auto"/>
        <w:right w:val="none" w:sz="0" w:space="0" w:color="auto"/>
      </w:divBdr>
    </w:div>
    <w:div w:id="245192741">
      <w:bodyDiv w:val="1"/>
      <w:marLeft w:val="0"/>
      <w:marRight w:val="0"/>
      <w:marTop w:val="0"/>
      <w:marBottom w:val="0"/>
      <w:divBdr>
        <w:top w:val="none" w:sz="0" w:space="0" w:color="auto"/>
        <w:left w:val="none" w:sz="0" w:space="0" w:color="auto"/>
        <w:bottom w:val="none" w:sz="0" w:space="0" w:color="auto"/>
        <w:right w:val="none" w:sz="0" w:space="0" w:color="auto"/>
      </w:divBdr>
    </w:div>
    <w:div w:id="305546379">
      <w:bodyDiv w:val="1"/>
      <w:marLeft w:val="0"/>
      <w:marRight w:val="0"/>
      <w:marTop w:val="0"/>
      <w:marBottom w:val="0"/>
      <w:divBdr>
        <w:top w:val="none" w:sz="0" w:space="0" w:color="auto"/>
        <w:left w:val="none" w:sz="0" w:space="0" w:color="auto"/>
        <w:bottom w:val="none" w:sz="0" w:space="0" w:color="auto"/>
        <w:right w:val="none" w:sz="0" w:space="0" w:color="auto"/>
      </w:divBdr>
    </w:div>
    <w:div w:id="392697589">
      <w:bodyDiv w:val="1"/>
      <w:marLeft w:val="0"/>
      <w:marRight w:val="0"/>
      <w:marTop w:val="0"/>
      <w:marBottom w:val="0"/>
      <w:divBdr>
        <w:top w:val="none" w:sz="0" w:space="0" w:color="auto"/>
        <w:left w:val="none" w:sz="0" w:space="0" w:color="auto"/>
        <w:bottom w:val="none" w:sz="0" w:space="0" w:color="auto"/>
        <w:right w:val="none" w:sz="0" w:space="0" w:color="auto"/>
      </w:divBdr>
    </w:div>
    <w:div w:id="415399435">
      <w:bodyDiv w:val="1"/>
      <w:marLeft w:val="0"/>
      <w:marRight w:val="0"/>
      <w:marTop w:val="0"/>
      <w:marBottom w:val="0"/>
      <w:divBdr>
        <w:top w:val="none" w:sz="0" w:space="0" w:color="auto"/>
        <w:left w:val="none" w:sz="0" w:space="0" w:color="auto"/>
        <w:bottom w:val="none" w:sz="0" w:space="0" w:color="auto"/>
        <w:right w:val="none" w:sz="0" w:space="0" w:color="auto"/>
      </w:divBdr>
    </w:div>
    <w:div w:id="602685304">
      <w:bodyDiv w:val="1"/>
      <w:marLeft w:val="0"/>
      <w:marRight w:val="0"/>
      <w:marTop w:val="0"/>
      <w:marBottom w:val="0"/>
      <w:divBdr>
        <w:top w:val="none" w:sz="0" w:space="0" w:color="auto"/>
        <w:left w:val="none" w:sz="0" w:space="0" w:color="auto"/>
        <w:bottom w:val="none" w:sz="0" w:space="0" w:color="auto"/>
        <w:right w:val="none" w:sz="0" w:space="0" w:color="auto"/>
      </w:divBdr>
    </w:div>
    <w:div w:id="618335901">
      <w:bodyDiv w:val="1"/>
      <w:marLeft w:val="0"/>
      <w:marRight w:val="0"/>
      <w:marTop w:val="0"/>
      <w:marBottom w:val="0"/>
      <w:divBdr>
        <w:top w:val="none" w:sz="0" w:space="0" w:color="auto"/>
        <w:left w:val="none" w:sz="0" w:space="0" w:color="auto"/>
        <w:bottom w:val="none" w:sz="0" w:space="0" w:color="auto"/>
        <w:right w:val="none" w:sz="0" w:space="0" w:color="auto"/>
      </w:divBdr>
    </w:div>
    <w:div w:id="644972242">
      <w:bodyDiv w:val="1"/>
      <w:marLeft w:val="0"/>
      <w:marRight w:val="0"/>
      <w:marTop w:val="0"/>
      <w:marBottom w:val="0"/>
      <w:divBdr>
        <w:top w:val="none" w:sz="0" w:space="0" w:color="auto"/>
        <w:left w:val="none" w:sz="0" w:space="0" w:color="auto"/>
        <w:bottom w:val="none" w:sz="0" w:space="0" w:color="auto"/>
        <w:right w:val="none" w:sz="0" w:space="0" w:color="auto"/>
      </w:divBdr>
    </w:div>
    <w:div w:id="780691096">
      <w:bodyDiv w:val="1"/>
      <w:marLeft w:val="0"/>
      <w:marRight w:val="0"/>
      <w:marTop w:val="0"/>
      <w:marBottom w:val="0"/>
      <w:divBdr>
        <w:top w:val="none" w:sz="0" w:space="0" w:color="auto"/>
        <w:left w:val="none" w:sz="0" w:space="0" w:color="auto"/>
        <w:bottom w:val="none" w:sz="0" w:space="0" w:color="auto"/>
        <w:right w:val="none" w:sz="0" w:space="0" w:color="auto"/>
      </w:divBdr>
    </w:div>
    <w:div w:id="841360190">
      <w:bodyDiv w:val="1"/>
      <w:marLeft w:val="0"/>
      <w:marRight w:val="0"/>
      <w:marTop w:val="0"/>
      <w:marBottom w:val="0"/>
      <w:divBdr>
        <w:top w:val="none" w:sz="0" w:space="0" w:color="auto"/>
        <w:left w:val="none" w:sz="0" w:space="0" w:color="auto"/>
        <w:bottom w:val="none" w:sz="0" w:space="0" w:color="auto"/>
        <w:right w:val="none" w:sz="0" w:space="0" w:color="auto"/>
      </w:divBdr>
    </w:div>
    <w:div w:id="851993395">
      <w:bodyDiv w:val="1"/>
      <w:marLeft w:val="0"/>
      <w:marRight w:val="0"/>
      <w:marTop w:val="0"/>
      <w:marBottom w:val="0"/>
      <w:divBdr>
        <w:top w:val="none" w:sz="0" w:space="0" w:color="auto"/>
        <w:left w:val="none" w:sz="0" w:space="0" w:color="auto"/>
        <w:bottom w:val="none" w:sz="0" w:space="0" w:color="auto"/>
        <w:right w:val="none" w:sz="0" w:space="0" w:color="auto"/>
      </w:divBdr>
    </w:div>
    <w:div w:id="8865265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19876793">
      <w:bodyDiv w:val="1"/>
      <w:marLeft w:val="0"/>
      <w:marRight w:val="0"/>
      <w:marTop w:val="0"/>
      <w:marBottom w:val="0"/>
      <w:divBdr>
        <w:top w:val="none" w:sz="0" w:space="0" w:color="auto"/>
        <w:left w:val="none" w:sz="0" w:space="0" w:color="auto"/>
        <w:bottom w:val="none" w:sz="0" w:space="0" w:color="auto"/>
        <w:right w:val="none" w:sz="0" w:space="0" w:color="auto"/>
      </w:divBdr>
    </w:div>
    <w:div w:id="950665233">
      <w:bodyDiv w:val="1"/>
      <w:marLeft w:val="0"/>
      <w:marRight w:val="0"/>
      <w:marTop w:val="0"/>
      <w:marBottom w:val="0"/>
      <w:divBdr>
        <w:top w:val="none" w:sz="0" w:space="0" w:color="auto"/>
        <w:left w:val="none" w:sz="0" w:space="0" w:color="auto"/>
        <w:bottom w:val="none" w:sz="0" w:space="0" w:color="auto"/>
        <w:right w:val="none" w:sz="0" w:space="0" w:color="auto"/>
      </w:divBdr>
    </w:div>
    <w:div w:id="993606027">
      <w:bodyDiv w:val="1"/>
      <w:marLeft w:val="0"/>
      <w:marRight w:val="0"/>
      <w:marTop w:val="0"/>
      <w:marBottom w:val="0"/>
      <w:divBdr>
        <w:top w:val="none" w:sz="0" w:space="0" w:color="auto"/>
        <w:left w:val="none" w:sz="0" w:space="0" w:color="auto"/>
        <w:bottom w:val="none" w:sz="0" w:space="0" w:color="auto"/>
        <w:right w:val="none" w:sz="0" w:space="0" w:color="auto"/>
      </w:divBdr>
    </w:div>
    <w:div w:id="1017930690">
      <w:bodyDiv w:val="1"/>
      <w:marLeft w:val="0"/>
      <w:marRight w:val="0"/>
      <w:marTop w:val="0"/>
      <w:marBottom w:val="0"/>
      <w:divBdr>
        <w:top w:val="none" w:sz="0" w:space="0" w:color="auto"/>
        <w:left w:val="none" w:sz="0" w:space="0" w:color="auto"/>
        <w:bottom w:val="none" w:sz="0" w:space="0" w:color="auto"/>
        <w:right w:val="none" w:sz="0" w:space="0" w:color="auto"/>
      </w:divBdr>
    </w:div>
    <w:div w:id="1131165951">
      <w:bodyDiv w:val="1"/>
      <w:marLeft w:val="0"/>
      <w:marRight w:val="0"/>
      <w:marTop w:val="0"/>
      <w:marBottom w:val="0"/>
      <w:divBdr>
        <w:top w:val="none" w:sz="0" w:space="0" w:color="auto"/>
        <w:left w:val="none" w:sz="0" w:space="0" w:color="auto"/>
        <w:bottom w:val="none" w:sz="0" w:space="0" w:color="auto"/>
        <w:right w:val="none" w:sz="0" w:space="0" w:color="auto"/>
      </w:divBdr>
    </w:div>
    <w:div w:id="1181892164">
      <w:bodyDiv w:val="1"/>
      <w:marLeft w:val="0"/>
      <w:marRight w:val="0"/>
      <w:marTop w:val="0"/>
      <w:marBottom w:val="0"/>
      <w:divBdr>
        <w:top w:val="none" w:sz="0" w:space="0" w:color="auto"/>
        <w:left w:val="none" w:sz="0" w:space="0" w:color="auto"/>
        <w:bottom w:val="none" w:sz="0" w:space="0" w:color="auto"/>
        <w:right w:val="none" w:sz="0" w:space="0" w:color="auto"/>
      </w:divBdr>
    </w:div>
    <w:div w:id="1240944894">
      <w:bodyDiv w:val="1"/>
      <w:marLeft w:val="0"/>
      <w:marRight w:val="0"/>
      <w:marTop w:val="0"/>
      <w:marBottom w:val="0"/>
      <w:divBdr>
        <w:top w:val="none" w:sz="0" w:space="0" w:color="auto"/>
        <w:left w:val="none" w:sz="0" w:space="0" w:color="auto"/>
        <w:bottom w:val="none" w:sz="0" w:space="0" w:color="auto"/>
        <w:right w:val="none" w:sz="0" w:space="0" w:color="auto"/>
      </w:divBdr>
    </w:div>
    <w:div w:id="1573470028">
      <w:bodyDiv w:val="1"/>
      <w:marLeft w:val="0"/>
      <w:marRight w:val="0"/>
      <w:marTop w:val="0"/>
      <w:marBottom w:val="0"/>
      <w:divBdr>
        <w:top w:val="none" w:sz="0" w:space="0" w:color="auto"/>
        <w:left w:val="none" w:sz="0" w:space="0" w:color="auto"/>
        <w:bottom w:val="none" w:sz="0" w:space="0" w:color="auto"/>
        <w:right w:val="none" w:sz="0" w:space="0" w:color="auto"/>
      </w:divBdr>
    </w:div>
    <w:div w:id="1622876893">
      <w:bodyDiv w:val="1"/>
      <w:marLeft w:val="0"/>
      <w:marRight w:val="0"/>
      <w:marTop w:val="0"/>
      <w:marBottom w:val="0"/>
      <w:divBdr>
        <w:top w:val="none" w:sz="0" w:space="0" w:color="auto"/>
        <w:left w:val="none" w:sz="0" w:space="0" w:color="auto"/>
        <w:bottom w:val="none" w:sz="0" w:space="0" w:color="auto"/>
        <w:right w:val="none" w:sz="0" w:space="0" w:color="auto"/>
      </w:divBdr>
    </w:div>
    <w:div w:id="1653094465">
      <w:bodyDiv w:val="1"/>
      <w:marLeft w:val="0"/>
      <w:marRight w:val="0"/>
      <w:marTop w:val="0"/>
      <w:marBottom w:val="0"/>
      <w:divBdr>
        <w:top w:val="none" w:sz="0" w:space="0" w:color="auto"/>
        <w:left w:val="none" w:sz="0" w:space="0" w:color="auto"/>
        <w:bottom w:val="none" w:sz="0" w:space="0" w:color="auto"/>
        <w:right w:val="none" w:sz="0" w:space="0" w:color="auto"/>
      </w:divBdr>
    </w:div>
    <w:div w:id="1685745050">
      <w:bodyDiv w:val="1"/>
      <w:marLeft w:val="0"/>
      <w:marRight w:val="0"/>
      <w:marTop w:val="0"/>
      <w:marBottom w:val="0"/>
      <w:divBdr>
        <w:top w:val="none" w:sz="0" w:space="0" w:color="auto"/>
        <w:left w:val="none" w:sz="0" w:space="0" w:color="auto"/>
        <w:bottom w:val="none" w:sz="0" w:space="0" w:color="auto"/>
        <w:right w:val="none" w:sz="0" w:space="0" w:color="auto"/>
      </w:divBdr>
    </w:div>
    <w:div w:id="1694839163">
      <w:bodyDiv w:val="1"/>
      <w:marLeft w:val="0"/>
      <w:marRight w:val="0"/>
      <w:marTop w:val="0"/>
      <w:marBottom w:val="0"/>
      <w:divBdr>
        <w:top w:val="none" w:sz="0" w:space="0" w:color="auto"/>
        <w:left w:val="none" w:sz="0" w:space="0" w:color="auto"/>
        <w:bottom w:val="none" w:sz="0" w:space="0" w:color="auto"/>
        <w:right w:val="none" w:sz="0" w:space="0" w:color="auto"/>
      </w:divBdr>
    </w:div>
    <w:div w:id="1701280907">
      <w:bodyDiv w:val="1"/>
      <w:marLeft w:val="0"/>
      <w:marRight w:val="0"/>
      <w:marTop w:val="0"/>
      <w:marBottom w:val="0"/>
      <w:divBdr>
        <w:top w:val="none" w:sz="0" w:space="0" w:color="auto"/>
        <w:left w:val="none" w:sz="0" w:space="0" w:color="auto"/>
        <w:bottom w:val="none" w:sz="0" w:space="0" w:color="auto"/>
        <w:right w:val="none" w:sz="0" w:space="0" w:color="auto"/>
      </w:divBdr>
    </w:div>
    <w:div w:id="173042066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63862316">
      <w:bodyDiv w:val="1"/>
      <w:marLeft w:val="0"/>
      <w:marRight w:val="0"/>
      <w:marTop w:val="0"/>
      <w:marBottom w:val="0"/>
      <w:divBdr>
        <w:top w:val="none" w:sz="0" w:space="0" w:color="auto"/>
        <w:left w:val="none" w:sz="0" w:space="0" w:color="auto"/>
        <w:bottom w:val="none" w:sz="0" w:space="0" w:color="auto"/>
        <w:right w:val="none" w:sz="0" w:space="0" w:color="auto"/>
      </w:divBdr>
    </w:div>
    <w:div w:id="1888957309">
      <w:bodyDiv w:val="1"/>
      <w:marLeft w:val="0"/>
      <w:marRight w:val="0"/>
      <w:marTop w:val="0"/>
      <w:marBottom w:val="0"/>
      <w:divBdr>
        <w:top w:val="none" w:sz="0" w:space="0" w:color="auto"/>
        <w:left w:val="none" w:sz="0" w:space="0" w:color="auto"/>
        <w:bottom w:val="none" w:sz="0" w:space="0" w:color="auto"/>
        <w:right w:val="none" w:sz="0" w:space="0" w:color="auto"/>
      </w:divBdr>
    </w:div>
    <w:div w:id="2047560855">
      <w:bodyDiv w:val="1"/>
      <w:marLeft w:val="0"/>
      <w:marRight w:val="0"/>
      <w:marTop w:val="0"/>
      <w:marBottom w:val="0"/>
      <w:divBdr>
        <w:top w:val="none" w:sz="0" w:space="0" w:color="auto"/>
        <w:left w:val="none" w:sz="0" w:space="0" w:color="auto"/>
        <w:bottom w:val="none" w:sz="0" w:space="0" w:color="auto"/>
        <w:right w:val="none" w:sz="0" w:space="0" w:color="auto"/>
      </w:divBdr>
    </w:div>
    <w:div w:id="2055619844">
      <w:bodyDiv w:val="1"/>
      <w:marLeft w:val="0"/>
      <w:marRight w:val="0"/>
      <w:marTop w:val="0"/>
      <w:marBottom w:val="0"/>
      <w:divBdr>
        <w:top w:val="none" w:sz="0" w:space="0" w:color="auto"/>
        <w:left w:val="none" w:sz="0" w:space="0" w:color="auto"/>
        <w:bottom w:val="none" w:sz="0" w:space="0" w:color="auto"/>
        <w:right w:val="none" w:sz="0" w:space="0" w:color="auto"/>
      </w:divBdr>
      <w:divsChild>
        <w:div w:id="33970088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21" ma:contentTypeDescription="Kurkite naują dokumentą." ma:contentTypeScope="" ma:versionID="404e0b6dea45c9bdff267c4b4e68ccab">
  <xsd:schema xmlns:xsd="http://www.w3.org/2001/XMLSchema" xmlns:xs="http://www.w3.org/2001/XMLSchema" xmlns:p="http://schemas.microsoft.com/office/2006/metadata/properties" xmlns:ns1="http://schemas.microsoft.com/sharepoint/v3" xmlns:ns2="fe4ce506-306b-4f3b-858c-685e4322984b" xmlns:ns3="5f51944c-8b8a-4190-a6e0-8c0a63b86cc1" targetNamespace="http://schemas.microsoft.com/office/2006/metadata/properties" ma:root="true" ma:fieldsID="0aa98334a7eb4435ec453dc3f7153e86" ns1:_="" ns2:_="" ns3:_="">
    <xsd:import namespace="http://schemas.microsoft.com/sharepoint/v3"/>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24d5b8b-fd61-4fa7-9c1d-9263231575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68674d-1fc8-44f9-b587-d4e902c10604}" ma:internalName="TaxCatchAll" ma:showField="CatchAllData" ma:web="5f51944c-8b8a-4190-a6e0-8c0a63b86c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4ce506-306b-4f3b-858c-685e4322984b">
      <Terms xmlns="http://schemas.microsoft.com/office/infopath/2007/PartnerControls"/>
    </lcf76f155ced4ddcb4097134ff3c332f>
    <TaxCatchAll xmlns="5f51944c-8b8a-4190-a6e0-8c0a63b86cc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A5F211AD-294A-4B52-B934-C407F737A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http://schemas.microsoft.com/sharepoint/v3"/>
    <ds:schemaRef ds:uri="fe4ce506-306b-4f3b-858c-685e4322984b"/>
    <ds:schemaRef ds:uri="5f51944c-8b8a-4190-a6e0-8c0a63b86cc1"/>
  </ds:schemaRefs>
</ds:datastoreItem>
</file>

<file path=customXml/itemProps4.xml><?xml version="1.0" encoding="utf-8"?>
<ds:datastoreItem xmlns:ds="http://schemas.openxmlformats.org/officeDocument/2006/customXml" ds:itemID="{33F279A5-1C18-4EE7-B8A2-432B1D88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3863</Words>
  <Characters>28742</Characters>
  <Application>Microsoft Office Word</Application>
  <DocSecurity>4</DocSecurity>
  <Lines>776</Lines>
  <Paragraphs>307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Psichiatrijos_dienos_stacionarai</vt:lpstr>
      <vt:lpstr>PFSA Psichiatrijos_dienos_stacionarai</vt:lpstr>
    </vt:vector>
  </TitlesOfParts>
  <Company>HP Inc.</Company>
  <LinksUpToDate>false</LinksUpToDate>
  <CharactersWithSpaces>32298</CharactersWithSpaces>
  <SharedDoc>false</SharedDoc>
  <HyperlinkBase/>
  <HLinks>
    <vt:vector size="24" baseType="variant">
      <vt:variant>
        <vt:i4>6422578</vt:i4>
      </vt:variant>
      <vt:variant>
        <vt:i4>6</vt:i4>
      </vt:variant>
      <vt:variant>
        <vt:i4>0</vt:i4>
      </vt:variant>
      <vt:variant>
        <vt:i4>5</vt:i4>
      </vt:variant>
      <vt:variant>
        <vt:lpwstr>https://2021.esinvesticijos.lt/dokumentai/supaprastintai-apmokamu-islaidu-dydziu-registras</vt:lpwstr>
      </vt:variant>
      <vt:variant>
        <vt:lpwstr/>
      </vt:variant>
      <vt:variant>
        <vt:i4>2031641</vt:i4>
      </vt:variant>
      <vt:variant>
        <vt:i4>3</vt:i4>
      </vt:variant>
      <vt:variant>
        <vt:i4>0</vt:i4>
      </vt:variant>
      <vt:variant>
        <vt:i4>5</vt:i4>
      </vt:variant>
      <vt:variant>
        <vt:lpwstr>https://sam.lrv.lt/lt/administracine-informacija/planavimo-dokumentai/pletros-programos/sveikatos-prieziuros-kokybes-ir-efektyvumo-didinimo-pletros-programa</vt:lpwstr>
      </vt:variant>
      <vt:variant>
        <vt:lpwstr/>
      </vt:variant>
      <vt:variant>
        <vt:i4>2031641</vt:i4>
      </vt:variant>
      <vt:variant>
        <vt:i4>0</vt:i4>
      </vt:variant>
      <vt:variant>
        <vt:i4>0</vt:i4>
      </vt:variant>
      <vt:variant>
        <vt:i4>5</vt:i4>
      </vt:variant>
      <vt:variant>
        <vt:lpwstr>https://sam.lrv.lt/lt/administracine-informacija/planavimo-dokumentai/pletros-programos/sveikatos-prieziuros-kokybes-ir-efektyvumo-didinimo-pletros-programa</vt:lpwstr>
      </vt:variant>
      <vt:variant>
        <vt:lpwstr/>
      </vt:variant>
      <vt:variant>
        <vt:i4>2293866</vt:i4>
      </vt:variant>
      <vt:variant>
        <vt:i4>0</vt:i4>
      </vt:variant>
      <vt:variant>
        <vt:i4>0</vt:i4>
      </vt:variant>
      <vt:variant>
        <vt:i4>5</vt:i4>
      </vt:variant>
      <vt:variant>
        <vt:lpwstr>https://e-seimas.lrs.lt/portal/legalAct/lt/TAD/c01e3f909eae11ee8172b53a675305ab/asr?positionInSearchResults=0&amp;searchModelUUID=525e2204-7a09-4800-b53b-19ca26b0cda5</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2024-10-04T05:36:00Z</dcterms:created>
  <dc:creator>Virginija Levinskienė</dc:creator>
  <lastModifiedBy>adlibuser</lastModifiedBy>
  <lastPrinted>2024-03-08T21:56:00Z</lastPrinted>
  <dcterms:modified xsi:type="dcterms:W3CDTF">2024-10-04T05:36:00Z</dcterms:modified>
  <revision>2</revision>
  <dc:title>PFSA Psichiatrijos_dienos_stacionarai</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DmsPermissionsUsers">
    <vt:lpwstr>306;#Neringa Žemaitienė;#134;#Aurima Lasickienė;#758;#Toma Šukienė;#1089;#Rasa Mockutė;#166;#Margarita Kairienė</vt:lpwstr>
  </property>
  <property fmtid="{D5CDD505-2E9C-101B-9397-08002B2CF9AE}" pid="5" name="TaxCatchAll">
    <vt:lpwstr/>
  </property>
  <property fmtid="{D5CDD505-2E9C-101B-9397-08002B2CF9AE}" pid="6" name="DmsPermissionsConfid">
    <vt:bool>false</vt:bool>
  </property>
  <property fmtid="{D5CDD505-2E9C-101B-9397-08002B2CF9AE}" pid="7" name="MediaServiceImageTags">
    <vt:lpwstr/>
  </property>
  <property fmtid="{D5CDD505-2E9C-101B-9397-08002B2CF9AE}" pid="8" name="ContentTypeId">
    <vt:lpwstr>0x010100B168CDDCDEFBEA4C8E38340A8D90E797</vt:lpwstr>
  </property>
</Properties>
</file>