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78C9" w14:textId="77777777" w:rsidR="00AE709E" w:rsidRPr="00AE709E" w:rsidRDefault="00AE709E" w:rsidP="00AE709E">
      <w:pPr>
        <w:pStyle w:val="Pagrindinistekstas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79C6771F" w:rsidR="00CE2867" w:rsidRDefault="00AD77BF" w:rsidP="00AE709E">
      <w:pPr>
        <w:pStyle w:val="Pagrindinistekstas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D77BF">
        <w:rPr>
          <w:rFonts w:ascii="Times New Roman" w:hAnsi="Times New Roman"/>
          <w:b/>
          <w:sz w:val="24"/>
          <w:szCs w:val="24"/>
        </w:rPr>
        <w:t xml:space="preserve">2022–2030 </w:t>
      </w:r>
      <w:r w:rsidR="006527E6">
        <w:rPr>
          <w:rFonts w:ascii="Times New Roman" w:hAnsi="Times New Roman"/>
          <w:b/>
          <w:sz w:val="24"/>
          <w:szCs w:val="24"/>
        </w:rPr>
        <w:t xml:space="preserve">METŲ LIETUVOS RESPUBLIKOS APLINKOS MINISTERIJOS </w:t>
      </w:r>
      <w:r w:rsidR="00C059FE">
        <w:rPr>
          <w:rFonts w:ascii="Times New Roman" w:hAnsi="Times New Roman"/>
          <w:b/>
          <w:sz w:val="24"/>
          <w:szCs w:val="24"/>
        </w:rPr>
        <w:t>APLINKOS APSAUGOS IR KLIMATO KAITOS VALDYMO PLĖTROS PROGRAMOS PAŽANGOS PRIEMONĖS NR.</w:t>
      </w:r>
      <w:r w:rsidRPr="00AD77BF">
        <w:rPr>
          <w:rFonts w:ascii="Times New Roman" w:hAnsi="Times New Roman"/>
          <w:b/>
          <w:sz w:val="24"/>
          <w:szCs w:val="24"/>
        </w:rPr>
        <w:t xml:space="preserve"> 02-001-06-06-01 „</w:t>
      </w:r>
      <w:r w:rsidR="00C059FE">
        <w:rPr>
          <w:rFonts w:ascii="Times New Roman" w:hAnsi="Times New Roman"/>
          <w:b/>
          <w:sz w:val="24"/>
          <w:szCs w:val="24"/>
        </w:rPr>
        <w:t>DIDINTI ATSPARUMĄ EKSTREMALIEMS</w:t>
      </w:r>
      <w:r w:rsidR="00CC0146">
        <w:rPr>
          <w:rFonts w:ascii="Times New Roman" w:hAnsi="Times New Roman"/>
          <w:b/>
          <w:sz w:val="24"/>
          <w:szCs w:val="24"/>
        </w:rPr>
        <w:t xml:space="preserve"> HIDROMETEOROLOGINIAMS REIŠKINIAMS</w:t>
      </w:r>
      <w:r w:rsidRPr="00AD77BF">
        <w:rPr>
          <w:rFonts w:ascii="Times New Roman" w:hAnsi="Times New Roman"/>
          <w:b/>
          <w:sz w:val="24"/>
          <w:szCs w:val="24"/>
        </w:rPr>
        <w:t xml:space="preserve">“ </w:t>
      </w:r>
      <w:r w:rsidR="00CC0146">
        <w:rPr>
          <w:rFonts w:ascii="Times New Roman" w:hAnsi="Times New Roman"/>
          <w:b/>
          <w:sz w:val="24"/>
          <w:szCs w:val="24"/>
        </w:rPr>
        <w:t>VEIKLOS</w:t>
      </w:r>
      <w:r w:rsidR="003C13E9" w:rsidRPr="003C13E9">
        <w:rPr>
          <w:rFonts w:ascii="Times New Roman" w:hAnsi="Times New Roman"/>
          <w:b/>
          <w:sz w:val="24"/>
          <w:szCs w:val="24"/>
        </w:rPr>
        <w:t xml:space="preserve"> „POTVYNIŲ RIZIKOS MAŽINIMO PRIEMONIŲ ĮGYVENDINIMAS“ PROJEKTŲ FINANSAVIMO SĄLYGŲ APRAŠ</w:t>
      </w:r>
      <w:r w:rsidR="003C13E9">
        <w:rPr>
          <w:rFonts w:ascii="Times New Roman" w:hAnsi="Times New Roman"/>
          <w:b/>
          <w:sz w:val="24"/>
          <w:szCs w:val="24"/>
        </w:rPr>
        <w:t>O</w:t>
      </w:r>
      <w:r w:rsidR="00AE709E"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 xml:space="preserve">DERINIMO PAŽYMA </w:t>
      </w:r>
    </w:p>
    <w:p w14:paraId="24D76B4A" w14:textId="773BB053" w:rsidR="002A7E95" w:rsidRDefault="002A7E95" w:rsidP="009F1293">
      <w:pPr>
        <w:pStyle w:val="Pagrindinistekstas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0F03E1EA" w:rsidR="002A7E95" w:rsidRPr="008A2ED9" w:rsidRDefault="00383B43" w:rsidP="009F1293">
      <w:pPr>
        <w:pStyle w:val="Pagrindinistekstas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7D50" w:rsidRPr="004443C8">
        <w:rPr>
          <w:rFonts w:ascii="Times New Roman" w:hAnsi="Times New Roman"/>
          <w:bCs/>
          <w:i/>
          <w:iCs/>
          <w:sz w:val="24"/>
          <w:szCs w:val="24"/>
        </w:rPr>
        <w:t>esinvesticijos.lt</w:t>
      </w:r>
      <w:proofErr w:type="spellEnd"/>
      <w:r w:rsidR="002A7E95" w:rsidRPr="00023529">
        <w:rPr>
          <w:rFonts w:ascii="Times New Roman" w:hAnsi="Times New Roman"/>
          <w:bCs/>
          <w:sz w:val="24"/>
          <w:szCs w:val="24"/>
        </w:rPr>
        <w:t xml:space="preserve"> svetainėje </w:t>
      </w:r>
      <w:r w:rsidR="00342AA0" w:rsidRPr="00342AA0">
        <w:rPr>
          <w:rFonts w:ascii="Aptos" w:hAnsi="Aptos"/>
          <w:color w:val="242424"/>
          <w:shd w:val="clear" w:color="auto" w:fill="FFFFFF"/>
        </w:rPr>
        <w:t> </w:t>
      </w:r>
      <w:hyperlink r:id="rId8" w:tgtFrame="_blank" w:history="1">
        <w:r w:rsidR="00342AA0" w:rsidRPr="00342AA0">
          <w:rPr>
            <w:rFonts w:ascii="Times New Roman" w:hAnsi="Times New Roman"/>
            <w:color w:val="467886"/>
            <w:u w:val="single"/>
            <w:bdr w:val="none" w:sz="0" w:space="0" w:color="auto" w:frame="1"/>
            <w:shd w:val="clear" w:color="auto" w:fill="FFFFFF"/>
          </w:rPr>
          <w:t>https://esinvesticijos.lt/dokumentai/pletros-programos-pazangos-priemones-nr-02-001-06-06-01-didinti-atsparuma-ekstremaliesiems-hidrometeorologiniams-reiskiniams-veiklos-potvyniu-rizikos-mazinimo-priemoniu-igyvendinimas-projektu-finansavimo-salygu-apraso-projektas</w:t>
        </w:r>
      </w:hyperlink>
      <w:r w:rsidR="00342AA0" w:rsidRPr="008A2ED9">
        <w:rPr>
          <w:rFonts w:ascii="Times New Roman" w:hAnsi="Times New Roman"/>
          <w:bCs/>
          <w:sz w:val="24"/>
          <w:szCs w:val="24"/>
        </w:rPr>
        <w:t xml:space="preserve"> </w:t>
      </w:r>
      <w:r w:rsidR="002A7E95" w:rsidRPr="008A2ED9">
        <w:rPr>
          <w:rFonts w:ascii="Times New Roman" w:hAnsi="Times New Roman"/>
          <w:bCs/>
          <w:sz w:val="24"/>
          <w:szCs w:val="24"/>
        </w:rPr>
        <w:t>nuo 202</w:t>
      </w:r>
      <w:r w:rsidR="00266A4A" w:rsidRPr="008A2ED9">
        <w:rPr>
          <w:rFonts w:ascii="Times New Roman" w:hAnsi="Times New Roman"/>
          <w:bCs/>
          <w:sz w:val="24"/>
          <w:szCs w:val="24"/>
        </w:rPr>
        <w:t>4</w:t>
      </w:r>
      <w:r w:rsidR="001826A0" w:rsidRPr="008A2ED9">
        <w:rPr>
          <w:rFonts w:ascii="Times New Roman" w:hAnsi="Times New Roman"/>
          <w:bCs/>
          <w:sz w:val="24"/>
          <w:szCs w:val="24"/>
        </w:rPr>
        <w:t> 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m. </w:t>
      </w:r>
      <w:r w:rsidR="008A2ED9">
        <w:rPr>
          <w:rFonts w:ascii="Times New Roman" w:hAnsi="Times New Roman"/>
          <w:bCs/>
          <w:sz w:val="24"/>
          <w:szCs w:val="24"/>
        </w:rPr>
        <w:t>rug</w:t>
      </w:r>
      <w:r w:rsidR="00342AA0">
        <w:rPr>
          <w:rFonts w:ascii="Times New Roman" w:hAnsi="Times New Roman"/>
          <w:bCs/>
          <w:sz w:val="24"/>
          <w:szCs w:val="24"/>
        </w:rPr>
        <w:t>sėjo</w:t>
      </w:r>
      <w:r w:rsidR="008A2ED9">
        <w:rPr>
          <w:rFonts w:ascii="Times New Roman" w:hAnsi="Times New Roman"/>
          <w:bCs/>
          <w:sz w:val="24"/>
          <w:szCs w:val="24"/>
        </w:rPr>
        <w:t xml:space="preserve"> </w:t>
      </w:r>
      <w:r w:rsidR="001357BB">
        <w:rPr>
          <w:rFonts w:ascii="Times New Roman" w:hAnsi="Times New Roman"/>
          <w:bCs/>
          <w:sz w:val="24"/>
          <w:szCs w:val="24"/>
        </w:rPr>
        <w:t>2</w:t>
      </w:r>
      <w:r w:rsidR="00342AA0">
        <w:rPr>
          <w:rFonts w:ascii="Times New Roman" w:hAnsi="Times New Roman"/>
          <w:bCs/>
          <w:sz w:val="24"/>
          <w:szCs w:val="24"/>
        </w:rPr>
        <w:t>7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d. </w:t>
      </w:r>
      <w:r w:rsidR="0071633A" w:rsidRPr="008A2ED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8A2ED9">
        <w:rPr>
          <w:rFonts w:ascii="Times New Roman" w:hAnsi="Times New Roman"/>
          <w:bCs/>
          <w:sz w:val="24"/>
          <w:szCs w:val="24"/>
        </w:rPr>
        <w:t>202</w:t>
      </w:r>
      <w:r w:rsidR="00BF10A8" w:rsidRPr="008A2ED9">
        <w:rPr>
          <w:rFonts w:ascii="Times New Roman" w:hAnsi="Times New Roman"/>
          <w:bCs/>
          <w:sz w:val="24"/>
          <w:szCs w:val="24"/>
        </w:rPr>
        <w:t>4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m. </w:t>
      </w:r>
      <w:r w:rsidR="00342AA0">
        <w:rPr>
          <w:rFonts w:ascii="Times New Roman" w:hAnsi="Times New Roman"/>
          <w:bCs/>
          <w:sz w:val="24"/>
          <w:szCs w:val="24"/>
        </w:rPr>
        <w:t>spalio</w:t>
      </w:r>
      <w:r w:rsidR="001357BB">
        <w:rPr>
          <w:rFonts w:ascii="Times New Roman" w:hAnsi="Times New Roman"/>
          <w:bCs/>
          <w:sz w:val="24"/>
          <w:szCs w:val="24"/>
        </w:rPr>
        <w:t xml:space="preserve"> </w:t>
      </w:r>
      <w:r w:rsidR="00342AA0">
        <w:rPr>
          <w:rFonts w:ascii="Times New Roman" w:hAnsi="Times New Roman"/>
          <w:bCs/>
          <w:sz w:val="24"/>
          <w:szCs w:val="24"/>
        </w:rPr>
        <w:t>11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8A2ED9">
        <w:rPr>
          <w:rFonts w:ascii="Times New Roman" w:hAnsi="Times New Roman"/>
          <w:bCs/>
          <w:sz w:val="24"/>
          <w:szCs w:val="24"/>
        </w:rPr>
        <w:t>.</w:t>
      </w:r>
      <w:r w:rsidR="002A7E95" w:rsidRPr="008A2ED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5954"/>
      </w:tblGrid>
      <w:tr w:rsidR="008203EE" w:rsidRPr="004A1B88" w14:paraId="48895925" w14:textId="77777777" w:rsidTr="00602706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D851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203EE" w:rsidRPr="004A1B88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5954" w:type="dxa"/>
          </w:tcPr>
          <w:p w14:paraId="26442FD5" w14:textId="03F7F920" w:rsidR="008203EE" w:rsidRPr="005D349C" w:rsidRDefault="008203EE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49C">
              <w:rPr>
                <w:rFonts w:ascii="Times New Roman" w:hAnsi="Times New Roman"/>
                <w:b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8203EE" w:rsidRPr="00491DDC" w14:paraId="3437E112" w14:textId="77777777" w:rsidTr="00602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37D5" w14:textId="03D4CB18" w:rsidR="008203EE" w:rsidRPr="002524BA" w:rsidRDefault="00602706" w:rsidP="003352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4BA">
              <w:rPr>
                <w:rFonts w:ascii="Times New Roman" w:hAnsi="Times New Roman"/>
                <w:sz w:val="24"/>
                <w:szCs w:val="24"/>
              </w:rPr>
              <w:t>Klaipėdos miesto savivaldybės administracija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1906F22" w14:textId="77777777" w:rsidR="00602706" w:rsidRPr="002524BA" w:rsidRDefault="00602706" w:rsidP="008203EE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2524BA">
              <w:rPr>
                <w:rFonts w:eastAsia="Calibri"/>
                <w:lang w:eastAsia="en-US"/>
              </w:rPr>
              <w:t>Esant galimybei, rodiklių sąrašą siūlome papildyti rodikliu - „Apsaugota esama infrastruktūra“ (kilometrais/ vnt.).</w:t>
            </w:r>
            <w:r w:rsidRPr="002524BA">
              <w:rPr>
                <w:rFonts w:eastAsia="Calibri"/>
                <w:lang w:eastAsia="en-US"/>
              </w:rPr>
              <w:t xml:space="preserve"> </w:t>
            </w:r>
          </w:p>
          <w:p w14:paraId="094ED341" w14:textId="61BADE45" w:rsidR="008203EE" w:rsidRPr="002524BA" w:rsidRDefault="00602706" w:rsidP="00602706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2524BA">
              <w:rPr>
                <w:color w:val="242424"/>
                <w:bdr w:val="none" w:sz="0" w:space="0" w:color="auto" w:frame="1"/>
              </w:rPr>
              <w:t>Projekto vykdytojams suteikti galimybę rinktis planuojamus pasiekti rodiklius – „Apsaugota esama infrastruktūra (kilometrais/vnt.)“ arba „Gyventojai, galintys pasinaudoti apsaugos nuo potvynių priemonėmis (asmenys)“.</w:t>
            </w:r>
            <w:r w:rsidRPr="002524BA">
              <w:rPr>
                <w:color w:val="242424"/>
                <w:bdr w:val="none" w:sz="0" w:space="0" w:color="auto" w:frame="1"/>
              </w:rPr>
              <w:t xml:space="preserve"> </w:t>
            </w:r>
          </w:p>
        </w:tc>
        <w:tc>
          <w:tcPr>
            <w:tcW w:w="5954" w:type="dxa"/>
          </w:tcPr>
          <w:p w14:paraId="56D6DDD5" w14:textId="348EE0A6" w:rsidR="00203948" w:rsidRDefault="00602706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Neatsižvelgta.</w:t>
            </w:r>
          </w:p>
          <w:p w14:paraId="7166A9CF" w14:textId="77777777" w:rsidR="00602706" w:rsidRDefault="00602706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37EC9" w14:textId="5A160FAF" w:rsidR="00602706" w:rsidRDefault="00CE5AE0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Tokios galimybės nėra. </w:t>
            </w:r>
            <w:r w:rsidR="002524BA">
              <w:rPr>
                <w:rFonts w:ascii="Times New Roman" w:hAnsi="Times New Roman"/>
                <w:sz w:val="24"/>
                <w:szCs w:val="24"/>
              </w:rPr>
              <w:t>Stebėsenos rodikliai „</w:t>
            </w:r>
            <w:r w:rsidR="002524BA" w:rsidRPr="002524BA">
              <w:rPr>
                <w:rFonts w:ascii="Times New Roman" w:hAnsi="Times New Roman"/>
                <w:sz w:val="24"/>
                <w:szCs w:val="24"/>
              </w:rPr>
              <w:t>Gyventojai, galintys pasinaudoti apsaugos nuo potvynių priemonėmis</w:t>
            </w:r>
            <w:r w:rsidR="002524BA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2524BA">
              <w:t xml:space="preserve"> </w:t>
            </w:r>
            <w:r w:rsidR="002524BA" w:rsidRPr="002524BA">
              <w:rPr>
                <w:rFonts w:ascii="Times New Roman" w:hAnsi="Times New Roman"/>
                <w:sz w:val="24"/>
                <w:szCs w:val="24"/>
              </w:rPr>
              <w:t>rezultato rodiklis</w:t>
            </w:r>
            <w:r w:rsidR="002524BA">
              <w:rPr>
                <w:rFonts w:ascii="Times New Roman" w:hAnsi="Times New Roman"/>
                <w:sz w:val="24"/>
                <w:szCs w:val="24"/>
              </w:rPr>
              <w:t xml:space="preserve">, asmenys“ ir </w:t>
            </w:r>
            <w:r>
              <w:t>„</w:t>
            </w:r>
            <w:r w:rsidR="002524BA" w:rsidRPr="002524BA">
              <w:rPr>
                <w:rFonts w:ascii="Times New Roman" w:hAnsi="Times New Roman"/>
                <w:sz w:val="24"/>
                <w:szCs w:val="24"/>
              </w:rPr>
              <w:t>Naujai įrengta arba sustiprinta pakrančių ruožų, upių ir ežerų krantų apsauga nuo potvynių, produkto rodiklis</w:t>
            </w:r>
            <w:r w:rsidR="002524BA">
              <w:rPr>
                <w:rFonts w:ascii="Times New Roman" w:hAnsi="Times New Roman"/>
                <w:sz w:val="24"/>
                <w:szCs w:val="24"/>
              </w:rPr>
              <w:t xml:space="preserve">, kilometrai“, investicijos šių rodiklių siekimui </w:t>
            </w:r>
            <w:r w:rsidR="0054757A">
              <w:rPr>
                <w:rFonts w:ascii="Times New Roman" w:hAnsi="Times New Roman"/>
                <w:sz w:val="24"/>
                <w:szCs w:val="24"/>
              </w:rPr>
              <w:t xml:space="preserve">ir įgyvendinamos veiklos </w:t>
            </w:r>
            <w:r w:rsidR="002524BA" w:rsidRPr="002524BA">
              <w:rPr>
                <w:rFonts w:ascii="Times New Roman" w:hAnsi="Times New Roman"/>
                <w:sz w:val="24"/>
                <w:szCs w:val="24"/>
              </w:rPr>
              <w:t>patvirtint</w:t>
            </w:r>
            <w:r w:rsidR="002524BA">
              <w:rPr>
                <w:rFonts w:ascii="Times New Roman" w:hAnsi="Times New Roman"/>
                <w:sz w:val="24"/>
                <w:szCs w:val="24"/>
              </w:rPr>
              <w:t>i</w:t>
            </w:r>
            <w:r w:rsidR="002524BA" w:rsidRPr="002524BA">
              <w:rPr>
                <w:rFonts w:ascii="Times New Roman" w:hAnsi="Times New Roman"/>
                <w:sz w:val="24"/>
                <w:szCs w:val="24"/>
              </w:rPr>
              <w:t xml:space="preserve"> 2021–2027 metų Europos Sąjungos fondų investicijų programoje 2022 m. rugpjūčio 3 d. Europos Komisijos sprendimu Nr. C(2022)5742 (2023 06 05 Nr. C(2023) 3762 redakcija).</w:t>
            </w:r>
            <w:r w:rsidR="00547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BDD6B0" w14:textId="1BCDF7E0" w:rsidR="00203948" w:rsidRDefault="00203948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06" w:rsidRPr="00491DDC" w14:paraId="17389400" w14:textId="77777777" w:rsidTr="00602706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292AA" w14:textId="77777777" w:rsidR="00602706" w:rsidRPr="002524BA" w:rsidRDefault="00602706" w:rsidP="003352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09E14F37" w14:textId="1E6A7841" w:rsidR="00602706" w:rsidRPr="002524BA" w:rsidRDefault="00602706" w:rsidP="008203EE">
            <w:pPr>
              <w:pStyle w:val="xmsolist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524BA">
              <w:rPr>
                <w:rFonts w:eastAsia="Calibri"/>
                <w:lang w:eastAsia="en-US"/>
              </w:rPr>
              <w:t>Aprašo 5.1.1 punkte įtraukti ne tik aukšto prioriteto priemones, bet ir žemo prioriteto priemones, nurodytas Įgyvendinimo veiksmų plano 4 priedo „Numatomos struktūrinės apsaugos nuo potvynių priemonės Nemuno ir Lielupės upių baseinų rajonuose“ II skyriuje.</w:t>
            </w:r>
          </w:p>
        </w:tc>
        <w:tc>
          <w:tcPr>
            <w:tcW w:w="5954" w:type="dxa"/>
          </w:tcPr>
          <w:p w14:paraId="18463CB6" w14:textId="7889CBD3" w:rsidR="0054757A" w:rsidRDefault="0054757A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Neatsižvelgta.</w:t>
            </w:r>
          </w:p>
          <w:p w14:paraId="13EDD6F5" w14:textId="77777777" w:rsidR="0054757A" w:rsidRDefault="0054757A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ABCEB4" w14:textId="1ED60C77" w:rsidR="009C6AB5" w:rsidRDefault="00CC265D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Finansavimas pagal </w:t>
            </w:r>
            <w:r>
              <w:t xml:space="preserve"> </w:t>
            </w:r>
            <w:r w:rsidRPr="00CC265D">
              <w:rPr>
                <w:rFonts w:ascii="Times New Roman" w:hAnsi="Times New Roman"/>
                <w:sz w:val="24"/>
                <w:szCs w:val="24"/>
              </w:rPr>
              <w:t>veikl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Pr="00CC265D">
              <w:rPr>
                <w:rFonts w:ascii="Times New Roman" w:hAnsi="Times New Roman"/>
                <w:sz w:val="24"/>
                <w:szCs w:val="24"/>
              </w:rPr>
              <w:t xml:space="preserve"> „Potvynių rizikos  mažinimo priemonių įgyvendinimas“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numatytas 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t>Nacionalinio vandenų srities 2022–2027 metų plano įgyvendinimo veiksmų plan</w:t>
            </w:r>
            <w:r w:rsidR="0054757A">
              <w:rPr>
                <w:rFonts w:ascii="Times New Roman" w:hAnsi="Times New Roman"/>
                <w:sz w:val="24"/>
                <w:szCs w:val="24"/>
              </w:rPr>
              <w:t>o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t>, patvirtint</w:t>
            </w:r>
            <w:r w:rsidR="0054757A">
              <w:rPr>
                <w:rFonts w:ascii="Times New Roman" w:hAnsi="Times New Roman"/>
                <w:sz w:val="24"/>
                <w:szCs w:val="24"/>
              </w:rPr>
              <w:t>o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t xml:space="preserve"> Lietuvos Respublikos aplinkos ministro ir Lietuvos Respublikos žemės ūkio ministro 2023 m. balandžio 26 d. įsakymu Nr. D1-122/3D-286 „Dėl Nacionalinio vandenų srities 2022–2027 metų plano 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lastRenderedPageBreak/>
              <w:t>įgyvendinimo veiksmų plano patvirtinimo“ (toliau – Įgyvendinimo veiksmų planas)</w:t>
            </w:r>
            <w:r w:rsidR="00547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t>4 pried</w:t>
            </w:r>
            <w:r w:rsidR="0054757A">
              <w:rPr>
                <w:rFonts w:ascii="Times New Roman" w:hAnsi="Times New Roman"/>
                <w:sz w:val="24"/>
                <w:szCs w:val="24"/>
              </w:rPr>
              <w:t>e</w:t>
            </w:r>
            <w:r w:rsidR="0054757A" w:rsidRPr="0054757A">
              <w:rPr>
                <w:rFonts w:ascii="Times New Roman" w:hAnsi="Times New Roman"/>
                <w:sz w:val="24"/>
                <w:szCs w:val="24"/>
              </w:rPr>
              <w:t xml:space="preserve"> „Numatomos struktūrinės apsaugos nuo potvynių priemonės Nemuno ir Lielupės upių baseinų rajonuose“</w:t>
            </w:r>
            <w:r w:rsidR="00547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išskirtoms aukšto prioriteto priemonėms (toliau – 4 priedas), kad </w:t>
            </w:r>
            <w:r w:rsidR="009C6AB5">
              <w:rPr>
                <w:rFonts w:ascii="Times New Roman" w:hAnsi="Times New Roman"/>
                <w:sz w:val="24"/>
                <w:szCs w:val="24"/>
              </w:rPr>
              <w:t xml:space="preserve">kuo daugiau gyventojų būtų apsaugota </w:t>
            </w:r>
            <w:r w:rsidR="0037379B">
              <w:rPr>
                <w:rFonts w:ascii="Times New Roman" w:hAnsi="Times New Roman"/>
                <w:sz w:val="24"/>
                <w:szCs w:val="24"/>
              </w:rPr>
              <w:t>aukšto prioriteto</w:t>
            </w:r>
            <w:r w:rsidR="009C6AB5">
              <w:rPr>
                <w:rFonts w:ascii="Times New Roman" w:hAnsi="Times New Roman"/>
                <w:sz w:val="24"/>
                <w:szCs w:val="24"/>
              </w:rPr>
              <w:t xml:space="preserve"> potvynių rizikos vietose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6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A8A116" w14:textId="4F8F3ECC" w:rsidR="00602706" w:rsidRDefault="009C6AB5" w:rsidP="008203E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Tik paskelbus kvietimą ir analizuojant </w:t>
            </w:r>
            <w:r w:rsidR="00810FB1">
              <w:rPr>
                <w:rFonts w:ascii="Times New Roman" w:hAnsi="Times New Roman"/>
                <w:sz w:val="24"/>
                <w:szCs w:val="24"/>
              </w:rPr>
              <w:t>planuojamas įgyvendinti priemones ir joms planuojamas lėšas</w:t>
            </w:r>
            <w:r>
              <w:rPr>
                <w:rFonts w:ascii="Times New Roman" w:hAnsi="Times New Roman"/>
                <w:sz w:val="24"/>
                <w:szCs w:val="24"/>
              </w:rPr>
              <w:t>, galėtų būti svarstoma</w:t>
            </w:r>
            <w:r w:rsidR="0037379B">
              <w:rPr>
                <w:rFonts w:ascii="Times New Roman" w:hAnsi="Times New Roman"/>
                <w:sz w:val="24"/>
                <w:szCs w:val="24"/>
              </w:rPr>
              <w:t xml:space="preserve"> galimybė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papildoma</w:t>
            </w:r>
            <w:r w:rsidR="0037379B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kvietim</w:t>
            </w:r>
            <w:r w:rsidR="0037379B"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priedo žemo prioriteto sąraše esančioms priemonėms. </w:t>
            </w:r>
          </w:p>
        </w:tc>
      </w:tr>
    </w:tbl>
    <w:p w14:paraId="17C7ED95" w14:textId="5749B8F1" w:rsidR="00C0247A" w:rsidRPr="00491DDC" w:rsidRDefault="00C0247A" w:rsidP="00FC74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0247A" w:rsidRPr="00491DDC" w:rsidSect="009F1293">
      <w:headerReference w:type="default" r:id="rId9"/>
      <w:headerReference w:type="first" r:id="rId10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99519" w14:textId="77777777" w:rsidR="00510882" w:rsidRDefault="00510882" w:rsidP="00A75058">
      <w:pPr>
        <w:spacing w:after="0" w:line="240" w:lineRule="auto"/>
      </w:pPr>
      <w:r>
        <w:separator/>
      </w:r>
    </w:p>
  </w:endnote>
  <w:endnote w:type="continuationSeparator" w:id="0">
    <w:p w14:paraId="2D70F8A6" w14:textId="77777777" w:rsidR="00510882" w:rsidRDefault="00510882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FC76" w14:textId="77777777" w:rsidR="00510882" w:rsidRDefault="00510882" w:rsidP="00A75058">
      <w:pPr>
        <w:spacing w:after="0" w:line="240" w:lineRule="auto"/>
      </w:pPr>
      <w:r>
        <w:separator/>
      </w:r>
    </w:p>
  </w:footnote>
  <w:footnote w:type="continuationSeparator" w:id="0">
    <w:p w14:paraId="3092A005" w14:textId="77777777" w:rsidR="00510882" w:rsidRDefault="00510882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3A6" w14:textId="77777777" w:rsidR="00C248B3" w:rsidRDefault="00C248B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BCF"/>
    <w:multiLevelType w:val="multilevel"/>
    <w:tmpl w:val="A15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61098"/>
    <w:multiLevelType w:val="hybridMultilevel"/>
    <w:tmpl w:val="E7986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EE9"/>
    <w:multiLevelType w:val="multilevel"/>
    <w:tmpl w:val="6C2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9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2"/>
  </w:num>
  <w:num w:numId="2" w16cid:durableId="1482844919">
    <w:abstractNumId w:val="27"/>
  </w:num>
  <w:num w:numId="3" w16cid:durableId="2053000087">
    <w:abstractNumId w:val="15"/>
  </w:num>
  <w:num w:numId="4" w16cid:durableId="1245526864">
    <w:abstractNumId w:val="16"/>
  </w:num>
  <w:num w:numId="5" w16cid:durableId="1062367712">
    <w:abstractNumId w:val="22"/>
  </w:num>
  <w:num w:numId="6" w16cid:durableId="545605789">
    <w:abstractNumId w:val="23"/>
  </w:num>
  <w:num w:numId="7" w16cid:durableId="999233604">
    <w:abstractNumId w:val="8"/>
  </w:num>
  <w:num w:numId="8" w16cid:durableId="1938175563">
    <w:abstractNumId w:val="19"/>
  </w:num>
  <w:num w:numId="9" w16cid:durableId="62335751">
    <w:abstractNumId w:val="11"/>
  </w:num>
  <w:num w:numId="10" w16cid:durableId="731006395">
    <w:abstractNumId w:val="6"/>
  </w:num>
  <w:num w:numId="11" w16cid:durableId="512571039">
    <w:abstractNumId w:val="24"/>
  </w:num>
  <w:num w:numId="12" w16cid:durableId="49694929">
    <w:abstractNumId w:val="30"/>
  </w:num>
  <w:num w:numId="13" w16cid:durableId="1944455887">
    <w:abstractNumId w:val="28"/>
  </w:num>
  <w:num w:numId="14" w16cid:durableId="690030717">
    <w:abstractNumId w:val="7"/>
  </w:num>
  <w:num w:numId="15" w16cid:durableId="150370964">
    <w:abstractNumId w:val="9"/>
  </w:num>
  <w:num w:numId="16" w16cid:durableId="167840354">
    <w:abstractNumId w:val="18"/>
  </w:num>
  <w:num w:numId="17" w16cid:durableId="78451394">
    <w:abstractNumId w:val="25"/>
  </w:num>
  <w:num w:numId="18" w16cid:durableId="1734889784">
    <w:abstractNumId w:val="26"/>
  </w:num>
  <w:num w:numId="19" w16cid:durableId="1676883076">
    <w:abstractNumId w:val="29"/>
  </w:num>
  <w:num w:numId="20" w16cid:durableId="104086455">
    <w:abstractNumId w:val="5"/>
  </w:num>
  <w:num w:numId="21" w16cid:durableId="730930288">
    <w:abstractNumId w:val="10"/>
  </w:num>
  <w:num w:numId="22" w16cid:durableId="1885214698">
    <w:abstractNumId w:val="4"/>
  </w:num>
  <w:num w:numId="23" w16cid:durableId="908929400">
    <w:abstractNumId w:val="20"/>
  </w:num>
  <w:num w:numId="24" w16cid:durableId="334770337">
    <w:abstractNumId w:val="12"/>
  </w:num>
  <w:num w:numId="25" w16cid:durableId="1148129508">
    <w:abstractNumId w:val="21"/>
  </w:num>
  <w:num w:numId="26" w16cid:durableId="559630311">
    <w:abstractNumId w:val="17"/>
  </w:num>
  <w:num w:numId="27" w16cid:durableId="2009362295">
    <w:abstractNumId w:val="13"/>
  </w:num>
  <w:num w:numId="28" w16cid:durableId="308219072">
    <w:abstractNumId w:val="0"/>
  </w:num>
  <w:num w:numId="29" w16cid:durableId="319776654">
    <w:abstractNumId w:val="3"/>
  </w:num>
  <w:num w:numId="30" w16cid:durableId="143591770">
    <w:abstractNumId w:val="1"/>
  </w:num>
  <w:num w:numId="31" w16cid:durableId="1219047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35AF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357BB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0B09"/>
    <w:rsid w:val="001A2EAB"/>
    <w:rsid w:val="001A30FA"/>
    <w:rsid w:val="001A66AD"/>
    <w:rsid w:val="001B388C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3948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24BA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B7B91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309F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35291"/>
    <w:rsid w:val="00342AA0"/>
    <w:rsid w:val="00344B00"/>
    <w:rsid w:val="003514D5"/>
    <w:rsid w:val="00351C4F"/>
    <w:rsid w:val="00352257"/>
    <w:rsid w:val="00354320"/>
    <w:rsid w:val="00355D1F"/>
    <w:rsid w:val="00367172"/>
    <w:rsid w:val="00370411"/>
    <w:rsid w:val="00370D61"/>
    <w:rsid w:val="00372188"/>
    <w:rsid w:val="0037379B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C13E9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443C8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1DDC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0882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379C0"/>
    <w:rsid w:val="005423AC"/>
    <w:rsid w:val="005431C4"/>
    <w:rsid w:val="00544E78"/>
    <w:rsid w:val="00546B28"/>
    <w:rsid w:val="00547254"/>
    <w:rsid w:val="0054757A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D349C"/>
    <w:rsid w:val="005E0E44"/>
    <w:rsid w:val="005E178D"/>
    <w:rsid w:val="005E1F0D"/>
    <w:rsid w:val="005E51B7"/>
    <w:rsid w:val="005E51CD"/>
    <w:rsid w:val="005F144D"/>
    <w:rsid w:val="005F2627"/>
    <w:rsid w:val="00602706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27E6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3FFC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D7D50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2776"/>
    <w:rsid w:val="007C4523"/>
    <w:rsid w:val="007C5846"/>
    <w:rsid w:val="007D09D1"/>
    <w:rsid w:val="007D5A72"/>
    <w:rsid w:val="007D5F17"/>
    <w:rsid w:val="007D7AB5"/>
    <w:rsid w:val="007E1315"/>
    <w:rsid w:val="007E1836"/>
    <w:rsid w:val="007E6D4C"/>
    <w:rsid w:val="007F01B5"/>
    <w:rsid w:val="007F30D5"/>
    <w:rsid w:val="007F7234"/>
    <w:rsid w:val="00805002"/>
    <w:rsid w:val="00810FB1"/>
    <w:rsid w:val="0081132F"/>
    <w:rsid w:val="008113F0"/>
    <w:rsid w:val="008125E4"/>
    <w:rsid w:val="00814A96"/>
    <w:rsid w:val="008150E7"/>
    <w:rsid w:val="00817627"/>
    <w:rsid w:val="00820109"/>
    <w:rsid w:val="008203EE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2ED9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6AB5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6BB9"/>
    <w:rsid w:val="00A77DA3"/>
    <w:rsid w:val="00A80EA4"/>
    <w:rsid w:val="00A84D83"/>
    <w:rsid w:val="00A8595A"/>
    <w:rsid w:val="00A87D11"/>
    <w:rsid w:val="00A929E0"/>
    <w:rsid w:val="00AA248C"/>
    <w:rsid w:val="00AA670A"/>
    <w:rsid w:val="00AB0C82"/>
    <w:rsid w:val="00AB164F"/>
    <w:rsid w:val="00AB2D76"/>
    <w:rsid w:val="00AB6EA6"/>
    <w:rsid w:val="00AB7458"/>
    <w:rsid w:val="00AC0727"/>
    <w:rsid w:val="00AC3FDF"/>
    <w:rsid w:val="00AD0082"/>
    <w:rsid w:val="00AD470F"/>
    <w:rsid w:val="00AD77BF"/>
    <w:rsid w:val="00AE0A44"/>
    <w:rsid w:val="00AE3D71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21282"/>
    <w:rsid w:val="00B3007B"/>
    <w:rsid w:val="00B3186B"/>
    <w:rsid w:val="00B33A77"/>
    <w:rsid w:val="00B35AC3"/>
    <w:rsid w:val="00B36E68"/>
    <w:rsid w:val="00B44FFD"/>
    <w:rsid w:val="00B461B8"/>
    <w:rsid w:val="00B537A6"/>
    <w:rsid w:val="00B57C22"/>
    <w:rsid w:val="00B65881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D7C2A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59FE"/>
    <w:rsid w:val="00C064E8"/>
    <w:rsid w:val="00C14DD6"/>
    <w:rsid w:val="00C17221"/>
    <w:rsid w:val="00C248B3"/>
    <w:rsid w:val="00C25688"/>
    <w:rsid w:val="00C25D4E"/>
    <w:rsid w:val="00C30018"/>
    <w:rsid w:val="00C31482"/>
    <w:rsid w:val="00C31A2C"/>
    <w:rsid w:val="00C360A7"/>
    <w:rsid w:val="00C51AE5"/>
    <w:rsid w:val="00C5372B"/>
    <w:rsid w:val="00C54D11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0146"/>
    <w:rsid w:val="00CC265D"/>
    <w:rsid w:val="00CC451A"/>
    <w:rsid w:val="00CD2BF3"/>
    <w:rsid w:val="00CD7461"/>
    <w:rsid w:val="00CE2867"/>
    <w:rsid w:val="00CE2BB3"/>
    <w:rsid w:val="00CE406C"/>
    <w:rsid w:val="00CE5AE0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2C3E"/>
    <w:rsid w:val="00E2608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Antrat3">
    <w:name w:val="heading 3"/>
    <w:basedOn w:val="prastasis"/>
    <w:link w:val="Antrat3Diagrama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433FE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33FE2"/>
    <w:rPr>
      <w:rFonts w:cs="Times New Roman"/>
    </w:rPr>
  </w:style>
  <w:style w:type="table" w:styleId="Lentelstinklelis">
    <w:name w:val="Table Grid"/>
    <w:basedOn w:val="prastojilente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7505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7505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A69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694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69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694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18441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6864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Numatytasispastraiposriftas"/>
    <w:rsid w:val="00A2152A"/>
  </w:style>
  <w:style w:type="character" w:customStyle="1" w:styleId="right">
    <w:name w:val="right"/>
    <w:basedOn w:val="Numatytasispastraiposriftas"/>
    <w:rsid w:val="002B6C9C"/>
  </w:style>
  <w:style w:type="paragraph" w:customStyle="1" w:styleId="tactin">
    <w:name w:val="tactin"/>
    <w:basedOn w:val="prastasis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10A8"/>
    <w:rPr>
      <w:color w:val="800080" w:themeColor="followedHyperlink"/>
      <w:u w:val="single"/>
    </w:rPr>
  </w:style>
  <w:style w:type="paragraph" w:customStyle="1" w:styleId="xmsolistparagraph">
    <w:name w:val="x_msolistparagraph"/>
    <w:basedOn w:val="prastasis"/>
    <w:rsid w:val="0082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nvesticijos.lt/dokumentai/pletros-programos-pazangos-priemones-nr-02-001-06-06-01-didinti-atsparuma-ekstremaliesiems-hidrometeorologiniams-reiskiniams-veiklos-potvyniu-rizikos-mazinimo-priemoniu-igyvendinimas-projektu-finansavimo-salygu-apraso-projek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DERINIMO PAŽYMA</vt:lpstr>
      <vt:lpstr>DERINIMO PAŽYMA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Vilma Mociūnaitė</dc:creator>
  <cp:lastModifiedBy>Daiva Astasevičiūtė</cp:lastModifiedBy>
  <cp:revision>2</cp:revision>
  <cp:lastPrinted>2017-03-21T13:26:00Z</cp:lastPrinted>
  <dcterms:created xsi:type="dcterms:W3CDTF">2024-10-21T10:28:00Z</dcterms:created>
  <dcterms:modified xsi:type="dcterms:W3CDTF">2024-10-21T10:28:00Z</dcterms:modified>
</cp:coreProperties>
</file>