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74D58DB2" w:rsidR="0036662A" w:rsidRPr="00192134" w:rsidRDefault="0036662A" w:rsidP="0036662A">
      <w:pPr>
        <w:jc w:val="center"/>
        <w:rPr>
          <w:b/>
          <w:bCs/>
        </w:rPr>
      </w:pPr>
      <w:r w:rsidRPr="00017566">
        <w:rPr>
          <w:b/>
          <w:bCs/>
        </w:rPr>
        <w:t xml:space="preserve">SOCIALINIŲ IR EKONOMINIŲ PARTNERIŲ PATEIKTŲ PASTABŲ IR PASIŪLYMŲ DĖL </w:t>
      </w:r>
      <w:r w:rsidR="00A323E0" w:rsidRPr="00A323E0">
        <w:rPr>
          <w:b/>
          <w:bCs/>
        </w:rPr>
        <w:t>2022–2030 METŲ EKONOMIKOS TRANSFORMACIJOS IR KONKURENCINGUMO PLĖTROS PROGRAMOS PAŽANGOS PRIEMONĖS NR. 05-001-01-04-02 „SKATINTI ĮMONES PEREITI LINK NEUTRALIOS KLIMATUI EKONOMIKOS“ INVESTICINĖS VEIKLOS „</w:t>
      </w:r>
      <w:r w:rsidR="00192134" w:rsidRPr="00192134">
        <w:rPr>
          <w:b/>
          <w:bCs/>
        </w:rPr>
        <w:t xml:space="preserve">DIDINTI ENERGIJOS VARTOJIMO EFEKTYVUMĄ PRAMONĖS ĮMONĖSE (SOSTINĖS IR VIDURIO IR VAKARŲ LIETUVOS REGIONAS)“ PROJEKTŲ ATRANKOS KRITERIJŲ </w:t>
      </w:r>
      <w:r w:rsidR="005B669A">
        <w:rPr>
          <w:b/>
          <w:bCs/>
        </w:rPr>
        <w:t xml:space="preserve">KEITIMO </w:t>
      </w:r>
      <w:r w:rsidR="00192134" w:rsidRPr="00192134">
        <w:rPr>
          <w:b/>
          <w:bCs/>
        </w:rPr>
        <w:t>DERINIMAS</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73EA0722" w:rsidR="0036662A" w:rsidRPr="005B669A" w:rsidRDefault="00F65129" w:rsidP="00335D39">
            <w:pPr>
              <w:rPr>
                <w:szCs w:val="24"/>
                <w:lang w:val="en-US"/>
              </w:rPr>
            </w:pPr>
            <w:r w:rsidRPr="00017566">
              <w:rPr>
                <w:szCs w:val="24"/>
              </w:rPr>
              <w:t>202</w:t>
            </w:r>
            <w:r w:rsidR="009F7E9A">
              <w:rPr>
                <w:szCs w:val="24"/>
              </w:rPr>
              <w:t>4</w:t>
            </w:r>
            <w:r w:rsidRPr="00017566">
              <w:rPr>
                <w:szCs w:val="24"/>
              </w:rPr>
              <w:t>-0</w:t>
            </w:r>
            <w:r w:rsidR="009F7E9A">
              <w:rPr>
                <w:szCs w:val="24"/>
              </w:rPr>
              <w:t>9-18</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200CB81D" w:rsidR="0036662A" w:rsidRPr="00017566" w:rsidRDefault="00A24209"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r w:rsidR="001A4ED7">
                  <w:fldChar w:fldCharType="begin">
                    <w:ffData>
                      <w:name w:val=""/>
                      <w:enabled/>
                      <w:calcOnExit w:val="0"/>
                      <w:checkBox>
                        <w:sizeAuto/>
                        <w:default w:val="1"/>
                      </w:checkBox>
                    </w:ffData>
                  </w:fldChar>
                </w:r>
                <w:r w:rsidR="001A4ED7">
                  <w:instrText xml:space="preserve"> FORMCHECKBOX </w:instrText>
                </w:r>
                <w:r w:rsidR="001A4ED7">
                  <w:fldChar w:fldCharType="separate"/>
                </w:r>
                <w:r w:rsidR="001A4ED7">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588"/>
        <w:gridCol w:w="8222"/>
        <w:gridCol w:w="4394"/>
      </w:tblGrid>
      <w:tr w:rsidR="0036662A" w:rsidRPr="00C85D29" w14:paraId="6A4E2F17" w14:textId="77777777" w:rsidTr="00FA691A">
        <w:tc>
          <w:tcPr>
            <w:tcW w:w="567" w:type="dxa"/>
          </w:tcPr>
          <w:p w14:paraId="025A5EA9" w14:textId="77777777" w:rsidR="0036662A" w:rsidRPr="00C85D29" w:rsidRDefault="0036662A" w:rsidP="00335D39">
            <w:pPr>
              <w:jc w:val="center"/>
              <w:rPr>
                <w:b/>
                <w:szCs w:val="24"/>
              </w:rPr>
            </w:pPr>
            <w:r w:rsidRPr="00C85D29">
              <w:rPr>
                <w:b/>
                <w:szCs w:val="24"/>
              </w:rPr>
              <w:t>Nr.</w:t>
            </w:r>
          </w:p>
        </w:tc>
        <w:tc>
          <w:tcPr>
            <w:tcW w:w="1588" w:type="dxa"/>
          </w:tcPr>
          <w:p w14:paraId="5FEE2DEB" w14:textId="77777777" w:rsidR="0036662A" w:rsidRPr="00C85D29" w:rsidRDefault="0036662A" w:rsidP="00335D39">
            <w:pPr>
              <w:jc w:val="center"/>
              <w:rPr>
                <w:b/>
                <w:szCs w:val="24"/>
              </w:rPr>
            </w:pPr>
            <w:r w:rsidRPr="00C85D29">
              <w:rPr>
                <w:b/>
                <w:szCs w:val="24"/>
              </w:rPr>
              <w:t>Institucija</w:t>
            </w:r>
          </w:p>
        </w:tc>
        <w:tc>
          <w:tcPr>
            <w:tcW w:w="8222" w:type="dxa"/>
          </w:tcPr>
          <w:p w14:paraId="4F6476E0" w14:textId="77777777" w:rsidR="0036662A" w:rsidRPr="00C85D29" w:rsidRDefault="0036662A" w:rsidP="00335D39">
            <w:pPr>
              <w:jc w:val="center"/>
              <w:rPr>
                <w:b/>
                <w:szCs w:val="24"/>
              </w:rPr>
            </w:pPr>
            <w:r w:rsidRPr="00C85D29">
              <w:rPr>
                <w:b/>
                <w:bCs/>
              </w:rPr>
              <w:t>Pastabos ir pasiūlymai</w:t>
            </w:r>
          </w:p>
        </w:tc>
        <w:tc>
          <w:tcPr>
            <w:tcW w:w="4394"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9F7E9A" w14:paraId="281D077B" w14:textId="77777777" w:rsidTr="00FA691A">
        <w:tc>
          <w:tcPr>
            <w:tcW w:w="567" w:type="dxa"/>
          </w:tcPr>
          <w:p w14:paraId="66C96C52" w14:textId="5A535EDC" w:rsidR="00D36D9D" w:rsidRPr="009F7E9A" w:rsidRDefault="00D36D9D" w:rsidP="00335D39">
            <w:pPr>
              <w:jc w:val="center"/>
              <w:rPr>
                <w:bCs/>
                <w:szCs w:val="24"/>
              </w:rPr>
            </w:pPr>
            <w:r w:rsidRPr="009F7E9A">
              <w:rPr>
                <w:bCs/>
                <w:szCs w:val="24"/>
              </w:rPr>
              <w:t>1.</w:t>
            </w:r>
          </w:p>
        </w:tc>
        <w:tc>
          <w:tcPr>
            <w:tcW w:w="1588" w:type="dxa"/>
          </w:tcPr>
          <w:p w14:paraId="584D81CC" w14:textId="075A0A69" w:rsidR="00D36D9D" w:rsidRPr="009F7E9A" w:rsidRDefault="009F7E9A" w:rsidP="009F7E9A">
            <w:pPr>
              <w:rPr>
                <w:bCs/>
                <w:szCs w:val="24"/>
              </w:rPr>
            </w:pPr>
            <w:r w:rsidRPr="009F7E9A">
              <w:rPr>
                <w:bCs/>
                <w:szCs w:val="24"/>
              </w:rPr>
              <w:t xml:space="preserve">UAB „Sintesi </w:t>
            </w:r>
            <w:proofErr w:type="spellStart"/>
            <w:r w:rsidRPr="009F7E9A">
              <w:rPr>
                <w:bCs/>
                <w:szCs w:val="24"/>
              </w:rPr>
              <w:t>consulting</w:t>
            </w:r>
            <w:proofErr w:type="spellEnd"/>
            <w:r w:rsidRPr="009F7E9A">
              <w:rPr>
                <w:bCs/>
                <w:szCs w:val="24"/>
              </w:rPr>
              <w:t>“</w:t>
            </w:r>
          </w:p>
        </w:tc>
        <w:tc>
          <w:tcPr>
            <w:tcW w:w="8222" w:type="dxa"/>
          </w:tcPr>
          <w:p w14:paraId="043BA7A3" w14:textId="1DBFC2E3" w:rsidR="009F7E9A" w:rsidRPr="009F7E9A" w:rsidRDefault="009F7E9A" w:rsidP="009F7E9A">
            <w:pPr>
              <w:jc w:val="both"/>
            </w:pPr>
            <w:r w:rsidRPr="009F7E9A">
              <w:t>Dėl 3 atrankos kriterijaus ,,</w:t>
            </w:r>
            <w:r w:rsidRPr="009F7E9A">
              <w:rPr>
                <w:i/>
                <w:iCs/>
              </w:rPr>
              <w:t>Projektu siekiama bent 30 proc. sumažinti tiesiogiai ir netiesiogiai išmetamų šiltnamio efektą sukeliančių dujų kiekį, palyginti su energijos vartojimo efektyvumo audito ataskaitoje nurodytu bendru įmonės (pareiškėjo) arba procesų metu išmetamu kiekiu</w:t>
            </w:r>
            <w:r w:rsidRPr="009F7E9A">
              <w:t>“</w:t>
            </w:r>
          </w:p>
          <w:p w14:paraId="7F9ACA00" w14:textId="77777777" w:rsidR="009F7E9A" w:rsidRPr="009F7E9A" w:rsidRDefault="009F7E9A" w:rsidP="009F7E9A">
            <w:pPr>
              <w:jc w:val="both"/>
            </w:pPr>
            <w:r w:rsidRPr="009F7E9A">
              <w:t>Nurodoma, kad vertinami paskutiniai energijos vartojimo audito nagrinėjami metai arba metai, kai bus įdiegti </w:t>
            </w:r>
            <w:r w:rsidRPr="009F7E9A">
              <w:rPr>
                <w:b/>
                <w:bCs/>
              </w:rPr>
              <w:t>energijos vartojimo efektyvumo didinimo sprendimai (tik tuo atveju, jeigu pareiškėjas numato technologinių procesų organizavimo pokyčius ir atliekant energijos vartojimo auditą įvertintos būsimos pareiškėjo energijos sąnaudos</w:t>
            </w:r>
            <w:r w:rsidRPr="009F7E9A">
              <w:rPr>
                <w:b/>
                <w:bCs/>
                <w:i/>
                <w:iCs/>
              </w:rPr>
              <w:t>):</w:t>
            </w:r>
          </w:p>
          <w:p w14:paraId="704469E1" w14:textId="77777777" w:rsidR="009F7E9A" w:rsidRPr="009F7E9A" w:rsidRDefault="009F7E9A" w:rsidP="009F7E9A">
            <w:pPr>
              <w:jc w:val="both"/>
            </w:pPr>
            <w:r w:rsidRPr="009F7E9A">
              <w:t>Atsižvelgiant į tai, prašome patikslinti:</w:t>
            </w:r>
          </w:p>
          <w:p w14:paraId="0B9ED959" w14:textId="40F25B0C" w:rsidR="009F7E9A" w:rsidRPr="009F7E9A" w:rsidRDefault="009F7E9A" w:rsidP="009F7E9A">
            <w:pPr>
              <w:jc w:val="both"/>
            </w:pPr>
            <w:r w:rsidRPr="009F7E9A">
              <w:t>Ką apima kvietimo „</w:t>
            </w:r>
            <w:r w:rsidRPr="009F7E9A">
              <w:rPr>
                <w:b/>
                <w:bCs/>
              </w:rPr>
              <w:t>Didinti energijos vartojimo efektyvumą pramonės įmonėse“ </w:t>
            </w:r>
            <w:r w:rsidRPr="009F7E9A">
              <w:t>apraše vartojama „</w:t>
            </w:r>
            <w:r w:rsidRPr="009F7E9A">
              <w:rPr>
                <w:b/>
                <w:bCs/>
              </w:rPr>
              <w:t>technologinių procesų organizavimo pokyčių“ </w:t>
            </w:r>
            <w:r w:rsidRPr="009F7E9A">
              <w:t>sąvoka? Ar gerai suprantame, kad tai apima numatomus energijos suvartojimo pokyčius susijusius su :</w:t>
            </w:r>
          </w:p>
          <w:p w14:paraId="6804E181" w14:textId="7D6964C0" w:rsidR="009F7E9A" w:rsidRPr="009F7E9A" w:rsidRDefault="009F7E9A" w:rsidP="009F7E9A">
            <w:pPr>
              <w:numPr>
                <w:ilvl w:val="0"/>
                <w:numId w:val="13"/>
              </w:numPr>
              <w:jc w:val="both"/>
            </w:pPr>
            <w:r w:rsidRPr="009F7E9A">
              <w:lastRenderedPageBreak/>
              <w:t>Įmonės gamybos pajėgumų didėjimu pvz.</w:t>
            </w:r>
            <w:r w:rsidR="00336DB8">
              <w:t>,</w:t>
            </w:r>
            <w:r w:rsidRPr="009F7E9A">
              <w:t xml:space="preserve"> šiuo metu įranga dirba 60% pajėgumu, tačiau dėl didėjančių užsakymo kiekio, numatomą, kad įranga artimiausiu metu veiks 80-100% pajėgumu;</w:t>
            </w:r>
          </w:p>
          <w:p w14:paraId="1E4BF838" w14:textId="7B58B364" w:rsidR="009F7E9A" w:rsidRPr="009F7E9A" w:rsidRDefault="009F7E9A" w:rsidP="009F7E9A">
            <w:pPr>
              <w:numPr>
                <w:ilvl w:val="0"/>
                <w:numId w:val="13"/>
              </w:numPr>
              <w:jc w:val="both"/>
            </w:pPr>
            <w:r w:rsidRPr="009F7E9A">
              <w:t>Naujos įrangos diegimu pvz.</w:t>
            </w:r>
            <w:r w:rsidR="00336DB8">
              <w:t>,</w:t>
            </w:r>
            <w:r w:rsidRPr="009F7E9A">
              <w:t xml:space="preserve"> jeigu įmonė ne projekto apimtyje numato didinti gamybos pajėgumus įsigydama papildomos įrangos, diegti naujus technologinius sprendimus;</w:t>
            </w:r>
          </w:p>
          <w:p w14:paraId="637E3477" w14:textId="77777777" w:rsidR="009F7E9A" w:rsidRPr="009F7E9A" w:rsidRDefault="009F7E9A" w:rsidP="009F7E9A">
            <w:pPr>
              <w:numPr>
                <w:ilvl w:val="0"/>
                <w:numId w:val="13"/>
              </w:numPr>
              <w:jc w:val="both"/>
            </w:pPr>
            <w:r w:rsidRPr="009F7E9A">
              <w:t>Įmonės plėtra pvz. įmonė šiuo metu turi vienas gamybos patalpas, tačiau artimiausiu metu numatoma atidaryti papildomą gamybos padalinį;</w:t>
            </w:r>
          </w:p>
          <w:p w14:paraId="7BAF94F0" w14:textId="77777777" w:rsidR="009F7E9A" w:rsidRPr="009F7E9A" w:rsidRDefault="009F7E9A" w:rsidP="009F7E9A">
            <w:pPr>
              <w:numPr>
                <w:ilvl w:val="0"/>
                <w:numId w:val="13"/>
              </w:numPr>
              <w:jc w:val="both"/>
            </w:pPr>
            <w:r w:rsidRPr="009F7E9A">
              <w:t>kt.</w:t>
            </w:r>
          </w:p>
          <w:p w14:paraId="19F1C7FB" w14:textId="2C9BB786" w:rsidR="009F7E9A" w:rsidRPr="009F7E9A" w:rsidRDefault="009F7E9A" w:rsidP="009F7E9A">
            <w:pPr>
              <w:jc w:val="both"/>
            </w:pPr>
            <w:r w:rsidRPr="009F7E9A">
              <w:t>T.</w:t>
            </w:r>
            <w:r>
              <w:t xml:space="preserve"> </w:t>
            </w:r>
            <w:r w:rsidRPr="009F7E9A">
              <w:t xml:space="preserve">y. ar teisingai suprantame, kad rengiant energijos vartojimo auditą gali būti įvertintas numatomas energijos vartojimo pokytis ir jo pagrindu parengiamos rekomendacijos dėl energijos vartojimo efektyvumo didinimo priemonių diegimo? </w:t>
            </w:r>
          </w:p>
          <w:p w14:paraId="307945A7" w14:textId="12E3847A" w:rsidR="001904C5" w:rsidRPr="009F7E9A" w:rsidRDefault="009F7E9A" w:rsidP="005B669A">
            <w:pPr>
              <w:jc w:val="both"/>
            </w:pPr>
            <w:r w:rsidRPr="009F7E9A">
              <w:t>Taip pat, ar tinkamas būtų toks atvejis, jeigu audite būtų nagrinėjamas scenarijus įdiegus energijos vartojimo efektyvumą didinančias priemones, didinti gamybos įrangos pajėgumus ?</w:t>
            </w:r>
          </w:p>
        </w:tc>
        <w:tc>
          <w:tcPr>
            <w:tcW w:w="4394" w:type="dxa"/>
          </w:tcPr>
          <w:p w14:paraId="388DD727" w14:textId="20007E02" w:rsidR="005B669A" w:rsidRPr="009F7E9A" w:rsidRDefault="009F7E9A" w:rsidP="002E2251">
            <w:pPr>
              <w:rPr>
                <w:b/>
                <w:szCs w:val="24"/>
                <w:lang w:eastAsia="en-US"/>
              </w:rPr>
            </w:pPr>
            <w:r w:rsidRPr="009F7E9A">
              <w:rPr>
                <w:b/>
                <w:szCs w:val="24"/>
                <w:lang w:eastAsia="en-US"/>
              </w:rPr>
              <w:lastRenderedPageBreak/>
              <w:t>Paaiškin</w:t>
            </w:r>
            <w:r w:rsidR="008F114D" w:rsidRPr="009F7E9A">
              <w:rPr>
                <w:b/>
                <w:szCs w:val="24"/>
                <w:lang w:eastAsia="en-US"/>
              </w:rPr>
              <w:t>ta.</w:t>
            </w:r>
          </w:p>
          <w:p w14:paraId="7E86E967" w14:textId="03AEE427" w:rsidR="008F114D" w:rsidRDefault="0089435E" w:rsidP="008F114D">
            <w:pPr>
              <w:jc w:val="both"/>
              <w:rPr>
                <w:bCs/>
                <w:szCs w:val="24"/>
                <w:lang w:eastAsia="en-US"/>
              </w:rPr>
            </w:pPr>
            <w:r>
              <w:rPr>
                <w:bCs/>
                <w:szCs w:val="24"/>
                <w:lang w:eastAsia="en-US"/>
              </w:rPr>
              <w:t xml:space="preserve">Taip, technologinių procesų organizavimo pokyčiai yra siejami su gamybinių pajėgumų didėjimu </w:t>
            </w:r>
            <w:r w:rsidR="009800D3">
              <w:rPr>
                <w:bCs/>
                <w:szCs w:val="24"/>
                <w:lang w:eastAsia="en-US"/>
              </w:rPr>
              <w:t>dėl įprastai</w:t>
            </w:r>
            <w:r w:rsidR="00A759A2">
              <w:rPr>
                <w:bCs/>
                <w:szCs w:val="24"/>
                <w:lang w:eastAsia="en-US"/>
              </w:rPr>
              <w:t xml:space="preserve"> </w:t>
            </w:r>
            <w:r w:rsidR="009800D3">
              <w:rPr>
                <w:bCs/>
                <w:szCs w:val="24"/>
                <w:lang w:eastAsia="en-US"/>
              </w:rPr>
              <w:t>įmonėje vykstančių procesų</w:t>
            </w:r>
            <w:r w:rsidR="00A759A2">
              <w:rPr>
                <w:bCs/>
                <w:szCs w:val="24"/>
                <w:lang w:eastAsia="en-US"/>
              </w:rPr>
              <w:t xml:space="preserve"> </w:t>
            </w:r>
            <w:r w:rsidR="009800D3">
              <w:rPr>
                <w:bCs/>
                <w:szCs w:val="24"/>
                <w:lang w:eastAsia="en-US"/>
              </w:rPr>
              <w:t xml:space="preserve">t. y. </w:t>
            </w:r>
            <w:r w:rsidRPr="0089435E">
              <w:rPr>
                <w:bCs/>
                <w:szCs w:val="24"/>
                <w:lang w:eastAsia="en-US"/>
              </w:rPr>
              <w:t>įsigi</w:t>
            </w:r>
            <w:r w:rsidR="009800D3">
              <w:rPr>
                <w:bCs/>
                <w:szCs w:val="24"/>
                <w:lang w:eastAsia="en-US"/>
              </w:rPr>
              <w:t>jimų</w:t>
            </w:r>
            <w:r w:rsidRPr="0089435E">
              <w:rPr>
                <w:bCs/>
                <w:szCs w:val="24"/>
                <w:lang w:eastAsia="en-US"/>
              </w:rPr>
              <w:t xml:space="preserve"> naujos gamybinės įrangos, papildančios </w:t>
            </w:r>
            <w:r>
              <w:rPr>
                <w:bCs/>
                <w:szCs w:val="24"/>
                <w:lang w:eastAsia="en-US"/>
              </w:rPr>
              <w:t>jau esamą įrangą</w:t>
            </w:r>
            <w:r w:rsidRPr="0089435E">
              <w:rPr>
                <w:bCs/>
                <w:szCs w:val="24"/>
                <w:lang w:eastAsia="en-US"/>
              </w:rPr>
              <w:t xml:space="preserve"> ar </w:t>
            </w:r>
            <w:r w:rsidR="0000460A" w:rsidRPr="0089435E">
              <w:rPr>
                <w:bCs/>
                <w:szCs w:val="24"/>
                <w:lang w:eastAsia="en-US"/>
              </w:rPr>
              <w:t>į gamyb</w:t>
            </w:r>
            <w:r w:rsidR="0000460A">
              <w:rPr>
                <w:bCs/>
                <w:szCs w:val="24"/>
                <w:lang w:eastAsia="en-US"/>
              </w:rPr>
              <w:t>os procesą</w:t>
            </w:r>
            <w:r w:rsidR="0000460A" w:rsidRPr="0089435E">
              <w:rPr>
                <w:bCs/>
                <w:szCs w:val="24"/>
                <w:lang w:eastAsia="en-US"/>
              </w:rPr>
              <w:t xml:space="preserve"> </w:t>
            </w:r>
            <w:r w:rsidRPr="0089435E">
              <w:rPr>
                <w:bCs/>
                <w:szCs w:val="24"/>
                <w:lang w:eastAsia="en-US"/>
              </w:rPr>
              <w:t>įvedus naują produkt</w:t>
            </w:r>
            <w:r>
              <w:rPr>
                <w:bCs/>
                <w:szCs w:val="24"/>
                <w:lang w:eastAsia="en-US"/>
              </w:rPr>
              <w:t>ą</w:t>
            </w:r>
            <w:r w:rsidRPr="0089435E">
              <w:rPr>
                <w:bCs/>
                <w:szCs w:val="24"/>
                <w:lang w:eastAsia="en-US"/>
              </w:rPr>
              <w:t>, kurio teikiant projekto įgyvendinimo planą įmonė dar negamino</w:t>
            </w:r>
            <w:r>
              <w:rPr>
                <w:bCs/>
                <w:szCs w:val="24"/>
                <w:lang w:eastAsia="en-US"/>
              </w:rPr>
              <w:t xml:space="preserve"> ir t.</w:t>
            </w:r>
            <w:r w:rsidR="00336DB8">
              <w:rPr>
                <w:bCs/>
                <w:szCs w:val="24"/>
                <w:lang w:eastAsia="en-US"/>
              </w:rPr>
              <w:t xml:space="preserve"> </w:t>
            </w:r>
            <w:r>
              <w:rPr>
                <w:bCs/>
                <w:szCs w:val="24"/>
                <w:lang w:eastAsia="en-US"/>
              </w:rPr>
              <w:t>t.</w:t>
            </w:r>
          </w:p>
          <w:p w14:paraId="3771E9A4" w14:textId="46C6ABA4" w:rsidR="0089435E" w:rsidRPr="009F7E9A" w:rsidRDefault="0000460A" w:rsidP="008F114D">
            <w:pPr>
              <w:jc w:val="both"/>
              <w:rPr>
                <w:bCs/>
                <w:szCs w:val="24"/>
                <w:lang w:eastAsia="en-US"/>
              </w:rPr>
            </w:pPr>
            <w:r>
              <w:rPr>
                <w:bCs/>
                <w:szCs w:val="24"/>
                <w:lang w:eastAsia="en-US"/>
              </w:rPr>
              <w:t xml:space="preserve">Rengiant </w:t>
            </w:r>
            <w:r w:rsidRPr="0000460A">
              <w:rPr>
                <w:bCs/>
                <w:szCs w:val="24"/>
                <w:lang w:eastAsia="en-US"/>
              </w:rPr>
              <w:t xml:space="preserve">Energijos išteklių ir vandens vartojimo technologiniuose procesuose ir įrenginiuose audito, atlikto vadovaujantis </w:t>
            </w:r>
            <w:hyperlink r:id="rId9" w:history="1">
              <w:r w:rsidRPr="0000460A">
                <w:rPr>
                  <w:bCs/>
                  <w:szCs w:val="24"/>
                  <w:lang w:eastAsia="en-US"/>
                </w:rPr>
                <w:t>Lietuvos Respublikos energetikos ministro 2010 m. gegužės 10 d. įsakymu Nr. 1-141</w:t>
              </w:r>
            </w:hyperlink>
            <w:r w:rsidRPr="0000460A">
              <w:rPr>
                <w:bCs/>
                <w:szCs w:val="24"/>
                <w:lang w:eastAsia="en-US"/>
              </w:rPr>
              <w:t xml:space="preserve"> „Dėl Energijos, energijos išteklių ir vandens </w:t>
            </w:r>
            <w:r w:rsidRPr="0000460A">
              <w:rPr>
                <w:bCs/>
                <w:szCs w:val="24"/>
                <w:lang w:eastAsia="en-US"/>
              </w:rPr>
              <w:lastRenderedPageBreak/>
              <w:t>vartojimo audito atlikimo technologiniuose procesuose ir įrenginiuose metodikos patvirtinimo“ patvirtinta metodika, ataskaitą, gali būti įvertint</w:t>
            </w:r>
            <w:r>
              <w:rPr>
                <w:bCs/>
                <w:szCs w:val="24"/>
                <w:lang w:eastAsia="en-US"/>
              </w:rPr>
              <w:t>i</w:t>
            </w:r>
            <w:r w:rsidRPr="0000460A">
              <w:rPr>
                <w:bCs/>
                <w:szCs w:val="24"/>
                <w:lang w:eastAsia="en-US"/>
              </w:rPr>
              <w:t xml:space="preserve"> </w:t>
            </w:r>
            <w:r>
              <w:rPr>
                <w:bCs/>
                <w:szCs w:val="24"/>
                <w:lang w:eastAsia="en-US"/>
              </w:rPr>
              <w:t xml:space="preserve">prognozuojami </w:t>
            </w:r>
            <w:r w:rsidRPr="0000460A">
              <w:rPr>
                <w:bCs/>
                <w:szCs w:val="24"/>
                <w:lang w:eastAsia="en-US"/>
              </w:rPr>
              <w:t>energijos vartojimo poky</w:t>
            </w:r>
            <w:r>
              <w:rPr>
                <w:bCs/>
                <w:szCs w:val="24"/>
                <w:lang w:eastAsia="en-US"/>
              </w:rPr>
              <w:t>čiai</w:t>
            </w:r>
            <w:r w:rsidRPr="0000460A">
              <w:rPr>
                <w:bCs/>
                <w:szCs w:val="24"/>
                <w:lang w:eastAsia="en-US"/>
              </w:rPr>
              <w:t xml:space="preserve"> ir j</w:t>
            </w:r>
            <w:r>
              <w:rPr>
                <w:bCs/>
                <w:szCs w:val="24"/>
                <w:lang w:eastAsia="en-US"/>
              </w:rPr>
              <w:t>ų</w:t>
            </w:r>
            <w:r w:rsidRPr="0000460A">
              <w:rPr>
                <w:bCs/>
                <w:szCs w:val="24"/>
                <w:lang w:eastAsia="en-US"/>
              </w:rPr>
              <w:t xml:space="preserve"> pagrindu parengiamos rekomendacijos dėl energijos vartojimo efektyvumo didinimo priemonių diegimo</w:t>
            </w:r>
            <w:r>
              <w:rPr>
                <w:bCs/>
                <w:szCs w:val="24"/>
                <w:lang w:eastAsia="en-US"/>
              </w:rPr>
              <w:t>.</w:t>
            </w:r>
            <w:r w:rsidR="00BC0E49">
              <w:rPr>
                <w:bCs/>
                <w:szCs w:val="24"/>
                <w:lang w:eastAsia="en-US"/>
              </w:rPr>
              <w:t xml:space="preserve"> Šiuo metu rengiamame projektų finansavimo sąlygų aprašo projekte nėra numatyta ribojimų </w:t>
            </w:r>
            <w:r w:rsidR="009800D3">
              <w:rPr>
                <w:bCs/>
                <w:szCs w:val="24"/>
                <w:lang w:eastAsia="en-US"/>
              </w:rPr>
              <w:t xml:space="preserve">pramonės įmonėms </w:t>
            </w:r>
            <w:r w:rsidR="00BC0E49">
              <w:rPr>
                <w:bCs/>
                <w:szCs w:val="24"/>
                <w:lang w:eastAsia="en-US"/>
              </w:rPr>
              <w:t>didinti gamybos pajėgumus.</w:t>
            </w:r>
          </w:p>
        </w:tc>
      </w:tr>
      <w:tr w:rsidR="001A4ED7" w:rsidRPr="009F7E9A" w14:paraId="54F78FB0" w14:textId="77777777" w:rsidTr="00FA691A">
        <w:tc>
          <w:tcPr>
            <w:tcW w:w="567" w:type="dxa"/>
          </w:tcPr>
          <w:p w14:paraId="1D39F795" w14:textId="36E2CF01" w:rsidR="001A4ED7" w:rsidRPr="009F7E9A" w:rsidRDefault="001A4ED7" w:rsidP="001A4ED7">
            <w:pPr>
              <w:jc w:val="center"/>
              <w:rPr>
                <w:bCs/>
                <w:szCs w:val="24"/>
              </w:rPr>
            </w:pPr>
            <w:r>
              <w:rPr>
                <w:bCs/>
                <w:szCs w:val="24"/>
              </w:rPr>
              <w:lastRenderedPageBreak/>
              <w:t>2.</w:t>
            </w:r>
          </w:p>
        </w:tc>
        <w:tc>
          <w:tcPr>
            <w:tcW w:w="1588" w:type="dxa"/>
          </w:tcPr>
          <w:p w14:paraId="44EADB0A" w14:textId="77777777" w:rsidR="001A4ED7" w:rsidRPr="00E16081" w:rsidRDefault="001A4ED7" w:rsidP="001A4ED7">
            <w:pPr>
              <w:rPr>
                <w:bCs/>
                <w:szCs w:val="24"/>
                <w:lang w:val="en-US"/>
              </w:rPr>
            </w:pPr>
            <w:r w:rsidRPr="00E16081">
              <w:rPr>
                <w:bCs/>
                <w:szCs w:val="24"/>
              </w:rPr>
              <w:t>UAB „Nacionalinių projektų rengimas“</w:t>
            </w:r>
          </w:p>
          <w:p w14:paraId="53DBD9E8" w14:textId="77777777" w:rsidR="001A4ED7" w:rsidRPr="009F7E9A" w:rsidRDefault="001A4ED7" w:rsidP="001A4ED7">
            <w:pPr>
              <w:rPr>
                <w:bCs/>
                <w:szCs w:val="24"/>
              </w:rPr>
            </w:pPr>
          </w:p>
        </w:tc>
        <w:tc>
          <w:tcPr>
            <w:tcW w:w="8222" w:type="dxa"/>
          </w:tcPr>
          <w:p w14:paraId="00E1D811" w14:textId="77777777" w:rsidR="001A4ED7" w:rsidRPr="00E16081" w:rsidRDefault="001A4ED7" w:rsidP="001A4ED7">
            <w:pPr>
              <w:jc w:val="both"/>
            </w:pPr>
            <w:r w:rsidRPr="001A4ED7">
              <w:t>Pasiūlymas</w:t>
            </w:r>
            <w:r w:rsidRPr="00E16081">
              <w:t xml:space="preserve"> dėl 3 Specialiojo kriterijaus:</w:t>
            </w:r>
          </w:p>
          <w:p w14:paraId="732AB7F3" w14:textId="77777777" w:rsidR="001A4ED7" w:rsidRPr="00E16081" w:rsidRDefault="001A4ED7" w:rsidP="001A4ED7">
            <w:pPr>
              <w:jc w:val="both"/>
              <w:rPr>
                <w:b/>
                <w:bCs/>
              </w:rPr>
            </w:pPr>
            <w:r w:rsidRPr="00E16081">
              <w:t xml:space="preserve">“Projektu siekiama bent 30 proc. sumažinti tiesiogiai ir netiesiogiai išmetamų šiltnamio efektą sukeliančių dujų kiekį, palyginti su energijos vartojimo efektyvumo audito ataskaitoje nurodytu bendru įmonės (pareiškėjo) </w:t>
            </w:r>
            <w:r w:rsidRPr="00E16081">
              <w:rPr>
                <w:b/>
                <w:bCs/>
              </w:rPr>
              <w:t>arba procesų metu išmetamu kiekiu.”</w:t>
            </w:r>
          </w:p>
          <w:p w14:paraId="48DFD2D3" w14:textId="77777777" w:rsidR="001A4ED7" w:rsidRPr="00E16081" w:rsidRDefault="001A4ED7" w:rsidP="001A4ED7">
            <w:pPr>
              <w:jc w:val="both"/>
            </w:pPr>
          </w:p>
          <w:p w14:paraId="4DA7BD19" w14:textId="77777777" w:rsidR="001A4ED7" w:rsidRPr="00E16081" w:rsidRDefault="001A4ED7" w:rsidP="001A4ED7">
            <w:pPr>
              <w:jc w:val="both"/>
            </w:pPr>
            <w:r w:rsidRPr="00E16081">
              <w:t>Pagal dabartinį apibrėžimą nebus suteikta galimybė kvietime dalyvauti dideliam skaičiui įmonių, turinčių kelių rūšių gamybas arba kelias technologines linijas. Pareiškėjai dažniausiai turi poreikį keisti atskirus įrengimus, o ne visas gamybines linijas, todėl būtų tikslinga skaičiuoti 30 proc. ŠESD kiekio sumažinimą nuo tiesiogiai keičiamos technologinės įrangos pakeitimo į naują.</w:t>
            </w:r>
          </w:p>
          <w:p w14:paraId="370E36C2" w14:textId="77777777" w:rsidR="001A4ED7" w:rsidRPr="00E16081" w:rsidRDefault="001A4ED7" w:rsidP="001A4ED7">
            <w:pPr>
              <w:jc w:val="both"/>
            </w:pPr>
          </w:p>
          <w:p w14:paraId="37577FAD" w14:textId="77777777" w:rsidR="001A4ED7" w:rsidRPr="00E16081" w:rsidRDefault="001A4ED7" w:rsidP="001A4ED7">
            <w:pPr>
              <w:jc w:val="both"/>
            </w:pPr>
            <w:r w:rsidRPr="00E16081">
              <w:t>Siūlome praplėsti šio kriterijaus apibrėžimo apimtį:</w:t>
            </w:r>
          </w:p>
          <w:p w14:paraId="32C9E977" w14:textId="77777777" w:rsidR="001A4ED7" w:rsidRPr="00E16081" w:rsidRDefault="001A4ED7" w:rsidP="001A4ED7">
            <w:pPr>
              <w:jc w:val="both"/>
            </w:pPr>
            <w:r w:rsidRPr="00E16081">
              <w:rPr>
                <w:i/>
                <w:iCs/>
              </w:rPr>
              <w:t>Projektu siekiama bent 30 proc. sumažinti tiesiogiai ir netiesiogiai išmetamų šiltnamio efektą sukeliančių dujų kiekį projekto mastu  </w:t>
            </w:r>
            <w:r w:rsidRPr="00E16081">
              <w:t>(</w:t>
            </w:r>
            <w:proofErr w:type="spellStart"/>
            <w:r w:rsidRPr="00E16081">
              <w:t>t.y</w:t>
            </w:r>
            <w:proofErr w:type="spellEnd"/>
            <w:r w:rsidRPr="00E16081">
              <w:t>. sutaupymai skaičiuojami lyginant tik tą seną įrangos dalį kuri yra keičiama, su nauja įranga, kuri yra numatyta projekto apimtyje).</w:t>
            </w:r>
          </w:p>
          <w:p w14:paraId="070E3700" w14:textId="77777777" w:rsidR="001A4ED7" w:rsidRPr="00E16081" w:rsidRDefault="001A4ED7" w:rsidP="001A4ED7">
            <w:pPr>
              <w:jc w:val="both"/>
            </w:pPr>
          </w:p>
          <w:p w14:paraId="4760BA64" w14:textId="77777777" w:rsidR="001A4ED7" w:rsidRPr="00E16081" w:rsidRDefault="001A4ED7" w:rsidP="001A4ED7">
            <w:pPr>
              <w:jc w:val="both"/>
            </w:pPr>
            <w:r w:rsidRPr="00E16081">
              <w:t>Arba papildyti formuluotę:</w:t>
            </w:r>
          </w:p>
          <w:p w14:paraId="34437DC3" w14:textId="64DB5B6D" w:rsidR="001A4ED7" w:rsidRPr="009F7E9A" w:rsidRDefault="001A4ED7" w:rsidP="001A4ED7">
            <w:pPr>
              <w:jc w:val="both"/>
            </w:pPr>
            <w:r w:rsidRPr="00E16081">
              <w:lastRenderedPageBreak/>
              <w:t xml:space="preserve">“Projektu siekiama bent 30 proc. sumažinti tiesiogiai ir netiesiogiai išmetamų šiltnamio efektą sukeliančių dujų kiekį, palyginti su energijos vartojimo efektyvumo audito ataskaitoje nurodytu bendru įmonės (pareiškėjo) arba procesų metu išmetamu kiekiu </w:t>
            </w:r>
            <w:r w:rsidRPr="00E16081">
              <w:rPr>
                <w:u w:val="single"/>
              </w:rPr>
              <w:t>arba lyginant su projekto metu keičiamos technologinės įrangos išmetamu kiekiu</w:t>
            </w:r>
            <w:r w:rsidRPr="00E16081">
              <w:rPr>
                <w:b/>
                <w:bCs/>
              </w:rPr>
              <w:t>”</w:t>
            </w:r>
          </w:p>
        </w:tc>
        <w:tc>
          <w:tcPr>
            <w:tcW w:w="4394" w:type="dxa"/>
          </w:tcPr>
          <w:p w14:paraId="4E4F6147" w14:textId="77777777" w:rsidR="001A4ED7" w:rsidRDefault="001A4ED7" w:rsidP="001A4ED7">
            <w:pPr>
              <w:rPr>
                <w:b/>
                <w:szCs w:val="24"/>
                <w:lang w:eastAsia="en-US"/>
              </w:rPr>
            </w:pPr>
            <w:r>
              <w:rPr>
                <w:b/>
                <w:szCs w:val="24"/>
                <w:lang w:eastAsia="en-US"/>
              </w:rPr>
              <w:lastRenderedPageBreak/>
              <w:t>Neatsižvelgta.</w:t>
            </w:r>
          </w:p>
          <w:p w14:paraId="5653C439" w14:textId="146DA67D" w:rsidR="001A4ED7" w:rsidRDefault="001A4ED7" w:rsidP="001A4ED7">
            <w:pPr>
              <w:jc w:val="both"/>
              <w:rPr>
                <w:bCs/>
                <w:szCs w:val="24"/>
                <w:lang w:eastAsia="en-US"/>
              </w:rPr>
            </w:pPr>
            <w:r>
              <w:rPr>
                <w:bCs/>
                <w:szCs w:val="24"/>
                <w:lang w:eastAsia="en-US"/>
              </w:rPr>
              <w:t xml:space="preserve">Atkreipiame dėmesį, kad Europos Komisija savo 2023 m. birželio </w:t>
            </w:r>
            <w:r>
              <w:rPr>
                <w:bCs/>
                <w:szCs w:val="24"/>
                <w:lang w:val="en-US" w:eastAsia="en-US"/>
              </w:rPr>
              <w:t xml:space="preserve">12 d. </w:t>
            </w:r>
            <w:r>
              <w:rPr>
                <w:bCs/>
                <w:szCs w:val="24"/>
                <w:lang w:eastAsia="en-US"/>
              </w:rPr>
              <w:t>išaiškinime pažymėjo, kad p</w:t>
            </w:r>
            <w:r w:rsidRPr="009469D3">
              <w:rPr>
                <w:bCs/>
                <w:szCs w:val="24"/>
                <w:lang w:eastAsia="en-US"/>
              </w:rPr>
              <w:t>agal bendro rezultat</w:t>
            </w:r>
            <w:r>
              <w:rPr>
                <w:bCs/>
                <w:szCs w:val="24"/>
                <w:lang w:eastAsia="en-US"/>
              </w:rPr>
              <w:t>o</w:t>
            </w:r>
            <w:r w:rsidRPr="009469D3">
              <w:rPr>
                <w:bCs/>
                <w:szCs w:val="24"/>
                <w:lang w:eastAsia="en-US"/>
              </w:rPr>
              <w:t xml:space="preserve"> rodiklio RCR29 apibrėžimą</w:t>
            </w:r>
            <w:r>
              <w:rPr>
                <w:bCs/>
                <w:szCs w:val="24"/>
                <w:lang w:eastAsia="en-US"/>
              </w:rPr>
              <w:t xml:space="preserve"> (r</w:t>
            </w:r>
            <w:r w:rsidRPr="004C0AE4">
              <w:rPr>
                <w:bCs/>
                <w:szCs w:val="24"/>
                <w:lang w:eastAsia="en-US"/>
              </w:rPr>
              <w:t>asti galima čia: </w:t>
            </w:r>
            <w:hyperlink r:id="rId10" w:history="1">
              <w:r w:rsidRPr="004C0AE4">
                <w:rPr>
                  <w:rStyle w:val="Hipersaitas"/>
                  <w:bCs/>
                  <w:szCs w:val="24"/>
                  <w:lang w:eastAsia="en-US"/>
                </w:rPr>
                <w:t>https://ec.europa.eu/regional_policy/en/information/publications/evaluations-guidance-documents/2021/performance-monitoring-and-evaluation-of-the-european-regional-development-fund-the-cohesion-fund-and-the-just-transition-fund-in-2021-2027</w:t>
              </w:r>
            </w:hyperlink>
            <w:r>
              <w:rPr>
                <w:bCs/>
                <w:szCs w:val="24"/>
                <w:lang w:eastAsia="en-US"/>
              </w:rPr>
              <w:t>)</w:t>
            </w:r>
            <w:r w:rsidRPr="009469D3">
              <w:rPr>
                <w:bCs/>
                <w:szCs w:val="24"/>
                <w:lang w:eastAsia="en-US"/>
              </w:rPr>
              <w:t xml:space="preserve">, šiuo rodikliu matuojamas bendras išmetamas </w:t>
            </w:r>
            <w:r w:rsidRPr="00F8591D">
              <w:rPr>
                <w:bCs/>
                <w:szCs w:val="24"/>
                <w:lang w:eastAsia="en-US"/>
              </w:rPr>
              <w:t xml:space="preserve">šiltnamio efektą sukeliančių dujų (ŠESD) </w:t>
            </w:r>
            <w:r w:rsidRPr="009469D3">
              <w:rPr>
                <w:bCs/>
                <w:szCs w:val="24"/>
                <w:lang w:eastAsia="en-US"/>
              </w:rPr>
              <w:t>kiekis</w:t>
            </w:r>
            <w:r>
              <w:rPr>
                <w:bCs/>
                <w:szCs w:val="24"/>
                <w:lang w:eastAsia="en-US"/>
              </w:rPr>
              <w:t xml:space="preserve"> įmonėje arba gamybos procesų metu išmetamas ŠESD kiekis.</w:t>
            </w:r>
          </w:p>
          <w:p w14:paraId="1C3C6B92" w14:textId="669B99F8" w:rsidR="001A4ED7" w:rsidRPr="009F7E9A" w:rsidRDefault="001A4ED7" w:rsidP="001A4ED7">
            <w:pPr>
              <w:jc w:val="both"/>
              <w:rPr>
                <w:b/>
                <w:szCs w:val="24"/>
                <w:lang w:eastAsia="en-US"/>
              </w:rPr>
            </w:pPr>
            <w:r w:rsidRPr="00BD0585">
              <w:rPr>
                <w:bCs/>
                <w:szCs w:val="24"/>
                <w:lang w:eastAsia="en-US"/>
              </w:rPr>
              <w:t xml:space="preserve">Pažymėtina, kad </w:t>
            </w:r>
            <w:r>
              <w:rPr>
                <w:bCs/>
                <w:szCs w:val="24"/>
                <w:lang w:eastAsia="en-US"/>
              </w:rPr>
              <w:t xml:space="preserve">antrajame investicinės veiklos </w:t>
            </w:r>
            <w:r w:rsidRPr="00BD0585">
              <w:rPr>
                <w:bCs/>
                <w:szCs w:val="24"/>
                <w:lang w:eastAsia="en-US"/>
              </w:rPr>
              <w:t>„Didinti energijos vartojimo efektyvumą pramonės įmonėse</w:t>
            </w:r>
            <w:r>
              <w:rPr>
                <w:bCs/>
                <w:szCs w:val="24"/>
                <w:lang w:eastAsia="en-US"/>
              </w:rPr>
              <w:t xml:space="preserve">“ kvietime </w:t>
            </w:r>
            <w:r>
              <w:rPr>
                <w:bCs/>
                <w:szCs w:val="24"/>
                <w:lang w:eastAsia="en-US"/>
              </w:rPr>
              <w:lastRenderedPageBreak/>
              <w:t>jau buvo sudarytos galimybės pramonės įmonėms pačioms pasirinkti nuo kokios imties jos sieks 30 proc. ŠESD sumažinimo t. y. skaičiuos sumažinimą nuo bendro įmonės išmetamo ŠESD kiekio arba nuo gamybos proceso metu išmetamo ŠESD kiekio.</w:t>
            </w:r>
          </w:p>
        </w:tc>
      </w:tr>
    </w:tbl>
    <w:p w14:paraId="00AABEA2" w14:textId="77777777" w:rsidR="005C5ECB" w:rsidRPr="009F7E9A" w:rsidRDefault="005C5ECB">
      <w:pPr>
        <w:rPr>
          <w:b/>
          <w:bCs/>
          <w:caps/>
          <w:szCs w:val="24"/>
        </w:rPr>
      </w:pPr>
    </w:p>
    <w:sectPr w:rsidR="005C5ECB" w:rsidRPr="009F7E9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150870"/>
    <w:multiLevelType w:val="hybridMultilevel"/>
    <w:tmpl w:val="DC74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9F1351"/>
    <w:multiLevelType w:val="hybridMultilevel"/>
    <w:tmpl w:val="814806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923180287">
    <w:abstractNumId w:val="9"/>
  </w:num>
  <w:num w:numId="2" w16cid:durableId="1251894571">
    <w:abstractNumId w:val="8"/>
  </w:num>
  <w:num w:numId="3" w16cid:durableId="987710396">
    <w:abstractNumId w:val="10"/>
  </w:num>
  <w:num w:numId="4" w16cid:durableId="1235975087">
    <w:abstractNumId w:val="1"/>
  </w:num>
  <w:num w:numId="5" w16cid:durableId="1293905906">
    <w:abstractNumId w:val="2"/>
  </w:num>
  <w:num w:numId="6" w16cid:durableId="342897358">
    <w:abstractNumId w:val="0"/>
  </w:num>
  <w:num w:numId="7" w16cid:durableId="1846628409">
    <w:abstractNumId w:val="5"/>
  </w:num>
  <w:num w:numId="8" w16cid:durableId="1239708479">
    <w:abstractNumId w:val="7"/>
  </w:num>
  <w:num w:numId="9" w16cid:durableId="940339901">
    <w:abstractNumId w:val="11"/>
  </w:num>
  <w:num w:numId="10" w16cid:durableId="1080298597">
    <w:abstractNumId w:val="6"/>
  </w:num>
  <w:num w:numId="11" w16cid:durableId="1060401310">
    <w:abstractNumId w:val="12"/>
  </w:num>
  <w:num w:numId="12" w16cid:durableId="1770733490">
    <w:abstractNumId w:val="4"/>
  </w:num>
  <w:num w:numId="13" w16cid:durableId="1627277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460A"/>
    <w:rsid w:val="00005FAA"/>
    <w:rsid w:val="00007463"/>
    <w:rsid w:val="0001428A"/>
    <w:rsid w:val="00016435"/>
    <w:rsid w:val="00017566"/>
    <w:rsid w:val="000202E8"/>
    <w:rsid w:val="00023010"/>
    <w:rsid w:val="000240C4"/>
    <w:rsid w:val="00030D25"/>
    <w:rsid w:val="00030DBB"/>
    <w:rsid w:val="0003188A"/>
    <w:rsid w:val="00032985"/>
    <w:rsid w:val="00033CEB"/>
    <w:rsid w:val="00044CAB"/>
    <w:rsid w:val="00046DFE"/>
    <w:rsid w:val="00050427"/>
    <w:rsid w:val="00053D41"/>
    <w:rsid w:val="00055508"/>
    <w:rsid w:val="00060B0B"/>
    <w:rsid w:val="00062518"/>
    <w:rsid w:val="00063152"/>
    <w:rsid w:val="000640C7"/>
    <w:rsid w:val="00066215"/>
    <w:rsid w:val="000671F1"/>
    <w:rsid w:val="00070B21"/>
    <w:rsid w:val="00070ED6"/>
    <w:rsid w:val="00070EF3"/>
    <w:rsid w:val="00077247"/>
    <w:rsid w:val="00081BC9"/>
    <w:rsid w:val="000909EB"/>
    <w:rsid w:val="00095A64"/>
    <w:rsid w:val="00095B14"/>
    <w:rsid w:val="00096A65"/>
    <w:rsid w:val="000A0E20"/>
    <w:rsid w:val="000A3FD2"/>
    <w:rsid w:val="000B19E9"/>
    <w:rsid w:val="000B1AF5"/>
    <w:rsid w:val="000B2D7C"/>
    <w:rsid w:val="000B7125"/>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24A1B"/>
    <w:rsid w:val="00143277"/>
    <w:rsid w:val="001445E4"/>
    <w:rsid w:val="00150B26"/>
    <w:rsid w:val="00156FCF"/>
    <w:rsid w:val="00157004"/>
    <w:rsid w:val="001577E4"/>
    <w:rsid w:val="00162289"/>
    <w:rsid w:val="001661A8"/>
    <w:rsid w:val="001705CF"/>
    <w:rsid w:val="00175B04"/>
    <w:rsid w:val="0018373E"/>
    <w:rsid w:val="0018469B"/>
    <w:rsid w:val="00184FC3"/>
    <w:rsid w:val="00186511"/>
    <w:rsid w:val="001904C5"/>
    <w:rsid w:val="0019085C"/>
    <w:rsid w:val="00191782"/>
    <w:rsid w:val="00192134"/>
    <w:rsid w:val="001923DD"/>
    <w:rsid w:val="00194702"/>
    <w:rsid w:val="001A0E47"/>
    <w:rsid w:val="001A1737"/>
    <w:rsid w:val="001A4ED7"/>
    <w:rsid w:val="001A5935"/>
    <w:rsid w:val="001C2F60"/>
    <w:rsid w:val="001C65B5"/>
    <w:rsid w:val="001D0FA0"/>
    <w:rsid w:val="001D3C04"/>
    <w:rsid w:val="001D6507"/>
    <w:rsid w:val="001D6F4A"/>
    <w:rsid w:val="001D7687"/>
    <w:rsid w:val="001E4CE7"/>
    <w:rsid w:val="001E6748"/>
    <w:rsid w:val="001E67A5"/>
    <w:rsid w:val="001E754D"/>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870E4"/>
    <w:rsid w:val="002923A6"/>
    <w:rsid w:val="002929F7"/>
    <w:rsid w:val="00294FB1"/>
    <w:rsid w:val="00297D19"/>
    <w:rsid w:val="002A27A2"/>
    <w:rsid w:val="002A2BDD"/>
    <w:rsid w:val="002B1648"/>
    <w:rsid w:val="002B31F3"/>
    <w:rsid w:val="002C57F4"/>
    <w:rsid w:val="002C7407"/>
    <w:rsid w:val="002C79BA"/>
    <w:rsid w:val="002D0B08"/>
    <w:rsid w:val="002D1CED"/>
    <w:rsid w:val="002D4D56"/>
    <w:rsid w:val="002D6D79"/>
    <w:rsid w:val="002E1B28"/>
    <w:rsid w:val="002E2251"/>
    <w:rsid w:val="002F3746"/>
    <w:rsid w:val="00316D2C"/>
    <w:rsid w:val="003214A4"/>
    <w:rsid w:val="00330974"/>
    <w:rsid w:val="00330EC9"/>
    <w:rsid w:val="00333A39"/>
    <w:rsid w:val="00336DB8"/>
    <w:rsid w:val="00342BD5"/>
    <w:rsid w:val="00344A49"/>
    <w:rsid w:val="0034540C"/>
    <w:rsid w:val="00347C65"/>
    <w:rsid w:val="003529B3"/>
    <w:rsid w:val="003652F0"/>
    <w:rsid w:val="00366151"/>
    <w:rsid w:val="0036662A"/>
    <w:rsid w:val="003865B8"/>
    <w:rsid w:val="00391584"/>
    <w:rsid w:val="0039259D"/>
    <w:rsid w:val="00397AD7"/>
    <w:rsid w:val="003A1AD9"/>
    <w:rsid w:val="003A332E"/>
    <w:rsid w:val="003B2FAE"/>
    <w:rsid w:val="003B6643"/>
    <w:rsid w:val="003B726A"/>
    <w:rsid w:val="003C6054"/>
    <w:rsid w:val="003D4EB4"/>
    <w:rsid w:val="003E09D5"/>
    <w:rsid w:val="003E1CEA"/>
    <w:rsid w:val="003E77A4"/>
    <w:rsid w:val="003F5676"/>
    <w:rsid w:val="003F7DF8"/>
    <w:rsid w:val="0040628C"/>
    <w:rsid w:val="004136A8"/>
    <w:rsid w:val="00414392"/>
    <w:rsid w:val="00417DC7"/>
    <w:rsid w:val="00421AD5"/>
    <w:rsid w:val="004322A4"/>
    <w:rsid w:val="004378EE"/>
    <w:rsid w:val="00447D74"/>
    <w:rsid w:val="00452AAF"/>
    <w:rsid w:val="00452FA3"/>
    <w:rsid w:val="00455305"/>
    <w:rsid w:val="004631DA"/>
    <w:rsid w:val="004639C4"/>
    <w:rsid w:val="00475D1E"/>
    <w:rsid w:val="00475E13"/>
    <w:rsid w:val="00482B56"/>
    <w:rsid w:val="004853EA"/>
    <w:rsid w:val="00485F22"/>
    <w:rsid w:val="00487204"/>
    <w:rsid w:val="004876E5"/>
    <w:rsid w:val="004923DB"/>
    <w:rsid w:val="004A0897"/>
    <w:rsid w:val="004A42BF"/>
    <w:rsid w:val="004A5F41"/>
    <w:rsid w:val="004A6A07"/>
    <w:rsid w:val="004A704E"/>
    <w:rsid w:val="004B2CD5"/>
    <w:rsid w:val="004B4EF0"/>
    <w:rsid w:val="004B5C52"/>
    <w:rsid w:val="004C1CE4"/>
    <w:rsid w:val="004C44BD"/>
    <w:rsid w:val="004C58E9"/>
    <w:rsid w:val="004D11D5"/>
    <w:rsid w:val="004D1FB6"/>
    <w:rsid w:val="004D5FC3"/>
    <w:rsid w:val="004D66FF"/>
    <w:rsid w:val="004E0590"/>
    <w:rsid w:val="004E358F"/>
    <w:rsid w:val="004E6B69"/>
    <w:rsid w:val="005004F3"/>
    <w:rsid w:val="005054C5"/>
    <w:rsid w:val="00510A85"/>
    <w:rsid w:val="005206B0"/>
    <w:rsid w:val="00520904"/>
    <w:rsid w:val="00527115"/>
    <w:rsid w:val="0053023F"/>
    <w:rsid w:val="005303DC"/>
    <w:rsid w:val="00530480"/>
    <w:rsid w:val="0053182B"/>
    <w:rsid w:val="0054453C"/>
    <w:rsid w:val="00547C74"/>
    <w:rsid w:val="005516A5"/>
    <w:rsid w:val="005533C2"/>
    <w:rsid w:val="00562683"/>
    <w:rsid w:val="00563838"/>
    <w:rsid w:val="00563B3D"/>
    <w:rsid w:val="005671CE"/>
    <w:rsid w:val="00571253"/>
    <w:rsid w:val="0057371A"/>
    <w:rsid w:val="00581B51"/>
    <w:rsid w:val="005903F9"/>
    <w:rsid w:val="00593EE0"/>
    <w:rsid w:val="005953D7"/>
    <w:rsid w:val="00597AFF"/>
    <w:rsid w:val="005A0AC7"/>
    <w:rsid w:val="005A3FE6"/>
    <w:rsid w:val="005A4A5F"/>
    <w:rsid w:val="005A771F"/>
    <w:rsid w:val="005B09A6"/>
    <w:rsid w:val="005B1293"/>
    <w:rsid w:val="005B669A"/>
    <w:rsid w:val="005B79FB"/>
    <w:rsid w:val="005B7C13"/>
    <w:rsid w:val="005C11A9"/>
    <w:rsid w:val="005C492A"/>
    <w:rsid w:val="005C5B4A"/>
    <w:rsid w:val="005C5ECB"/>
    <w:rsid w:val="005D1053"/>
    <w:rsid w:val="005E0604"/>
    <w:rsid w:val="005E1221"/>
    <w:rsid w:val="005E5744"/>
    <w:rsid w:val="005F038F"/>
    <w:rsid w:val="005F0F88"/>
    <w:rsid w:val="005F50FF"/>
    <w:rsid w:val="006078D1"/>
    <w:rsid w:val="00607C88"/>
    <w:rsid w:val="006106A7"/>
    <w:rsid w:val="00611C52"/>
    <w:rsid w:val="00613BBB"/>
    <w:rsid w:val="00615ACB"/>
    <w:rsid w:val="006168AD"/>
    <w:rsid w:val="006179ED"/>
    <w:rsid w:val="006259D7"/>
    <w:rsid w:val="00626D21"/>
    <w:rsid w:val="006301B9"/>
    <w:rsid w:val="00631726"/>
    <w:rsid w:val="00633EC5"/>
    <w:rsid w:val="006351B9"/>
    <w:rsid w:val="00635B87"/>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B0D85"/>
    <w:rsid w:val="006B138B"/>
    <w:rsid w:val="006B526A"/>
    <w:rsid w:val="006B75D2"/>
    <w:rsid w:val="006C0163"/>
    <w:rsid w:val="006D1718"/>
    <w:rsid w:val="006E05A9"/>
    <w:rsid w:val="006E0B8B"/>
    <w:rsid w:val="006E16C9"/>
    <w:rsid w:val="006E67AE"/>
    <w:rsid w:val="006E798D"/>
    <w:rsid w:val="006E7C89"/>
    <w:rsid w:val="006E7CEF"/>
    <w:rsid w:val="006F23CE"/>
    <w:rsid w:val="0070221E"/>
    <w:rsid w:val="007070F4"/>
    <w:rsid w:val="00707C95"/>
    <w:rsid w:val="00710DD2"/>
    <w:rsid w:val="0072623F"/>
    <w:rsid w:val="007263AF"/>
    <w:rsid w:val="00727011"/>
    <w:rsid w:val="007350FF"/>
    <w:rsid w:val="00741C32"/>
    <w:rsid w:val="00742585"/>
    <w:rsid w:val="00747BC9"/>
    <w:rsid w:val="00751DDD"/>
    <w:rsid w:val="007537EC"/>
    <w:rsid w:val="0075725A"/>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387B"/>
    <w:rsid w:val="0082428A"/>
    <w:rsid w:val="0082757B"/>
    <w:rsid w:val="008359DC"/>
    <w:rsid w:val="0084616F"/>
    <w:rsid w:val="0085384B"/>
    <w:rsid w:val="0085430B"/>
    <w:rsid w:val="00856EDA"/>
    <w:rsid w:val="008576A6"/>
    <w:rsid w:val="0086132D"/>
    <w:rsid w:val="00865C80"/>
    <w:rsid w:val="008663E3"/>
    <w:rsid w:val="00880909"/>
    <w:rsid w:val="008820BA"/>
    <w:rsid w:val="00885C3D"/>
    <w:rsid w:val="00890A7C"/>
    <w:rsid w:val="008914DC"/>
    <w:rsid w:val="008923B9"/>
    <w:rsid w:val="0089435E"/>
    <w:rsid w:val="00894683"/>
    <w:rsid w:val="008A3E24"/>
    <w:rsid w:val="008A53CB"/>
    <w:rsid w:val="008A5A0D"/>
    <w:rsid w:val="008B3037"/>
    <w:rsid w:val="008C3DAE"/>
    <w:rsid w:val="008C4CE9"/>
    <w:rsid w:val="008D1E04"/>
    <w:rsid w:val="008D4415"/>
    <w:rsid w:val="008D444C"/>
    <w:rsid w:val="008D55D4"/>
    <w:rsid w:val="008D5F38"/>
    <w:rsid w:val="008D7278"/>
    <w:rsid w:val="008E2069"/>
    <w:rsid w:val="008E3A92"/>
    <w:rsid w:val="008E3C68"/>
    <w:rsid w:val="008F114D"/>
    <w:rsid w:val="008F38C3"/>
    <w:rsid w:val="009220EC"/>
    <w:rsid w:val="00926630"/>
    <w:rsid w:val="00933886"/>
    <w:rsid w:val="00934F45"/>
    <w:rsid w:val="009422B0"/>
    <w:rsid w:val="00947C9D"/>
    <w:rsid w:val="00954EEB"/>
    <w:rsid w:val="00955F23"/>
    <w:rsid w:val="00956C1E"/>
    <w:rsid w:val="0097341D"/>
    <w:rsid w:val="009800D3"/>
    <w:rsid w:val="009913E3"/>
    <w:rsid w:val="009924A0"/>
    <w:rsid w:val="0099342A"/>
    <w:rsid w:val="009961A8"/>
    <w:rsid w:val="009A1219"/>
    <w:rsid w:val="009A3E23"/>
    <w:rsid w:val="009A662F"/>
    <w:rsid w:val="009B2BC0"/>
    <w:rsid w:val="009B3957"/>
    <w:rsid w:val="009B4714"/>
    <w:rsid w:val="009B7A40"/>
    <w:rsid w:val="009C1904"/>
    <w:rsid w:val="009C687C"/>
    <w:rsid w:val="009C76B6"/>
    <w:rsid w:val="009D3B8E"/>
    <w:rsid w:val="009D3BAD"/>
    <w:rsid w:val="009E1857"/>
    <w:rsid w:val="009E69E2"/>
    <w:rsid w:val="009E7F18"/>
    <w:rsid w:val="009F0535"/>
    <w:rsid w:val="009F7E9A"/>
    <w:rsid w:val="00A00DB1"/>
    <w:rsid w:val="00A05F9C"/>
    <w:rsid w:val="00A076DC"/>
    <w:rsid w:val="00A127C6"/>
    <w:rsid w:val="00A24209"/>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759A2"/>
    <w:rsid w:val="00A80ADA"/>
    <w:rsid w:val="00A845D7"/>
    <w:rsid w:val="00A91F0C"/>
    <w:rsid w:val="00A937EF"/>
    <w:rsid w:val="00A9443D"/>
    <w:rsid w:val="00AA30C9"/>
    <w:rsid w:val="00AA3EF8"/>
    <w:rsid w:val="00AB4283"/>
    <w:rsid w:val="00AC3BC9"/>
    <w:rsid w:val="00AC4B6C"/>
    <w:rsid w:val="00AC6352"/>
    <w:rsid w:val="00AC644B"/>
    <w:rsid w:val="00AC73C3"/>
    <w:rsid w:val="00AD5789"/>
    <w:rsid w:val="00AE3CE8"/>
    <w:rsid w:val="00AE4ABF"/>
    <w:rsid w:val="00AE5848"/>
    <w:rsid w:val="00AE6787"/>
    <w:rsid w:val="00AF029B"/>
    <w:rsid w:val="00AF0898"/>
    <w:rsid w:val="00AF0A0D"/>
    <w:rsid w:val="00AF1F99"/>
    <w:rsid w:val="00AF25D0"/>
    <w:rsid w:val="00AF2A89"/>
    <w:rsid w:val="00AF640E"/>
    <w:rsid w:val="00B00E19"/>
    <w:rsid w:val="00B058B6"/>
    <w:rsid w:val="00B0591B"/>
    <w:rsid w:val="00B06DF8"/>
    <w:rsid w:val="00B14AA0"/>
    <w:rsid w:val="00B259E5"/>
    <w:rsid w:val="00B26628"/>
    <w:rsid w:val="00B3130A"/>
    <w:rsid w:val="00B33BD8"/>
    <w:rsid w:val="00B42F3A"/>
    <w:rsid w:val="00B4351C"/>
    <w:rsid w:val="00B46548"/>
    <w:rsid w:val="00B47BB9"/>
    <w:rsid w:val="00B51113"/>
    <w:rsid w:val="00B66D73"/>
    <w:rsid w:val="00B67720"/>
    <w:rsid w:val="00B70A77"/>
    <w:rsid w:val="00B7378D"/>
    <w:rsid w:val="00B748DF"/>
    <w:rsid w:val="00B75709"/>
    <w:rsid w:val="00B80B5C"/>
    <w:rsid w:val="00B87121"/>
    <w:rsid w:val="00B905D0"/>
    <w:rsid w:val="00B92508"/>
    <w:rsid w:val="00B92EC5"/>
    <w:rsid w:val="00B9676C"/>
    <w:rsid w:val="00BA3F54"/>
    <w:rsid w:val="00BA57E5"/>
    <w:rsid w:val="00BA694E"/>
    <w:rsid w:val="00BB138B"/>
    <w:rsid w:val="00BC0E49"/>
    <w:rsid w:val="00BC5BDA"/>
    <w:rsid w:val="00BD0780"/>
    <w:rsid w:val="00BD17AE"/>
    <w:rsid w:val="00BE1E8F"/>
    <w:rsid w:val="00BE6468"/>
    <w:rsid w:val="00BE6CC1"/>
    <w:rsid w:val="00BF587A"/>
    <w:rsid w:val="00BF7592"/>
    <w:rsid w:val="00C02E76"/>
    <w:rsid w:val="00C03A09"/>
    <w:rsid w:val="00C13806"/>
    <w:rsid w:val="00C2262B"/>
    <w:rsid w:val="00C23560"/>
    <w:rsid w:val="00C25577"/>
    <w:rsid w:val="00C25B44"/>
    <w:rsid w:val="00C3317D"/>
    <w:rsid w:val="00C33E49"/>
    <w:rsid w:val="00C35591"/>
    <w:rsid w:val="00C35A56"/>
    <w:rsid w:val="00C40546"/>
    <w:rsid w:val="00C41BD5"/>
    <w:rsid w:val="00C41EDB"/>
    <w:rsid w:val="00C42FA7"/>
    <w:rsid w:val="00C469DB"/>
    <w:rsid w:val="00C52B5C"/>
    <w:rsid w:val="00C535B1"/>
    <w:rsid w:val="00C5774B"/>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48C8"/>
    <w:rsid w:val="00D54ED4"/>
    <w:rsid w:val="00D554B6"/>
    <w:rsid w:val="00D6001B"/>
    <w:rsid w:val="00D64E07"/>
    <w:rsid w:val="00D66763"/>
    <w:rsid w:val="00D7108A"/>
    <w:rsid w:val="00D73ECD"/>
    <w:rsid w:val="00D74707"/>
    <w:rsid w:val="00D75FA7"/>
    <w:rsid w:val="00D85ACE"/>
    <w:rsid w:val="00DB0A35"/>
    <w:rsid w:val="00DB3586"/>
    <w:rsid w:val="00DB5C6B"/>
    <w:rsid w:val="00DC11E3"/>
    <w:rsid w:val="00DC5385"/>
    <w:rsid w:val="00DC769B"/>
    <w:rsid w:val="00DC7728"/>
    <w:rsid w:val="00DC7AB7"/>
    <w:rsid w:val="00DD622B"/>
    <w:rsid w:val="00DD6CB9"/>
    <w:rsid w:val="00DE1BD0"/>
    <w:rsid w:val="00DE27F8"/>
    <w:rsid w:val="00DE55A6"/>
    <w:rsid w:val="00DE693B"/>
    <w:rsid w:val="00E010D9"/>
    <w:rsid w:val="00E14905"/>
    <w:rsid w:val="00E17087"/>
    <w:rsid w:val="00E307F8"/>
    <w:rsid w:val="00E30E83"/>
    <w:rsid w:val="00E314FC"/>
    <w:rsid w:val="00E409B4"/>
    <w:rsid w:val="00E42B0B"/>
    <w:rsid w:val="00E47083"/>
    <w:rsid w:val="00E47926"/>
    <w:rsid w:val="00E52C47"/>
    <w:rsid w:val="00E53DCA"/>
    <w:rsid w:val="00E6399A"/>
    <w:rsid w:val="00E72F4B"/>
    <w:rsid w:val="00E8785C"/>
    <w:rsid w:val="00E87AF4"/>
    <w:rsid w:val="00E95B1A"/>
    <w:rsid w:val="00EA47FF"/>
    <w:rsid w:val="00EB6DB9"/>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1F99"/>
    <w:rsid w:val="00F047A9"/>
    <w:rsid w:val="00F063F4"/>
    <w:rsid w:val="00F07C3A"/>
    <w:rsid w:val="00F15BB7"/>
    <w:rsid w:val="00F15C25"/>
    <w:rsid w:val="00F16636"/>
    <w:rsid w:val="00F17A0F"/>
    <w:rsid w:val="00F201A8"/>
    <w:rsid w:val="00F30E99"/>
    <w:rsid w:val="00F332C7"/>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1112"/>
    <w:rsid w:val="00FA1C73"/>
    <w:rsid w:val="00FA2FE9"/>
    <w:rsid w:val="00FA691A"/>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paragraph" w:styleId="prastasiniatinklio">
    <w:name w:val="Normal (Web)"/>
    <w:basedOn w:val="prastasis"/>
    <w:uiPriority w:val="99"/>
    <w:unhideWhenUsed/>
    <w:rsid w:val="005F50F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11720855">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85181202">
      <w:bodyDiv w:val="1"/>
      <w:marLeft w:val="0"/>
      <w:marRight w:val="0"/>
      <w:marTop w:val="0"/>
      <w:marBottom w:val="0"/>
      <w:divBdr>
        <w:top w:val="none" w:sz="0" w:space="0" w:color="auto"/>
        <w:left w:val="none" w:sz="0" w:space="0" w:color="auto"/>
        <w:bottom w:val="none" w:sz="0" w:space="0" w:color="auto"/>
        <w:right w:val="none" w:sz="0" w:space="0" w:color="auto"/>
      </w:divBdr>
    </w:div>
    <w:div w:id="73724256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94028852">
      <w:bodyDiv w:val="1"/>
      <w:marLeft w:val="0"/>
      <w:marRight w:val="0"/>
      <w:marTop w:val="0"/>
      <w:marBottom w:val="0"/>
      <w:divBdr>
        <w:top w:val="none" w:sz="0" w:space="0" w:color="auto"/>
        <w:left w:val="none" w:sz="0" w:space="0" w:color="auto"/>
        <w:bottom w:val="none" w:sz="0" w:space="0" w:color="auto"/>
        <w:right w:val="none" w:sz="0" w:space="0" w:color="auto"/>
      </w:divBdr>
    </w:div>
    <w:div w:id="1284262662">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51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c.europa.eu/regional_policy/en/information/publications/evaluations-guidance-documents/2021/performance-monitoring-and-evaluation-of-the-european-regional-development-fund-the-cohesion-fund-and-the-just-transition-fund-in-2021-2027" TargetMode="External"/><Relationship Id="rId4" Type="http://schemas.openxmlformats.org/officeDocument/2006/relationships/customXml" Target="../customXml/item4.xml"/><Relationship Id="rId9" Type="http://schemas.openxmlformats.org/officeDocument/2006/relationships/hyperlink" Target="https://www.e-tar.lt/portal/lt/legalAct/TAR.A3AC1393602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4197</Words>
  <Characters>2393</Characters>
  <Application>Microsoft Office Word</Application>
  <DocSecurity>4</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Jolanta Nebilevičienė</cp:lastModifiedBy>
  <cp:revision>2</cp:revision>
  <dcterms:created xsi:type="dcterms:W3CDTF">2024-10-04T08:57:00Z</dcterms:created>
  <dcterms:modified xsi:type="dcterms:W3CDTF">2024-10-04T08:57:00Z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