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7FD5E613" w14:textId="7056D665" w:rsidR="007C4B28" w:rsidRDefault="007C4B28" w:rsidP="00BD0007">
      <w:pPr>
        <w:ind w:left="8550"/>
        <w:jc w:val="both"/>
        <w:rPr>
          <w:shd w:val="clear" w:color="auto" w:fill="FFFFFF"/>
        </w:rPr>
      </w:pPr>
      <w:r w:rsidRPr="00A22B75">
        <w:rPr>
          <w:shd w:val="clear" w:color="auto" w:fill="FFFFFF"/>
        </w:rPr>
        <w:t>202</w:t>
      </w:r>
      <w:r w:rsidR="00966C25"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–2030 metų Lietuvos Respublikos kultūros ministerijos kultūros ir kūrybingumo plėtros programos pažangos priemonės Nr. 08-001-01-09-01 „KKI plėtra, skatinanti konkurencingumą ir pridėtinės vertės kūrimą“ veiklos Nr. </w:t>
      </w:r>
      <w:r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 „</w:t>
      </w:r>
      <w:r w:rsidRPr="00B42715">
        <w:t>Infrastruktūros ir kitų sąlygų gerinimas siekiant kurti konkurencingus ir paklausius KKI produktus ir (arba) paslaugas</w:t>
      </w:r>
      <w:r w:rsidRPr="00A22B75">
        <w:rPr>
          <w:shd w:val="clear" w:color="auto" w:fill="FFFFFF"/>
        </w:rPr>
        <w:t>“ projektų finansavimo sąlygų aprašo</w:t>
      </w:r>
      <w:r w:rsidR="00BD0007">
        <w:rPr>
          <w:shd w:val="clear" w:color="auto" w:fill="FFFFFF"/>
        </w:rPr>
        <w:t xml:space="preserve"> </w:t>
      </w:r>
      <w:r>
        <w:rPr>
          <w:shd w:val="clear" w:color="auto" w:fill="FFFFFF"/>
        </w:rPr>
        <w:t>Nr. 1</w:t>
      </w:r>
    </w:p>
    <w:p w14:paraId="709B1CDA" w14:textId="785814BF" w:rsidR="007C4B28" w:rsidRPr="00A22B75" w:rsidRDefault="00EA1184" w:rsidP="00BD0007">
      <w:pPr>
        <w:ind w:left="855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766EB6">
        <w:rPr>
          <w:shd w:val="clear" w:color="auto" w:fill="FFFFFF"/>
        </w:rPr>
        <w:t>1</w:t>
      </w:r>
      <w:r w:rsidR="007C4B28">
        <w:rPr>
          <w:shd w:val="clear" w:color="auto" w:fill="FFFFFF"/>
        </w:rPr>
        <w:t xml:space="preserve"> priedas</w:t>
      </w:r>
    </w:p>
    <w:p w14:paraId="580923C8" w14:textId="77777777" w:rsidR="004E3C04" w:rsidRDefault="004E3C04">
      <w:pPr>
        <w:rPr>
          <w:b/>
          <w:iCs/>
          <w:szCs w:val="24"/>
        </w:rPr>
      </w:pPr>
    </w:p>
    <w:p w14:paraId="52E5BBE4" w14:textId="4DE67DB9" w:rsidR="004E3C04" w:rsidRDefault="00FC10B1" w:rsidP="0013428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>pagalbos rūšis, į kurią pretenduoja pareiškėjas</w:t>
      </w: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278B5A1" w:rsidR="004E3C04" w:rsidRDefault="00EC0D65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</w:t>
      </w:r>
      <w:r w:rsidR="00134285">
        <w:rPr>
          <w:iCs/>
          <w:szCs w:val="24"/>
        </w:rPr>
        <w:t>2</w:t>
      </w:r>
      <w:r>
        <w:rPr>
          <w:iCs/>
          <w:szCs w:val="24"/>
        </w:rPr>
        <w:t>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Pr="00EF6043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 w:val="20"/>
        </w:rPr>
      </w:pPr>
      <w:r w:rsidRPr="00EF6043">
        <w:rPr>
          <w:i/>
          <w:iCs/>
          <w:sz w:val="20"/>
        </w:rPr>
        <w:t>(vietovės pavadinimas)</w:t>
      </w:r>
    </w:p>
    <w:p w14:paraId="40E07615" w14:textId="77777777" w:rsidR="00EE6A18" w:rsidRDefault="00EE6A18" w:rsidP="00163B98">
      <w:pPr>
        <w:rPr>
          <w:b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0812"/>
      </w:tblGrid>
      <w:tr w:rsidR="00FC10B1" w14:paraId="665EDEDB" w14:textId="77777777" w:rsidTr="00A23F7B">
        <w:tc>
          <w:tcPr>
            <w:tcW w:w="4315" w:type="dxa"/>
          </w:tcPr>
          <w:p w14:paraId="65B8937A" w14:textId="611BE3E0" w:rsidR="00FC10B1" w:rsidRDefault="00FC10B1" w:rsidP="00FC10B1">
            <w:pPr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Pagalbos rūšis (pažymėti</w:t>
            </w:r>
            <w:r w:rsidR="00766EB6">
              <w:rPr>
                <w:b/>
                <w:iCs/>
                <w:szCs w:val="24"/>
              </w:rPr>
              <w:t xml:space="preserve"> </w:t>
            </w:r>
            <w:sdt>
              <w:sdtPr>
                <w:rPr>
                  <w:bCs/>
                  <w:color w:val="000000"/>
                  <w:sz w:val="36"/>
                  <w:szCs w:val="36"/>
                  <w:lang w:eastAsia="lt-LT"/>
                </w:rPr>
                <w:id w:val="1788772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B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36"/>
                    <w:lang w:eastAsia="lt-LT"/>
                  </w:rPr>
                  <w:t>☒</w:t>
                </w:r>
              </w:sdtContent>
            </w:sdt>
            <w:r w:rsidR="00766EB6">
              <w:rPr>
                <w:b/>
                <w:iCs/>
                <w:szCs w:val="24"/>
              </w:rPr>
              <w:t xml:space="preserve"> )</w:t>
            </w:r>
            <w:r>
              <w:rPr>
                <w:b/>
                <w:iCs/>
                <w:szCs w:val="24"/>
              </w:rPr>
              <w:t xml:space="preserve"> </w:t>
            </w:r>
          </w:p>
        </w:tc>
        <w:tc>
          <w:tcPr>
            <w:tcW w:w="10812" w:type="dxa"/>
          </w:tcPr>
          <w:p w14:paraId="74FE99CA" w14:textId="25F95763" w:rsidR="00FC10B1" w:rsidRDefault="00FC10B1" w:rsidP="00FC10B1">
            <w:pPr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Pagrindimas</w:t>
            </w:r>
          </w:p>
        </w:tc>
      </w:tr>
      <w:tr w:rsidR="00FC10B1" w14:paraId="5E6C8C16" w14:textId="77777777" w:rsidTr="00A23F7B">
        <w:tc>
          <w:tcPr>
            <w:tcW w:w="4315" w:type="dxa"/>
          </w:tcPr>
          <w:p w14:paraId="50A1D11D" w14:textId="638FA489" w:rsidR="00FC10B1" w:rsidRDefault="00216880" w:rsidP="00163B98">
            <w:pPr>
              <w:rPr>
                <w:bCs/>
                <w:iCs/>
                <w:szCs w:val="24"/>
              </w:rPr>
            </w:pPr>
            <w:sdt>
              <w:sdtPr>
                <w:rPr>
                  <w:bCs/>
                  <w:color w:val="000000"/>
                  <w:sz w:val="36"/>
                  <w:szCs w:val="36"/>
                  <w:lang w:eastAsia="lt-LT"/>
                </w:rPr>
                <w:id w:val="2015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B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FC10B1">
              <w:rPr>
                <w:bCs/>
                <w:iCs/>
                <w:szCs w:val="24"/>
              </w:rPr>
              <w:t xml:space="preserve">     </w:t>
            </w:r>
            <w:r w:rsidR="00FC10B1" w:rsidRPr="00FC10B1">
              <w:rPr>
                <w:bCs/>
                <w:iCs/>
                <w:szCs w:val="24"/>
              </w:rPr>
              <w:t>Valstybės pagalba</w:t>
            </w:r>
            <w:r w:rsidR="002A40E0">
              <w:rPr>
                <w:rStyle w:val="FootnoteReference"/>
                <w:bCs/>
                <w:iCs/>
                <w:szCs w:val="24"/>
              </w:rPr>
              <w:footnoteReference w:id="2"/>
            </w:r>
            <w:r w:rsidR="00A61339">
              <w:rPr>
                <w:bCs/>
                <w:iCs/>
                <w:szCs w:val="24"/>
              </w:rPr>
              <w:t xml:space="preserve"> (iki 80 proc.)</w:t>
            </w:r>
          </w:p>
          <w:p w14:paraId="314ECC80" w14:textId="4BBDA1B9" w:rsidR="00634AE6" w:rsidRPr="00A54F0E" w:rsidRDefault="00A81B24" w:rsidP="00163B98">
            <w:pPr>
              <w:rPr>
                <w:bCs/>
                <w:iCs/>
                <w:sz w:val="20"/>
              </w:rPr>
            </w:pPr>
            <w:r w:rsidRPr="00A54F0E">
              <w:rPr>
                <w:bCs/>
                <w:iCs/>
                <w:sz w:val="20"/>
              </w:rPr>
              <w:t>Įvertinkite ir, jei taikoma, n</w:t>
            </w:r>
            <w:r w:rsidR="006A5630" w:rsidRPr="00A54F0E">
              <w:rPr>
                <w:bCs/>
                <w:iCs/>
                <w:sz w:val="20"/>
              </w:rPr>
              <w:t>urodykite</w:t>
            </w:r>
            <w:r w:rsidR="009B1242" w:rsidRPr="00A54F0E">
              <w:rPr>
                <w:bCs/>
                <w:iCs/>
                <w:sz w:val="20"/>
              </w:rPr>
              <w:t xml:space="preserve">, </w:t>
            </w:r>
            <w:r w:rsidR="00F20B27" w:rsidRPr="00A54F0E">
              <w:rPr>
                <w:bCs/>
                <w:iCs/>
                <w:sz w:val="20"/>
              </w:rPr>
              <w:t>k</w:t>
            </w:r>
            <w:r w:rsidR="00A54F0E">
              <w:rPr>
                <w:bCs/>
                <w:iCs/>
                <w:sz w:val="20"/>
              </w:rPr>
              <w:t>u</w:t>
            </w:r>
            <w:r w:rsidR="00727DB1" w:rsidRPr="00A54F0E">
              <w:rPr>
                <w:bCs/>
                <w:iCs/>
                <w:sz w:val="20"/>
              </w:rPr>
              <w:t>riam</w:t>
            </w:r>
            <w:r w:rsidR="008A4552" w:rsidRPr="00A54F0E">
              <w:rPr>
                <w:bCs/>
                <w:iCs/>
                <w:sz w:val="20"/>
              </w:rPr>
              <w:t xml:space="preserve"> </w:t>
            </w:r>
            <w:r w:rsidR="00F20B27" w:rsidRPr="00A54F0E">
              <w:rPr>
                <w:bCs/>
                <w:iCs/>
                <w:sz w:val="20"/>
              </w:rPr>
              <w:t>kultūros tiksl</w:t>
            </w:r>
            <w:r w:rsidR="00727DB1" w:rsidRPr="00A54F0E">
              <w:rPr>
                <w:bCs/>
                <w:iCs/>
                <w:sz w:val="20"/>
              </w:rPr>
              <w:t>ui</w:t>
            </w:r>
            <w:r w:rsidR="00F20B27" w:rsidRPr="00A54F0E">
              <w:rPr>
                <w:bCs/>
                <w:iCs/>
                <w:sz w:val="20"/>
              </w:rPr>
              <w:t xml:space="preserve"> ir kultūrinei veiklai</w:t>
            </w:r>
            <w:r w:rsidR="008A4552" w:rsidRPr="00A54F0E">
              <w:rPr>
                <w:bCs/>
                <w:iCs/>
                <w:sz w:val="20"/>
              </w:rPr>
              <w:t>, kuriems taikomas mažesnis</w:t>
            </w:r>
            <w:r w:rsidR="006A5630" w:rsidRPr="00A54F0E">
              <w:rPr>
                <w:bCs/>
                <w:iCs/>
                <w:sz w:val="20"/>
              </w:rPr>
              <w:t>, nei Apraše nustatytas didžiausias galimas valstybės pagalbos dydis,</w:t>
            </w:r>
            <w:r w:rsidR="008A4552" w:rsidRPr="00A54F0E">
              <w:rPr>
                <w:bCs/>
                <w:iCs/>
                <w:sz w:val="20"/>
              </w:rPr>
              <w:t xml:space="preserve"> bus teikiama valstybės pagalba</w:t>
            </w:r>
          </w:p>
          <w:p w14:paraId="4AE617A0" w14:textId="77777777" w:rsidR="00634AE6" w:rsidRPr="00A54F0E" w:rsidRDefault="00634AE6" w:rsidP="00163B98">
            <w:pPr>
              <w:rPr>
                <w:bCs/>
                <w:iCs/>
                <w:sz w:val="20"/>
              </w:rPr>
            </w:pPr>
          </w:p>
          <w:p w14:paraId="6C550D38" w14:textId="656A11CA" w:rsidR="00A81B24" w:rsidRPr="00A54F0E" w:rsidRDefault="00A81B24" w:rsidP="00163B98">
            <w:pPr>
              <w:rPr>
                <w:bCs/>
                <w:iCs/>
                <w:sz w:val="22"/>
                <w:szCs w:val="22"/>
              </w:rPr>
            </w:pPr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color w:val="000000"/>
                  <w:sz w:val="22"/>
                  <w:szCs w:val="22"/>
                  <w:lang w:eastAsia="lt-LT"/>
                </w:rPr>
                <w:id w:val="59914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4F0E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r w:rsidR="00C07EB3" w:rsidRPr="00A54F0E">
              <w:rPr>
                <w:bCs/>
                <w:iCs/>
                <w:sz w:val="22"/>
                <w:szCs w:val="22"/>
              </w:rPr>
              <w:t>53 str. 9 p.</w:t>
            </w:r>
            <w:r w:rsidR="005D79A1" w:rsidRPr="00A54F0E">
              <w:rPr>
                <w:bCs/>
                <w:iCs/>
                <w:sz w:val="22"/>
                <w:szCs w:val="22"/>
              </w:rPr>
              <w:t xml:space="preserve"> (iki 70 proc.)</w:t>
            </w:r>
          </w:p>
          <w:p w14:paraId="263B72A4" w14:textId="0946A84F" w:rsidR="00727DB1" w:rsidRPr="00A54F0E" w:rsidRDefault="00727DB1" w:rsidP="00163B98">
            <w:pPr>
              <w:rPr>
                <w:bCs/>
                <w:iCs/>
                <w:sz w:val="22"/>
                <w:szCs w:val="22"/>
              </w:rPr>
            </w:pPr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color w:val="000000"/>
                  <w:sz w:val="22"/>
                  <w:szCs w:val="22"/>
                  <w:lang w:eastAsia="lt-LT"/>
                </w:rPr>
                <w:id w:val="1907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4F0E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r w:rsidR="005D79A1" w:rsidRPr="00A54F0E">
              <w:rPr>
                <w:bCs/>
                <w:iCs/>
                <w:sz w:val="22"/>
                <w:szCs w:val="22"/>
              </w:rPr>
              <w:t xml:space="preserve">54 str. </w:t>
            </w:r>
            <w:r w:rsidR="00FA2FCC" w:rsidRPr="00A54F0E">
              <w:rPr>
                <w:bCs/>
                <w:iCs/>
                <w:sz w:val="22"/>
                <w:szCs w:val="22"/>
              </w:rPr>
              <w:t>6 p. (iki 50 proc.)</w:t>
            </w:r>
          </w:p>
          <w:p w14:paraId="609856CA" w14:textId="5BF6C67D" w:rsidR="00634AE6" w:rsidRPr="00571A26" w:rsidRDefault="00FA2FCC" w:rsidP="00163B98">
            <w:pPr>
              <w:rPr>
                <w:bCs/>
                <w:iCs/>
                <w:sz w:val="22"/>
                <w:szCs w:val="22"/>
              </w:rPr>
            </w:pPr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color w:val="000000"/>
                  <w:sz w:val="22"/>
                  <w:szCs w:val="22"/>
                  <w:lang w:eastAsia="lt-LT"/>
                </w:rPr>
                <w:id w:val="15427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4F0E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Pr="00A54F0E">
              <w:rPr>
                <w:bCs/>
                <w:iCs/>
                <w:sz w:val="22"/>
                <w:szCs w:val="22"/>
              </w:rPr>
              <w:t xml:space="preserve">     </w:t>
            </w:r>
            <w:r w:rsidR="00A23F7B" w:rsidRPr="00A54F0E">
              <w:rPr>
                <w:bCs/>
                <w:iCs/>
                <w:sz w:val="22"/>
                <w:szCs w:val="22"/>
              </w:rPr>
              <w:t>54 str. 7 p. a) dalis (iki 60 proc.)</w:t>
            </w:r>
          </w:p>
        </w:tc>
        <w:tc>
          <w:tcPr>
            <w:tcW w:w="10812" w:type="dxa"/>
          </w:tcPr>
          <w:p w14:paraId="567AA7D4" w14:textId="77777777" w:rsidR="00FC10B1" w:rsidRDefault="005E075F" w:rsidP="00163B98">
            <w:pPr>
              <w:rPr>
                <w:bCs/>
                <w:i/>
                <w:color w:val="A6A6A6" w:themeColor="background1" w:themeShade="A6"/>
                <w:szCs w:val="24"/>
              </w:rPr>
            </w:pPr>
            <w:r>
              <w:rPr>
                <w:bCs/>
                <w:i/>
                <w:color w:val="A6A6A6" w:themeColor="background1" w:themeShade="A6"/>
                <w:szCs w:val="24"/>
              </w:rPr>
              <w:t>V</w:t>
            </w:r>
            <w:r w:rsidRPr="005E075F">
              <w:rPr>
                <w:bCs/>
                <w:i/>
                <w:color w:val="A6A6A6" w:themeColor="background1" w:themeShade="A6"/>
                <w:szCs w:val="24"/>
              </w:rPr>
              <w:t>alstybės pagalba, kaip ji apibrėžta Sutarties dėl Europos Sąjungos veikimo 107 straipsnyje</w:t>
            </w:r>
            <w:r>
              <w:rPr>
                <w:bCs/>
                <w:i/>
                <w:color w:val="A6A6A6" w:themeColor="background1" w:themeShade="A6"/>
                <w:szCs w:val="24"/>
              </w:rPr>
              <w:t xml:space="preserve">, </w:t>
            </w:r>
            <w:r w:rsidRPr="005E075F">
              <w:rPr>
                <w:bCs/>
                <w:i/>
                <w:color w:val="A6A6A6" w:themeColor="background1" w:themeShade="A6"/>
                <w:szCs w:val="24"/>
              </w:rPr>
              <w:t>gali būti teikiama</w:t>
            </w:r>
            <w:r>
              <w:rPr>
                <w:bCs/>
                <w:i/>
                <w:color w:val="A6A6A6" w:themeColor="background1" w:themeShade="A6"/>
                <w:szCs w:val="24"/>
              </w:rPr>
              <w:t xml:space="preserve">, jei </w:t>
            </w:r>
            <w:r w:rsidR="000F6B3C">
              <w:rPr>
                <w:bCs/>
                <w:i/>
                <w:color w:val="A6A6A6" w:themeColor="background1" w:themeShade="A6"/>
                <w:szCs w:val="24"/>
              </w:rPr>
              <w:t xml:space="preserve">numatyta vykdyti veikla </w:t>
            </w:r>
            <w:r w:rsidRPr="005E075F">
              <w:rPr>
                <w:bCs/>
                <w:i/>
                <w:color w:val="A6A6A6" w:themeColor="background1" w:themeShade="A6"/>
                <w:szCs w:val="24"/>
              </w:rPr>
              <w:t>atitinka Reglamento (ES) Nr. 651/2014 53 ir 54 straipsnių nuostatas</w:t>
            </w:r>
            <w:r w:rsidR="000F6B3C">
              <w:rPr>
                <w:bCs/>
                <w:i/>
                <w:color w:val="A6A6A6" w:themeColor="background1" w:themeShade="A6"/>
                <w:szCs w:val="24"/>
              </w:rPr>
              <w:t>.</w:t>
            </w:r>
          </w:p>
          <w:p w14:paraId="255574E8" w14:textId="77777777" w:rsidR="000F6B3C" w:rsidRDefault="000F6B3C" w:rsidP="00163B98">
            <w:pPr>
              <w:rPr>
                <w:bCs/>
                <w:i/>
                <w:color w:val="A6A6A6" w:themeColor="background1" w:themeShade="A6"/>
                <w:szCs w:val="24"/>
              </w:rPr>
            </w:pPr>
          </w:p>
          <w:p w14:paraId="41F4C346" w14:textId="77777777" w:rsidR="000F6B3C" w:rsidRDefault="00CB6611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53 syt. 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>9.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p.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Muzikos ir literatūros kūrinių leidybai, kaip apibrėžta 2 dalies f punkte, didžiausia pagalbos suma neviršija arba tinkamų finansuoti išlaidų ir projekto </w:t>
            </w:r>
            <w:r w:rsidR="00DE62AA">
              <w:rPr>
                <w:bCs/>
                <w:i/>
                <w:color w:val="A6A6A6" w:themeColor="background1" w:themeShade="A6"/>
                <w:sz w:val="16"/>
                <w:szCs w:val="16"/>
              </w:rPr>
              <w:t>d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iskontuotųjų pajamų skirtumo, arba 70 % tinkamų finansuoti išlaidų. Pajamos iš tinkamų finansuoti išlaidų atskaitomas </w:t>
            </w:r>
            <w:proofErr w:type="spellStart"/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>ex</w:t>
            </w:r>
            <w:proofErr w:type="spellEnd"/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ante arba taikant lėšų susigrąžinimo</w:t>
            </w:r>
            <w:r w:rsidR="00DE62AA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>mechanizmą. Tinkamos finansuoti išlaidos yra muzikos ir literatūros kūrinių leidybos išlaidos, įskaitant užmokestį autoriui (autorių teisių išlaidas), užmokestį</w:t>
            </w:r>
            <w:r w:rsidR="00DE62AA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>vertėjams, užmokestį redaktoriams, kitas redagavimo išlaidas (korektūros skaitymo, koregavimo, peržiūros), maketavimo ir parengimo spausdinti išlaidas bei</w:t>
            </w:r>
            <w:r w:rsidR="000D7EC5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CB6611">
              <w:rPr>
                <w:bCs/>
                <w:i/>
                <w:color w:val="A6A6A6" w:themeColor="background1" w:themeShade="A6"/>
                <w:sz w:val="16"/>
                <w:szCs w:val="16"/>
              </w:rPr>
              <w:t>spausdinimo ar elektroninio leidimo išlaidas.</w:t>
            </w:r>
          </w:p>
          <w:p w14:paraId="4CA09425" w14:textId="77777777" w:rsidR="000D7EC5" w:rsidRDefault="000D7EC5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</w:p>
          <w:p w14:paraId="4E396B0B" w14:textId="5646B988" w:rsidR="000D7EC5" w:rsidRDefault="00BE2EE2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54 str. </w:t>
            </w:r>
            <w:r w:rsidRPr="00BE2EE2">
              <w:rPr>
                <w:bCs/>
                <w:i/>
                <w:color w:val="A6A6A6" w:themeColor="background1" w:themeShade="A6"/>
                <w:sz w:val="16"/>
                <w:szCs w:val="16"/>
              </w:rPr>
              <w:t>6.</w:t>
            </w:r>
            <w:r w:rsidR="00C7552B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p. </w:t>
            </w:r>
            <w:r w:rsidRPr="00BE2EE2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 Pagalbos garso ir vaizdo kūrinių gamybai intensyvumas neviršija 50 % tinkamų finansuoti išlaidų</w:t>
            </w:r>
          </w:p>
          <w:p w14:paraId="60A50B72" w14:textId="77777777" w:rsidR="00C7552B" w:rsidRDefault="00C7552B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</w:p>
          <w:p w14:paraId="6045B8BE" w14:textId="7602EEA6" w:rsidR="00571A26" w:rsidRPr="00571A26" w:rsidRDefault="00C7552B" w:rsidP="00571A26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bCs/>
                <w:i/>
                <w:color w:val="A6A6A6" w:themeColor="background1" w:themeShade="A6"/>
                <w:sz w:val="16"/>
                <w:szCs w:val="16"/>
              </w:rPr>
              <w:t>54 str. 7 p.</w:t>
            </w:r>
            <w:r w:rsidR="00571A26">
              <w:t xml:space="preserve"> </w:t>
            </w:r>
            <w:r w:rsidR="00571A26" w:rsidRPr="00571A26">
              <w:rPr>
                <w:bCs/>
                <w:i/>
                <w:color w:val="A6A6A6" w:themeColor="background1" w:themeShade="A6"/>
                <w:sz w:val="16"/>
                <w:szCs w:val="16"/>
              </w:rPr>
              <w:t xml:space="preserve">a) tarpvalstybinei filmų gamybai, kurią finansuoja daugiau nei viena valstybė narė ir kurioje dalyvauja gamintojai iš </w:t>
            </w:r>
          </w:p>
          <w:p w14:paraId="733F9BA5" w14:textId="77777777" w:rsidR="000D7EC5" w:rsidRDefault="00571A26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  <w:r w:rsidRPr="00571A26">
              <w:rPr>
                <w:bCs/>
                <w:i/>
                <w:color w:val="A6A6A6" w:themeColor="background1" w:themeShade="A6"/>
                <w:sz w:val="16"/>
                <w:szCs w:val="16"/>
              </w:rPr>
              <w:t>daugiau nei vienos valstybės narės, – iki 60 % tinkamų finansuoti išlaidų</w:t>
            </w:r>
          </w:p>
          <w:p w14:paraId="4F467E6A" w14:textId="540CD8F4" w:rsidR="00571A26" w:rsidRPr="000D7EC5" w:rsidRDefault="00571A26" w:rsidP="00DE62AA">
            <w:pPr>
              <w:rPr>
                <w:bCs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FC10B1" w14:paraId="3C3D09B3" w14:textId="77777777" w:rsidTr="00A23F7B">
        <w:tc>
          <w:tcPr>
            <w:tcW w:w="4315" w:type="dxa"/>
          </w:tcPr>
          <w:p w14:paraId="05471132" w14:textId="77D648E8" w:rsidR="00FC10B1" w:rsidRPr="00FC10B1" w:rsidRDefault="00216880" w:rsidP="00163B98">
            <w:pPr>
              <w:rPr>
                <w:bCs/>
                <w:iCs/>
                <w:szCs w:val="24"/>
              </w:rPr>
            </w:pPr>
            <w:sdt>
              <w:sdtPr>
                <w:rPr>
                  <w:bCs/>
                  <w:color w:val="000000"/>
                  <w:sz w:val="36"/>
                  <w:szCs w:val="36"/>
                  <w:lang w:eastAsia="lt-LT"/>
                </w:rPr>
                <w:id w:val="145028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EB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FC10B1">
              <w:rPr>
                <w:bCs/>
                <w:i/>
                <w:szCs w:val="24"/>
              </w:rPr>
              <w:t xml:space="preserve">     </w:t>
            </w:r>
            <w:r w:rsidR="00FC10B1" w:rsidRPr="00FC10B1">
              <w:rPr>
                <w:bCs/>
                <w:i/>
                <w:szCs w:val="24"/>
              </w:rPr>
              <w:t xml:space="preserve">De </w:t>
            </w:r>
            <w:proofErr w:type="spellStart"/>
            <w:r w:rsidR="00FC10B1" w:rsidRPr="00FC10B1">
              <w:rPr>
                <w:bCs/>
                <w:i/>
                <w:szCs w:val="24"/>
              </w:rPr>
              <w:t>minimis</w:t>
            </w:r>
            <w:proofErr w:type="spellEnd"/>
            <w:r w:rsidR="00FC10B1">
              <w:rPr>
                <w:bCs/>
                <w:iCs/>
                <w:szCs w:val="24"/>
              </w:rPr>
              <w:t xml:space="preserve"> pagalba</w:t>
            </w:r>
            <w:r w:rsidR="00A61339">
              <w:rPr>
                <w:bCs/>
                <w:iCs/>
                <w:szCs w:val="24"/>
              </w:rPr>
              <w:t xml:space="preserve"> (iki</w:t>
            </w:r>
            <w:r w:rsidR="00591E53">
              <w:rPr>
                <w:bCs/>
                <w:iCs/>
                <w:szCs w:val="24"/>
              </w:rPr>
              <w:t xml:space="preserve"> </w:t>
            </w:r>
            <w:r>
              <w:rPr>
                <w:bCs/>
                <w:iCs/>
                <w:szCs w:val="24"/>
              </w:rPr>
              <w:t>?</w:t>
            </w:r>
            <w:r w:rsidR="00591E53">
              <w:rPr>
                <w:bCs/>
                <w:iCs/>
                <w:szCs w:val="24"/>
              </w:rPr>
              <w:t xml:space="preserve"> proc.)</w:t>
            </w:r>
          </w:p>
        </w:tc>
        <w:tc>
          <w:tcPr>
            <w:tcW w:w="10812" w:type="dxa"/>
          </w:tcPr>
          <w:p w14:paraId="126B5F8B" w14:textId="77777777" w:rsidR="00FC10B1" w:rsidRPr="00FC10B1" w:rsidRDefault="00FC10B1" w:rsidP="00163B98">
            <w:pPr>
              <w:rPr>
                <w:bCs/>
                <w:iCs/>
                <w:szCs w:val="24"/>
              </w:rPr>
            </w:pPr>
          </w:p>
        </w:tc>
      </w:tr>
    </w:tbl>
    <w:p w14:paraId="43B503A6" w14:textId="77777777" w:rsidR="00FC10B1" w:rsidRPr="00EF6043" w:rsidRDefault="00FC10B1" w:rsidP="00163B98">
      <w:pPr>
        <w:rPr>
          <w:b/>
          <w:iCs/>
          <w:sz w:val="16"/>
          <w:szCs w:val="16"/>
        </w:rPr>
      </w:pPr>
    </w:p>
    <w:p w14:paraId="4DC4DCA4" w14:textId="77777777" w:rsidR="00D20E68" w:rsidRDefault="00D20E68" w:rsidP="002503A5">
      <w:pPr>
        <w:rPr>
          <w:b/>
          <w:iCs/>
          <w:szCs w:val="24"/>
        </w:rPr>
      </w:pPr>
    </w:p>
    <w:p w14:paraId="0C1B152E" w14:textId="77777777" w:rsidR="004E3C04" w:rsidRDefault="00EC0D65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sectPr w:rsidR="004E3C04" w:rsidSect="0025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71D0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36651B0E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280F04EF" w14:textId="77777777" w:rsidR="000A762E" w:rsidRDefault="000A762E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4EF3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44A8FE0F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5DCF90E9" w14:textId="77777777" w:rsidR="000A762E" w:rsidRDefault="000A762E">
      <w:pPr>
        <w:rPr>
          <w:iCs/>
          <w:sz w:val="22"/>
          <w:szCs w:val="22"/>
        </w:rPr>
      </w:pPr>
    </w:p>
  </w:footnote>
  <w:footnote w:id="2">
    <w:p w14:paraId="4A65D168" w14:textId="0F9F9080" w:rsidR="002A40E0" w:rsidRDefault="002A40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40E0">
        <w:t>2014 m. birželio 17 d. Komisijos reglamentas (ES) Nr. 651/2014, kuriuo tam tikrų kategorijų pagalba skelbiama suderinama su vidaus rinka taikant Sutarties 107 ir 108 straipsnius su paskutiniai pakeitimais, padarytais 2023 m. birželio 23 d. Komisijos reglamentu (ES) Nr. 2023/1315)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158B" w14:textId="77777777" w:rsidR="004E3C04" w:rsidRDefault="00EC0D65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 w:rsidR="001B05DE">
      <w:rPr>
        <w:iCs/>
        <w:noProof/>
        <w:szCs w:val="22"/>
      </w:rPr>
      <w:t>2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349F0"/>
    <w:multiLevelType w:val="hybridMultilevel"/>
    <w:tmpl w:val="8A3A3AD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48F3"/>
    <w:multiLevelType w:val="hybridMultilevel"/>
    <w:tmpl w:val="A85EBF2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6E07F4"/>
    <w:multiLevelType w:val="hybridMultilevel"/>
    <w:tmpl w:val="ACFA940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968DC"/>
    <w:multiLevelType w:val="hybridMultilevel"/>
    <w:tmpl w:val="40C2B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B16C7"/>
    <w:multiLevelType w:val="hybridMultilevel"/>
    <w:tmpl w:val="EA5EC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72E68"/>
    <w:multiLevelType w:val="hybridMultilevel"/>
    <w:tmpl w:val="0BAE7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836B73"/>
    <w:multiLevelType w:val="hybridMultilevel"/>
    <w:tmpl w:val="AEB256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9653">
    <w:abstractNumId w:val="3"/>
  </w:num>
  <w:num w:numId="2" w16cid:durableId="2127576666">
    <w:abstractNumId w:val="1"/>
  </w:num>
  <w:num w:numId="3" w16cid:durableId="193541423">
    <w:abstractNumId w:val="0"/>
  </w:num>
  <w:num w:numId="4" w16cid:durableId="595753344">
    <w:abstractNumId w:val="8"/>
  </w:num>
  <w:num w:numId="5" w16cid:durableId="1566603225">
    <w:abstractNumId w:val="4"/>
  </w:num>
  <w:num w:numId="6" w16cid:durableId="822310673">
    <w:abstractNumId w:val="5"/>
  </w:num>
  <w:num w:numId="7" w16cid:durableId="1563178573">
    <w:abstractNumId w:val="9"/>
  </w:num>
  <w:num w:numId="8" w16cid:durableId="1474760408">
    <w:abstractNumId w:val="2"/>
  </w:num>
  <w:num w:numId="9" w16cid:durableId="1945654225">
    <w:abstractNumId w:val="6"/>
  </w:num>
  <w:num w:numId="10" w16cid:durableId="622006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0"/>
    <w:rsid w:val="00012A87"/>
    <w:rsid w:val="00017EAE"/>
    <w:rsid w:val="000211DD"/>
    <w:rsid w:val="00052ABD"/>
    <w:rsid w:val="000607EB"/>
    <w:rsid w:val="00093D15"/>
    <w:rsid w:val="000A5917"/>
    <w:rsid w:val="000A762E"/>
    <w:rsid w:val="000C3549"/>
    <w:rsid w:val="000C3AA6"/>
    <w:rsid w:val="000D1E37"/>
    <w:rsid w:val="000D7EC5"/>
    <w:rsid w:val="000F6584"/>
    <w:rsid w:val="000F6B3C"/>
    <w:rsid w:val="000F7F0E"/>
    <w:rsid w:val="0011222F"/>
    <w:rsid w:val="00134285"/>
    <w:rsid w:val="00140D0E"/>
    <w:rsid w:val="00141404"/>
    <w:rsid w:val="00142495"/>
    <w:rsid w:val="00156273"/>
    <w:rsid w:val="00163B98"/>
    <w:rsid w:val="001708CA"/>
    <w:rsid w:val="00180066"/>
    <w:rsid w:val="0018104E"/>
    <w:rsid w:val="00187070"/>
    <w:rsid w:val="001943FD"/>
    <w:rsid w:val="001A38C7"/>
    <w:rsid w:val="001A492C"/>
    <w:rsid w:val="001B05DE"/>
    <w:rsid w:val="001C234F"/>
    <w:rsid w:val="001C5323"/>
    <w:rsid w:val="001C7092"/>
    <w:rsid w:val="00216880"/>
    <w:rsid w:val="0022128A"/>
    <w:rsid w:val="00227F10"/>
    <w:rsid w:val="00244C5F"/>
    <w:rsid w:val="002503A5"/>
    <w:rsid w:val="00272EB7"/>
    <w:rsid w:val="00290C09"/>
    <w:rsid w:val="00291E9C"/>
    <w:rsid w:val="002A40E0"/>
    <w:rsid w:val="002A4F80"/>
    <w:rsid w:val="002B5D8B"/>
    <w:rsid w:val="002D2246"/>
    <w:rsid w:val="002F0861"/>
    <w:rsid w:val="002F5A0D"/>
    <w:rsid w:val="00300F76"/>
    <w:rsid w:val="00331443"/>
    <w:rsid w:val="00336876"/>
    <w:rsid w:val="00336880"/>
    <w:rsid w:val="00366C16"/>
    <w:rsid w:val="003736E8"/>
    <w:rsid w:val="00383E54"/>
    <w:rsid w:val="003A31CC"/>
    <w:rsid w:val="003A577E"/>
    <w:rsid w:val="003E6A75"/>
    <w:rsid w:val="00402701"/>
    <w:rsid w:val="00405732"/>
    <w:rsid w:val="00406E25"/>
    <w:rsid w:val="00424E75"/>
    <w:rsid w:val="00425988"/>
    <w:rsid w:val="00440BF6"/>
    <w:rsid w:val="00442594"/>
    <w:rsid w:val="004B1BC0"/>
    <w:rsid w:val="004D14E9"/>
    <w:rsid w:val="004D6746"/>
    <w:rsid w:val="004E3C04"/>
    <w:rsid w:val="004F6045"/>
    <w:rsid w:val="00501E45"/>
    <w:rsid w:val="00505A97"/>
    <w:rsid w:val="005064C5"/>
    <w:rsid w:val="00507C0A"/>
    <w:rsid w:val="0053040F"/>
    <w:rsid w:val="00536DFF"/>
    <w:rsid w:val="0054368E"/>
    <w:rsid w:val="00551102"/>
    <w:rsid w:val="005538FF"/>
    <w:rsid w:val="00563C54"/>
    <w:rsid w:val="00571A26"/>
    <w:rsid w:val="005724E1"/>
    <w:rsid w:val="00581B6A"/>
    <w:rsid w:val="00591E53"/>
    <w:rsid w:val="0059593D"/>
    <w:rsid w:val="00596931"/>
    <w:rsid w:val="005A0840"/>
    <w:rsid w:val="005A1178"/>
    <w:rsid w:val="005A7A8D"/>
    <w:rsid w:val="005B6F93"/>
    <w:rsid w:val="005B7104"/>
    <w:rsid w:val="005C3F3E"/>
    <w:rsid w:val="005D55AC"/>
    <w:rsid w:val="005D706B"/>
    <w:rsid w:val="005D79A1"/>
    <w:rsid w:val="005E041B"/>
    <w:rsid w:val="005E075F"/>
    <w:rsid w:val="005F5CFF"/>
    <w:rsid w:val="0060476F"/>
    <w:rsid w:val="0061085B"/>
    <w:rsid w:val="00613437"/>
    <w:rsid w:val="0061429B"/>
    <w:rsid w:val="00624DBC"/>
    <w:rsid w:val="006275B5"/>
    <w:rsid w:val="006314DE"/>
    <w:rsid w:val="00634AE6"/>
    <w:rsid w:val="00642577"/>
    <w:rsid w:val="006563F6"/>
    <w:rsid w:val="00663E22"/>
    <w:rsid w:val="006755B4"/>
    <w:rsid w:val="00681BCC"/>
    <w:rsid w:val="00683134"/>
    <w:rsid w:val="00683D11"/>
    <w:rsid w:val="006841C0"/>
    <w:rsid w:val="0068720A"/>
    <w:rsid w:val="0069058E"/>
    <w:rsid w:val="00694B83"/>
    <w:rsid w:val="006A54DE"/>
    <w:rsid w:val="006A5630"/>
    <w:rsid w:val="006A6EC0"/>
    <w:rsid w:val="006B1B80"/>
    <w:rsid w:val="006B3D5F"/>
    <w:rsid w:val="006E06E5"/>
    <w:rsid w:val="006F062E"/>
    <w:rsid w:val="006F780F"/>
    <w:rsid w:val="00702617"/>
    <w:rsid w:val="00713D23"/>
    <w:rsid w:val="00726FBC"/>
    <w:rsid w:val="00727075"/>
    <w:rsid w:val="00727DB1"/>
    <w:rsid w:val="0073404C"/>
    <w:rsid w:val="00735294"/>
    <w:rsid w:val="00766EB6"/>
    <w:rsid w:val="00777FE8"/>
    <w:rsid w:val="00781153"/>
    <w:rsid w:val="007861D4"/>
    <w:rsid w:val="007B125B"/>
    <w:rsid w:val="007B7ECA"/>
    <w:rsid w:val="007C34A6"/>
    <w:rsid w:val="007C4B28"/>
    <w:rsid w:val="007D12AE"/>
    <w:rsid w:val="0080694B"/>
    <w:rsid w:val="0082109D"/>
    <w:rsid w:val="008426F3"/>
    <w:rsid w:val="00845C7A"/>
    <w:rsid w:val="008501E2"/>
    <w:rsid w:val="008608D9"/>
    <w:rsid w:val="0087111E"/>
    <w:rsid w:val="0089755E"/>
    <w:rsid w:val="00897FAB"/>
    <w:rsid w:val="008A4552"/>
    <w:rsid w:val="008D2584"/>
    <w:rsid w:val="008F69CF"/>
    <w:rsid w:val="0091035A"/>
    <w:rsid w:val="009364D6"/>
    <w:rsid w:val="00966C25"/>
    <w:rsid w:val="00967A8B"/>
    <w:rsid w:val="009717C4"/>
    <w:rsid w:val="0098259C"/>
    <w:rsid w:val="00994624"/>
    <w:rsid w:val="009956C9"/>
    <w:rsid w:val="00995CA7"/>
    <w:rsid w:val="009A2C14"/>
    <w:rsid w:val="009B1242"/>
    <w:rsid w:val="009F2A82"/>
    <w:rsid w:val="009F3ECC"/>
    <w:rsid w:val="009F40A8"/>
    <w:rsid w:val="00A144C4"/>
    <w:rsid w:val="00A23F7B"/>
    <w:rsid w:val="00A264A0"/>
    <w:rsid w:val="00A361B0"/>
    <w:rsid w:val="00A446FE"/>
    <w:rsid w:val="00A54F0E"/>
    <w:rsid w:val="00A608E6"/>
    <w:rsid w:val="00A61339"/>
    <w:rsid w:val="00A634E6"/>
    <w:rsid w:val="00A81B24"/>
    <w:rsid w:val="00AC7912"/>
    <w:rsid w:val="00AD2E98"/>
    <w:rsid w:val="00AD5147"/>
    <w:rsid w:val="00AE6C8D"/>
    <w:rsid w:val="00AE7D90"/>
    <w:rsid w:val="00B054C2"/>
    <w:rsid w:val="00B13048"/>
    <w:rsid w:val="00B379C6"/>
    <w:rsid w:val="00B53494"/>
    <w:rsid w:val="00B607F6"/>
    <w:rsid w:val="00B74326"/>
    <w:rsid w:val="00B75864"/>
    <w:rsid w:val="00B95FE7"/>
    <w:rsid w:val="00BA6959"/>
    <w:rsid w:val="00BB0CA6"/>
    <w:rsid w:val="00BD0007"/>
    <w:rsid w:val="00BD798E"/>
    <w:rsid w:val="00BE2EE2"/>
    <w:rsid w:val="00BE5073"/>
    <w:rsid w:val="00C07EB3"/>
    <w:rsid w:val="00C47751"/>
    <w:rsid w:val="00C50237"/>
    <w:rsid w:val="00C53891"/>
    <w:rsid w:val="00C55F67"/>
    <w:rsid w:val="00C713E3"/>
    <w:rsid w:val="00C7552B"/>
    <w:rsid w:val="00C826EA"/>
    <w:rsid w:val="00C83A1D"/>
    <w:rsid w:val="00CB6611"/>
    <w:rsid w:val="00CC6181"/>
    <w:rsid w:val="00CD55E9"/>
    <w:rsid w:val="00CE51D6"/>
    <w:rsid w:val="00CF03A2"/>
    <w:rsid w:val="00CF4198"/>
    <w:rsid w:val="00CF4D1E"/>
    <w:rsid w:val="00D20E68"/>
    <w:rsid w:val="00D21399"/>
    <w:rsid w:val="00D221FB"/>
    <w:rsid w:val="00D54F5B"/>
    <w:rsid w:val="00D67ACB"/>
    <w:rsid w:val="00D75961"/>
    <w:rsid w:val="00D8151B"/>
    <w:rsid w:val="00D82D11"/>
    <w:rsid w:val="00D851A9"/>
    <w:rsid w:val="00DC0418"/>
    <w:rsid w:val="00DE62AA"/>
    <w:rsid w:val="00DF48C8"/>
    <w:rsid w:val="00DF624B"/>
    <w:rsid w:val="00E01A4D"/>
    <w:rsid w:val="00E04426"/>
    <w:rsid w:val="00E149C1"/>
    <w:rsid w:val="00E23A61"/>
    <w:rsid w:val="00E25AA1"/>
    <w:rsid w:val="00E27046"/>
    <w:rsid w:val="00E41BFE"/>
    <w:rsid w:val="00E71FC1"/>
    <w:rsid w:val="00E80397"/>
    <w:rsid w:val="00E83AF1"/>
    <w:rsid w:val="00E95771"/>
    <w:rsid w:val="00EA1184"/>
    <w:rsid w:val="00EB1C9F"/>
    <w:rsid w:val="00EB1CEF"/>
    <w:rsid w:val="00EB576A"/>
    <w:rsid w:val="00EC0D65"/>
    <w:rsid w:val="00EC1216"/>
    <w:rsid w:val="00EC75E2"/>
    <w:rsid w:val="00ED484A"/>
    <w:rsid w:val="00EE6A18"/>
    <w:rsid w:val="00EF6043"/>
    <w:rsid w:val="00EF7008"/>
    <w:rsid w:val="00F03725"/>
    <w:rsid w:val="00F12F08"/>
    <w:rsid w:val="00F17263"/>
    <w:rsid w:val="00F20B27"/>
    <w:rsid w:val="00F3530C"/>
    <w:rsid w:val="00F57A38"/>
    <w:rsid w:val="00F806C6"/>
    <w:rsid w:val="00F856A7"/>
    <w:rsid w:val="00FA0417"/>
    <w:rsid w:val="00FA118C"/>
    <w:rsid w:val="00FA2FCC"/>
    <w:rsid w:val="00FC10B1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40AF9"/>
  <w15:docId w15:val="{FCF40739-7D62-4150-9AB9-1BA9CAB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2503A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3A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2503A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608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8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08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8E6"/>
    <w:rPr>
      <w:b/>
      <w:bCs/>
      <w:sz w:val="20"/>
    </w:rPr>
  </w:style>
  <w:style w:type="paragraph" w:styleId="Revision">
    <w:name w:val="Revision"/>
    <w:hidden/>
    <w:semiHidden/>
    <w:rsid w:val="00291E9C"/>
  </w:style>
  <w:style w:type="paragraph" w:styleId="BalloonText">
    <w:name w:val="Balloon Text"/>
    <w:basedOn w:val="Normal"/>
    <w:link w:val="BalloonTextChar"/>
    <w:semiHidden/>
    <w:unhideWhenUsed/>
    <w:rsid w:val="00B9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F69308-9C19-47C8-87E2-E12F95B9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09F71-09EB-40F4-A43B-9C50D58D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33</cp:revision>
  <cp:lastPrinted>2022-11-21T13:48:00Z</cp:lastPrinted>
  <dcterms:created xsi:type="dcterms:W3CDTF">2024-11-05T13:18:00Z</dcterms:created>
  <dcterms:modified xsi:type="dcterms:W3CDTF">2024-11-08T07:20:00Z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