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176F4" w14:textId="77777777" w:rsidR="0083463D" w:rsidRPr="0098795B" w:rsidRDefault="0083463D" w:rsidP="0083463D">
      <w:pPr>
        <w:keepNext/>
        <w:spacing w:after="0" w:line="240" w:lineRule="auto"/>
        <w:ind w:left="5529"/>
        <w:rPr>
          <w:rStyle w:val="normaltextrun"/>
          <w:rFonts w:ascii="Times New Roman" w:eastAsia="Times New Roman" w:hAnsi="Times New Roman" w:cs="Times New Roman"/>
          <w:i/>
          <w:iCs/>
          <w:lang w:val="en-US"/>
        </w:rPr>
      </w:pPr>
      <w:r w:rsidRPr="0098795B">
        <w:rPr>
          <w:rStyle w:val="normaltextrun"/>
          <w:rFonts w:ascii="Times New Roman" w:eastAsia="Times New Roman" w:hAnsi="Times New Roman" w:cs="Times New Roman"/>
          <w:i/>
          <w:iCs/>
        </w:rPr>
        <w:t xml:space="preserve">Patvirtinta Asociacijos Gargždų miesto vietos veiklos grupės valdybos </w:t>
      </w:r>
      <w:r w:rsidRPr="0098795B">
        <w:rPr>
          <w:rStyle w:val="normaltextrun"/>
          <w:rFonts w:ascii="Times New Roman" w:eastAsia="Times New Roman" w:hAnsi="Times New Roman" w:cs="Times New Roman"/>
          <w:i/>
          <w:iCs/>
          <w:lang w:val="en-US"/>
        </w:rPr>
        <w:t xml:space="preserve">2024 m. </w:t>
      </w:r>
      <w:proofErr w:type="spellStart"/>
      <w:r w:rsidRPr="0098795B">
        <w:rPr>
          <w:rStyle w:val="normaltextrun"/>
          <w:rFonts w:ascii="Times New Roman" w:eastAsia="Times New Roman" w:hAnsi="Times New Roman" w:cs="Times New Roman"/>
          <w:i/>
          <w:iCs/>
          <w:lang w:val="en-US"/>
        </w:rPr>
        <w:t>lapkr</w:t>
      </w:r>
      <w:r w:rsidRPr="0098795B">
        <w:rPr>
          <w:rStyle w:val="normaltextrun"/>
          <w:rFonts w:ascii="Times New Roman" w:eastAsia="Times New Roman" w:hAnsi="Times New Roman" w:cs="Times New Roman"/>
          <w:i/>
          <w:iCs/>
        </w:rPr>
        <w:t>ičio</w:t>
      </w:r>
      <w:proofErr w:type="spellEnd"/>
      <w:r w:rsidRPr="0098795B">
        <w:rPr>
          <w:rStyle w:val="normaltextrun"/>
          <w:rFonts w:ascii="Times New Roman" w:eastAsia="Times New Roman" w:hAnsi="Times New Roman" w:cs="Times New Roman"/>
          <w:i/>
          <w:iCs/>
        </w:rPr>
        <w:t xml:space="preserve"> </w:t>
      </w:r>
      <w:r w:rsidRPr="0098795B">
        <w:rPr>
          <w:rStyle w:val="normaltextrun"/>
          <w:rFonts w:ascii="Times New Roman" w:eastAsia="Times New Roman" w:hAnsi="Times New Roman" w:cs="Times New Roman"/>
          <w:i/>
          <w:iCs/>
          <w:lang w:val="en-US"/>
        </w:rPr>
        <w:t xml:space="preserve">25 d. </w:t>
      </w:r>
      <w:r w:rsidRPr="0098795B">
        <w:rPr>
          <w:rStyle w:val="normaltextrun"/>
          <w:rFonts w:ascii="Times New Roman" w:eastAsia="Times New Roman" w:hAnsi="Times New Roman" w:cs="Times New Roman"/>
          <w:i/>
          <w:iCs/>
        </w:rPr>
        <w:t xml:space="preserve">protokolu Nr. </w:t>
      </w:r>
      <w:r w:rsidRPr="0098795B">
        <w:rPr>
          <w:rStyle w:val="normaltextrun"/>
          <w:rFonts w:ascii="Times New Roman" w:eastAsia="Times New Roman" w:hAnsi="Times New Roman" w:cs="Times New Roman"/>
          <w:i/>
          <w:iCs/>
          <w:lang w:val="en-US"/>
        </w:rPr>
        <w:t>24-4</w:t>
      </w:r>
    </w:p>
    <w:p w14:paraId="5535FF0D" w14:textId="77777777" w:rsidR="003969E7" w:rsidRDefault="003969E7"/>
    <w:p w14:paraId="76C45441" w14:textId="3BE72F03" w:rsidR="00B5275B" w:rsidRPr="00B5275B" w:rsidRDefault="003969E7" w:rsidP="00B5275B">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B5275B" w:rsidRPr="00B5275B">
        <w:rPr>
          <w:rFonts w:ascii="Times New Roman" w:eastAsia="Times New Roman" w:hAnsi="Times New Roman" w:cs="Times New Roman"/>
          <w:b/>
          <w:bCs/>
          <w:caps/>
          <w:sz w:val="24"/>
          <w:szCs w:val="24"/>
        </w:rPr>
        <w:t>Plėtojimas ir vystymas iniciatyvų skirtų - socialiai ir (arba) ekologiškai atsakingų, ekonomiškai gyvybingų Gargždų miesto gyventojų ugdymu</w:t>
      </w:r>
      <w:r w:rsidR="0083463D">
        <w:rPr>
          <w:rFonts w:ascii="Times New Roman" w:eastAsia="Times New Roman" w:hAnsi="Times New Roman" w:cs="Times New Roman"/>
          <w:b/>
          <w:bCs/>
          <w:caps/>
          <w:sz w:val="24"/>
          <w:szCs w:val="24"/>
        </w:rPr>
        <w:t>I</w:t>
      </w:r>
      <w:r w:rsidR="00B5275B" w:rsidRPr="00B5275B">
        <w:rPr>
          <w:rFonts w:ascii="Times New Roman" w:eastAsia="Times New Roman" w:hAnsi="Times New Roman" w:cs="Times New Roman"/>
          <w:b/>
          <w:bCs/>
          <w:caps/>
          <w:sz w:val="24"/>
          <w:szCs w:val="24"/>
        </w:rPr>
        <w:t>“</w:t>
      </w:r>
    </w:p>
    <w:p w14:paraId="64E12E68" w14:textId="77777777" w:rsidR="00B5275B" w:rsidRPr="00B5275B" w:rsidRDefault="00B5275B" w:rsidP="00B5275B">
      <w:pPr>
        <w:spacing w:after="0" w:line="240" w:lineRule="auto"/>
        <w:jc w:val="center"/>
        <w:rPr>
          <w:rFonts w:ascii="Times New Roman" w:hAnsi="Times New Roman" w:cs="Times New Roman"/>
          <w:b/>
          <w:bCs/>
          <w:caps/>
          <w:color w:val="808080" w:themeColor="background1" w:themeShade="80"/>
          <w:sz w:val="24"/>
          <w:szCs w:val="24"/>
        </w:rPr>
      </w:pPr>
      <w:r w:rsidRPr="00B5275B">
        <w:rPr>
          <w:rFonts w:ascii="Times New Roman" w:hAnsi="Times New Roman" w:cs="Times New Roman"/>
          <w:b/>
          <w:bCs/>
          <w:caps/>
          <w:sz w:val="24"/>
          <w:szCs w:val="24"/>
        </w:rPr>
        <w:t>Nr. 11- 491-K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1628ADD3" w14:textId="525C953B" w:rsidR="0046233D" w:rsidRDefault="0046233D" w:rsidP="00657D1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B5275B">
        <w:rPr>
          <w:rFonts w:ascii="Times New Roman" w:hAnsi="Times New Roman" w:cs="Times New Roman"/>
          <w:iCs/>
          <w:sz w:val="24"/>
          <w:szCs w:val="24"/>
          <w:lang w:val="en-US"/>
        </w:rPr>
        <w:t>7</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1173"/>
        <w:gridCol w:w="1494"/>
        <w:gridCol w:w="2744"/>
        <w:gridCol w:w="1206"/>
        <w:gridCol w:w="1228"/>
        <w:gridCol w:w="1257"/>
      </w:tblGrid>
      <w:tr w:rsidR="00657D1D" w:rsidRPr="00095FB7" w14:paraId="7D57A4CD" w14:textId="77777777" w:rsidTr="00657D1D">
        <w:tc>
          <w:tcPr>
            <w:tcW w:w="276" w:type="pct"/>
            <w:shd w:val="clear" w:color="auto" w:fill="C0E1FF"/>
            <w:hideMark/>
          </w:tcPr>
          <w:p w14:paraId="0647A68A" w14:textId="77777777" w:rsidR="00657D1D" w:rsidRPr="00095FB7" w:rsidRDefault="00657D1D" w:rsidP="00AE7877">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05CCAAE4" w14:textId="77777777" w:rsidR="00657D1D" w:rsidRPr="00095FB7" w:rsidRDefault="00657D1D" w:rsidP="00AE7877">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shd w:val="clear" w:color="auto" w:fill="C0E1FF"/>
            <w:hideMark/>
          </w:tcPr>
          <w:p w14:paraId="17C4AD7E"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6F408B3E"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shd w:val="clear" w:color="auto" w:fill="C0E1FF"/>
            <w:hideMark/>
          </w:tcPr>
          <w:p w14:paraId="1A2ACCE0"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770270E2"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shd w:val="clear" w:color="auto" w:fill="C0E1FF"/>
            <w:hideMark/>
          </w:tcPr>
          <w:p w14:paraId="33B18131"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3BB60EA4"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5" w:type="pct"/>
            <w:shd w:val="clear" w:color="auto" w:fill="C0E1FF"/>
            <w:hideMark/>
          </w:tcPr>
          <w:p w14:paraId="525C7B40"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40F11FA4" w14:textId="77777777" w:rsidR="00657D1D" w:rsidRPr="00095FB7" w:rsidRDefault="00657D1D" w:rsidP="00AE7877">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657D1D" w:rsidRPr="00095FB7" w14:paraId="00598B5C" w14:textId="77777777" w:rsidTr="00657D1D">
        <w:tc>
          <w:tcPr>
            <w:tcW w:w="276" w:type="pct"/>
          </w:tcPr>
          <w:p w14:paraId="265A3E97"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Pr>
          <w:p w14:paraId="6F1FF2E8"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37B69622"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Projekte įtraukiamos veiklos susijusios su ekologiniu, aplinkosauginiu švietimu ir (arba) sveika gyvensena ir fiziniu aktyvumu</w:t>
            </w:r>
          </w:p>
          <w:p w14:paraId="72AA66E6"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tcPr>
          <w:p w14:paraId="0E3A6983"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71EE860D" w14:textId="77777777" w:rsidR="00657D1D" w:rsidRPr="00095FB7" w:rsidRDefault="00657D1D" w:rsidP="00AE7877">
            <w:pPr>
              <w:spacing w:after="0" w:line="240" w:lineRule="auto"/>
              <w:rPr>
                <w:rFonts w:ascii="Times New Roman" w:hAnsi="Times New Roman" w:cs="Times New Roman"/>
                <w:sz w:val="20"/>
                <w:szCs w:val="20"/>
              </w:rPr>
            </w:pPr>
          </w:p>
          <w:p w14:paraId="66999B27" w14:textId="77777777" w:rsidR="00657D1D" w:rsidRDefault="00657D1D" w:rsidP="00AE7877">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2DE21FE1" w14:textId="77777777" w:rsidR="00657D1D" w:rsidRPr="00095FB7" w:rsidRDefault="00657D1D" w:rsidP="00AE7877">
            <w:pPr>
              <w:spacing w:after="0" w:line="240" w:lineRule="auto"/>
              <w:rPr>
                <w:rFonts w:ascii="Times New Roman" w:hAnsi="Times New Roman" w:cs="Times New Roman"/>
                <w:i/>
                <w:iCs/>
                <w:sz w:val="20"/>
                <w:szCs w:val="20"/>
              </w:rPr>
            </w:pPr>
          </w:p>
        </w:tc>
        <w:tc>
          <w:tcPr>
            <w:tcW w:w="629" w:type="pct"/>
          </w:tcPr>
          <w:p w14:paraId="56EDC61D" w14:textId="7162535E" w:rsidR="00657D1D" w:rsidRPr="00095FB7" w:rsidRDefault="00906AF9" w:rsidP="00AE78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00657D1D" w:rsidRPr="00095FB7">
              <w:rPr>
                <w:rFonts w:ascii="Times New Roman" w:hAnsi="Times New Roman" w:cs="Times New Roman"/>
                <w:sz w:val="20"/>
                <w:szCs w:val="20"/>
              </w:rPr>
              <w:t xml:space="preserve"> bal</w:t>
            </w:r>
            <w:r w:rsidR="00657D1D">
              <w:rPr>
                <w:rFonts w:ascii="Times New Roman" w:hAnsi="Times New Roman" w:cs="Times New Roman"/>
                <w:sz w:val="20"/>
                <w:szCs w:val="20"/>
              </w:rPr>
              <w:t>ai</w:t>
            </w:r>
          </w:p>
        </w:tc>
        <w:tc>
          <w:tcPr>
            <w:tcW w:w="640" w:type="pct"/>
          </w:tcPr>
          <w:p w14:paraId="7AD63C65"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07D7E42F"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14275561" w14:textId="77777777" w:rsidTr="00657D1D">
        <w:tc>
          <w:tcPr>
            <w:tcW w:w="276" w:type="pct"/>
            <w:vMerge w:val="restart"/>
          </w:tcPr>
          <w:p w14:paraId="06440950"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2" w:type="pct"/>
            <w:vMerge w:val="restart"/>
          </w:tcPr>
          <w:p w14:paraId="7B260113"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7C043B42"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veiklos/-ų vykdytojų skaičius iš skirtingų sektorių ir (arba) </w:t>
            </w:r>
            <w:r w:rsidRPr="00095FB7">
              <w:rPr>
                <w:rFonts w:ascii="Times New Roman" w:hAnsi="Times New Roman" w:cs="Times New Roman"/>
                <w:sz w:val="20"/>
                <w:szCs w:val="20"/>
              </w:rPr>
              <w:lastRenderedPageBreak/>
              <w:t>organizacijų ir (arba) įstaigų</w:t>
            </w:r>
          </w:p>
        </w:tc>
        <w:tc>
          <w:tcPr>
            <w:tcW w:w="1412" w:type="pct"/>
            <w:vMerge w:val="restart"/>
          </w:tcPr>
          <w:p w14:paraId="496248B0"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xml:space="preserve">) </w:t>
            </w:r>
            <w:r w:rsidRPr="00095FB7">
              <w:rPr>
                <w:rFonts w:ascii="Times New Roman" w:hAnsi="Times New Roman" w:cs="Times New Roman"/>
                <w:iCs/>
                <w:sz w:val="20"/>
                <w:szCs w:val="20"/>
              </w:rPr>
              <w:lastRenderedPageBreak/>
              <w:t>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5A8B6F90" w14:textId="77777777" w:rsidR="00657D1D" w:rsidRPr="00095FB7" w:rsidRDefault="00657D1D" w:rsidP="00AE7877">
            <w:pPr>
              <w:spacing w:after="0" w:line="240" w:lineRule="auto"/>
              <w:rPr>
                <w:rFonts w:ascii="Times New Roman" w:hAnsi="Times New Roman" w:cs="Times New Roman"/>
                <w:sz w:val="20"/>
                <w:szCs w:val="20"/>
              </w:rPr>
            </w:pPr>
          </w:p>
          <w:p w14:paraId="3243C92C" w14:textId="77777777" w:rsidR="00657D1D" w:rsidRPr="00095FB7" w:rsidRDefault="00657D1D" w:rsidP="00AE7877">
            <w:pPr>
              <w:spacing w:after="0" w:line="240" w:lineRule="auto"/>
              <w:rPr>
                <w:rFonts w:ascii="Times New Roman" w:hAnsi="Times New Roman" w:cs="Times New Roman"/>
                <w:i/>
                <w:iCs/>
                <w:sz w:val="20"/>
                <w:szCs w:val="20"/>
              </w:rPr>
            </w:pPr>
          </w:p>
          <w:p w14:paraId="6D895900" w14:textId="77777777" w:rsidR="00657D1D" w:rsidRPr="00095FB7" w:rsidRDefault="00657D1D" w:rsidP="00AE7877">
            <w:pPr>
              <w:spacing w:after="0" w:line="240" w:lineRule="auto"/>
              <w:rPr>
                <w:rFonts w:ascii="Times New Roman" w:hAnsi="Times New Roman" w:cs="Times New Roman"/>
                <w:i/>
                <w:iCs/>
                <w:sz w:val="20"/>
                <w:szCs w:val="20"/>
              </w:rPr>
            </w:pPr>
          </w:p>
          <w:p w14:paraId="492841CC"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2870FF0F" w14:textId="77777777" w:rsidR="00657D1D" w:rsidRPr="00095FB7" w:rsidRDefault="00657D1D" w:rsidP="00AE7877">
            <w:pPr>
              <w:spacing w:after="0" w:line="240" w:lineRule="auto"/>
              <w:rPr>
                <w:rFonts w:ascii="Times New Roman" w:hAnsi="Times New Roman" w:cs="Times New Roman"/>
                <w:sz w:val="20"/>
                <w:szCs w:val="20"/>
              </w:rPr>
            </w:pPr>
            <w:r w:rsidRPr="00A6197C">
              <w:rPr>
                <w:rFonts w:ascii="Times New Roman" w:hAnsi="Times New Roman" w:cs="Times New Roman"/>
                <w:sz w:val="20"/>
                <w:szCs w:val="20"/>
              </w:rPr>
              <w:lastRenderedPageBreak/>
              <w:t>Ne ma</w:t>
            </w:r>
            <w:r>
              <w:rPr>
                <w:rFonts w:ascii="Times New Roman" w:hAnsi="Times New Roman" w:cs="Times New Roman"/>
                <w:sz w:val="20"/>
                <w:szCs w:val="20"/>
              </w:rPr>
              <w:t xml:space="preserve">žiau nei </w:t>
            </w:r>
            <w:r w:rsidRPr="00A6197C">
              <w:rPr>
                <w:rFonts w:ascii="Times New Roman" w:hAnsi="Times New Roman" w:cs="Times New Roman"/>
                <w:sz w:val="20"/>
                <w:szCs w:val="20"/>
              </w:rPr>
              <w:t xml:space="preserve">2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w:t>
            </w:r>
            <w:r w:rsidRPr="00095FB7">
              <w:rPr>
                <w:rFonts w:ascii="Times New Roman" w:hAnsi="Times New Roman" w:cs="Times New Roman"/>
                <w:sz w:val="20"/>
                <w:szCs w:val="20"/>
              </w:rPr>
              <w:lastRenderedPageBreak/>
              <w:t>įstaigų – 0 balų;</w:t>
            </w:r>
          </w:p>
          <w:p w14:paraId="11F5B506"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1A2E611A"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5" w:type="pct"/>
          </w:tcPr>
          <w:p w14:paraId="004FE596"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3398569E" w14:textId="77777777" w:rsidTr="00657D1D">
        <w:tc>
          <w:tcPr>
            <w:tcW w:w="276" w:type="pct"/>
            <w:vMerge/>
          </w:tcPr>
          <w:p w14:paraId="44033252" w14:textId="77777777" w:rsidR="00657D1D" w:rsidRPr="00095FB7" w:rsidRDefault="00657D1D" w:rsidP="00AE7877">
            <w:pPr>
              <w:spacing w:line="240" w:lineRule="auto"/>
              <w:rPr>
                <w:rFonts w:ascii="Times New Roman" w:hAnsi="Times New Roman" w:cs="Times New Roman"/>
                <w:sz w:val="20"/>
                <w:szCs w:val="20"/>
              </w:rPr>
            </w:pPr>
          </w:p>
        </w:tc>
        <w:tc>
          <w:tcPr>
            <w:tcW w:w="612" w:type="pct"/>
            <w:vMerge/>
          </w:tcPr>
          <w:p w14:paraId="49AE51F4" w14:textId="77777777" w:rsidR="00657D1D" w:rsidRPr="00095FB7" w:rsidRDefault="00657D1D" w:rsidP="00AE7877">
            <w:pPr>
              <w:spacing w:line="240" w:lineRule="auto"/>
              <w:rPr>
                <w:rFonts w:ascii="Times New Roman" w:hAnsi="Times New Roman" w:cs="Times New Roman"/>
                <w:sz w:val="20"/>
                <w:szCs w:val="20"/>
              </w:rPr>
            </w:pPr>
          </w:p>
        </w:tc>
        <w:tc>
          <w:tcPr>
            <w:tcW w:w="776" w:type="pct"/>
            <w:vMerge/>
          </w:tcPr>
          <w:p w14:paraId="3F8AEBB6" w14:textId="77777777" w:rsidR="00657D1D" w:rsidRPr="00095FB7" w:rsidRDefault="00657D1D" w:rsidP="00AE7877">
            <w:pPr>
              <w:spacing w:line="240" w:lineRule="auto"/>
              <w:rPr>
                <w:rFonts w:ascii="Times New Roman" w:hAnsi="Times New Roman" w:cs="Times New Roman"/>
                <w:sz w:val="20"/>
                <w:szCs w:val="20"/>
              </w:rPr>
            </w:pPr>
          </w:p>
        </w:tc>
        <w:tc>
          <w:tcPr>
            <w:tcW w:w="1412" w:type="pct"/>
            <w:vMerge/>
          </w:tcPr>
          <w:p w14:paraId="4F817870" w14:textId="77777777" w:rsidR="00657D1D" w:rsidRPr="00095FB7" w:rsidRDefault="00657D1D" w:rsidP="00AE7877">
            <w:pPr>
              <w:spacing w:line="240" w:lineRule="auto"/>
              <w:rPr>
                <w:rFonts w:ascii="Times New Roman" w:hAnsi="Times New Roman" w:cs="Times New Roman"/>
                <w:sz w:val="20"/>
                <w:szCs w:val="20"/>
              </w:rPr>
            </w:pPr>
          </w:p>
        </w:tc>
        <w:tc>
          <w:tcPr>
            <w:tcW w:w="629" w:type="pct"/>
          </w:tcPr>
          <w:p w14:paraId="34F639EE" w14:textId="77777777" w:rsidR="00657D1D" w:rsidRPr="00095FB7" w:rsidRDefault="00657D1D" w:rsidP="00AE7877">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Pr="00095FB7">
              <w:rPr>
                <w:rFonts w:ascii="Times New Roman" w:hAnsi="Times New Roman" w:cs="Times New Roman"/>
                <w:sz w:val="20"/>
                <w:szCs w:val="20"/>
                <w:lang w:val="en-US"/>
              </w:rPr>
              <w:t xml:space="preserve">10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tc>
        <w:tc>
          <w:tcPr>
            <w:tcW w:w="640" w:type="pct"/>
          </w:tcPr>
          <w:p w14:paraId="65191FBF"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0FE3DCBF"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2F7ED923" w14:textId="77777777" w:rsidTr="00657D1D">
        <w:tc>
          <w:tcPr>
            <w:tcW w:w="276" w:type="pct"/>
            <w:vMerge/>
          </w:tcPr>
          <w:p w14:paraId="763FACF5" w14:textId="77777777" w:rsidR="00657D1D" w:rsidRPr="00095FB7" w:rsidRDefault="00657D1D" w:rsidP="00AE7877">
            <w:pPr>
              <w:spacing w:line="240" w:lineRule="auto"/>
              <w:rPr>
                <w:rFonts w:ascii="Times New Roman" w:hAnsi="Times New Roman" w:cs="Times New Roman"/>
                <w:sz w:val="20"/>
                <w:szCs w:val="20"/>
              </w:rPr>
            </w:pPr>
          </w:p>
        </w:tc>
        <w:tc>
          <w:tcPr>
            <w:tcW w:w="612" w:type="pct"/>
            <w:vMerge/>
          </w:tcPr>
          <w:p w14:paraId="03DB30BD" w14:textId="77777777" w:rsidR="00657D1D" w:rsidRPr="00095FB7" w:rsidRDefault="00657D1D" w:rsidP="00AE7877">
            <w:pPr>
              <w:spacing w:line="240" w:lineRule="auto"/>
              <w:rPr>
                <w:rFonts w:ascii="Times New Roman" w:hAnsi="Times New Roman" w:cs="Times New Roman"/>
                <w:sz w:val="20"/>
                <w:szCs w:val="20"/>
              </w:rPr>
            </w:pPr>
          </w:p>
        </w:tc>
        <w:tc>
          <w:tcPr>
            <w:tcW w:w="776" w:type="pct"/>
            <w:vMerge/>
          </w:tcPr>
          <w:p w14:paraId="0AE96E59" w14:textId="77777777" w:rsidR="00657D1D" w:rsidRPr="00095FB7" w:rsidRDefault="00657D1D" w:rsidP="00AE7877">
            <w:pPr>
              <w:spacing w:line="240" w:lineRule="auto"/>
              <w:rPr>
                <w:rFonts w:ascii="Times New Roman" w:hAnsi="Times New Roman" w:cs="Times New Roman"/>
                <w:sz w:val="20"/>
                <w:szCs w:val="20"/>
              </w:rPr>
            </w:pPr>
          </w:p>
        </w:tc>
        <w:tc>
          <w:tcPr>
            <w:tcW w:w="1412" w:type="pct"/>
            <w:vMerge/>
          </w:tcPr>
          <w:p w14:paraId="383AFBD6" w14:textId="77777777" w:rsidR="00657D1D" w:rsidRPr="00095FB7" w:rsidRDefault="00657D1D" w:rsidP="00AE7877">
            <w:pPr>
              <w:spacing w:line="240" w:lineRule="auto"/>
              <w:rPr>
                <w:rFonts w:ascii="Times New Roman" w:hAnsi="Times New Roman" w:cs="Times New Roman"/>
                <w:sz w:val="20"/>
                <w:szCs w:val="20"/>
              </w:rPr>
            </w:pPr>
          </w:p>
        </w:tc>
        <w:tc>
          <w:tcPr>
            <w:tcW w:w="629" w:type="pct"/>
          </w:tcPr>
          <w:p w14:paraId="49DC20BA" w14:textId="77777777" w:rsidR="00657D1D" w:rsidRPr="00095FB7" w:rsidRDefault="00657D1D" w:rsidP="00AE7877">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w:t>
            </w:r>
            <w:proofErr w:type="spellStart"/>
            <w:r w:rsidRPr="00095FB7">
              <w:rPr>
                <w:rFonts w:ascii="Times New Roman" w:hAnsi="Times New Roman" w:cs="Times New Roman"/>
                <w:sz w:val="20"/>
                <w:szCs w:val="20"/>
                <w:lang w:val="en-US"/>
              </w:rPr>
              <w:t>ir</w:t>
            </w:r>
            <w:proofErr w:type="spellEnd"/>
            <w:r w:rsidRPr="00095FB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vykdytojų</w:t>
            </w:r>
            <w:proofErr w:type="spellEnd"/>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Pr="00095FB7">
              <w:rPr>
                <w:rFonts w:ascii="Times New Roman" w:hAnsi="Times New Roman" w:cs="Times New Roman"/>
                <w:sz w:val="20"/>
                <w:szCs w:val="20"/>
                <w:lang w:val="en-US"/>
              </w:rPr>
              <w:t>20</w:t>
            </w:r>
            <w:r w:rsidRPr="00095FB7">
              <w:rPr>
                <w:rFonts w:ascii="Times New Roman" w:hAnsi="Times New Roman" w:cs="Times New Roman"/>
                <w:sz w:val="20"/>
                <w:szCs w:val="20"/>
              </w:rPr>
              <w:t xml:space="preserve"> balų.</w:t>
            </w:r>
          </w:p>
        </w:tc>
        <w:tc>
          <w:tcPr>
            <w:tcW w:w="640" w:type="pct"/>
          </w:tcPr>
          <w:p w14:paraId="1CE04D33"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63FE57E5" w14:textId="77777777" w:rsidR="00657D1D" w:rsidRPr="00095FB7" w:rsidRDefault="00657D1D" w:rsidP="00AE7877">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657D1D" w:rsidRPr="00095FB7" w14:paraId="5F1FE12E" w14:textId="77777777" w:rsidTr="00657D1D">
        <w:tc>
          <w:tcPr>
            <w:tcW w:w="276" w:type="pct"/>
          </w:tcPr>
          <w:p w14:paraId="305CF19A"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Pr>
          <w:p w14:paraId="78AD6B45" w14:textId="77777777" w:rsidR="00657D1D" w:rsidRPr="00095FB7" w:rsidRDefault="00657D1D" w:rsidP="00AE7877">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2FF93D77" w14:textId="77777777" w:rsidR="00657D1D" w:rsidRPr="00095FB7" w:rsidRDefault="00657D1D" w:rsidP="00AE7877">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12" w:type="pct"/>
          </w:tcPr>
          <w:p w14:paraId="07B7BA67" w14:textId="77777777" w:rsidR="00657D1D" w:rsidRPr="00360053" w:rsidRDefault="00657D1D" w:rsidP="00AE7877">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2E76AF6D" w14:textId="77777777" w:rsidR="00657D1D" w:rsidRPr="00360053" w:rsidRDefault="00657D1D" w:rsidP="00AE7877">
            <w:pPr>
              <w:spacing w:line="240" w:lineRule="auto"/>
              <w:rPr>
                <w:rFonts w:ascii="Times New Roman" w:hAnsi="Times New Roman" w:cs="Times New Roman"/>
                <w:sz w:val="20"/>
                <w:szCs w:val="20"/>
              </w:rPr>
            </w:pPr>
            <w:r w:rsidRPr="00360053">
              <w:rPr>
                <w:rFonts w:ascii="Times New Roman" w:hAnsi="Times New Roman" w:cs="Times New Roman"/>
                <w:sz w:val="20"/>
                <w:szCs w:val="20"/>
              </w:rPr>
              <w:t xml:space="preserve">Pareiškėjas PĮP aiškiai aprašo Projekto rodiklius, </w:t>
            </w:r>
            <w:proofErr w:type="spellStart"/>
            <w:r w:rsidRPr="00360053">
              <w:rPr>
                <w:rFonts w:ascii="Times New Roman" w:hAnsi="Times New Roman" w:cs="Times New Roman"/>
                <w:sz w:val="20"/>
                <w:szCs w:val="20"/>
              </w:rPr>
              <w:t>t.y</w:t>
            </w:r>
            <w:proofErr w:type="spellEnd"/>
            <w:r w:rsidRPr="00360053">
              <w:rPr>
                <w:rFonts w:ascii="Times New Roman" w:hAnsi="Times New Roman" w:cs="Times New Roman"/>
                <w:sz w:val="20"/>
                <w:szCs w:val="20"/>
              </w:rPr>
              <w:t>.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1A34B04F" w14:textId="77777777" w:rsidR="00657D1D" w:rsidRPr="00360053" w:rsidRDefault="00657D1D" w:rsidP="00AE7877">
            <w:pPr>
              <w:spacing w:line="240" w:lineRule="auto"/>
              <w:rPr>
                <w:rFonts w:ascii="Times New Roman" w:hAnsi="Times New Roman" w:cs="Times New Roman"/>
                <w:sz w:val="20"/>
                <w:szCs w:val="20"/>
              </w:rPr>
            </w:pPr>
          </w:p>
          <w:p w14:paraId="725C73A7" w14:textId="77777777" w:rsidR="00657D1D" w:rsidRPr="00360053" w:rsidRDefault="00657D1D" w:rsidP="00AE7877">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5FCDCD45" w14:textId="77777777" w:rsidR="00657D1D" w:rsidRPr="00095FB7" w:rsidRDefault="00657D1D" w:rsidP="00AE7877">
            <w:pPr>
              <w:spacing w:after="0" w:line="240" w:lineRule="auto"/>
              <w:rPr>
                <w:rFonts w:ascii="Times New Roman" w:hAnsi="Times New Roman" w:cs="Times New Roman"/>
                <w:sz w:val="20"/>
                <w:szCs w:val="20"/>
              </w:rPr>
            </w:pPr>
          </w:p>
        </w:tc>
        <w:tc>
          <w:tcPr>
            <w:tcW w:w="629" w:type="pct"/>
          </w:tcPr>
          <w:p w14:paraId="7548B6CA" w14:textId="7F4453D6" w:rsidR="00657D1D" w:rsidRPr="00095FB7" w:rsidRDefault="00657D1D" w:rsidP="00AE7877">
            <w:pPr>
              <w:spacing w:after="0" w:line="240" w:lineRule="auto"/>
              <w:jc w:val="center"/>
              <w:rPr>
                <w:rFonts w:ascii="Times New Roman" w:hAnsi="Times New Roman" w:cs="Times New Roman"/>
                <w:sz w:val="20"/>
                <w:szCs w:val="20"/>
                <w:lang w:val="en-US"/>
              </w:rPr>
            </w:pPr>
            <w:r w:rsidRPr="00360053">
              <w:rPr>
                <w:rFonts w:ascii="Times New Roman" w:hAnsi="Times New Roman" w:cs="Times New Roman"/>
                <w:sz w:val="20"/>
                <w:szCs w:val="20"/>
                <w:lang w:val="en-US"/>
              </w:rPr>
              <w:t>2</w:t>
            </w:r>
            <w:r w:rsidR="007F44DD">
              <w:rPr>
                <w:rFonts w:ascii="Times New Roman" w:hAnsi="Times New Roman" w:cs="Times New Roman"/>
                <w:sz w:val="20"/>
                <w:szCs w:val="20"/>
                <w:lang w:val="en-US"/>
              </w:rPr>
              <w:t>5</w:t>
            </w:r>
            <w:r w:rsidRPr="00360053">
              <w:rPr>
                <w:rFonts w:ascii="Times New Roman" w:hAnsi="Times New Roman" w:cs="Times New Roman"/>
                <w:sz w:val="20"/>
                <w:szCs w:val="20"/>
                <w:lang w:val="en-US"/>
              </w:rPr>
              <w:t xml:space="preserve"> </w:t>
            </w:r>
            <w:proofErr w:type="spellStart"/>
            <w:r w:rsidRPr="00360053">
              <w:rPr>
                <w:rFonts w:ascii="Times New Roman" w:hAnsi="Times New Roman" w:cs="Times New Roman"/>
                <w:sz w:val="20"/>
                <w:szCs w:val="20"/>
                <w:lang w:val="en-US"/>
              </w:rPr>
              <w:t>balai</w:t>
            </w:r>
            <w:proofErr w:type="spellEnd"/>
          </w:p>
        </w:tc>
        <w:tc>
          <w:tcPr>
            <w:tcW w:w="640" w:type="pct"/>
          </w:tcPr>
          <w:p w14:paraId="019964B7" w14:textId="77777777" w:rsidR="00657D1D" w:rsidRDefault="00657D1D" w:rsidP="00AE7877">
            <w:pPr>
              <w:spacing w:after="0" w:line="240" w:lineRule="auto"/>
              <w:jc w:val="center"/>
              <w:rPr>
                <w:sz w:val="20"/>
              </w:rPr>
            </w:pPr>
          </w:p>
          <w:p w14:paraId="74B9615F"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sz w:val="20"/>
              </w:rPr>
              <w:t>-</w:t>
            </w:r>
          </w:p>
        </w:tc>
        <w:tc>
          <w:tcPr>
            <w:tcW w:w="655" w:type="pct"/>
          </w:tcPr>
          <w:p w14:paraId="06D96FC1" w14:textId="77777777" w:rsidR="00657D1D" w:rsidRDefault="00657D1D" w:rsidP="00AE7877">
            <w:pPr>
              <w:spacing w:after="0" w:line="240" w:lineRule="auto"/>
              <w:jc w:val="center"/>
              <w:rPr>
                <w:sz w:val="20"/>
              </w:rPr>
            </w:pPr>
          </w:p>
          <w:p w14:paraId="5EA0EFE4"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sz w:val="20"/>
              </w:rPr>
              <w:t>-</w:t>
            </w:r>
          </w:p>
        </w:tc>
      </w:tr>
      <w:tr w:rsidR="00657D1D" w:rsidRPr="00095FB7" w14:paraId="6DFAD18C" w14:textId="77777777" w:rsidTr="00657D1D">
        <w:tc>
          <w:tcPr>
            <w:tcW w:w="276" w:type="pct"/>
            <w:vMerge w:val="restart"/>
          </w:tcPr>
          <w:p w14:paraId="650E9C5E"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Pr>
          <w:p w14:paraId="7C91A93F"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7B16D3B0" w14:textId="77777777" w:rsidR="00657D1D" w:rsidRPr="00095FB7" w:rsidRDefault="00657D1D" w:rsidP="00AE7877">
            <w:pPr>
              <w:spacing w:line="240" w:lineRule="auto"/>
              <w:rPr>
                <w:rFonts w:ascii="Times New Roman" w:hAnsi="Times New Roman" w:cs="Times New Roman"/>
                <w:sz w:val="20"/>
                <w:szCs w:val="20"/>
              </w:rPr>
            </w:pPr>
            <w:r w:rsidRPr="00095FB7">
              <w:rPr>
                <w:rFonts w:ascii="Times New Roman" w:hAnsi="Times New Roman" w:cs="Times New Roman"/>
                <w:sz w:val="20"/>
                <w:szCs w:val="20"/>
              </w:rPr>
              <w:t>Planuojamas Projekto naudos gavėjų ir (arba) veiklos/-ų dalyvių iš tikslinės grupės „</w:t>
            </w:r>
            <w:r w:rsidRPr="00095FB7">
              <w:rPr>
                <w:rFonts w:ascii="Times New Roman" w:hAnsi="Times New Roman" w:cs="Times New Roman"/>
                <w:sz w:val="20"/>
                <w:szCs w:val="20"/>
                <w:lang w:eastAsia="lt-LT"/>
              </w:rPr>
              <w:t xml:space="preserve">asmenys su negalia, t. y. asmenys, kuriems pagal Lietuvos Respublikos asmens su negalia teisių apsaugos pagrindų įstatymą yra nustatytas </w:t>
            </w:r>
            <w:r w:rsidRPr="00095FB7">
              <w:rPr>
                <w:rFonts w:ascii="Times New Roman" w:hAnsi="Times New Roman" w:cs="Times New Roman"/>
                <w:sz w:val="20"/>
                <w:szCs w:val="20"/>
              </w:rPr>
              <w:t xml:space="preserve">neįgalumo lygis </w:t>
            </w:r>
            <w:r w:rsidRPr="00095FB7">
              <w:rPr>
                <w:rFonts w:ascii="Times New Roman" w:hAnsi="Times New Roman" w:cs="Times New Roman"/>
                <w:sz w:val="20"/>
                <w:szCs w:val="20"/>
              </w:rPr>
              <w:lastRenderedPageBreak/>
              <w:t xml:space="preserve">arba 55 procentų ar mažesnis </w:t>
            </w:r>
            <w:proofErr w:type="spellStart"/>
            <w:r w:rsidRPr="00095FB7">
              <w:rPr>
                <w:rFonts w:ascii="Times New Roman" w:hAnsi="Times New Roman" w:cs="Times New Roman"/>
                <w:sz w:val="20"/>
                <w:szCs w:val="20"/>
              </w:rPr>
              <w:t>dalyvumo</w:t>
            </w:r>
            <w:proofErr w:type="spellEnd"/>
            <w:r w:rsidRPr="00095FB7">
              <w:rPr>
                <w:rFonts w:ascii="Times New Roman" w:hAnsi="Times New Roman" w:cs="Times New Roman"/>
                <w:sz w:val="20"/>
                <w:szCs w:val="20"/>
              </w:rPr>
              <w:t xml:space="preserve">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35C4063E"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val="restart"/>
          </w:tcPr>
          <w:p w14:paraId="3C304361"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2295A553"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61F426C2" w14:textId="77777777" w:rsidR="00657D1D" w:rsidRPr="00095FB7" w:rsidRDefault="00657D1D" w:rsidP="00AE7877">
            <w:pPr>
              <w:spacing w:after="0" w:line="240" w:lineRule="auto"/>
              <w:rPr>
                <w:rFonts w:ascii="Times New Roman" w:hAnsi="Times New Roman" w:cs="Times New Roman"/>
                <w:sz w:val="20"/>
                <w:szCs w:val="20"/>
              </w:rPr>
            </w:pPr>
          </w:p>
          <w:p w14:paraId="6E7FD6DC" w14:textId="77777777" w:rsidR="00657D1D" w:rsidRPr="00095FB7" w:rsidRDefault="00657D1D" w:rsidP="00AE7877">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Pr>
          <w:p w14:paraId="3962B5D3"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5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5 </w:t>
            </w:r>
            <w:proofErr w:type="spellStart"/>
            <w:r w:rsidRPr="00095FB7">
              <w:rPr>
                <w:rFonts w:ascii="Times New Roman" w:hAnsi="Times New Roman" w:cs="Times New Roman"/>
                <w:sz w:val="20"/>
                <w:szCs w:val="20"/>
                <w:lang w:val="en-US"/>
              </w:rPr>
              <w:t>balai</w:t>
            </w:r>
            <w:proofErr w:type="spellEnd"/>
          </w:p>
          <w:p w14:paraId="1AE63BE4"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0D94644F"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10D8F34F"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409F60C3" w14:textId="77777777" w:rsidTr="00657D1D">
        <w:tc>
          <w:tcPr>
            <w:tcW w:w="276" w:type="pct"/>
            <w:vMerge/>
          </w:tcPr>
          <w:p w14:paraId="4A45DC5F" w14:textId="77777777" w:rsidR="00657D1D" w:rsidRPr="00095FB7" w:rsidRDefault="00657D1D" w:rsidP="00AE7877">
            <w:pPr>
              <w:spacing w:after="0" w:line="240" w:lineRule="auto"/>
              <w:rPr>
                <w:rFonts w:ascii="Times New Roman" w:hAnsi="Times New Roman" w:cs="Times New Roman"/>
                <w:sz w:val="20"/>
                <w:szCs w:val="20"/>
                <w:lang w:val="en-US"/>
              </w:rPr>
            </w:pPr>
          </w:p>
        </w:tc>
        <w:tc>
          <w:tcPr>
            <w:tcW w:w="612" w:type="pct"/>
            <w:vMerge/>
          </w:tcPr>
          <w:p w14:paraId="752413BB" w14:textId="77777777" w:rsidR="00657D1D" w:rsidRPr="00095FB7" w:rsidRDefault="00657D1D" w:rsidP="00AE7877">
            <w:pPr>
              <w:spacing w:after="0" w:line="240" w:lineRule="auto"/>
              <w:rPr>
                <w:rFonts w:ascii="Times New Roman" w:hAnsi="Times New Roman" w:cs="Times New Roman"/>
                <w:sz w:val="20"/>
                <w:szCs w:val="20"/>
              </w:rPr>
            </w:pPr>
          </w:p>
        </w:tc>
        <w:tc>
          <w:tcPr>
            <w:tcW w:w="776" w:type="pct"/>
            <w:vMerge/>
          </w:tcPr>
          <w:p w14:paraId="0415EA5E"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tcPr>
          <w:p w14:paraId="57CCCE52" w14:textId="77777777" w:rsidR="00657D1D" w:rsidRPr="00095FB7" w:rsidRDefault="00657D1D" w:rsidP="00AE7877">
            <w:pPr>
              <w:spacing w:after="0" w:line="240" w:lineRule="auto"/>
              <w:rPr>
                <w:rFonts w:ascii="Times New Roman" w:hAnsi="Times New Roman" w:cs="Times New Roman"/>
                <w:iCs/>
                <w:sz w:val="20"/>
                <w:szCs w:val="20"/>
              </w:rPr>
            </w:pPr>
          </w:p>
        </w:tc>
        <w:tc>
          <w:tcPr>
            <w:tcW w:w="629" w:type="pct"/>
          </w:tcPr>
          <w:p w14:paraId="67140624"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10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w:t>
            </w:r>
            <w:r w:rsidRPr="00095FB7">
              <w:rPr>
                <w:rFonts w:ascii="Times New Roman" w:hAnsi="Times New Roman" w:cs="Times New Roman"/>
                <w:sz w:val="20"/>
                <w:szCs w:val="20"/>
              </w:rPr>
              <w:lastRenderedPageBreak/>
              <w:t>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10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063C7191"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57DD7D06"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6712359B"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07B325DE" w14:textId="77777777" w:rsidTr="00657D1D">
        <w:tc>
          <w:tcPr>
            <w:tcW w:w="276" w:type="pct"/>
            <w:vMerge/>
          </w:tcPr>
          <w:p w14:paraId="3D4FF06E" w14:textId="77777777" w:rsidR="00657D1D" w:rsidRPr="00095FB7" w:rsidRDefault="00657D1D" w:rsidP="00AE7877">
            <w:pPr>
              <w:spacing w:after="0" w:line="240" w:lineRule="auto"/>
              <w:rPr>
                <w:rFonts w:ascii="Times New Roman" w:hAnsi="Times New Roman" w:cs="Times New Roman"/>
                <w:sz w:val="20"/>
                <w:szCs w:val="20"/>
                <w:lang w:val="en-US"/>
              </w:rPr>
            </w:pPr>
          </w:p>
        </w:tc>
        <w:tc>
          <w:tcPr>
            <w:tcW w:w="612" w:type="pct"/>
            <w:vMerge/>
          </w:tcPr>
          <w:p w14:paraId="3EC792C3" w14:textId="77777777" w:rsidR="00657D1D" w:rsidRPr="00095FB7" w:rsidRDefault="00657D1D" w:rsidP="00AE7877">
            <w:pPr>
              <w:spacing w:after="0" w:line="240" w:lineRule="auto"/>
              <w:rPr>
                <w:rFonts w:ascii="Times New Roman" w:hAnsi="Times New Roman" w:cs="Times New Roman"/>
                <w:sz w:val="20"/>
                <w:szCs w:val="20"/>
              </w:rPr>
            </w:pPr>
          </w:p>
        </w:tc>
        <w:tc>
          <w:tcPr>
            <w:tcW w:w="776" w:type="pct"/>
            <w:vMerge/>
          </w:tcPr>
          <w:p w14:paraId="095624C6"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tcPr>
          <w:p w14:paraId="48CD82EA" w14:textId="77777777" w:rsidR="00657D1D" w:rsidRPr="00095FB7" w:rsidRDefault="00657D1D" w:rsidP="00AE7877">
            <w:pPr>
              <w:spacing w:after="0" w:line="240" w:lineRule="auto"/>
              <w:rPr>
                <w:rFonts w:ascii="Times New Roman" w:hAnsi="Times New Roman" w:cs="Times New Roman"/>
                <w:iCs/>
                <w:sz w:val="20"/>
                <w:szCs w:val="20"/>
              </w:rPr>
            </w:pPr>
          </w:p>
        </w:tc>
        <w:tc>
          <w:tcPr>
            <w:tcW w:w="629" w:type="pct"/>
          </w:tcPr>
          <w:p w14:paraId="0F2433B0"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15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15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7ADF90E5"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6DC6969A"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768C840F"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2E10A65F" w14:textId="77777777" w:rsidTr="00657D1D">
        <w:tc>
          <w:tcPr>
            <w:tcW w:w="276" w:type="pct"/>
            <w:vMerge/>
          </w:tcPr>
          <w:p w14:paraId="7EC07735" w14:textId="77777777" w:rsidR="00657D1D" w:rsidRPr="00095FB7" w:rsidRDefault="00657D1D" w:rsidP="00AE7877">
            <w:pPr>
              <w:spacing w:after="0" w:line="240" w:lineRule="auto"/>
              <w:rPr>
                <w:rFonts w:ascii="Times New Roman" w:hAnsi="Times New Roman" w:cs="Times New Roman"/>
                <w:sz w:val="20"/>
                <w:szCs w:val="20"/>
                <w:lang w:val="en-US"/>
              </w:rPr>
            </w:pPr>
          </w:p>
        </w:tc>
        <w:tc>
          <w:tcPr>
            <w:tcW w:w="612" w:type="pct"/>
            <w:vMerge/>
          </w:tcPr>
          <w:p w14:paraId="38AA29FC" w14:textId="77777777" w:rsidR="00657D1D" w:rsidRPr="00095FB7" w:rsidRDefault="00657D1D" w:rsidP="00AE7877">
            <w:pPr>
              <w:spacing w:after="0" w:line="240" w:lineRule="auto"/>
              <w:rPr>
                <w:rFonts w:ascii="Times New Roman" w:hAnsi="Times New Roman" w:cs="Times New Roman"/>
                <w:sz w:val="20"/>
                <w:szCs w:val="20"/>
              </w:rPr>
            </w:pPr>
          </w:p>
        </w:tc>
        <w:tc>
          <w:tcPr>
            <w:tcW w:w="776" w:type="pct"/>
            <w:vMerge/>
          </w:tcPr>
          <w:p w14:paraId="73197A97"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vMerge/>
          </w:tcPr>
          <w:p w14:paraId="3380EF16" w14:textId="77777777" w:rsidR="00657D1D" w:rsidRPr="00095FB7" w:rsidRDefault="00657D1D" w:rsidP="00AE7877">
            <w:pPr>
              <w:spacing w:after="0" w:line="240" w:lineRule="auto"/>
              <w:rPr>
                <w:rFonts w:ascii="Times New Roman" w:hAnsi="Times New Roman" w:cs="Times New Roman"/>
                <w:iCs/>
                <w:sz w:val="20"/>
                <w:szCs w:val="20"/>
              </w:rPr>
            </w:pPr>
          </w:p>
        </w:tc>
        <w:tc>
          <w:tcPr>
            <w:tcW w:w="629" w:type="pct"/>
          </w:tcPr>
          <w:p w14:paraId="7460FF1F"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20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20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48284A30" w14:textId="77777777" w:rsidR="00657D1D" w:rsidRPr="00095FB7" w:rsidRDefault="00657D1D" w:rsidP="00AE7877">
            <w:pPr>
              <w:spacing w:after="0" w:line="240" w:lineRule="auto"/>
              <w:rPr>
                <w:rFonts w:ascii="Times New Roman" w:hAnsi="Times New Roman" w:cs="Times New Roman"/>
                <w:sz w:val="20"/>
                <w:szCs w:val="20"/>
              </w:rPr>
            </w:pPr>
          </w:p>
        </w:tc>
        <w:tc>
          <w:tcPr>
            <w:tcW w:w="640" w:type="pct"/>
          </w:tcPr>
          <w:p w14:paraId="4CB2EC14" w14:textId="77777777" w:rsidR="00657D1D" w:rsidRPr="00095FB7" w:rsidRDefault="00657D1D" w:rsidP="00AE7877">
            <w:pPr>
              <w:spacing w:after="0" w:line="240" w:lineRule="auto"/>
              <w:jc w:val="center"/>
              <w:rPr>
                <w:rFonts w:ascii="Times New Roman" w:hAnsi="Times New Roman" w:cs="Times New Roman"/>
                <w:sz w:val="20"/>
                <w:szCs w:val="20"/>
              </w:rPr>
            </w:pPr>
          </w:p>
        </w:tc>
        <w:tc>
          <w:tcPr>
            <w:tcW w:w="655" w:type="pct"/>
          </w:tcPr>
          <w:p w14:paraId="0717908A" w14:textId="77777777" w:rsidR="00657D1D" w:rsidRPr="00095FB7" w:rsidRDefault="00657D1D" w:rsidP="00AE7877">
            <w:pPr>
              <w:spacing w:after="0" w:line="240" w:lineRule="auto"/>
              <w:jc w:val="center"/>
              <w:rPr>
                <w:rFonts w:ascii="Times New Roman" w:hAnsi="Times New Roman" w:cs="Times New Roman"/>
                <w:sz w:val="20"/>
                <w:szCs w:val="20"/>
              </w:rPr>
            </w:pPr>
          </w:p>
        </w:tc>
      </w:tr>
      <w:tr w:rsidR="00657D1D" w:rsidRPr="00095FB7" w14:paraId="4D3CFCCD" w14:textId="77777777" w:rsidTr="00657D1D">
        <w:trPr>
          <w:trHeight w:val="4497"/>
        </w:trPr>
        <w:tc>
          <w:tcPr>
            <w:tcW w:w="276" w:type="pct"/>
          </w:tcPr>
          <w:p w14:paraId="4FCB52BE" w14:textId="77777777" w:rsidR="00657D1D" w:rsidRPr="00095FB7" w:rsidRDefault="00657D1D" w:rsidP="00AE7877">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5.</w:t>
            </w:r>
          </w:p>
        </w:tc>
        <w:tc>
          <w:tcPr>
            <w:tcW w:w="612" w:type="pct"/>
          </w:tcPr>
          <w:p w14:paraId="463220C2"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0C1F953C" w14:textId="1F39E56F"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(Pareiškėjas)</w:t>
            </w:r>
            <w:r w:rsidR="00811683">
              <w:rPr>
                <w:rFonts w:ascii="Times New Roman" w:hAnsi="Times New Roman" w:cs="Times New Roman"/>
                <w:sz w:val="20"/>
                <w:szCs w:val="20"/>
              </w:rPr>
              <w:t xml:space="preserve"> </w:t>
            </w:r>
            <w:r w:rsidRPr="00095FB7">
              <w:rPr>
                <w:rFonts w:ascii="Times New Roman" w:hAnsi="Times New Roman" w:cs="Times New Roman"/>
                <w:sz w:val="20"/>
                <w:szCs w:val="20"/>
              </w:rPr>
              <w:t>yra NVO</w:t>
            </w:r>
          </w:p>
          <w:p w14:paraId="32ACE1B5" w14:textId="77777777" w:rsidR="00657D1D" w:rsidRPr="00095FB7" w:rsidRDefault="00657D1D" w:rsidP="00AE7877">
            <w:pPr>
              <w:spacing w:after="0" w:line="240" w:lineRule="auto"/>
              <w:rPr>
                <w:rFonts w:ascii="Times New Roman" w:hAnsi="Times New Roman" w:cs="Times New Roman"/>
                <w:sz w:val="20"/>
                <w:szCs w:val="20"/>
              </w:rPr>
            </w:pPr>
          </w:p>
        </w:tc>
        <w:tc>
          <w:tcPr>
            <w:tcW w:w="1412" w:type="pct"/>
          </w:tcPr>
          <w:p w14:paraId="2D5BBE76" w14:textId="77777777" w:rsidR="00657D1D" w:rsidRPr="00095FB7" w:rsidRDefault="00657D1D" w:rsidP="00AE7877">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3A68950" w14:textId="77777777" w:rsidR="00657D1D" w:rsidRPr="00095FB7" w:rsidRDefault="00657D1D" w:rsidP="00AE7877">
            <w:pPr>
              <w:spacing w:after="0" w:line="240" w:lineRule="auto"/>
              <w:rPr>
                <w:rFonts w:ascii="Times New Roman" w:hAnsi="Times New Roman" w:cs="Times New Roman"/>
                <w:sz w:val="20"/>
                <w:szCs w:val="20"/>
              </w:rPr>
            </w:pPr>
          </w:p>
          <w:p w14:paraId="16EE90BD" w14:textId="77777777" w:rsidR="00657D1D" w:rsidRPr="00095FB7" w:rsidRDefault="00657D1D" w:rsidP="00AE7877">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593371DC" w14:textId="77777777" w:rsidR="00657D1D" w:rsidRPr="000740DC" w:rsidRDefault="00657D1D" w:rsidP="00AE7877">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29" w:type="pct"/>
          </w:tcPr>
          <w:p w14:paraId="25A3DE8A" w14:textId="77777777" w:rsidR="00657D1D" w:rsidRPr="00095FB7" w:rsidRDefault="00657D1D" w:rsidP="00AE7877">
            <w:pPr>
              <w:spacing w:after="0"/>
              <w:jc w:val="center"/>
              <w:rPr>
                <w:rFonts w:ascii="Times New Roman" w:hAnsi="Times New Roman" w:cs="Times New Roman"/>
                <w:sz w:val="20"/>
                <w:szCs w:val="20"/>
              </w:rPr>
            </w:pPr>
            <w:r w:rsidRPr="00095FB7">
              <w:rPr>
                <w:rFonts w:ascii="Times New Roman" w:hAnsi="Times New Roman" w:cs="Times New Roman"/>
                <w:sz w:val="20"/>
                <w:szCs w:val="20"/>
              </w:rPr>
              <w:t>10 balų</w:t>
            </w:r>
          </w:p>
        </w:tc>
        <w:tc>
          <w:tcPr>
            <w:tcW w:w="640" w:type="pct"/>
          </w:tcPr>
          <w:p w14:paraId="1A9D10E7"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5" w:type="pct"/>
          </w:tcPr>
          <w:p w14:paraId="169E2D4F" w14:textId="77777777" w:rsidR="00657D1D" w:rsidRPr="00095FB7" w:rsidRDefault="00657D1D" w:rsidP="00AE7877">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bl>
    <w:p w14:paraId="37A1934D" w14:textId="2152AE84" w:rsidR="0046233D" w:rsidRPr="00657D1D" w:rsidRDefault="00DE0E7F" w:rsidP="00B5275B">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657D1D" w:rsidSect="00657D1D">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E4B7E"/>
    <w:rsid w:val="002A394C"/>
    <w:rsid w:val="003202E7"/>
    <w:rsid w:val="003969E7"/>
    <w:rsid w:val="003E432B"/>
    <w:rsid w:val="00416112"/>
    <w:rsid w:val="0046233D"/>
    <w:rsid w:val="00551C84"/>
    <w:rsid w:val="005C0F77"/>
    <w:rsid w:val="00657D1D"/>
    <w:rsid w:val="00666DE9"/>
    <w:rsid w:val="00684348"/>
    <w:rsid w:val="00732406"/>
    <w:rsid w:val="00781A37"/>
    <w:rsid w:val="007D2405"/>
    <w:rsid w:val="007F44DD"/>
    <w:rsid w:val="00811683"/>
    <w:rsid w:val="0083463D"/>
    <w:rsid w:val="00906AF9"/>
    <w:rsid w:val="00940B2D"/>
    <w:rsid w:val="00A52492"/>
    <w:rsid w:val="00A6197C"/>
    <w:rsid w:val="00AB1E5C"/>
    <w:rsid w:val="00B5275B"/>
    <w:rsid w:val="00BE6E32"/>
    <w:rsid w:val="00DE0E7F"/>
    <w:rsid w:val="00EA0213"/>
    <w:rsid w:val="00EA49CA"/>
    <w:rsid w:val="00F31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pajuriokrastas@outlook.com</cp:lastModifiedBy>
  <cp:revision>2</cp:revision>
  <dcterms:created xsi:type="dcterms:W3CDTF">2024-12-10T09:11:00Z</dcterms:created>
  <dcterms:modified xsi:type="dcterms:W3CDTF">2024-12-10T09:11:00Z</dcterms:modified>
</cp:coreProperties>
</file>