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CA80" w14:textId="77777777" w:rsidR="00441037" w:rsidRDefault="00A92158">
      <w:pPr>
        <w:suppressAutoHyphens/>
        <w:ind w:left="9781"/>
        <w:jc w:val="both"/>
        <w:textAlignment w:val="baseline"/>
        <w:rPr>
          <w:szCs w:val="24"/>
          <w:lang w:eastAsia="lt-LT"/>
        </w:rPr>
      </w:pPr>
      <w:r>
        <w:rPr>
          <w:szCs w:val="24"/>
          <w:lang w:eastAsia="lt-LT"/>
        </w:rPr>
        <w:t xml:space="preserve">2022–2030 metų plėtros programos valdytojos </w:t>
      </w:r>
    </w:p>
    <w:p w14:paraId="4EAC482C" w14:textId="77777777" w:rsidR="00441037" w:rsidRDefault="00A92158">
      <w:pPr>
        <w:suppressAutoHyphens/>
        <w:ind w:left="9781"/>
        <w:jc w:val="both"/>
        <w:textAlignment w:val="baseline"/>
        <w:rPr>
          <w:szCs w:val="24"/>
          <w:lang w:eastAsia="lt-LT"/>
        </w:rPr>
      </w:pPr>
      <w:r>
        <w:rPr>
          <w:szCs w:val="24"/>
          <w:lang w:eastAsia="lt-LT"/>
        </w:rPr>
        <w:t xml:space="preserve">Lietuvos Respublikos susisiekimo ministerijos </w:t>
      </w:r>
    </w:p>
    <w:p w14:paraId="42599840" w14:textId="77777777" w:rsidR="00441037" w:rsidRDefault="00A92158">
      <w:pPr>
        <w:suppressAutoHyphens/>
        <w:ind w:left="9781"/>
        <w:jc w:val="both"/>
        <w:textAlignment w:val="baseline"/>
        <w:rPr>
          <w:szCs w:val="24"/>
          <w:lang w:eastAsia="lt-LT"/>
        </w:rPr>
      </w:pPr>
      <w:r>
        <w:rPr>
          <w:szCs w:val="24"/>
          <w:lang w:eastAsia="lt-LT"/>
        </w:rPr>
        <w:t xml:space="preserve">susisiekimo plėtros programos regioninės </w:t>
      </w:r>
    </w:p>
    <w:p w14:paraId="0232A80B" w14:textId="77777777" w:rsidR="00441037" w:rsidRDefault="00A92158">
      <w:pPr>
        <w:suppressAutoHyphens/>
        <w:ind w:left="9781"/>
        <w:jc w:val="both"/>
        <w:textAlignment w:val="baseline"/>
        <w:rPr>
          <w:color w:val="000000"/>
          <w:szCs w:val="24"/>
          <w:lang w:eastAsia="en-GB"/>
        </w:rPr>
      </w:pPr>
      <w:r>
        <w:rPr>
          <w:szCs w:val="24"/>
          <w:lang w:eastAsia="lt-LT"/>
        </w:rPr>
        <w:t xml:space="preserve">pažangos priemonės </w:t>
      </w:r>
      <w:r>
        <w:rPr>
          <w:color w:val="000000"/>
          <w:szCs w:val="24"/>
          <w:lang w:eastAsia="en-GB"/>
        </w:rPr>
        <w:t xml:space="preserve">Nr. 10-001-06-01-03 (RE) </w:t>
      </w:r>
    </w:p>
    <w:p w14:paraId="6C656AD6" w14:textId="77777777" w:rsidR="00441037" w:rsidRDefault="00A92158">
      <w:pPr>
        <w:suppressAutoHyphens/>
        <w:ind w:left="9781"/>
        <w:jc w:val="both"/>
        <w:textAlignment w:val="baseline"/>
        <w:rPr>
          <w:color w:val="000000"/>
          <w:szCs w:val="24"/>
          <w:lang w:eastAsia="en-GB"/>
        </w:rPr>
      </w:pPr>
      <w:r>
        <w:rPr>
          <w:color w:val="000000"/>
          <w:szCs w:val="24"/>
          <w:lang w:eastAsia="en-GB"/>
        </w:rPr>
        <w:t xml:space="preserve">„Skatinti darnų judumą miestuose“ finansavimo </w:t>
      </w:r>
    </w:p>
    <w:p w14:paraId="09C08078" w14:textId="77777777" w:rsidR="00441037" w:rsidRDefault="00A92158">
      <w:pPr>
        <w:suppressAutoHyphens/>
        <w:ind w:left="9781"/>
        <w:jc w:val="both"/>
        <w:textAlignment w:val="baseline"/>
        <w:rPr>
          <w:color w:val="000000"/>
          <w:szCs w:val="24"/>
          <w:lang w:eastAsia="en-GB"/>
        </w:rPr>
      </w:pPr>
      <w:r>
        <w:rPr>
          <w:color w:val="000000"/>
          <w:szCs w:val="24"/>
          <w:lang w:eastAsia="en-GB"/>
        </w:rPr>
        <w:t xml:space="preserve">gairių </w:t>
      </w:r>
    </w:p>
    <w:p w14:paraId="390D3537" w14:textId="77777777" w:rsidR="00441037" w:rsidRDefault="00A92158">
      <w:pPr>
        <w:suppressAutoHyphens/>
        <w:ind w:left="9781"/>
        <w:jc w:val="both"/>
        <w:textAlignment w:val="baseline"/>
        <w:rPr>
          <w:szCs w:val="24"/>
          <w:lang w:eastAsia="lt-LT"/>
        </w:rPr>
      </w:pPr>
      <w:r>
        <w:rPr>
          <w:color w:val="000000"/>
          <w:szCs w:val="24"/>
          <w:lang w:eastAsia="en-GB"/>
        </w:rPr>
        <w:t>1</w:t>
      </w:r>
      <w:r>
        <w:rPr>
          <w:szCs w:val="24"/>
          <w:lang w:eastAsia="lt-LT"/>
        </w:rPr>
        <w:t xml:space="preserve"> priedas</w:t>
      </w:r>
    </w:p>
    <w:p w14:paraId="4ABF4C9B" w14:textId="77777777" w:rsidR="00441037" w:rsidRDefault="00441037">
      <w:pPr>
        <w:ind w:firstLine="62"/>
        <w:jc w:val="center"/>
        <w:rPr>
          <w:b/>
          <w:iCs/>
          <w:sz w:val="20"/>
          <w:szCs w:val="24"/>
          <w:lang w:eastAsia="lt-LT"/>
        </w:rPr>
      </w:pPr>
    </w:p>
    <w:p w14:paraId="27EAB70B" w14:textId="77777777" w:rsidR="00441037" w:rsidRDefault="00441037">
      <w:pPr>
        <w:jc w:val="center"/>
        <w:rPr>
          <w:rFonts w:eastAsia="Calibri"/>
          <w:b/>
          <w:bCs/>
          <w:szCs w:val="24"/>
          <w:lang w:eastAsia="lt-LT"/>
        </w:rPr>
      </w:pPr>
    </w:p>
    <w:p w14:paraId="727CE793" w14:textId="77777777" w:rsidR="00441037" w:rsidRDefault="00A92158">
      <w:pPr>
        <w:jc w:val="center"/>
        <w:rPr>
          <w:rFonts w:eastAsia="Calibri"/>
          <w:b/>
          <w:bCs/>
          <w:szCs w:val="24"/>
          <w:lang w:eastAsia="lt-LT"/>
        </w:rPr>
      </w:pPr>
      <w:r>
        <w:rPr>
          <w:rFonts w:eastAsia="Calibri"/>
          <w:b/>
          <w:bCs/>
          <w:szCs w:val="24"/>
          <w:lang w:eastAsia="lt-LT"/>
        </w:rPr>
        <w:t>PROJEKTO (ĮSKAITANT JUNGTINĮ PROJEKTĄ) ATITIKTIES REIKŠMINGOS ŽALOS NEDARYMO HORIZONTALIAJAM PRINCIPUI VERTINIMO REIKALAVIMŲ APRAŠAS</w:t>
      </w:r>
    </w:p>
    <w:p w14:paraId="3CCCF6A7" w14:textId="77777777" w:rsidR="00441037" w:rsidRDefault="00441037">
      <w:pPr>
        <w:jc w:val="center"/>
        <w:rPr>
          <w:rFonts w:eastAsia="Calibri"/>
          <w:b/>
          <w:bCs/>
          <w:szCs w:val="24"/>
          <w:lang w:eastAsia="lt-LT"/>
        </w:rPr>
      </w:pPr>
    </w:p>
    <w:p w14:paraId="1E1F2F13" w14:textId="77777777" w:rsidR="00441037" w:rsidRDefault="00441037">
      <w:pPr>
        <w:rPr>
          <w:rFonts w:eastAsia="Calibri"/>
          <w:b/>
          <w:bCs/>
          <w:szCs w:val="24"/>
          <w:lang w:eastAsia="lt-LT"/>
        </w:rPr>
      </w:pPr>
    </w:p>
    <w:p w14:paraId="2D5DAD8A" w14:textId="77777777" w:rsidR="00441037" w:rsidRDefault="00A92158">
      <w:pPr>
        <w:spacing w:line="276" w:lineRule="auto"/>
        <w:jc w:val="both"/>
        <w:rPr>
          <w:rFonts w:eastAsia="Calibri"/>
          <w:bCs/>
          <w:szCs w:val="24"/>
          <w:lang w:eastAsia="lt-LT"/>
        </w:rPr>
      </w:pPr>
      <w:r>
        <w:rPr>
          <w:rFonts w:eastAsia="Calibri"/>
          <w:bCs/>
          <w:szCs w:val="24"/>
          <w:lang w:eastAsia="lt-LT"/>
        </w:rPr>
        <w:t>Finansavimo šaltinis, pagal kurį finansuojamas projektas:</w:t>
      </w:r>
    </w:p>
    <w:p w14:paraId="7DD76577" w14:textId="77777777" w:rsidR="00441037" w:rsidRDefault="00A92158">
      <w:pPr>
        <w:spacing w:line="276" w:lineRule="auto"/>
        <w:jc w:val="both"/>
        <w:rPr>
          <w:rFonts w:eastAsia="Calibri"/>
          <w:bCs/>
          <w:szCs w:val="24"/>
          <w:lang w:eastAsia="lt-LT"/>
        </w:rPr>
      </w:pPr>
      <w:r>
        <w:rPr>
          <w:szCs w:val="24"/>
          <w:lang w:eastAsia="lt-LT"/>
        </w:rPr>
        <w:sym w:font="Wingdings 2" w:char="F0A3"/>
      </w:r>
      <w:r>
        <w:rPr>
          <w:szCs w:val="24"/>
          <w:lang w:eastAsia="lt-LT"/>
        </w:rPr>
        <w:t xml:space="preserve"> </w:t>
      </w:r>
      <w:r>
        <w:rPr>
          <w:rFonts w:eastAsia="Calibri"/>
          <w:bCs/>
          <w:szCs w:val="24"/>
          <w:lang w:eastAsia="lt-LT"/>
        </w:rPr>
        <w:t>Ekonomikos gaivinimo ir atsparumo didinimo priemonė</w:t>
      </w:r>
    </w:p>
    <w:p w14:paraId="4B5C7A5E" w14:textId="77777777" w:rsidR="00441037" w:rsidRDefault="00A92158">
      <w:pPr>
        <w:spacing w:line="276" w:lineRule="auto"/>
        <w:jc w:val="both"/>
        <w:rPr>
          <w:rFonts w:eastAsia="Calibri"/>
          <w:bCs/>
          <w:szCs w:val="24"/>
          <w:lang w:eastAsia="lt-LT"/>
        </w:rPr>
      </w:pPr>
      <w:r>
        <w:rPr>
          <w:szCs w:val="24"/>
          <w:lang w:eastAsia="lt-LT"/>
        </w:rPr>
        <w:t>X Europos Sąjungos fondų i</w:t>
      </w:r>
      <w:r>
        <w:rPr>
          <w:rFonts w:eastAsia="Calibri"/>
          <w:bCs/>
          <w:szCs w:val="24"/>
          <w:lang w:eastAsia="lt-LT"/>
        </w:rPr>
        <w:t>nvesticijų programa (toliau – ESFIP)</w:t>
      </w:r>
    </w:p>
    <w:p w14:paraId="35CF56F8" w14:textId="77777777" w:rsidR="00441037" w:rsidRDefault="00441037">
      <w:pPr>
        <w:spacing w:line="276" w:lineRule="auto"/>
        <w:jc w:val="both"/>
        <w:rPr>
          <w:rFonts w:eastAsia="Calibri"/>
          <w:bCs/>
          <w:szCs w:val="24"/>
          <w:lang w:eastAsia="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57"/>
        <w:gridCol w:w="5331"/>
      </w:tblGrid>
      <w:tr w:rsidR="00441037" w14:paraId="5C93A3FF" w14:textId="77777777">
        <w:tc>
          <w:tcPr>
            <w:tcW w:w="3261" w:type="dxa"/>
            <w:tcBorders>
              <w:top w:val="single" w:sz="4" w:space="0" w:color="auto"/>
              <w:left w:val="single" w:sz="4" w:space="0" w:color="auto"/>
              <w:bottom w:val="single" w:sz="4" w:space="0" w:color="auto"/>
              <w:right w:val="single" w:sz="4" w:space="0" w:color="auto"/>
            </w:tcBorders>
            <w:hideMark/>
          </w:tcPr>
          <w:p w14:paraId="6E48345E" w14:textId="77777777" w:rsidR="00441037" w:rsidRDefault="00A92158">
            <w:pPr>
              <w:jc w:val="center"/>
              <w:rPr>
                <w:rFonts w:eastAsia="Calibri"/>
                <w:b/>
                <w:szCs w:val="24"/>
                <w:lang w:eastAsia="lt-LT"/>
              </w:rPr>
            </w:pPr>
            <w:r>
              <w:rPr>
                <w:rFonts w:eastAsia="Calibri"/>
                <w:b/>
                <w:szCs w:val="24"/>
                <w:lang w:eastAsia="lt-LT"/>
              </w:rPr>
              <w:t>Aplinkos tikslai</w:t>
            </w:r>
          </w:p>
          <w:p w14:paraId="630DF6E7" w14:textId="77777777" w:rsidR="00441037" w:rsidRDefault="00441037">
            <w:pPr>
              <w:jc w:val="center"/>
              <w:rPr>
                <w:rFonts w:eastAsia="Calibri"/>
                <w:b/>
                <w:szCs w:val="24"/>
                <w:lang w:eastAsia="lt-LT"/>
              </w:rPr>
            </w:pPr>
          </w:p>
        </w:tc>
        <w:tc>
          <w:tcPr>
            <w:tcW w:w="6257" w:type="dxa"/>
            <w:tcBorders>
              <w:top w:val="single" w:sz="4" w:space="0" w:color="auto"/>
              <w:left w:val="single" w:sz="4" w:space="0" w:color="auto"/>
              <w:bottom w:val="single" w:sz="4" w:space="0" w:color="auto"/>
              <w:right w:val="single" w:sz="4" w:space="0" w:color="auto"/>
            </w:tcBorders>
            <w:hideMark/>
          </w:tcPr>
          <w:p w14:paraId="29C5E665" w14:textId="77777777" w:rsidR="00441037" w:rsidRDefault="00A92158">
            <w:pPr>
              <w:jc w:val="center"/>
              <w:rPr>
                <w:rFonts w:eastAsia="Calibri"/>
                <w:b/>
                <w:szCs w:val="24"/>
                <w:lang w:eastAsia="lt-LT"/>
              </w:rPr>
            </w:pPr>
            <w:r>
              <w:rPr>
                <w:rFonts w:eastAsia="Calibri"/>
                <w:b/>
                <w:szCs w:val="24"/>
                <w:lang w:eastAsia="lt-LT"/>
              </w:rPr>
              <w:t>Su Europos Komisija suderintas pagrindimas</w:t>
            </w:r>
          </w:p>
          <w:p w14:paraId="28246871" w14:textId="77777777" w:rsidR="00441037" w:rsidRDefault="00441037">
            <w:pPr>
              <w:jc w:val="center"/>
              <w:rPr>
                <w:rFonts w:eastAsia="Calibri"/>
                <w:b/>
                <w:szCs w:val="24"/>
                <w:lang w:eastAsia="lt-LT"/>
              </w:rPr>
            </w:pPr>
          </w:p>
        </w:tc>
        <w:tc>
          <w:tcPr>
            <w:tcW w:w="5331" w:type="dxa"/>
            <w:tcBorders>
              <w:top w:val="single" w:sz="4" w:space="0" w:color="auto"/>
              <w:left w:val="single" w:sz="4" w:space="0" w:color="auto"/>
              <w:bottom w:val="single" w:sz="4" w:space="0" w:color="auto"/>
              <w:right w:val="single" w:sz="4" w:space="0" w:color="auto"/>
            </w:tcBorders>
            <w:hideMark/>
          </w:tcPr>
          <w:p w14:paraId="17C76FED" w14:textId="77777777" w:rsidR="00441037" w:rsidRDefault="00A92158">
            <w:pPr>
              <w:jc w:val="center"/>
              <w:rPr>
                <w:rFonts w:eastAsia="Calibri"/>
                <w:i/>
                <w:szCs w:val="24"/>
                <w:lang w:eastAsia="lt-LT"/>
              </w:rPr>
            </w:pPr>
            <w:r>
              <w:rPr>
                <w:rFonts w:eastAsia="Calibri"/>
                <w:b/>
                <w:szCs w:val="24"/>
                <w:lang w:eastAsia="lt-LT"/>
              </w:rPr>
              <w:t>Pagrindimo dokumentai</w:t>
            </w:r>
          </w:p>
          <w:p w14:paraId="591D8567" w14:textId="77777777" w:rsidR="00441037" w:rsidRDefault="00441037">
            <w:pPr>
              <w:jc w:val="center"/>
              <w:rPr>
                <w:rFonts w:eastAsia="Calibri"/>
                <w:i/>
                <w:szCs w:val="24"/>
                <w:lang w:eastAsia="lt-LT"/>
              </w:rPr>
            </w:pPr>
          </w:p>
        </w:tc>
      </w:tr>
      <w:tr w:rsidR="00441037" w14:paraId="1DDD68B5" w14:textId="77777777">
        <w:tc>
          <w:tcPr>
            <w:tcW w:w="3261" w:type="dxa"/>
            <w:tcBorders>
              <w:top w:val="single" w:sz="4" w:space="0" w:color="auto"/>
              <w:left w:val="single" w:sz="4" w:space="0" w:color="auto"/>
              <w:bottom w:val="single" w:sz="4" w:space="0" w:color="auto"/>
              <w:right w:val="single" w:sz="4" w:space="0" w:color="auto"/>
            </w:tcBorders>
            <w:hideMark/>
          </w:tcPr>
          <w:p w14:paraId="270756D6" w14:textId="77777777" w:rsidR="00441037" w:rsidRDefault="00A92158">
            <w:pPr>
              <w:tabs>
                <w:tab w:val="left" w:pos="289"/>
              </w:tabs>
              <w:ind w:firstLine="5"/>
              <w:jc w:val="both"/>
              <w:rPr>
                <w:rFonts w:eastAsia="Calibri"/>
                <w:szCs w:val="24"/>
                <w:lang w:eastAsia="lt-LT"/>
              </w:rPr>
            </w:pPr>
            <w:r>
              <w:rPr>
                <w:rFonts w:eastAsia="Calibri"/>
                <w:szCs w:val="24"/>
                <w:lang w:eastAsia="lt-LT"/>
              </w:rPr>
              <w:t>1.</w:t>
            </w:r>
            <w:r>
              <w:rPr>
                <w:rFonts w:eastAsia="Calibri"/>
                <w:szCs w:val="24"/>
                <w:lang w:eastAsia="lt-LT"/>
              </w:rPr>
              <w:tab/>
              <w:t>Klimato kaitos švelninimas</w:t>
            </w:r>
          </w:p>
        </w:tc>
        <w:tc>
          <w:tcPr>
            <w:tcW w:w="6257" w:type="dxa"/>
            <w:tcBorders>
              <w:top w:val="single" w:sz="4" w:space="0" w:color="auto"/>
              <w:left w:val="single" w:sz="4" w:space="0" w:color="auto"/>
              <w:bottom w:val="single" w:sz="4" w:space="0" w:color="auto"/>
              <w:right w:val="single" w:sz="4" w:space="0" w:color="auto"/>
            </w:tcBorders>
          </w:tcPr>
          <w:p w14:paraId="5F9B2A7B" w14:textId="77777777" w:rsidR="00441037" w:rsidRDefault="00A92158">
            <w:pPr>
              <w:jc w:val="both"/>
              <w:rPr>
                <w:szCs w:val="24"/>
                <w:lang w:eastAsia="lt-LT"/>
              </w:rPr>
            </w:pPr>
            <w:r>
              <w:rPr>
                <w:szCs w:val="24"/>
                <w:lang w:eastAsia="lt-LT"/>
              </w:rPr>
              <w:t>Vertinama, kad planuojami įgyvendinti veiksmai (veiklos) neturi jokio numatomo neigiamo poveikio šiam aplinkos tikslui arba numatomas jų poveikis yra nereikšmingas, t. y. nedaro tiesioginio ir pirminio netiesioginio poveikio per visą gyvavimo ciklą, todėl laikoma, kad veiksmai (veiklos) atitinka klimato kaitos švelninimo tikslą:</w:t>
            </w:r>
          </w:p>
          <w:p w14:paraId="5EB9893F" w14:textId="77777777" w:rsidR="00441037" w:rsidRDefault="00A92158">
            <w:pPr>
              <w:jc w:val="both"/>
              <w:rPr>
                <w:szCs w:val="24"/>
                <w:lang w:eastAsia="lt-LT"/>
              </w:rPr>
            </w:pPr>
            <w:r>
              <w:rPr>
                <w:szCs w:val="24"/>
                <w:lang w:eastAsia="lt-LT"/>
              </w:rPr>
              <w:t xml:space="preserve">bus investuojama į viešosios alternatyviųjų degalų įkrovimo / papildymo infrastruktūros plėtrą, viešojo transporto priemonių atnaujinimą, dviračių ir pėsčiųjų takų infrastruktūros plėtrą, kitų darnaus judumo mieste planų (toliau – DJMP) priemonių, papildančių minėtas ir tiesiogiai prisidedančių prie </w:t>
            </w:r>
            <w:r>
              <w:rPr>
                <w:iCs/>
                <w:szCs w:val="24"/>
                <w:lang w:eastAsia="lt-LT"/>
              </w:rPr>
              <w:t xml:space="preserve">šiltnamio efektą sukeliančių dujų (toliau – </w:t>
            </w:r>
            <w:r>
              <w:rPr>
                <w:szCs w:val="24"/>
                <w:lang w:eastAsia="lt-LT"/>
              </w:rPr>
              <w:t xml:space="preserve">ŠESD) mažinimo, įgyvendinimą </w:t>
            </w:r>
            <w:r>
              <w:rPr>
                <w:bCs/>
                <w:szCs w:val="24"/>
                <w:lang w:eastAsia="lt-LT"/>
              </w:rPr>
              <w:t>DJMP pagal 2014–2020 m. ESFIP rengusiose ir įgyvendinusiose savivaldybėse.</w:t>
            </w:r>
          </w:p>
          <w:p w14:paraId="0ED32A8E" w14:textId="77777777" w:rsidR="00441037" w:rsidRDefault="00A92158">
            <w:pPr>
              <w:jc w:val="both"/>
              <w:rPr>
                <w:bCs/>
                <w:szCs w:val="24"/>
                <w:lang w:eastAsia="lt-LT"/>
              </w:rPr>
            </w:pPr>
            <w:r>
              <w:rPr>
                <w:szCs w:val="24"/>
                <w:lang w:eastAsia="lt-LT"/>
              </w:rPr>
              <w:lastRenderedPageBreak/>
              <w:t xml:space="preserve">Plėtojant alternatyviųjų degalų įkrovimo / papildymo infrastruktūrą, bus skatinamas </w:t>
            </w:r>
            <w:proofErr w:type="spellStart"/>
            <w:r>
              <w:rPr>
                <w:szCs w:val="24"/>
                <w:lang w:eastAsia="lt-LT"/>
              </w:rPr>
              <w:t>elektromobilumas</w:t>
            </w:r>
            <w:proofErr w:type="spellEnd"/>
            <w:r>
              <w:rPr>
                <w:szCs w:val="24"/>
                <w:lang w:eastAsia="lt-LT"/>
              </w:rPr>
              <w:t xml:space="preserve">,  sudarytos prielaidos gyventojams ir verslui eksploatuoti netaršias transporto priemones. </w:t>
            </w:r>
            <w:r>
              <w:rPr>
                <w:bCs/>
                <w:szCs w:val="24"/>
                <w:lang w:eastAsia="lt-LT"/>
              </w:rPr>
              <w:t xml:space="preserve">Vadovaujantis </w:t>
            </w:r>
            <w:r>
              <w:rPr>
                <w:szCs w:val="24"/>
                <w:lang w:eastAsia="lt-LT"/>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taisyklių</w:t>
            </w:r>
            <w:r>
              <w:rPr>
                <w:rFonts w:ascii="Segoe UI" w:hAnsi="Segoe UI" w:cs="Segoe UI"/>
                <w:sz w:val="22"/>
                <w:szCs w:val="22"/>
                <w:lang w:eastAsia="zh-TW"/>
              </w:rPr>
              <w:t xml:space="preserve"> </w:t>
            </w:r>
            <w:r>
              <w:rPr>
                <w:bCs/>
                <w:szCs w:val="24"/>
                <w:lang w:eastAsia="lt-LT"/>
              </w:rPr>
              <w:t>I priedu taikomas 100 proc. paramos, siekiant su klimato kaita susijusių tikslų, skaičiavimo koeficientas (086). Infrastruktūra atitinka 2021 m. birželio 4 d</w:t>
            </w:r>
            <w:r>
              <w:rPr>
                <w:color w:val="1E1E1F"/>
                <w:sz w:val="20"/>
                <w:szCs w:val="24"/>
                <w:shd w:val="clear" w:color="auto" w:fill="FFFFFF"/>
                <w:lang w:eastAsia="lt-LT"/>
              </w:rPr>
              <w:t xml:space="preserve">. </w:t>
            </w:r>
            <w:r>
              <w:rPr>
                <w:color w:val="1E1E1F"/>
                <w:szCs w:val="32"/>
                <w:shd w:val="clear" w:color="auto" w:fill="FFFFFF"/>
                <w:lang w:eastAsia="lt-LT"/>
              </w:rPr>
              <w:t xml:space="preserve">Komisijos </w:t>
            </w:r>
            <w:r>
              <w:rPr>
                <w:bCs/>
                <w:szCs w:val="24"/>
                <w:lang w:eastAsia="lt-LT"/>
              </w:rPr>
              <w:t>deleguotojo reglamento (</w:t>
            </w:r>
            <w:r>
              <w:rPr>
                <w:szCs w:val="24"/>
                <w:lang w:eastAsia="lt-LT"/>
              </w:rPr>
              <w:t>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6.15 punkte „Infrastruktūra, sudaranti sąlygas nedidelį anglies dioksido kiekį išskiriančiam kelių transportui ir viešajam transportui“</w:t>
            </w:r>
            <w:r>
              <w:rPr>
                <w:sz w:val="20"/>
                <w:lang w:eastAsia="lt-LT"/>
              </w:rPr>
              <w:t xml:space="preserve"> </w:t>
            </w:r>
            <w:r>
              <w:rPr>
                <w:szCs w:val="24"/>
                <w:lang w:eastAsia="lt-LT"/>
              </w:rPr>
              <w:t xml:space="preserve">nurodytus svaraus prisidėjimo ir reikšmingos žalos nedarymo kriterijus. </w:t>
            </w:r>
          </w:p>
          <w:p w14:paraId="561435F1" w14:textId="77777777" w:rsidR="00441037" w:rsidRDefault="00A92158">
            <w:pPr>
              <w:jc w:val="both"/>
              <w:rPr>
                <w:bCs/>
                <w:color w:val="FF0000"/>
                <w:szCs w:val="24"/>
                <w:lang w:eastAsia="lt-LT"/>
              </w:rPr>
            </w:pPr>
            <w:r>
              <w:rPr>
                <w:bCs/>
                <w:szCs w:val="24"/>
                <w:lang w:eastAsia="lt-LT"/>
              </w:rPr>
              <w:t xml:space="preserve">Atnaujinant viešojo transporto priemones nulinės emisijos (varomų elektra, vandeniliu) viešojo transporto priemonėmis, bus didinamas  viešojo transporto ekologiškumas, plėtojamas švaresnis, pigesnis ir sveikesnis viešasis transportas, sprendžiama išmetamų teršalų kiekio, spūsčių miestuose mažinimo, saugumo didinimo bei viešojo transporto patrauklumo ir prieinamumo didinimo iššūkiai šalies savivaldybėse. Suplanuota teikti valstybės pagalbą </w:t>
            </w:r>
            <w:r>
              <w:rPr>
                <w:bCs/>
                <w:szCs w:val="24"/>
                <w:lang w:eastAsia="lt-LT"/>
              </w:rPr>
              <w:lastRenderedPageBreak/>
              <w:t>savivaldybių administracijoms, kad galėtų pakeisti techniškai pasenusias transporto priemones arba papildyti automobilių parką naujomis nulinės misijos transporto priemonėmis, planuojama remti transporto priemonių (varomų elektra arba vandeniliu) įsigijimą kartu sukuriant joms reikalingą įkrovimo / papildymo infrastruktūrą; didinti viešojo transporto patrauklumą gyventojams, skatinant kelionę nuosavu automobiliu keisti kelione viešuoju transportu. Vadovaujantis Reglamento (ES) 2021/1060 I  priedu taikomas 100 proc.  paramos, siekiant su klimato kaita susijusių tikslų, skaičiavimo koeficientas (082). Investicija prisideda mažinant ŠESD emisijas, didinant švaraus ar neutralaus poveikio klimatui judumą.</w:t>
            </w:r>
            <w:r>
              <w:rPr>
                <w:sz w:val="20"/>
                <w:lang w:eastAsia="lt-LT"/>
              </w:rPr>
              <w:t xml:space="preserve"> </w:t>
            </w:r>
            <w:r>
              <w:rPr>
                <w:szCs w:val="24"/>
                <w:lang w:eastAsia="lt-LT"/>
              </w:rPr>
              <w:t>Planuojamos įsigyti viešojo transporto priemonės atitinka  D</w:t>
            </w:r>
            <w:r>
              <w:rPr>
                <w:bCs/>
                <w:szCs w:val="24"/>
                <w:lang w:eastAsia="lt-LT"/>
              </w:rPr>
              <w:t>eleguotojo reglamento (</w:t>
            </w:r>
            <w:r>
              <w:rPr>
                <w:szCs w:val="24"/>
                <w:lang w:eastAsia="lt-LT"/>
              </w:rPr>
              <w:t>ES) 2021/2139 6.3 punkte „Miesto ir priemiestinis transportas, keleivinis kelių transportas“ nurodytus svaraus prisidėjimo prie klimato kaitos kriterijus.</w:t>
            </w:r>
          </w:p>
          <w:p w14:paraId="60664CC5" w14:textId="77777777" w:rsidR="00441037" w:rsidRDefault="00A92158">
            <w:pPr>
              <w:jc w:val="both"/>
              <w:rPr>
                <w:bCs/>
                <w:szCs w:val="24"/>
                <w:lang w:eastAsia="lt-LT"/>
              </w:rPr>
            </w:pPr>
            <w:r>
              <w:rPr>
                <w:bCs/>
                <w:szCs w:val="24"/>
                <w:lang w:eastAsia="lt-LT"/>
              </w:rPr>
              <w:t xml:space="preserve">Plėtojant dviračių ir pėsčiųjų takų infrastruktūrą, bus skatinama </w:t>
            </w:r>
            <w:proofErr w:type="spellStart"/>
            <w:r>
              <w:rPr>
                <w:bCs/>
                <w:szCs w:val="24"/>
                <w:lang w:eastAsia="lt-LT"/>
              </w:rPr>
              <w:t>bevariklio</w:t>
            </w:r>
            <w:proofErr w:type="spellEnd"/>
            <w:r>
              <w:rPr>
                <w:bCs/>
                <w:szCs w:val="24"/>
                <w:lang w:eastAsia="lt-LT"/>
              </w:rPr>
              <w:t xml:space="preserve"> transporto integracija, sukuriant palankias prielaidas gyventojams rinktis alternatyvų judėjimo būdą naudojant </w:t>
            </w:r>
            <w:proofErr w:type="spellStart"/>
            <w:r>
              <w:rPr>
                <w:bCs/>
                <w:szCs w:val="24"/>
                <w:lang w:eastAsia="lt-LT"/>
              </w:rPr>
              <w:t>bevarikles</w:t>
            </w:r>
            <w:proofErr w:type="spellEnd"/>
            <w:r>
              <w:rPr>
                <w:bCs/>
                <w:szCs w:val="24"/>
                <w:lang w:eastAsia="lt-LT"/>
              </w:rPr>
              <w:t xml:space="preserve"> transporto priemones. Vadovaujantis Reglamento (ES) 2021/1060 I priedu taikomas 100 proc.  paramos, siekiant su klimato kaita susijusių tikslų, skaičiavimo koeficientas (083). Planuojama infrastruktūra atitinka Deleguotojo reglamento (</w:t>
            </w:r>
            <w:r>
              <w:rPr>
                <w:szCs w:val="24"/>
                <w:lang w:eastAsia="lt-LT"/>
              </w:rPr>
              <w:t>ES) 2021/2139 6.13 punkte „</w:t>
            </w:r>
            <w:proofErr w:type="spellStart"/>
            <w:r>
              <w:rPr>
                <w:szCs w:val="24"/>
                <w:lang w:eastAsia="lt-LT"/>
              </w:rPr>
              <w:t>Mikromobilumo</w:t>
            </w:r>
            <w:proofErr w:type="spellEnd"/>
            <w:r>
              <w:rPr>
                <w:szCs w:val="24"/>
                <w:lang w:eastAsia="lt-LT"/>
              </w:rPr>
              <w:t xml:space="preserve"> infrastruktūra, dviračių transporto logistika“ nurodytus svaraus prisidėjimo kriterijus.</w:t>
            </w:r>
          </w:p>
          <w:p w14:paraId="4F9C02D3" w14:textId="77777777" w:rsidR="00441037" w:rsidRDefault="00A92158">
            <w:pPr>
              <w:jc w:val="both"/>
              <w:rPr>
                <w:bCs/>
                <w:szCs w:val="24"/>
                <w:lang w:eastAsia="lt-LT"/>
              </w:rPr>
            </w:pPr>
            <w:r>
              <w:rPr>
                <w:bCs/>
                <w:szCs w:val="24"/>
                <w:lang w:eastAsia="lt-LT"/>
              </w:rPr>
              <w:t xml:space="preserve">Įgyvendinant kitas DJMP priemones (pvz., </w:t>
            </w:r>
            <w:r>
              <w:rPr>
                <w:lang w:eastAsia="lt-LT"/>
              </w:rPr>
              <w:t xml:space="preserve">A juostų plėtra, prioritetinių viešojo transporto eismo valdymo sistemų diegimas sankryžose, transporto priemonių su vidaus degimo varikliu patekimo į nustatytas miestų zonas ribojimas, </w:t>
            </w:r>
            <w:proofErr w:type="spellStart"/>
            <w:r>
              <w:rPr>
                <w:lang w:eastAsia="lt-LT"/>
              </w:rPr>
              <w:t>multimodalinių</w:t>
            </w:r>
            <w:proofErr w:type="spellEnd"/>
            <w:r>
              <w:rPr>
                <w:lang w:eastAsia="lt-LT"/>
              </w:rPr>
              <w:t xml:space="preserve"> aikštelių įrengimas ir kt.), </w:t>
            </w:r>
            <w:r>
              <w:rPr>
                <w:bCs/>
                <w:szCs w:val="24"/>
                <w:lang w:eastAsia="lt-LT"/>
              </w:rPr>
              <w:t xml:space="preserve">bus skatinamas </w:t>
            </w:r>
            <w:r>
              <w:rPr>
                <w:bCs/>
                <w:szCs w:val="24"/>
                <w:lang w:eastAsia="lt-LT"/>
              </w:rPr>
              <w:lastRenderedPageBreak/>
              <w:t>darnesnis judėjimas miestuose. Vadovaujantis Reglamento (ES) 2021/1060 I  priedu taikomas 100 proc.  paramos, siekiant su klimato kaita susijusių tikslų, skaičiavimo koeficientas (081).</w:t>
            </w:r>
          </w:p>
          <w:p w14:paraId="2F2529A7" w14:textId="77777777" w:rsidR="00441037" w:rsidRDefault="00A92158">
            <w:pPr>
              <w:jc w:val="both"/>
              <w:rPr>
                <w:rFonts w:eastAsia="Calibri"/>
                <w:bCs/>
                <w:i/>
                <w:szCs w:val="24"/>
                <w:lang w:eastAsia="lt-LT"/>
              </w:rPr>
            </w:pPr>
            <w:r>
              <w:rPr>
                <w:szCs w:val="24"/>
                <w:lang w:eastAsia="lt-LT"/>
              </w:rPr>
              <w:t>Įgyvendinant veiklas bus numatytas projektų vykdytojų ir (ar) tarpininkų įsipareigojimas laikytis Europos Komisijos tvarumo tikrinimo gairių, priimtų siekiant užtikrinti „</w:t>
            </w:r>
            <w:proofErr w:type="spellStart"/>
            <w:r>
              <w:rPr>
                <w:szCs w:val="24"/>
                <w:lang w:eastAsia="lt-LT"/>
              </w:rPr>
              <w:t>InvestEU</w:t>
            </w:r>
            <w:proofErr w:type="spellEnd"/>
            <w:r>
              <w:rPr>
                <w:szCs w:val="24"/>
                <w:lang w:eastAsia="lt-LT"/>
              </w:rPr>
              <w:t xml:space="preserve">“ fondo tvarumą, reikalavimų. </w:t>
            </w:r>
          </w:p>
        </w:tc>
        <w:tc>
          <w:tcPr>
            <w:tcW w:w="5331" w:type="dxa"/>
            <w:tcBorders>
              <w:top w:val="single" w:sz="4" w:space="0" w:color="auto"/>
              <w:left w:val="single" w:sz="4" w:space="0" w:color="auto"/>
              <w:bottom w:val="single" w:sz="4" w:space="0" w:color="auto"/>
              <w:right w:val="single" w:sz="4" w:space="0" w:color="auto"/>
            </w:tcBorders>
            <w:hideMark/>
          </w:tcPr>
          <w:p w14:paraId="3FBBACB5" w14:textId="77777777" w:rsidR="00441037" w:rsidRDefault="00A92158">
            <w:pPr>
              <w:tabs>
                <w:tab w:val="left" w:pos="34"/>
                <w:tab w:val="left" w:pos="473"/>
              </w:tabs>
              <w:jc w:val="both"/>
              <w:rPr>
                <w:rFonts w:eastAsia="Calibri"/>
                <w:iCs/>
                <w:szCs w:val="24"/>
                <w:lang w:eastAsia="lt-LT"/>
              </w:rPr>
            </w:pPr>
            <w:r>
              <w:rPr>
                <w:rFonts w:eastAsia="Calibri"/>
                <w:iCs/>
                <w:szCs w:val="24"/>
                <w:lang w:eastAsia="lt-LT"/>
              </w:rPr>
              <w:lastRenderedPageBreak/>
              <w:t>Pagrindimo dokumentai neteikiami.</w:t>
            </w:r>
          </w:p>
        </w:tc>
      </w:tr>
      <w:tr w:rsidR="00441037" w14:paraId="76D80145" w14:textId="77777777">
        <w:tc>
          <w:tcPr>
            <w:tcW w:w="3261" w:type="dxa"/>
            <w:tcBorders>
              <w:top w:val="single" w:sz="4" w:space="0" w:color="auto"/>
              <w:left w:val="single" w:sz="4" w:space="0" w:color="auto"/>
              <w:bottom w:val="single" w:sz="4" w:space="0" w:color="auto"/>
              <w:right w:val="single" w:sz="4" w:space="0" w:color="auto"/>
            </w:tcBorders>
            <w:hideMark/>
          </w:tcPr>
          <w:p w14:paraId="5206B022" w14:textId="77777777" w:rsidR="00441037" w:rsidRDefault="00A92158">
            <w:pPr>
              <w:tabs>
                <w:tab w:val="left" w:pos="289"/>
              </w:tabs>
              <w:ind w:firstLine="5"/>
              <w:jc w:val="both"/>
              <w:rPr>
                <w:rFonts w:eastAsia="Calibri"/>
                <w:szCs w:val="24"/>
                <w:lang w:eastAsia="lt-LT"/>
              </w:rPr>
            </w:pPr>
            <w:r>
              <w:rPr>
                <w:rFonts w:eastAsia="Calibri"/>
                <w:szCs w:val="24"/>
                <w:lang w:eastAsia="lt-LT"/>
              </w:rPr>
              <w:lastRenderedPageBreak/>
              <w:t>2.</w:t>
            </w:r>
            <w:r>
              <w:rPr>
                <w:rFonts w:eastAsia="Calibri"/>
                <w:szCs w:val="24"/>
                <w:lang w:eastAsia="lt-LT"/>
              </w:rPr>
              <w:tab/>
              <w:t>Prisitaikymas prie klimato kaitos</w:t>
            </w:r>
          </w:p>
        </w:tc>
        <w:tc>
          <w:tcPr>
            <w:tcW w:w="6257" w:type="dxa"/>
            <w:tcBorders>
              <w:top w:val="single" w:sz="4" w:space="0" w:color="auto"/>
              <w:left w:val="single" w:sz="4" w:space="0" w:color="auto"/>
              <w:bottom w:val="single" w:sz="4" w:space="0" w:color="auto"/>
              <w:right w:val="single" w:sz="4" w:space="0" w:color="auto"/>
            </w:tcBorders>
          </w:tcPr>
          <w:p w14:paraId="659FF406" w14:textId="77777777" w:rsidR="00441037" w:rsidRDefault="00A92158">
            <w:pPr>
              <w:ind w:left="51"/>
              <w:jc w:val="both"/>
              <w:rPr>
                <w:szCs w:val="24"/>
                <w:lang w:eastAsia="lt-LT"/>
              </w:rPr>
            </w:pPr>
            <w:r>
              <w:rPr>
                <w:szCs w:val="24"/>
                <w:lang w:eastAsia="lt-LT"/>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klimato kaitos švelninimo tikslą ir neturės neigiamos įtakos žmonėms, gamtai ar turtui:</w:t>
            </w:r>
          </w:p>
          <w:p w14:paraId="446164B1" w14:textId="77777777" w:rsidR="00441037" w:rsidRDefault="00A92158">
            <w:pPr>
              <w:ind w:left="51"/>
              <w:jc w:val="both"/>
              <w:rPr>
                <w:szCs w:val="24"/>
                <w:lang w:eastAsia="lt-LT"/>
              </w:rPr>
            </w:pPr>
            <w:r>
              <w:rPr>
                <w:szCs w:val="24"/>
                <w:lang w:eastAsia="lt-LT"/>
              </w:rPr>
              <w:t>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DJMP pagal 2014–2020 m. ESFIP rengusiose ir įgyvendinusiose savivaldybėse.</w:t>
            </w:r>
          </w:p>
          <w:p w14:paraId="6760C452" w14:textId="77777777" w:rsidR="00441037" w:rsidRDefault="00A92158">
            <w:pPr>
              <w:jc w:val="both"/>
              <w:rPr>
                <w:bCs/>
                <w:szCs w:val="24"/>
                <w:lang w:eastAsia="lt-LT"/>
              </w:rPr>
            </w:pPr>
            <w:r>
              <w:rPr>
                <w:szCs w:val="24"/>
                <w:lang w:eastAsia="lt-LT"/>
              </w:rPr>
              <w:t xml:space="preserve">Plėtojant alternatyviųjų degalų įkrovimo / papildymo infrastruktūrą, bus skatinamas </w:t>
            </w:r>
            <w:proofErr w:type="spellStart"/>
            <w:r>
              <w:rPr>
                <w:szCs w:val="24"/>
                <w:lang w:eastAsia="lt-LT"/>
              </w:rPr>
              <w:t>elektromobilumas</w:t>
            </w:r>
            <w:proofErr w:type="spellEnd"/>
            <w:r>
              <w:rPr>
                <w:szCs w:val="24"/>
                <w:lang w:eastAsia="lt-LT"/>
              </w:rPr>
              <w:t xml:space="preserve">,  bus sudarytos prielaidos gyventojams ir verslui eksploatuoti netaršias transporto priemones. Vadovaujantis Reglamento (ES) 2021/1060 I priedu taikomas 100 proc. paramos, siekiant su klimato kaita susijusių tikslų, skaičiavimo koeficientas (086). </w:t>
            </w:r>
            <w:r>
              <w:rPr>
                <w:bCs/>
                <w:szCs w:val="24"/>
                <w:lang w:eastAsia="lt-LT"/>
              </w:rPr>
              <w:t>Infrastruktūra atitinka Deleguotojo reglamento  (</w:t>
            </w:r>
            <w:r>
              <w:rPr>
                <w:szCs w:val="24"/>
                <w:lang w:eastAsia="lt-LT"/>
              </w:rPr>
              <w:t>ES) 2021/2139 6.15 punkte „Infrastruktūra, sudaranti sąlygas kelių transportui ir viešajam transportui“</w:t>
            </w:r>
            <w:r>
              <w:rPr>
                <w:sz w:val="20"/>
                <w:lang w:eastAsia="lt-LT"/>
              </w:rPr>
              <w:t xml:space="preserve"> </w:t>
            </w:r>
            <w:r>
              <w:rPr>
                <w:szCs w:val="24"/>
                <w:lang w:eastAsia="lt-LT"/>
              </w:rPr>
              <w:t xml:space="preserve">nurodytus svaraus prisidėjimo ir reikšmingos žalos nedarymo kriterijus. </w:t>
            </w:r>
          </w:p>
          <w:p w14:paraId="06587ED2" w14:textId="77777777" w:rsidR="00441037" w:rsidRDefault="00A92158">
            <w:pPr>
              <w:ind w:left="51"/>
              <w:jc w:val="both"/>
              <w:rPr>
                <w:szCs w:val="24"/>
                <w:lang w:eastAsia="lt-LT"/>
              </w:rPr>
            </w:pPr>
            <w:r>
              <w:rPr>
                <w:szCs w:val="24"/>
                <w:lang w:eastAsia="lt-LT"/>
              </w:rPr>
              <w:lastRenderedPageBreak/>
              <w:t>Atnaujinant viešojo transporto priemones, bus didinamas  viešojo transporto ekologiškumas, plėtojamas švaresnis, pigesnis ir sveikesnis viešasis transportas, sprendžiami išmetamų teršalų kiekio, spūsčių miestuose mažinimo, saugumo didinimo bei viešojo transporto patrauklumo ir prieinamumo didinimo iššūkiai šalies savivaldybėse. Suplanuota teikti valstybės pagalbą savivaldybių administracijoms, kad galėtų pakeisti techniškai pasenusias transporto priemones arba papildyti automobilių parką naujomis nulinės emisijos transporto priemonėmis, planuojama remti transporto priemonių (varomų elektra arba vandeniliu) įsigijimą kartu sukuriant joms reikalingą įkrovimo / papildymo infrastruktūrą; didinti viešojo transporto patrauklumą gyventojams, skatinant kelionę nuosavu automobiliu keisti kelione viešuoju transportu. Vadovaujantis Reglamento (ES) 2021/1060 I  priedu taikomas 100 proc.  paramos, siekiant su klimato kaita susijusių tikslų, skaičiavimo koeficientas (082). Investicija prisideda mažinant ŠESD emisijas, didinant švaraus ar neutralaus poveikio klimatui judumą. Planuojamos įsigyti viešojo transporto priemonės atitinka  D</w:t>
            </w:r>
            <w:r>
              <w:rPr>
                <w:bCs/>
                <w:szCs w:val="24"/>
                <w:lang w:eastAsia="lt-LT"/>
              </w:rPr>
              <w:t>eleguotojo reglamento (</w:t>
            </w:r>
            <w:r>
              <w:rPr>
                <w:szCs w:val="24"/>
                <w:lang w:eastAsia="lt-LT"/>
              </w:rPr>
              <w:t>ES) 2021/2139 6.3 punkte „Miesto ir priemiestinis transportas, keleivinis kelių transportas“ nurodytus svaraus prisidėjimo prie klimato kaitos kriterijus.</w:t>
            </w:r>
          </w:p>
          <w:p w14:paraId="0C05E987" w14:textId="77777777" w:rsidR="00441037" w:rsidRDefault="00A92158">
            <w:pPr>
              <w:ind w:left="51"/>
              <w:jc w:val="both"/>
              <w:rPr>
                <w:szCs w:val="24"/>
                <w:lang w:eastAsia="lt-LT"/>
              </w:rPr>
            </w:pPr>
            <w:r>
              <w:rPr>
                <w:szCs w:val="24"/>
                <w:lang w:eastAsia="lt-LT"/>
              </w:rPr>
              <w:t xml:space="preserve">Plėtojant dviračių ir pėsčiųjų takų infrastruktūrą, bus skatinama </w:t>
            </w:r>
            <w:proofErr w:type="spellStart"/>
            <w:r>
              <w:rPr>
                <w:szCs w:val="24"/>
                <w:lang w:eastAsia="lt-LT"/>
              </w:rPr>
              <w:t>bevariklio</w:t>
            </w:r>
            <w:proofErr w:type="spellEnd"/>
            <w:r>
              <w:rPr>
                <w:szCs w:val="24"/>
                <w:lang w:eastAsia="lt-LT"/>
              </w:rPr>
              <w:t xml:space="preserve"> transporto integracija, sukuriant palankias prielaidas gyventojams rinktis alternatyvų judėjimo būdą naudojant </w:t>
            </w:r>
            <w:proofErr w:type="spellStart"/>
            <w:r>
              <w:rPr>
                <w:szCs w:val="24"/>
                <w:lang w:eastAsia="lt-LT"/>
              </w:rPr>
              <w:t>bevarikles</w:t>
            </w:r>
            <w:proofErr w:type="spellEnd"/>
            <w:r>
              <w:rPr>
                <w:szCs w:val="24"/>
                <w:lang w:eastAsia="lt-LT"/>
              </w:rPr>
              <w:t xml:space="preserve"> transporto priemones. Vadovaujantis Reglamento (ES) 2021/1060 I priedu taikomas 100 proc.  paramos, siekiant su klimato kaita susijusių tikslų, skaičiavimo koeficientas (083). </w:t>
            </w:r>
            <w:r>
              <w:rPr>
                <w:bCs/>
                <w:szCs w:val="24"/>
                <w:lang w:eastAsia="lt-LT"/>
              </w:rPr>
              <w:t>Planuojama infrastruktūra atitinka Deleguotojo reglamento (</w:t>
            </w:r>
            <w:r>
              <w:rPr>
                <w:szCs w:val="24"/>
                <w:lang w:eastAsia="lt-LT"/>
              </w:rPr>
              <w:t>ES) 2021/2139 6.13 punkte „</w:t>
            </w:r>
            <w:proofErr w:type="spellStart"/>
            <w:r>
              <w:rPr>
                <w:szCs w:val="24"/>
                <w:lang w:eastAsia="lt-LT"/>
              </w:rPr>
              <w:t>Mikromobilumo</w:t>
            </w:r>
            <w:proofErr w:type="spellEnd"/>
            <w:r>
              <w:rPr>
                <w:szCs w:val="24"/>
                <w:lang w:eastAsia="lt-LT"/>
              </w:rPr>
              <w:t xml:space="preserve"> </w:t>
            </w:r>
            <w:r>
              <w:rPr>
                <w:szCs w:val="24"/>
                <w:lang w:eastAsia="lt-LT"/>
              </w:rPr>
              <w:lastRenderedPageBreak/>
              <w:t>infrastruktūra, dviračių transporto logistika“ nurodytus svaraus prisidėjimo ir reikšmingos žalos nedarymo kriterijus.</w:t>
            </w:r>
          </w:p>
          <w:p w14:paraId="59DC8C19" w14:textId="77777777" w:rsidR="00441037" w:rsidRDefault="00A92158">
            <w:pPr>
              <w:ind w:left="51"/>
              <w:jc w:val="both"/>
              <w:rPr>
                <w:szCs w:val="24"/>
                <w:lang w:eastAsia="lt-LT"/>
              </w:rPr>
            </w:pPr>
            <w:r>
              <w:rPr>
                <w:szCs w:val="24"/>
                <w:lang w:eastAsia="lt-LT"/>
              </w:rPr>
              <w:t xml:space="preserve">Įgyvendinant kitas DJMP priemones (pvz., A juostų plėtra, prioritetinių viešojo transporto eismo valdymo sistemų diegimas sankryžose, transporto priemonių su vidaus degimo varikliu patekimo į nustatytas miestų zonas ribojimas, </w:t>
            </w:r>
            <w:proofErr w:type="spellStart"/>
            <w:r>
              <w:rPr>
                <w:szCs w:val="24"/>
                <w:lang w:eastAsia="lt-LT"/>
              </w:rPr>
              <w:t>multimodalinių</w:t>
            </w:r>
            <w:proofErr w:type="spellEnd"/>
            <w:r>
              <w:rPr>
                <w:szCs w:val="24"/>
                <w:lang w:eastAsia="lt-LT"/>
              </w:rPr>
              <w:t xml:space="preserve"> aikštelių įrengimas ir kt.), bus skatinamas darnesnis judėjimas miestuose. Vadovaujantis Reglamento (ES) 2021/1060 I  priedu taikomas 100 proc.  paramos, siekiant su klimato kaita susijusių tikslų, skaičiavimo koeficientas (081).</w:t>
            </w:r>
          </w:p>
          <w:p w14:paraId="7CF793CA" w14:textId="77777777" w:rsidR="00441037" w:rsidRDefault="00A92158">
            <w:pPr>
              <w:ind w:left="51"/>
              <w:jc w:val="both"/>
              <w:rPr>
                <w:szCs w:val="24"/>
                <w:lang w:eastAsia="lt-LT"/>
              </w:rPr>
            </w:pPr>
            <w:r>
              <w:rPr>
                <w:szCs w:val="24"/>
                <w:lang w:eastAsia="lt-LT"/>
              </w:rPr>
              <w:t>Įgyvendinant veiklas bus numatytas projektų vykdytojų ir (ar) tarpininkų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tc>
        <w:tc>
          <w:tcPr>
            <w:tcW w:w="5331" w:type="dxa"/>
            <w:tcBorders>
              <w:top w:val="single" w:sz="4" w:space="0" w:color="auto"/>
              <w:left w:val="single" w:sz="4" w:space="0" w:color="auto"/>
              <w:bottom w:val="single" w:sz="4" w:space="0" w:color="auto"/>
              <w:right w:val="single" w:sz="4" w:space="0" w:color="auto"/>
            </w:tcBorders>
          </w:tcPr>
          <w:p w14:paraId="40ED9E20" w14:textId="77777777" w:rsidR="00441037" w:rsidRDefault="00A92158">
            <w:pPr>
              <w:tabs>
                <w:tab w:val="left" w:pos="458"/>
              </w:tabs>
              <w:jc w:val="both"/>
              <w:rPr>
                <w:rFonts w:eastAsia="Calibri"/>
                <w:i/>
                <w:iCs/>
                <w:szCs w:val="24"/>
              </w:rPr>
            </w:pPr>
            <w:r>
              <w:rPr>
                <w:rFonts w:eastAsia="Calibri"/>
                <w:iCs/>
                <w:szCs w:val="24"/>
              </w:rPr>
              <w:lastRenderedPageBreak/>
              <w:t>Pagrindimo dokumentai neteikiami.</w:t>
            </w:r>
          </w:p>
        </w:tc>
      </w:tr>
      <w:tr w:rsidR="00441037" w14:paraId="1C31FBAE" w14:textId="77777777">
        <w:tc>
          <w:tcPr>
            <w:tcW w:w="3261" w:type="dxa"/>
            <w:tcBorders>
              <w:top w:val="single" w:sz="4" w:space="0" w:color="auto"/>
              <w:left w:val="single" w:sz="4" w:space="0" w:color="auto"/>
              <w:bottom w:val="single" w:sz="4" w:space="0" w:color="auto"/>
              <w:right w:val="single" w:sz="4" w:space="0" w:color="auto"/>
            </w:tcBorders>
            <w:hideMark/>
          </w:tcPr>
          <w:p w14:paraId="57B5B77D" w14:textId="77777777" w:rsidR="00441037" w:rsidRDefault="00A92158">
            <w:pPr>
              <w:tabs>
                <w:tab w:val="left" w:pos="289"/>
              </w:tabs>
              <w:ind w:firstLine="5"/>
              <w:jc w:val="both"/>
              <w:rPr>
                <w:rFonts w:eastAsia="Calibri"/>
                <w:szCs w:val="24"/>
                <w:lang w:eastAsia="lt-LT"/>
              </w:rPr>
            </w:pPr>
            <w:r>
              <w:rPr>
                <w:rFonts w:eastAsia="Calibri"/>
                <w:szCs w:val="24"/>
                <w:lang w:eastAsia="lt-LT"/>
              </w:rPr>
              <w:lastRenderedPageBreak/>
              <w:t>3.</w:t>
            </w:r>
            <w:r>
              <w:rPr>
                <w:rFonts w:eastAsia="Calibri"/>
                <w:szCs w:val="24"/>
                <w:lang w:eastAsia="lt-LT"/>
              </w:rPr>
              <w:tab/>
              <w:t>Tausus vandens ir jūrų išteklių naudojimas ir apsauga</w:t>
            </w:r>
          </w:p>
        </w:tc>
        <w:tc>
          <w:tcPr>
            <w:tcW w:w="6257" w:type="dxa"/>
            <w:tcBorders>
              <w:top w:val="single" w:sz="4" w:space="0" w:color="auto"/>
              <w:left w:val="single" w:sz="4" w:space="0" w:color="auto"/>
              <w:bottom w:val="single" w:sz="4" w:space="0" w:color="auto"/>
              <w:right w:val="single" w:sz="4" w:space="0" w:color="auto"/>
            </w:tcBorders>
          </w:tcPr>
          <w:p w14:paraId="714D2753" w14:textId="77777777" w:rsidR="00441037" w:rsidRDefault="00A92158">
            <w:pPr>
              <w:jc w:val="both"/>
              <w:rPr>
                <w:bCs/>
                <w:szCs w:val="24"/>
                <w:lang w:eastAsia="lt-LT"/>
              </w:rPr>
            </w:pPr>
            <w:r>
              <w:rPr>
                <w:szCs w:val="24"/>
                <w:lang w:eastAsia="lt-LT"/>
              </w:rPr>
              <w:t xml:space="preserve">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w:t>
            </w:r>
            <w:r>
              <w:rPr>
                <w:bCs/>
                <w:szCs w:val="24"/>
                <w:lang w:eastAsia="lt-LT"/>
              </w:rPr>
              <w:t>DJMP pagal 2014–2020 m. ESFIP rengusiose ir įgyvendinusiose savivaldybėse.</w:t>
            </w:r>
          </w:p>
          <w:p w14:paraId="37EA9117" w14:textId="77777777" w:rsidR="00441037" w:rsidRDefault="00441037">
            <w:pPr>
              <w:jc w:val="both"/>
              <w:rPr>
                <w:bCs/>
                <w:szCs w:val="24"/>
                <w:lang w:eastAsia="lt-LT"/>
              </w:rPr>
            </w:pPr>
          </w:p>
          <w:p w14:paraId="3CCCF599" w14:textId="77777777" w:rsidR="00441037" w:rsidRDefault="00A92158">
            <w:pPr>
              <w:jc w:val="both"/>
              <w:rPr>
                <w:szCs w:val="24"/>
                <w:lang w:eastAsia="lt-LT"/>
              </w:rPr>
            </w:pPr>
            <w:r>
              <w:rPr>
                <w:szCs w:val="24"/>
                <w:lang w:eastAsia="lt-LT"/>
              </w:rPr>
              <w:t xml:space="preserve">Įgyvendinant veiksmus (veiklas) bus vadovaujamasi Deleguotojo reglamento (ES) 2021/2139 1 straipsnio I priedo ir 2 straipsnio II priedo atitinkamoms veikloms taikomuose punktuose (pvz., kuriant naują infrastruktūrą ar modernizuojant esamą – taikomi šio Reglamento 7 punkte nustatyti techninės analizės kriterijai; įsigyjant IT įrangą – taikomi šio Reglamento 8 punkte nustatyti techninės analizės kriterijai, įsigyjant transporto priemones – taikomi šio Reglamento 6 punkte nustatyti techninės analizės kriterijai ir t. t.) nustatytais </w:t>
            </w:r>
            <w:r>
              <w:rPr>
                <w:szCs w:val="24"/>
                <w:lang w:eastAsia="lt-LT"/>
              </w:rPr>
              <w:lastRenderedPageBreak/>
              <w:t>reikalavimais, tai numatant atitinkamuose dokumentuose (pvz., pirkimo ir kt. dokumentuose) (v</w:t>
            </w:r>
            <w:r>
              <w:rPr>
                <w:bCs/>
                <w:szCs w:val="24"/>
                <w:lang w:eastAsia="lt-LT"/>
              </w:rPr>
              <w:t>eiksmų įtaka yra numatyta Deleguotojo reglamento (</w:t>
            </w:r>
            <w:r>
              <w:rPr>
                <w:szCs w:val="24"/>
                <w:lang w:eastAsia="lt-LT"/>
              </w:rPr>
              <w:t>ES) 2021/2139 6.3, 6.13 ir 6.15 punktuose).</w:t>
            </w:r>
          </w:p>
          <w:p w14:paraId="1DF6CB0C" w14:textId="77777777" w:rsidR="00441037" w:rsidRDefault="00A92158">
            <w:pPr>
              <w:jc w:val="both"/>
              <w:rPr>
                <w:rFonts w:eastAsia="Calibri"/>
                <w:b/>
                <w:szCs w:val="24"/>
                <w:lang w:eastAsia="lt-LT"/>
              </w:rPr>
            </w:pPr>
            <w:r>
              <w:rPr>
                <w:bCs/>
                <w:szCs w:val="24"/>
                <w:lang w:eastAsia="lt-LT"/>
              </w:rPr>
              <w:t xml:space="preserve">Įgyvendinant veiksmus (veiklas) nenumatoma kurti jokia infrastruktūra, kuri galėtų turėti poveikį tausiam vandens ir jūrų išteklių naudojimui: veiksmai (veiklos) neturi jokio tiesioginio ar netiesioginio neigiamo poveikio šiam aplinkos tikslui.  </w:t>
            </w:r>
          </w:p>
        </w:tc>
        <w:tc>
          <w:tcPr>
            <w:tcW w:w="5331" w:type="dxa"/>
            <w:tcBorders>
              <w:top w:val="single" w:sz="4" w:space="0" w:color="auto"/>
              <w:left w:val="single" w:sz="4" w:space="0" w:color="auto"/>
              <w:bottom w:val="single" w:sz="4" w:space="0" w:color="auto"/>
              <w:right w:val="single" w:sz="4" w:space="0" w:color="auto"/>
            </w:tcBorders>
          </w:tcPr>
          <w:p w14:paraId="1FD84462" w14:textId="77777777" w:rsidR="00441037" w:rsidRDefault="00A92158">
            <w:pPr>
              <w:jc w:val="both"/>
              <w:rPr>
                <w:szCs w:val="24"/>
                <w:lang w:eastAsia="lt-LT"/>
              </w:rPr>
            </w:pPr>
            <w:r>
              <w:rPr>
                <w:szCs w:val="24"/>
                <w:lang w:eastAsia="lt-LT"/>
              </w:rPr>
              <w:lastRenderedPageBreak/>
              <w:t>1. Pateikiama nuoroda į techninį projektą arba techninę specifikaciją (</w:t>
            </w:r>
            <w:r>
              <w:rPr>
                <w:color w:val="000000"/>
                <w:szCs w:val="24"/>
                <w:lang w:eastAsia="lt-LT"/>
              </w:rPr>
              <w:t>kai perkama įranga, rangos darbai kartu su projektavimo paslaugomis ir pan.)</w:t>
            </w:r>
            <w:r>
              <w:rPr>
                <w:szCs w:val="24"/>
                <w:lang w:eastAsia="lt-LT"/>
              </w:rPr>
              <w:t>.</w:t>
            </w:r>
          </w:p>
          <w:p w14:paraId="46C41FD8" w14:textId="77777777" w:rsidR="00441037" w:rsidRDefault="00441037">
            <w:pPr>
              <w:jc w:val="both"/>
              <w:rPr>
                <w:szCs w:val="24"/>
                <w:lang w:eastAsia="lt-LT"/>
              </w:rPr>
            </w:pPr>
          </w:p>
          <w:p w14:paraId="6D067CCE" w14:textId="77777777" w:rsidR="00441037" w:rsidRDefault="00A92158">
            <w:pPr>
              <w:jc w:val="both"/>
              <w:rPr>
                <w:bCs/>
                <w:szCs w:val="24"/>
                <w:lang w:eastAsia="lt-LT"/>
              </w:rPr>
            </w:pPr>
            <w:r>
              <w:rPr>
                <w:bCs/>
                <w:szCs w:val="24"/>
                <w:lang w:eastAsia="lt-LT"/>
              </w:rPr>
              <w:t xml:space="preserve">2. Vadovaujantis Lietuvos Respublikos planuojamos ūkinės veiklos poveikio aplinkai vertinimo įstatymu, iki projekto įgyvendinimo plano (toliau – PĮP) pateikimo pareiškėjas turi būti atlikęs poveikio aplinkai vertinimą (toliau – </w:t>
            </w:r>
            <w:r>
              <w:rPr>
                <w:szCs w:val="24"/>
                <w:lang w:eastAsia="lt-LT"/>
              </w:rPr>
              <w:t>PAV)</w:t>
            </w:r>
            <w:r>
              <w:rPr>
                <w:bCs/>
                <w:szCs w:val="24"/>
                <w:lang w:eastAsia="lt-LT"/>
              </w:rPr>
              <w:t xml:space="preserve"> ir turi būti pateikti atsakingos institucijos galiojantys dokumentai (jeigu taikoma).</w:t>
            </w:r>
          </w:p>
          <w:p w14:paraId="2CEED4C9" w14:textId="77777777" w:rsidR="00441037" w:rsidRDefault="00441037">
            <w:pPr>
              <w:jc w:val="both"/>
              <w:rPr>
                <w:bCs/>
                <w:szCs w:val="24"/>
                <w:lang w:eastAsia="lt-LT"/>
              </w:rPr>
            </w:pPr>
          </w:p>
          <w:p w14:paraId="6165F6DD" w14:textId="77777777" w:rsidR="00441037" w:rsidRDefault="00A92158">
            <w:pPr>
              <w:tabs>
                <w:tab w:val="left" w:pos="459"/>
              </w:tabs>
              <w:jc w:val="both"/>
              <w:rPr>
                <w:szCs w:val="24"/>
                <w:lang w:eastAsia="lt-LT"/>
              </w:rPr>
            </w:pPr>
            <w:r>
              <w:rPr>
                <w:rFonts w:eastAsia="Calibri"/>
                <w:bCs/>
                <w:szCs w:val="24"/>
                <w:lang w:eastAsia="lt-LT"/>
              </w:rPr>
              <w:t xml:space="preserve">3. </w:t>
            </w:r>
            <w:r>
              <w:rPr>
                <w:szCs w:val="24"/>
                <w:lang w:eastAsia="lt-LT"/>
              </w:rPr>
              <w:t xml:space="preserve">PĮP pateikiamas statomos infrastruktūros ar įrenginių vietovės su vietovės žemėlapio kopijomis, įrodančiomis, kad neplanuojama statyti jokios infrastruktūros ar įrenginių vandens telkinių apsaugos zonose, arti vandens telkinių, kur galėtų atsirasti </w:t>
            </w:r>
            <w:r>
              <w:rPr>
                <w:szCs w:val="24"/>
                <w:lang w:eastAsia="lt-LT"/>
              </w:rPr>
              <w:lastRenderedPageBreak/>
              <w:t>neigiamas poveikis tausaus vandens ir jūrų išteklių naudojimui.</w:t>
            </w:r>
          </w:p>
          <w:p w14:paraId="1FBC5FF1" w14:textId="77777777" w:rsidR="00441037" w:rsidRDefault="00441037">
            <w:pPr>
              <w:tabs>
                <w:tab w:val="left" w:pos="459"/>
              </w:tabs>
              <w:jc w:val="both"/>
              <w:rPr>
                <w:szCs w:val="24"/>
                <w:lang w:eastAsia="lt-LT"/>
              </w:rPr>
            </w:pPr>
          </w:p>
          <w:p w14:paraId="18B96A5C" w14:textId="77777777" w:rsidR="00441037" w:rsidRDefault="00A92158">
            <w:pPr>
              <w:tabs>
                <w:tab w:val="left" w:pos="459"/>
              </w:tabs>
              <w:jc w:val="both"/>
              <w:rPr>
                <w:rFonts w:eastAsia="Calibri"/>
                <w:bCs/>
                <w:i/>
                <w:iCs/>
                <w:sz w:val="20"/>
                <w:szCs w:val="24"/>
                <w:lang w:eastAsia="lt-LT"/>
              </w:rPr>
            </w:pPr>
            <w:r>
              <w:rPr>
                <w:szCs w:val="24"/>
                <w:lang w:eastAsia="lt-LT"/>
              </w:rPr>
              <w:t>4. Kita aktuali informacija ir (ar) dokumentai.</w:t>
            </w:r>
          </w:p>
        </w:tc>
      </w:tr>
      <w:tr w:rsidR="00441037" w14:paraId="3272ADC6" w14:textId="77777777">
        <w:tc>
          <w:tcPr>
            <w:tcW w:w="3261" w:type="dxa"/>
            <w:tcBorders>
              <w:top w:val="single" w:sz="4" w:space="0" w:color="auto"/>
              <w:left w:val="single" w:sz="4" w:space="0" w:color="auto"/>
              <w:bottom w:val="single" w:sz="4" w:space="0" w:color="auto"/>
              <w:right w:val="single" w:sz="4" w:space="0" w:color="auto"/>
            </w:tcBorders>
            <w:hideMark/>
          </w:tcPr>
          <w:p w14:paraId="4490F4CA" w14:textId="77777777" w:rsidR="00441037" w:rsidRDefault="00A92158">
            <w:pPr>
              <w:tabs>
                <w:tab w:val="left" w:pos="289"/>
              </w:tabs>
              <w:ind w:firstLine="5"/>
              <w:jc w:val="both"/>
              <w:rPr>
                <w:rFonts w:eastAsia="Calibri"/>
                <w:szCs w:val="24"/>
                <w:lang w:eastAsia="lt-LT"/>
              </w:rPr>
            </w:pPr>
            <w:r>
              <w:rPr>
                <w:rFonts w:eastAsia="Calibri"/>
                <w:szCs w:val="24"/>
                <w:lang w:eastAsia="lt-LT"/>
              </w:rPr>
              <w:lastRenderedPageBreak/>
              <w:t>4.</w:t>
            </w:r>
            <w:r>
              <w:rPr>
                <w:rFonts w:eastAsia="Calibri"/>
                <w:szCs w:val="24"/>
                <w:lang w:eastAsia="lt-LT"/>
              </w:rPr>
              <w:tab/>
              <w:t>Perėjimas prie žiedinės ekonomikos, įskaitant atliekų prevenciją ir perdirbimą</w:t>
            </w:r>
          </w:p>
        </w:tc>
        <w:tc>
          <w:tcPr>
            <w:tcW w:w="6257" w:type="dxa"/>
            <w:tcBorders>
              <w:top w:val="single" w:sz="4" w:space="0" w:color="auto"/>
              <w:left w:val="single" w:sz="4" w:space="0" w:color="auto"/>
              <w:bottom w:val="single" w:sz="4" w:space="0" w:color="auto"/>
              <w:right w:val="single" w:sz="4" w:space="0" w:color="auto"/>
            </w:tcBorders>
          </w:tcPr>
          <w:p w14:paraId="080BB42A" w14:textId="77777777" w:rsidR="00441037" w:rsidRDefault="00A92158">
            <w:pPr>
              <w:jc w:val="both"/>
              <w:rPr>
                <w:bCs/>
                <w:szCs w:val="24"/>
                <w:lang w:eastAsia="lt-LT"/>
              </w:rPr>
            </w:pPr>
            <w:r>
              <w:rPr>
                <w:szCs w:val="24"/>
                <w:lang w:eastAsia="lt-LT"/>
              </w:rPr>
              <w:t xml:space="preserve">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w:t>
            </w:r>
            <w:r>
              <w:rPr>
                <w:bCs/>
                <w:szCs w:val="24"/>
                <w:lang w:eastAsia="lt-LT"/>
              </w:rPr>
              <w:t>DJMP pagal 2014–2020 m. ESFIP rengusiose ir įgyvendinusiose savivaldybėse.</w:t>
            </w:r>
          </w:p>
          <w:p w14:paraId="440B6D60" w14:textId="77777777" w:rsidR="00441037" w:rsidRDefault="00A92158">
            <w:pPr>
              <w:jc w:val="both"/>
              <w:rPr>
                <w:szCs w:val="24"/>
                <w:lang w:eastAsia="lt-LT"/>
              </w:rPr>
            </w:pPr>
            <w:r>
              <w:rPr>
                <w:szCs w:val="24"/>
                <w:lang w:eastAsia="lt-LT"/>
              </w:rPr>
              <w:t>Įgyvendinant veiksmus (veiklas) bus vadovaujamasi Deleguotojo reglamento (ES) 2021/2139 1 straipsnio I priedo ir 2 straipsnio II priedo atitinkamoms veikloms taikomuose punktuose (pvz., kuriant naują infrastruktūrą ar modernizuojant esamą – taikomi šio Reglamento 7 punkte nustatyti techninės analizės kriterijai; įsigyjant IT įrangą – taikomi šio Reglamento 8 punkte nustatyti techninės analizės kriterijai, įsigyjant transporto priemones – taikomi šio Reglamento 6 punkte nustatyti techninės analizės kriterijai ir t. t.) nustatytais reikalavimais, tai numatant atitinkamuose dokumentuose (pvz., pirkimo ir kt. dokumentuose) (</w:t>
            </w:r>
            <w:r>
              <w:rPr>
                <w:bCs/>
                <w:szCs w:val="24"/>
                <w:lang w:eastAsia="lt-LT"/>
              </w:rPr>
              <w:t>veiksmų įtaka yra numatyta Deleguotojo reglamento  (</w:t>
            </w:r>
            <w:r>
              <w:rPr>
                <w:szCs w:val="24"/>
                <w:lang w:eastAsia="lt-LT"/>
              </w:rPr>
              <w:t>ES) 2021/2139 6.3, 6.13 ir 6.15 punktuose).</w:t>
            </w:r>
          </w:p>
          <w:p w14:paraId="056FC59C" w14:textId="77777777" w:rsidR="00441037" w:rsidRDefault="00A92158">
            <w:pPr>
              <w:ind w:left="10"/>
              <w:jc w:val="both"/>
              <w:rPr>
                <w:szCs w:val="24"/>
              </w:rPr>
            </w:pPr>
            <w:r>
              <w:rPr>
                <w:szCs w:val="24"/>
              </w:rPr>
              <w:t xml:space="preserve">Įgyvendinant veiklas bus užtikrinamas efektyvus atliekų surinkimas, skatinamas atskirų dalių pakartotinis naudojimas bei statytojams numatyti reikalavimai riboti atliekų susidarymą statybų metu, taikyti naujausius metodus, pakartotinį medžiagų </w:t>
            </w:r>
            <w:r>
              <w:rPr>
                <w:szCs w:val="24"/>
              </w:rPr>
              <w:lastRenderedPageBreak/>
              <w:t>naudojimą ar perdirbimą, naudojantis pažangiomis statybinių atliekų rūšiavimo sistemomis.</w:t>
            </w:r>
          </w:p>
          <w:p w14:paraId="2BFC9AF5" w14:textId="77777777" w:rsidR="00441037" w:rsidRDefault="00A92158">
            <w:pPr>
              <w:ind w:left="10"/>
              <w:jc w:val="both"/>
              <w:rPr>
                <w:szCs w:val="24"/>
              </w:rPr>
            </w:pPr>
            <w:r>
              <w:rPr>
                <w:szCs w:val="24"/>
              </w:rPr>
              <w:t>Gamintojas įsipareigos per visą įrenginių (įkrovimo / papildymo infrastruktūros atveju) gyvavimo laikotarpį vykdyti visapusišką įrenginių priežiūrą, šalinti gedimus ir keisti įrenginių elementus nustatyta tvarka. Pasibaigus įrangos eksploatavimo laikui, ji bus saugiai paruošta pakartotiniam naudojimui ar perdirbimui pagal parengtą atliekų tvarkymo planą, užtikrinantį maksimalų elektros ir elektroninės įrangos perdirbimą pasibaigus jų eksploatavimo laikui, kaip tai numato 2012 m. liepos 4 d. Europos Parlamento ir Tarybos direktyva 2012/19/ES dėl elektros ir elektroninės įrangos atliekų. Bus laikomasi žiedinės ekonomikos principo tiek viešojo transporto priemonių naudojimo etape (techninė priežiūra), tiek ir pasibaigus jų eksploatavimo laikui, įskaitant pakartotinį baterijų ir elektronikos (jose esančių svarbių žaliavų) perdirbimą.</w:t>
            </w:r>
          </w:p>
          <w:p w14:paraId="14D18611" w14:textId="77777777" w:rsidR="00441037" w:rsidRDefault="00A92158">
            <w:pPr>
              <w:ind w:left="10"/>
              <w:jc w:val="both"/>
              <w:rPr>
                <w:szCs w:val="24"/>
              </w:rPr>
            </w:pPr>
            <w:r>
              <w:rPr>
                <w:szCs w:val="24"/>
              </w:rPr>
              <w:t>Planuojamos veiklos turės atitikti statybos techninių reglamentų bei kitų teisės aktų reikalavimus, bus užtikrinamas efektyvus atliekų surinkimas, skatinamas atskirų dalių pakartotinis naudojimas, statytojams bus numatyti reikalavimai riboti atliekų susidarymą statybos metu, taikyti naujausius metodus, pakartotinį medžiagų naudojimą ar perdirbimą, naudojantis pažangiomis statybinių atliekų rūšiavimo sistemomis. Todėl laikoma, kad veiklos atitinka žiedinės ekonomikos tikslą. Numatoma:</w:t>
            </w:r>
          </w:p>
          <w:p w14:paraId="45110494" w14:textId="77777777" w:rsidR="00441037" w:rsidRDefault="00A92158">
            <w:pPr>
              <w:ind w:firstLine="370"/>
              <w:jc w:val="both"/>
              <w:rPr>
                <w:szCs w:val="24"/>
              </w:rPr>
            </w:pPr>
            <w:r>
              <w:rPr>
                <w:rFonts w:ascii="Symbol" w:hAnsi="Symbol"/>
                <w:szCs w:val="24"/>
              </w:rPr>
              <w:t></w:t>
            </w:r>
            <w:r>
              <w:rPr>
                <w:rFonts w:ascii="Symbol" w:hAnsi="Symbol"/>
                <w:szCs w:val="24"/>
              </w:rPr>
              <w:tab/>
            </w:r>
            <w:r>
              <w:rPr>
                <w:szCs w:val="24"/>
              </w:rPr>
              <w:t>mažiausiai 70 proc. (pagal svorį) nepavojingų statybvietėje susidarančių atliekų (išskyrus natūraliai atsirandančias medžiagas, nurodytas Europos sąrašo 17 05 04 kategorijoje) (</w:t>
            </w:r>
            <w:r>
              <w:t>2000 m. gegužės 3 d</w:t>
            </w:r>
            <w:r>
              <w:rPr>
                <w:szCs w:val="24"/>
              </w:rPr>
              <w:t xml:space="preserve"> K</w:t>
            </w:r>
            <w:r>
              <w:t xml:space="preserve">omisijos sprendimas, </w:t>
            </w:r>
            <w:r>
              <w:br/>
              <w:t>keičiantis sprendimą 94/3/EB, nustatantį atliekų sąrašą pagal Tarybos direktyvos 75/442/EEB dėl atliekų</w:t>
            </w:r>
            <w:r>
              <w:br/>
            </w:r>
            <w:r>
              <w:lastRenderedPageBreak/>
              <w:t>1 straipsnio a dalį, ir Tarybos sprendimą 94/904/EB, nustatantį pavojingų atliekų sąrašą pagal Tarybos</w:t>
            </w:r>
            <w:r>
              <w:br/>
              <w:t>direktyvos 91/689/EEB dėl pavojingų medžiagų 1 straipsnio 4 dalį</w:t>
            </w:r>
            <w:r>
              <w:rPr>
                <w:szCs w:val="24"/>
              </w:rPr>
              <w:t xml:space="preserve">) turėtų būti parengtos pakartotiniam naudojimui, perdirbimui ir kitoms medžiagų panaudojimo galimybėms, įskaitant užpildymo operacijas, naudojant atliekas kitoms medžiagoms pakeisti, laikantis atliekų hierarchijos ir ES statybos ir griovimo atliekų tvarkymo protokolo; </w:t>
            </w:r>
          </w:p>
          <w:p w14:paraId="38E989C4" w14:textId="77777777" w:rsidR="00441037" w:rsidRDefault="00A92158">
            <w:pPr>
              <w:ind w:firstLine="370"/>
              <w:jc w:val="both"/>
              <w:rPr>
                <w:szCs w:val="24"/>
              </w:rPr>
            </w:pPr>
            <w:r>
              <w:rPr>
                <w:rFonts w:ascii="Symbol" w:hAnsi="Symbol"/>
                <w:szCs w:val="24"/>
              </w:rPr>
              <w:t></w:t>
            </w:r>
            <w:r>
              <w:rPr>
                <w:rFonts w:ascii="Symbol" w:hAnsi="Symbol"/>
                <w:szCs w:val="24"/>
              </w:rPr>
              <w:tab/>
            </w:r>
            <w:r>
              <w:rPr>
                <w:szCs w:val="24"/>
              </w:rPr>
              <w:t>operatoriai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p>
          <w:p w14:paraId="72570289" w14:textId="77777777" w:rsidR="00441037" w:rsidRDefault="00A92158">
            <w:pPr>
              <w:ind w:firstLine="370"/>
              <w:jc w:val="both"/>
              <w:rPr>
                <w:szCs w:val="24"/>
              </w:rPr>
            </w:pPr>
            <w:r>
              <w:rPr>
                <w:rFonts w:ascii="Symbol" w:hAnsi="Symbol"/>
                <w:szCs w:val="24"/>
              </w:rPr>
              <w:t></w:t>
            </w:r>
            <w:r>
              <w:rPr>
                <w:rFonts w:ascii="Symbol" w:hAnsi="Symbol"/>
                <w:szCs w:val="24"/>
              </w:rPr>
              <w:tab/>
            </w:r>
            <w:r>
              <w:rPr>
                <w:szCs w:val="24"/>
              </w:rPr>
              <w:t xml:space="preserve">naudoti ir kokybiškai perdirbti turimas statybinių ir griovimo atliekų rūšiavimo sistemas. </w:t>
            </w:r>
          </w:p>
          <w:p w14:paraId="0F0935E9" w14:textId="77777777" w:rsidR="00441037" w:rsidRDefault="00A92158">
            <w:pPr>
              <w:ind w:left="10"/>
              <w:jc w:val="both"/>
              <w:rPr>
                <w:szCs w:val="24"/>
              </w:rPr>
            </w:pPr>
            <w:r>
              <w:rPr>
                <w:szCs w:val="24"/>
              </w:rPr>
              <w:t>Įgyvendinant veiklas bus užtikrintas 2008 m. lapkričio 19 d. Europos Parlamento ir Tarybos direktyvo</w:t>
            </w:r>
            <w:r>
              <w:t>s</w:t>
            </w:r>
            <w:r>
              <w:rPr>
                <w:szCs w:val="24"/>
              </w:rPr>
              <w:t xml:space="preserve"> 2008/98/EB dėl atliekų ir panaikinančios kai kurias direktyvas reikalavimų laikymasis, įpareigojant jų laikytis projektų vykdytojus.</w:t>
            </w:r>
          </w:p>
          <w:p w14:paraId="6F65F419" w14:textId="77777777" w:rsidR="00441037" w:rsidRDefault="00A92158">
            <w:pPr>
              <w:ind w:left="10"/>
              <w:jc w:val="both"/>
              <w:rPr>
                <w:rFonts w:eastAsia="Calibri"/>
                <w:bCs/>
                <w:szCs w:val="24"/>
              </w:rPr>
            </w:pPr>
            <w:r>
              <w:rPr>
                <w:szCs w:val="24"/>
              </w:rPr>
              <w:t>Įgyvendinant veiklas bus numatytas projektų vykdytojų ir (ar) tarpininkų įsipareigojimas laikytis Europos Komisijos tvarumo tikrinimo gairių, priimtų siekiant užtikrinti „</w:t>
            </w:r>
            <w:proofErr w:type="spellStart"/>
            <w:r>
              <w:rPr>
                <w:szCs w:val="24"/>
              </w:rPr>
              <w:t>InvestEU</w:t>
            </w:r>
            <w:proofErr w:type="spellEnd"/>
            <w:r>
              <w:rPr>
                <w:szCs w:val="24"/>
              </w:rPr>
              <w:t>“ fondo tvarumą, reikalavimų.</w:t>
            </w:r>
          </w:p>
        </w:tc>
        <w:tc>
          <w:tcPr>
            <w:tcW w:w="5331" w:type="dxa"/>
            <w:tcBorders>
              <w:top w:val="single" w:sz="4" w:space="0" w:color="auto"/>
              <w:left w:val="single" w:sz="4" w:space="0" w:color="auto"/>
              <w:bottom w:val="single" w:sz="4" w:space="0" w:color="auto"/>
              <w:right w:val="single" w:sz="4" w:space="0" w:color="auto"/>
            </w:tcBorders>
          </w:tcPr>
          <w:p w14:paraId="355255B9" w14:textId="77777777" w:rsidR="00441037" w:rsidRDefault="00A92158">
            <w:pPr>
              <w:tabs>
                <w:tab w:val="left" w:pos="556"/>
              </w:tabs>
              <w:jc w:val="both"/>
              <w:rPr>
                <w:szCs w:val="24"/>
                <w:lang w:eastAsia="lt-LT"/>
              </w:rPr>
            </w:pPr>
            <w:r>
              <w:rPr>
                <w:szCs w:val="24"/>
                <w:lang w:eastAsia="lt-LT"/>
              </w:rPr>
              <w:lastRenderedPageBreak/>
              <w:t>1. Pateikiama nuoroda į viešųjų pirkimų dokumentus, techninį projektą arba techninę specifikaciją (</w:t>
            </w:r>
            <w:r>
              <w:rPr>
                <w:color w:val="000000"/>
                <w:szCs w:val="24"/>
                <w:lang w:eastAsia="lt-LT"/>
              </w:rPr>
              <w:t xml:space="preserve">kai perkama įranga, rangos darbai kartu su projektavimo paslaugomis ir pan.), </w:t>
            </w:r>
            <w:r>
              <w:rPr>
                <w:szCs w:val="24"/>
                <w:lang w:eastAsia="lt-LT"/>
              </w:rPr>
              <w:t>kuriuose numatyti reikalavimai dėl atliekų susidarymo, vadovaujantis Statybinių atliekų tvarkymo taisyklėmis,  patvirtintomis Lietuvos Respublikos aplinkos ministro 2006 m. gruodžio 29 d. įsakymu Nr. D1-637 „Dėl Statybinių atliekų tvarkymo taisyklių patvirtinimo“, kurios aiškiai apibrėžia atliekų rūšiavimą statybvietėje.</w:t>
            </w:r>
          </w:p>
          <w:p w14:paraId="32AF70C0" w14:textId="77777777" w:rsidR="00441037" w:rsidRDefault="00441037">
            <w:pPr>
              <w:jc w:val="both"/>
              <w:rPr>
                <w:rFonts w:eastAsia="Calibri"/>
                <w:szCs w:val="24"/>
                <w:lang w:eastAsia="lt-LT"/>
              </w:rPr>
            </w:pPr>
          </w:p>
          <w:p w14:paraId="0F8547BA" w14:textId="77777777" w:rsidR="00441037" w:rsidRDefault="00A92158">
            <w:pPr>
              <w:tabs>
                <w:tab w:val="left" w:pos="301"/>
              </w:tabs>
              <w:ind w:left="42"/>
              <w:jc w:val="both"/>
              <w:rPr>
                <w:rFonts w:eastAsia="Calibri"/>
                <w:szCs w:val="24"/>
              </w:rPr>
            </w:pPr>
            <w:r>
              <w:rPr>
                <w:rFonts w:eastAsia="Calibri"/>
                <w:szCs w:val="24"/>
              </w:rPr>
              <w:t>2. Statybvietėje pildomas atliekų apskaitos žurnalas, tvarkoma susidariusių ir perduotų tvarkyti statybinių atliekų apskaita, nurodomas jų kiekis, rengiamos atliekų apskaitos ataskaitos.</w:t>
            </w:r>
          </w:p>
          <w:p w14:paraId="071D531C" w14:textId="77777777" w:rsidR="00441037" w:rsidRDefault="00441037">
            <w:pPr>
              <w:tabs>
                <w:tab w:val="left" w:pos="301"/>
              </w:tabs>
              <w:ind w:left="42"/>
              <w:jc w:val="both"/>
              <w:rPr>
                <w:rFonts w:eastAsia="Calibri"/>
                <w:i/>
                <w:iCs/>
                <w:szCs w:val="24"/>
              </w:rPr>
            </w:pPr>
          </w:p>
          <w:p w14:paraId="0B0A16EB" w14:textId="77777777" w:rsidR="00441037" w:rsidRDefault="00A92158">
            <w:pPr>
              <w:tabs>
                <w:tab w:val="left" w:pos="299"/>
              </w:tabs>
              <w:ind w:left="16"/>
              <w:jc w:val="both"/>
              <w:rPr>
                <w:rFonts w:eastAsia="Calibri"/>
                <w:szCs w:val="24"/>
              </w:rPr>
            </w:pPr>
            <w:r>
              <w:rPr>
                <w:rFonts w:eastAsia="Calibri"/>
                <w:szCs w:val="24"/>
              </w:rPr>
              <w:t>3. Pateikiamas dokumentas su informacija, kaip bus utilizuota įranga pasibaigus jos eksploatacijos laikui.</w:t>
            </w:r>
          </w:p>
          <w:p w14:paraId="1D1DDC43" w14:textId="77777777" w:rsidR="00441037" w:rsidRDefault="00441037">
            <w:pPr>
              <w:tabs>
                <w:tab w:val="left" w:pos="299"/>
              </w:tabs>
              <w:ind w:left="16"/>
              <w:jc w:val="both"/>
              <w:rPr>
                <w:szCs w:val="24"/>
              </w:rPr>
            </w:pPr>
          </w:p>
          <w:p w14:paraId="1D97B43C" w14:textId="77777777" w:rsidR="00441037" w:rsidRDefault="00A92158">
            <w:pPr>
              <w:tabs>
                <w:tab w:val="left" w:pos="299"/>
              </w:tabs>
              <w:ind w:left="16"/>
              <w:jc w:val="both"/>
              <w:rPr>
                <w:szCs w:val="24"/>
              </w:rPr>
            </w:pPr>
            <w:r>
              <w:rPr>
                <w:szCs w:val="24"/>
              </w:rPr>
              <w:t>4. Kita aktuali informacija ir (ar) dokumentai.</w:t>
            </w:r>
          </w:p>
          <w:p w14:paraId="5FEA169F" w14:textId="77777777" w:rsidR="00441037" w:rsidRDefault="00441037">
            <w:pPr>
              <w:tabs>
                <w:tab w:val="left" w:pos="301"/>
              </w:tabs>
              <w:ind w:left="42"/>
              <w:jc w:val="both"/>
              <w:rPr>
                <w:rFonts w:eastAsia="Calibri"/>
                <w:i/>
                <w:iCs/>
                <w:szCs w:val="24"/>
              </w:rPr>
            </w:pPr>
          </w:p>
        </w:tc>
      </w:tr>
      <w:tr w:rsidR="00441037" w14:paraId="62F5D473" w14:textId="77777777">
        <w:tc>
          <w:tcPr>
            <w:tcW w:w="3261" w:type="dxa"/>
            <w:tcBorders>
              <w:top w:val="single" w:sz="4" w:space="0" w:color="auto"/>
              <w:left w:val="single" w:sz="4" w:space="0" w:color="auto"/>
              <w:bottom w:val="single" w:sz="4" w:space="0" w:color="auto"/>
              <w:right w:val="single" w:sz="4" w:space="0" w:color="auto"/>
            </w:tcBorders>
            <w:hideMark/>
          </w:tcPr>
          <w:p w14:paraId="748160DD" w14:textId="77777777" w:rsidR="00441037" w:rsidRDefault="00A92158">
            <w:pPr>
              <w:tabs>
                <w:tab w:val="left" w:pos="289"/>
              </w:tabs>
              <w:ind w:firstLine="5"/>
              <w:jc w:val="both"/>
              <w:rPr>
                <w:rFonts w:eastAsia="Calibri"/>
                <w:szCs w:val="24"/>
                <w:lang w:eastAsia="lt-LT"/>
              </w:rPr>
            </w:pPr>
            <w:r>
              <w:rPr>
                <w:rFonts w:eastAsia="Calibri"/>
                <w:szCs w:val="24"/>
                <w:lang w:eastAsia="lt-LT"/>
              </w:rPr>
              <w:lastRenderedPageBreak/>
              <w:t>5.</w:t>
            </w:r>
            <w:r>
              <w:rPr>
                <w:rFonts w:eastAsia="Calibri"/>
                <w:szCs w:val="24"/>
                <w:lang w:eastAsia="lt-LT"/>
              </w:rPr>
              <w:tab/>
            </w:r>
            <w:r>
              <w:rPr>
                <w:rFonts w:eastAsia="Calibri"/>
                <w:bCs/>
                <w:szCs w:val="24"/>
                <w:lang w:eastAsia="lt-LT"/>
              </w:rPr>
              <w:t>Oro, vandens ar žemės taršos prevencija ir kontrolė</w:t>
            </w:r>
          </w:p>
        </w:tc>
        <w:tc>
          <w:tcPr>
            <w:tcW w:w="6257" w:type="dxa"/>
            <w:tcBorders>
              <w:top w:val="single" w:sz="4" w:space="0" w:color="auto"/>
              <w:left w:val="single" w:sz="4" w:space="0" w:color="auto"/>
              <w:bottom w:val="single" w:sz="4" w:space="0" w:color="auto"/>
              <w:right w:val="single" w:sz="4" w:space="0" w:color="auto"/>
            </w:tcBorders>
          </w:tcPr>
          <w:p w14:paraId="226DF99F" w14:textId="77777777" w:rsidR="00441037" w:rsidRDefault="00A92158">
            <w:pPr>
              <w:jc w:val="both"/>
              <w:rPr>
                <w:bCs/>
                <w:szCs w:val="24"/>
                <w:lang w:eastAsia="lt-LT"/>
              </w:rPr>
            </w:pPr>
            <w:r>
              <w:rPr>
                <w:szCs w:val="24"/>
                <w:lang w:eastAsia="lt-LT"/>
              </w:rPr>
              <w:t xml:space="preserve">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w:t>
            </w:r>
            <w:r>
              <w:rPr>
                <w:bCs/>
                <w:szCs w:val="24"/>
                <w:lang w:eastAsia="lt-LT"/>
              </w:rPr>
              <w:t>DJMP pagal 2014–2020 m. ESFIP rengusiose ir įgyvendinusiose savivaldybėse.</w:t>
            </w:r>
          </w:p>
          <w:p w14:paraId="700DFBA3" w14:textId="77777777" w:rsidR="00441037" w:rsidRDefault="00441037">
            <w:pPr>
              <w:jc w:val="both"/>
              <w:rPr>
                <w:bCs/>
                <w:szCs w:val="24"/>
                <w:lang w:eastAsia="lt-LT"/>
              </w:rPr>
            </w:pPr>
          </w:p>
          <w:p w14:paraId="637B82DD" w14:textId="77777777" w:rsidR="00441037" w:rsidRDefault="00A92158">
            <w:pPr>
              <w:jc w:val="both"/>
              <w:rPr>
                <w:szCs w:val="24"/>
                <w:lang w:eastAsia="lt-LT"/>
              </w:rPr>
            </w:pPr>
            <w:r>
              <w:rPr>
                <w:szCs w:val="24"/>
                <w:lang w:eastAsia="lt-LT"/>
              </w:rPr>
              <w:lastRenderedPageBreak/>
              <w:t>Įgyvendinant veiksmus (veiklas) bus vadovaujamasi Deleguotojo reglamento (ES) 2021/2139 1 straipsnio I priedo ir 2 straipsnio II priedo atitinkamoms veikloms taikomuose punktuose (pvz., kuriant naują infrastruktūrą ar modernizuojant esamą – taikomi šio Reglamento 7 punkte nustatyti techninės analizės kriterijai; įsigyjant IT įrangą – taikomi šio Reglamento 8 punkte nustatyti techninės analizės kriterijai, įsigyjant transporto priemones – taikomi šio Reglamento 6 punkte nustatyti techninės analizės kriterijai ir t. t.) nustatytais reikalavimais, tai numatant atitinkamuose dokumentuose (pvz., pirkimo ir kt. dokumentuose) (</w:t>
            </w:r>
            <w:r>
              <w:rPr>
                <w:bCs/>
                <w:szCs w:val="24"/>
                <w:lang w:eastAsia="lt-LT"/>
              </w:rPr>
              <w:t>veiksmų įtaka yra numatyta Deleguotojo reglamento (</w:t>
            </w:r>
            <w:r>
              <w:rPr>
                <w:szCs w:val="24"/>
                <w:lang w:eastAsia="lt-LT"/>
              </w:rPr>
              <w:t xml:space="preserve">ES) 2021/2139 6.3, 6.13 ir 6.15 punktuose). </w:t>
            </w:r>
          </w:p>
          <w:p w14:paraId="145852CC" w14:textId="77777777" w:rsidR="00441037" w:rsidRDefault="00A92158">
            <w:pPr>
              <w:jc w:val="both"/>
              <w:rPr>
                <w:bCs/>
                <w:szCs w:val="24"/>
                <w:lang w:eastAsia="lt-LT"/>
              </w:rPr>
            </w:pPr>
            <w:r>
              <w:rPr>
                <w:bCs/>
                <w:szCs w:val="24"/>
                <w:lang w:eastAsia="lt-LT"/>
              </w:rPr>
              <w:t>Veiklos neturės jokio neigiamo tiesioginio ar netiesioginio poveikio šiam aplinkos tikslui, nes sukuriama alternatyviųjų degalų įkrovimo / papildymo infrastruktūra, sudaromos sąlygos naudoti netaršias transporto priemones, kuriomis pakeičiamos taršios transporto priemonės, taip reikšmingai mažinant oro taršą, atnaujinant viešojo transporto priemones, bus sudarytos sąlygos naudotis nulinės taršos viešuoju transportu ir taip prisidėti prie oro taršos mažinimo, plėtojant dviračių ir pėsčiųjų infrastruktūrą bus sudarytos sąlygos vietoj motorinių transporto priemonių rinktis bemotores transporto priemones arba judėjimą pėsčiomis. Įrengiant kitas DJMP priemones, tiesiogiai prisidedančias prie ŠESD mažinimo, bus didinamas bendras darnus judumas ir taip mažinama oro tarša.</w:t>
            </w:r>
          </w:p>
          <w:p w14:paraId="1B6D0EEA" w14:textId="77777777" w:rsidR="00441037" w:rsidRDefault="00A92158">
            <w:pPr>
              <w:jc w:val="both"/>
              <w:rPr>
                <w:szCs w:val="24"/>
                <w:lang w:eastAsia="lt-LT"/>
              </w:rPr>
            </w:pPr>
            <w:r>
              <w:rPr>
                <w:bCs/>
                <w:szCs w:val="24"/>
                <w:lang w:eastAsia="lt-LT"/>
              </w:rPr>
              <w:t xml:space="preserve">Infrastruktūra turės būti įrengta vadovaujantis nustatytais nacionaliniais reikalavimais. </w:t>
            </w:r>
          </w:p>
          <w:p w14:paraId="41E1E054" w14:textId="77777777" w:rsidR="00441037" w:rsidRDefault="00A92158">
            <w:pPr>
              <w:ind w:firstLine="62"/>
              <w:jc w:val="both"/>
              <w:rPr>
                <w:szCs w:val="24"/>
                <w:lang w:eastAsia="lt-LT"/>
              </w:rPr>
            </w:pPr>
            <w:r>
              <w:rPr>
                <w:szCs w:val="24"/>
                <w:lang w:eastAsia="lt-LT"/>
              </w:rPr>
              <w:t>Įgyvendinant veiklas bus numatytas projektų vykdytojų ir (ar) tarpininkų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p w14:paraId="1167CEA2" w14:textId="77777777" w:rsidR="00441037" w:rsidRDefault="00A92158">
            <w:pPr>
              <w:jc w:val="both"/>
              <w:rPr>
                <w:szCs w:val="24"/>
                <w:lang w:eastAsia="lt-LT"/>
              </w:rPr>
            </w:pPr>
            <w:r>
              <w:rPr>
                <w:szCs w:val="24"/>
                <w:lang w:eastAsia="lt-LT"/>
              </w:rPr>
              <w:lastRenderedPageBreak/>
              <w:t xml:space="preserve">Nenumatoma, kad įgyvendinant veiksmus padidės teršalų išmetimas į orą, vandenį ar žemę, kadangi: </w:t>
            </w:r>
          </w:p>
          <w:p w14:paraId="566EE7B4" w14:textId="77777777" w:rsidR="00441037" w:rsidRDefault="00A92158">
            <w:pPr>
              <w:ind w:left="30" w:firstLine="425"/>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 xml:space="preserve">statybose naudojamose statybinėse dalyse ir medžiagose nėra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 </w:t>
            </w:r>
          </w:p>
          <w:p w14:paraId="77BBCFD6" w14:textId="77777777" w:rsidR="00441037" w:rsidRDefault="00A92158">
            <w:pPr>
              <w:ind w:left="30" w:firstLine="425"/>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 xml:space="preserve">imamasi priemonių sumažinti triukšmą, dulkes ir teršalus atliekant statybos ar priežiūros darbus. </w:t>
            </w:r>
          </w:p>
          <w:p w14:paraId="7B2130B6" w14:textId="77777777" w:rsidR="00441037" w:rsidRDefault="00A92158">
            <w:pPr>
              <w:ind w:firstLine="62"/>
              <w:jc w:val="both"/>
              <w:rPr>
                <w:rFonts w:eastAsia="Calibri"/>
                <w:b/>
                <w:szCs w:val="24"/>
                <w:lang w:eastAsia="lt-LT"/>
              </w:rPr>
            </w:pPr>
            <w:r>
              <w:rPr>
                <w:szCs w:val="24"/>
                <w:lang w:eastAsia="lt-LT"/>
              </w:rPr>
              <w:t xml:space="preserve">Veiklos bus įgyvendinamos vadovaujantis 2018 m. gruodžio 11 d. Europos Parlamento ir Tarybos direktyva (ES) 2018/2001 dėl skatinimo naudoti atsinaujinančiųjų išteklių energiją, Bendrojo bendrosios išimties reglamento nuostatomis, taip pat nacionaliniais teisės aktais, kuriuose nustatyti reikalavimai užtikrinti tausų išteklių naudojimą ir apsaugą. </w:t>
            </w:r>
          </w:p>
        </w:tc>
        <w:tc>
          <w:tcPr>
            <w:tcW w:w="5331" w:type="dxa"/>
            <w:tcBorders>
              <w:top w:val="single" w:sz="4" w:space="0" w:color="auto"/>
              <w:left w:val="single" w:sz="4" w:space="0" w:color="auto"/>
              <w:bottom w:val="single" w:sz="4" w:space="0" w:color="auto"/>
              <w:right w:val="single" w:sz="4" w:space="0" w:color="auto"/>
            </w:tcBorders>
          </w:tcPr>
          <w:p w14:paraId="4356AC94" w14:textId="77777777" w:rsidR="00441037" w:rsidRDefault="00A92158">
            <w:pPr>
              <w:tabs>
                <w:tab w:val="left" w:pos="460"/>
              </w:tabs>
              <w:ind w:left="35"/>
              <w:jc w:val="both"/>
              <w:rPr>
                <w:szCs w:val="24"/>
                <w:lang w:eastAsia="lt-LT"/>
              </w:rPr>
            </w:pPr>
            <w:r>
              <w:rPr>
                <w:szCs w:val="24"/>
                <w:lang w:eastAsia="lt-LT"/>
              </w:rPr>
              <w:lastRenderedPageBreak/>
              <w:t>1. Pateikiama nuoroda į techninį projektą arba techninę specifikaciją (</w:t>
            </w:r>
            <w:r>
              <w:rPr>
                <w:color w:val="000000"/>
                <w:szCs w:val="24"/>
                <w:lang w:eastAsia="lt-LT"/>
              </w:rPr>
              <w:t>kai perkama įranga,  rangos darbai kartu su projektavimo paslaugomis ir pan.)</w:t>
            </w:r>
            <w:r>
              <w:rPr>
                <w:szCs w:val="24"/>
                <w:lang w:eastAsia="lt-LT"/>
              </w:rPr>
              <w:t>, kuriuose patvirtinama, kad projekto įgyvendinimo metu statybose naudojamose medžiagose nebus naudojama asbesto ir labai didelį susirūpinimą keliančių medžiagų.</w:t>
            </w:r>
          </w:p>
          <w:p w14:paraId="6F278A58" w14:textId="77777777" w:rsidR="00441037" w:rsidRDefault="00441037">
            <w:pPr>
              <w:tabs>
                <w:tab w:val="left" w:pos="460"/>
              </w:tabs>
              <w:ind w:left="35"/>
              <w:jc w:val="both"/>
              <w:rPr>
                <w:rFonts w:eastAsia="Calibri"/>
                <w:szCs w:val="24"/>
                <w:lang w:eastAsia="lt-LT"/>
              </w:rPr>
            </w:pPr>
          </w:p>
          <w:p w14:paraId="5AF35757" w14:textId="77777777" w:rsidR="00441037" w:rsidRDefault="00A92158">
            <w:pPr>
              <w:tabs>
                <w:tab w:val="left" w:pos="473"/>
              </w:tabs>
              <w:ind w:left="34"/>
              <w:jc w:val="both"/>
              <w:rPr>
                <w:szCs w:val="24"/>
              </w:rPr>
            </w:pPr>
            <w:r>
              <w:rPr>
                <w:rFonts w:eastAsia="Calibri"/>
                <w:szCs w:val="24"/>
              </w:rPr>
              <w:t xml:space="preserve">2. </w:t>
            </w:r>
            <w:r>
              <w:rPr>
                <w:szCs w:val="24"/>
              </w:rPr>
              <w:t>Pateikiama nuoroda į techninį projektą arba techninę specifikaciją (</w:t>
            </w:r>
            <w:r>
              <w:rPr>
                <w:color w:val="000000"/>
                <w:szCs w:val="24"/>
              </w:rPr>
              <w:t>kai perkama įranga,  rangos darbai kartu su projektavimo paslaugomis ir pan.)</w:t>
            </w:r>
            <w:r>
              <w:rPr>
                <w:szCs w:val="24"/>
              </w:rPr>
              <w:t>, kuriuose numatyti reikalavimai dėl triukšmo, dulkių kiekio mažinimo ir išmetamų teršalų kiekio suvaldymo, jei tokių būtų.</w:t>
            </w:r>
          </w:p>
          <w:p w14:paraId="446A8ABC" w14:textId="77777777" w:rsidR="00441037" w:rsidRDefault="00441037">
            <w:pPr>
              <w:tabs>
                <w:tab w:val="left" w:pos="473"/>
              </w:tabs>
              <w:ind w:left="34"/>
              <w:jc w:val="both"/>
              <w:rPr>
                <w:rFonts w:eastAsia="Calibri"/>
                <w:i/>
                <w:iCs/>
                <w:szCs w:val="24"/>
              </w:rPr>
            </w:pPr>
          </w:p>
          <w:p w14:paraId="465917E0" w14:textId="77777777" w:rsidR="00441037" w:rsidRDefault="00A92158">
            <w:pPr>
              <w:tabs>
                <w:tab w:val="left" w:pos="473"/>
              </w:tabs>
              <w:jc w:val="both"/>
              <w:rPr>
                <w:rFonts w:eastAsia="Calibri"/>
                <w:szCs w:val="24"/>
                <w:lang w:eastAsia="lt-LT"/>
              </w:rPr>
            </w:pPr>
            <w:r>
              <w:rPr>
                <w:rFonts w:eastAsia="Calibri"/>
                <w:szCs w:val="24"/>
                <w:lang w:eastAsia="lt-LT"/>
              </w:rPr>
              <w:t>3. Kita aktuali informacija ir (ar) dokumentai.</w:t>
            </w:r>
          </w:p>
        </w:tc>
      </w:tr>
      <w:tr w:rsidR="00441037" w14:paraId="3F05B789" w14:textId="77777777">
        <w:tc>
          <w:tcPr>
            <w:tcW w:w="3261" w:type="dxa"/>
            <w:tcBorders>
              <w:top w:val="single" w:sz="4" w:space="0" w:color="auto"/>
              <w:left w:val="single" w:sz="4" w:space="0" w:color="auto"/>
              <w:bottom w:val="single" w:sz="4" w:space="0" w:color="auto"/>
              <w:right w:val="single" w:sz="4" w:space="0" w:color="auto"/>
            </w:tcBorders>
            <w:hideMark/>
          </w:tcPr>
          <w:p w14:paraId="0BE42515" w14:textId="77777777" w:rsidR="00441037" w:rsidRDefault="00A92158">
            <w:pPr>
              <w:tabs>
                <w:tab w:val="left" w:pos="289"/>
              </w:tabs>
              <w:ind w:left="5" w:firstLine="5"/>
              <w:jc w:val="both"/>
              <w:rPr>
                <w:rFonts w:eastAsia="Calibri"/>
                <w:szCs w:val="24"/>
                <w:lang w:eastAsia="lt-LT"/>
              </w:rPr>
            </w:pPr>
            <w:r>
              <w:rPr>
                <w:rFonts w:eastAsia="Calibri"/>
                <w:szCs w:val="24"/>
                <w:lang w:eastAsia="lt-LT"/>
              </w:rPr>
              <w:lastRenderedPageBreak/>
              <w:t>6.</w:t>
            </w:r>
            <w:r>
              <w:rPr>
                <w:rFonts w:eastAsia="Calibri"/>
                <w:szCs w:val="24"/>
                <w:lang w:eastAsia="lt-LT"/>
              </w:rPr>
              <w:tab/>
              <w:t>Biologinės įvairovės ir ekosistemų apsauga ir atkūrimas</w:t>
            </w:r>
          </w:p>
        </w:tc>
        <w:tc>
          <w:tcPr>
            <w:tcW w:w="6257" w:type="dxa"/>
            <w:tcBorders>
              <w:top w:val="single" w:sz="4" w:space="0" w:color="auto"/>
              <w:left w:val="single" w:sz="4" w:space="0" w:color="auto"/>
              <w:bottom w:val="single" w:sz="4" w:space="0" w:color="auto"/>
              <w:right w:val="single" w:sz="4" w:space="0" w:color="auto"/>
            </w:tcBorders>
          </w:tcPr>
          <w:p w14:paraId="4A6F6048" w14:textId="77777777" w:rsidR="00441037" w:rsidRDefault="00A92158">
            <w:pPr>
              <w:jc w:val="both"/>
              <w:rPr>
                <w:bCs/>
                <w:szCs w:val="24"/>
                <w:lang w:eastAsia="lt-LT"/>
              </w:rPr>
            </w:pPr>
            <w:r>
              <w:rPr>
                <w:szCs w:val="24"/>
                <w:lang w:eastAsia="lt-LT"/>
              </w:rPr>
              <w:t xml:space="preserve">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w:t>
            </w:r>
            <w:r>
              <w:rPr>
                <w:bCs/>
                <w:szCs w:val="24"/>
                <w:lang w:eastAsia="lt-LT"/>
              </w:rPr>
              <w:t>DJMP pagal 2014–2020 m. ESFIP rengusiose ir įgyvendinusiose savivaldybėse.</w:t>
            </w:r>
          </w:p>
          <w:p w14:paraId="2DCD9934" w14:textId="77777777" w:rsidR="00441037" w:rsidRDefault="00A92158">
            <w:pPr>
              <w:jc w:val="both"/>
              <w:rPr>
                <w:szCs w:val="24"/>
                <w:lang w:eastAsia="lt-LT"/>
              </w:rPr>
            </w:pPr>
            <w:r>
              <w:rPr>
                <w:szCs w:val="24"/>
                <w:lang w:eastAsia="lt-LT"/>
              </w:rPr>
              <w:t xml:space="preserve">Įgyvendinant veiksmus (veiklas) bus vadovaujamasi Deleguotojo reglamento (ES) 2021/2139 1 straipsnio I priedo ir 2 straipsnio II priedo atitinkamoms veikloms taikomuose </w:t>
            </w:r>
            <w:r>
              <w:rPr>
                <w:szCs w:val="24"/>
                <w:lang w:eastAsia="lt-LT"/>
              </w:rPr>
              <w:lastRenderedPageBreak/>
              <w:t>punktuose (pvz., kuriant naują infrastruktūrą ar modernizuojant esamą – taikomi šio Reglamento 7 punkte nustatyti techninės analizės kriterijai; įsigyjant IT įrangą – taikomi šio Reglamento 8 punkte nustatyti techninės analizės kriterijai, įsigyjant transporto priemones – taikomi šio Reglamento 6 punkte nustatyti techninės analizės kriterijai ir t. t.) nustatytais reikalavimais, tai numatant atitinkamuose dokumentuose (pvz., pirkimo ir kt. dokumentuose) (</w:t>
            </w:r>
            <w:r>
              <w:rPr>
                <w:bCs/>
                <w:szCs w:val="24"/>
                <w:lang w:eastAsia="lt-LT"/>
              </w:rPr>
              <w:t>veiksmų įtaka yra numatyta Deleguotojo reglamento  (</w:t>
            </w:r>
            <w:r>
              <w:rPr>
                <w:szCs w:val="24"/>
                <w:lang w:eastAsia="lt-LT"/>
              </w:rPr>
              <w:t>ES) 2021/2139 6.3, 6,13 ir 6,15 punktuose).</w:t>
            </w:r>
          </w:p>
          <w:p w14:paraId="437B1AB6" w14:textId="77777777" w:rsidR="00441037" w:rsidRDefault="00A92158">
            <w:pPr>
              <w:jc w:val="both"/>
              <w:rPr>
                <w:bCs/>
                <w:szCs w:val="24"/>
                <w:lang w:eastAsia="lt-LT"/>
              </w:rPr>
            </w:pPr>
            <w:r>
              <w:rPr>
                <w:szCs w:val="24"/>
                <w:lang w:eastAsia="lt-LT"/>
              </w:rPr>
              <w:t xml:space="preserve">Veiklas planuojama įgyvendinti </w:t>
            </w:r>
            <w:r>
              <w:rPr>
                <w:bCs/>
                <w:szCs w:val="24"/>
                <w:lang w:eastAsia="lt-LT"/>
              </w:rPr>
              <w:t>didžiuosiuose šalies miestuose ir kurortuose, todėl reikšminga įtaka biologinei įvairovei ar ekosistemoms nebūtų padaryta. Pagal atliktą pirminį vertinimą ir pagal šiuo metu galiojančių teisės aktų reikalavimus, poveikio „</w:t>
            </w:r>
            <w:proofErr w:type="spellStart"/>
            <w:r>
              <w:rPr>
                <w:bCs/>
                <w:szCs w:val="24"/>
                <w:lang w:eastAsia="lt-LT"/>
              </w:rPr>
              <w:t>Natura</w:t>
            </w:r>
            <w:proofErr w:type="spellEnd"/>
            <w:r>
              <w:rPr>
                <w:bCs/>
                <w:szCs w:val="24"/>
                <w:lang w:eastAsia="lt-LT"/>
              </w:rPr>
              <w:t xml:space="preserve"> 2000“ teritorijoms, biologinei įvairovei ir ekosistemai nebus.</w:t>
            </w:r>
          </w:p>
          <w:p w14:paraId="64BC8225" w14:textId="77777777" w:rsidR="00441037" w:rsidRDefault="00A92158">
            <w:pPr>
              <w:jc w:val="both"/>
              <w:rPr>
                <w:szCs w:val="24"/>
                <w:lang w:eastAsia="lt-LT"/>
              </w:rPr>
            </w:pPr>
            <w:r>
              <w:rPr>
                <w:szCs w:val="24"/>
                <w:lang w:eastAsia="lt-LT"/>
              </w:rPr>
              <w:t>Veiklos atitiks 2009 m. lapkričio 30 d. Europos Parlamento ir Tarybos direktyvoje 2009/1471/EB dėl laukinių paukščių apsaugos ir 1992 m. gegužės 21 d. Tarybos direktyvoje 92/43/EEB dėl natūralių buveinių ir laukinės faunos bei floros apsaugos numatytus įsipareigojimus:</w:t>
            </w:r>
          </w:p>
          <w:p w14:paraId="2ED9B0F7" w14:textId="77777777" w:rsidR="00441037" w:rsidRDefault="00A92158">
            <w:pPr>
              <w:jc w:val="both"/>
              <w:rPr>
                <w:szCs w:val="24"/>
                <w:lang w:eastAsia="lt-LT"/>
              </w:rPr>
            </w:pPr>
            <w:r>
              <w:rPr>
                <w:szCs w:val="24"/>
                <w:lang w:eastAsia="lt-LT"/>
              </w:rPr>
              <w:t>išsaugoti, palaikyti ar atkurti pakankamą buveinių įvairovę ir plotą visoms Direktyvos 2009/1471/EB 1 straipsnyje nurodytoms paukščių rūšims; vykdant šį reikalavimą, įranga nebus statoma šių paukščių buveinių saugomose teritorijose; nebus nukrypstama nuo Direktyvos 2009/1471/EB nuostatų jos 9 straipsnyje numatytais arba kokiais nors kitais pagrindais;</w:t>
            </w:r>
          </w:p>
          <w:p w14:paraId="7066C04E" w14:textId="77777777" w:rsidR="00441037" w:rsidRDefault="00A92158">
            <w:pPr>
              <w:jc w:val="both"/>
              <w:rPr>
                <w:rFonts w:eastAsia="Calibri"/>
                <w:b/>
                <w:szCs w:val="24"/>
                <w:lang w:eastAsia="lt-LT"/>
              </w:rPr>
            </w:pPr>
            <w:r>
              <w:rPr>
                <w:szCs w:val="24"/>
                <w:lang w:eastAsia="lt-LT"/>
              </w:rPr>
              <w:t xml:space="preserve">nemontuoti įrangos ir nevykdyti statybų teritorijose, kurios pagal Direktyvą 92/43/EEB laikomos natūraliomis buveinėmis; nė viena iš šios priemonės veiklų netrikdys į Direktyvos 92/43/EEB V priedo A dalį įrašytų gyvūnų rūšių griežtos apsaugos jų paplitimo areale sistemos, draudžiančios, šalia </w:t>
            </w:r>
            <w:r>
              <w:rPr>
                <w:szCs w:val="24"/>
                <w:lang w:eastAsia="lt-LT"/>
              </w:rPr>
              <w:lastRenderedPageBreak/>
              <w:t xml:space="preserve">kitko, trikdyti gyvūnus (ypač jų perėjimo, jauniklių auginimo, žiemos miego ir migracijos metu), taip pat pažeisti, naikinti perėjimo ar poilsio vietas (12 straipsnio b ir d punktai). Išimtys pagal Direktyvos 92/43/EEB 16 straipsnį nenumatomos. </w:t>
            </w:r>
          </w:p>
        </w:tc>
        <w:tc>
          <w:tcPr>
            <w:tcW w:w="5331" w:type="dxa"/>
            <w:tcBorders>
              <w:top w:val="single" w:sz="4" w:space="0" w:color="auto"/>
              <w:left w:val="single" w:sz="4" w:space="0" w:color="auto"/>
              <w:bottom w:val="single" w:sz="4" w:space="0" w:color="auto"/>
              <w:right w:val="single" w:sz="4" w:space="0" w:color="auto"/>
            </w:tcBorders>
          </w:tcPr>
          <w:p w14:paraId="30EC629A" w14:textId="77777777" w:rsidR="00441037" w:rsidRDefault="00A92158">
            <w:pPr>
              <w:ind w:left="30"/>
              <w:jc w:val="both"/>
              <w:rPr>
                <w:szCs w:val="24"/>
                <w:lang w:eastAsia="lt-LT"/>
              </w:rPr>
            </w:pPr>
            <w:r>
              <w:rPr>
                <w:szCs w:val="24"/>
                <w:lang w:eastAsia="lt-LT"/>
              </w:rPr>
              <w:lastRenderedPageBreak/>
              <w:t>1. Vadovaujantis Planuojamos ūkinės veiklos poveikio aplinkai vertinimo įstatymu, iki PĮP pateikimo pareiškėjas turi būti atlikęs PAV ir turi būti pateikti atsakingos institucijos galiojantys dokumentai (jeigu taikoma).</w:t>
            </w:r>
          </w:p>
          <w:p w14:paraId="778F87EE" w14:textId="77777777" w:rsidR="00441037" w:rsidRDefault="00441037">
            <w:pPr>
              <w:ind w:left="30"/>
              <w:jc w:val="both"/>
              <w:rPr>
                <w:szCs w:val="24"/>
                <w:lang w:eastAsia="lt-LT"/>
              </w:rPr>
            </w:pPr>
          </w:p>
          <w:p w14:paraId="585EBB6E" w14:textId="77777777" w:rsidR="00441037" w:rsidRDefault="00A92158">
            <w:pPr>
              <w:tabs>
                <w:tab w:val="left" w:pos="458"/>
              </w:tabs>
              <w:ind w:left="34"/>
              <w:jc w:val="both"/>
              <w:rPr>
                <w:szCs w:val="24"/>
              </w:rPr>
            </w:pPr>
            <w:r>
              <w:rPr>
                <w:szCs w:val="24"/>
              </w:rPr>
              <w:t>2. Vadovaujantis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patvirtinto </w:t>
            </w:r>
            <w:r>
              <w:rPr>
                <w:szCs w:val="24"/>
              </w:rPr>
              <w:lastRenderedPageBreak/>
              <w:t>Lietuvos Respublikos aplinkos ministro 2006 m. gegužės 22 d. įsakymu Nr. D1-255 „Dėl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patvirtinimo“, nuostatomis turi būti atliktas „</w:t>
            </w:r>
            <w:proofErr w:type="spellStart"/>
            <w:r>
              <w:rPr>
                <w:szCs w:val="24"/>
              </w:rPr>
              <w:t>Natura</w:t>
            </w:r>
            <w:proofErr w:type="spellEnd"/>
            <w:r>
              <w:rPr>
                <w:szCs w:val="24"/>
              </w:rPr>
              <w:t xml:space="preserve"> 2000“ teritorijų reikšmingumo nustatymas (jeigu taikoma).</w:t>
            </w:r>
          </w:p>
          <w:p w14:paraId="45496279" w14:textId="77777777" w:rsidR="00441037" w:rsidRDefault="00441037">
            <w:pPr>
              <w:tabs>
                <w:tab w:val="left" w:pos="458"/>
              </w:tabs>
              <w:ind w:left="34"/>
              <w:jc w:val="both"/>
              <w:rPr>
                <w:rFonts w:eastAsia="Calibri"/>
                <w:i/>
                <w:iCs/>
                <w:szCs w:val="24"/>
              </w:rPr>
            </w:pPr>
          </w:p>
          <w:p w14:paraId="2B538AEF" w14:textId="77777777" w:rsidR="00441037" w:rsidRDefault="00A92158">
            <w:pPr>
              <w:tabs>
                <w:tab w:val="left" w:pos="458"/>
              </w:tabs>
              <w:ind w:left="34"/>
              <w:jc w:val="both"/>
              <w:rPr>
                <w:rFonts w:eastAsia="Calibri"/>
                <w:szCs w:val="24"/>
              </w:rPr>
            </w:pPr>
            <w:r>
              <w:rPr>
                <w:rFonts w:eastAsia="Calibri"/>
                <w:szCs w:val="24"/>
              </w:rPr>
              <w:t>3. Kita aktuali informacija ir (ar) dokumentai.</w:t>
            </w:r>
          </w:p>
        </w:tc>
      </w:tr>
    </w:tbl>
    <w:p w14:paraId="595ECBE6" w14:textId="77777777" w:rsidR="00441037" w:rsidRDefault="00441037"/>
    <w:p w14:paraId="24C11B2F" w14:textId="77777777" w:rsidR="00441037" w:rsidRDefault="00441037">
      <w:pPr>
        <w:spacing w:line="276" w:lineRule="auto"/>
        <w:jc w:val="center"/>
        <w:rPr>
          <w:rFonts w:eastAsia="Calibri"/>
          <w:sz w:val="20"/>
          <w:szCs w:val="24"/>
          <w:lang w:eastAsia="lt-LT"/>
        </w:rPr>
      </w:pPr>
    </w:p>
    <w:p w14:paraId="2A7886A2" w14:textId="668C0468" w:rsidR="00441037" w:rsidRDefault="00A92158" w:rsidP="006073C2">
      <w:pPr>
        <w:spacing w:line="276" w:lineRule="auto"/>
        <w:jc w:val="center"/>
        <w:rPr>
          <w:lang w:eastAsia="lt-LT"/>
        </w:rPr>
      </w:pPr>
      <w:r>
        <w:rPr>
          <w:rFonts w:eastAsia="Calibri"/>
          <w:sz w:val="20"/>
          <w:szCs w:val="24"/>
          <w:lang w:eastAsia="lt-LT"/>
        </w:rPr>
        <w:t>_______________________________</w:t>
      </w:r>
    </w:p>
    <w:sectPr w:rsidR="00441037">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09AD" w14:textId="77777777" w:rsidR="00AA3337" w:rsidRDefault="00AA3337">
      <w:pPr>
        <w:rPr>
          <w:sz w:val="20"/>
          <w:lang w:eastAsia="lt-LT"/>
        </w:rPr>
      </w:pPr>
      <w:r>
        <w:rPr>
          <w:sz w:val="20"/>
          <w:lang w:eastAsia="lt-LT"/>
        </w:rPr>
        <w:separator/>
      </w:r>
    </w:p>
  </w:endnote>
  <w:endnote w:type="continuationSeparator" w:id="0">
    <w:p w14:paraId="7707D132" w14:textId="77777777" w:rsidR="00AA3337" w:rsidRDefault="00AA3337">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81E8" w14:textId="77777777" w:rsidR="00441037" w:rsidRDefault="004410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143B" w14:textId="77777777" w:rsidR="00441037" w:rsidRDefault="00441037">
    <w:pPr>
      <w:tabs>
        <w:tab w:val="center" w:pos="4819"/>
        <w:tab w:val="right" w:pos="9638"/>
      </w:tabs>
      <w:jc w:val="center"/>
    </w:pPr>
  </w:p>
  <w:p w14:paraId="75DC065A" w14:textId="77777777" w:rsidR="00441037" w:rsidRDefault="004410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5AC1" w14:textId="77777777" w:rsidR="00441037" w:rsidRDefault="00441037">
    <w:pPr>
      <w:tabs>
        <w:tab w:val="center" w:pos="4153"/>
        <w:tab w:val="right" w:pos="8306"/>
      </w:tabs>
      <w:jc w:val="right"/>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F4BB" w14:textId="77777777" w:rsidR="00AA3337" w:rsidRDefault="00AA3337">
      <w:pPr>
        <w:rPr>
          <w:sz w:val="20"/>
          <w:lang w:eastAsia="lt-LT"/>
        </w:rPr>
      </w:pPr>
      <w:r>
        <w:rPr>
          <w:sz w:val="20"/>
          <w:lang w:eastAsia="lt-LT"/>
        </w:rPr>
        <w:separator/>
      </w:r>
    </w:p>
  </w:footnote>
  <w:footnote w:type="continuationSeparator" w:id="0">
    <w:p w14:paraId="0C135F19" w14:textId="77777777" w:rsidR="00AA3337" w:rsidRDefault="00AA3337">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E50E" w14:textId="77777777" w:rsidR="00441037" w:rsidRDefault="00A92158">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separate"/>
    </w:r>
    <w:r>
      <w:rPr>
        <w:sz w:val="22"/>
        <w:szCs w:val="22"/>
        <w:lang w:eastAsia="lt-LT"/>
      </w:rPr>
      <w:t>1</w:t>
    </w:r>
    <w:r>
      <w:rPr>
        <w:sz w:val="22"/>
        <w:szCs w:val="22"/>
        <w:lang w:eastAsia="lt-LT"/>
      </w:rPr>
      <w:fldChar w:fldCharType="end"/>
    </w:r>
  </w:p>
  <w:p w14:paraId="46ABF060" w14:textId="77777777" w:rsidR="00441037" w:rsidRDefault="00441037">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3D2E" w14:textId="77777777" w:rsidR="00441037" w:rsidRDefault="00A92158">
    <w:pPr>
      <w:tabs>
        <w:tab w:val="center" w:pos="4819"/>
        <w:tab w:val="right" w:pos="9638"/>
      </w:tabs>
      <w:jc w:val="center"/>
    </w:pPr>
    <w:r>
      <w:fldChar w:fldCharType="begin"/>
    </w:r>
    <w:r>
      <w:instrText>PAGE   \* MERGEFORMAT</w:instrText>
    </w:r>
    <w:r>
      <w:fldChar w:fldCharType="separate"/>
    </w:r>
    <w:r w:rsidR="00552C97">
      <w:rPr>
        <w:noProof/>
      </w:rPr>
      <w:t>2</w:t>
    </w:r>
    <w:r>
      <w:fldChar w:fldCharType="end"/>
    </w:r>
  </w:p>
  <w:p w14:paraId="124D0407" w14:textId="77777777" w:rsidR="00441037" w:rsidRDefault="0044103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1E0E" w14:textId="77777777" w:rsidR="00441037" w:rsidRDefault="004410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FA"/>
    <w:rsid w:val="00062275"/>
    <w:rsid w:val="001F3BFA"/>
    <w:rsid w:val="00441037"/>
    <w:rsid w:val="00552C97"/>
    <w:rsid w:val="006073C2"/>
    <w:rsid w:val="0067793C"/>
    <w:rsid w:val="00A92158"/>
    <w:rsid w:val="00AA333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21F89"/>
  <w15:docId w15:val="{DBA66EF3-B5E0-4DBF-AE14-4F679D78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274">
      <w:bodyDiv w:val="1"/>
      <w:marLeft w:val="0"/>
      <w:marRight w:val="0"/>
      <w:marTop w:val="0"/>
      <w:marBottom w:val="0"/>
      <w:divBdr>
        <w:top w:val="none" w:sz="0" w:space="0" w:color="auto"/>
        <w:left w:val="none" w:sz="0" w:space="0" w:color="auto"/>
        <w:bottom w:val="none" w:sz="0" w:space="0" w:color="auto"/>
        <w:right w:val="none" w:sz="0" w:space="0" w:color="auto"/>
      </w:divBdr>
      <w:divsChild>
        <w:div w:id="376513122">
          <w:marLeft w:val="0"/>
          <w:marRight w:val="0"/>
          <w:marTop w:val="0"/>
          <w:marBottom w:val="0"/>
          <w:divBdr>
            <w:top w:val="none" w:sz="0" w:space="0" w:color="auto"/>
            <w:left w:val="none" w:sz="0" w:space="0" w:color="auto"/>
            <w:bottom w:val="none" w:sz="0" w:space="0" w:color="auto"/>
            <w:right w:val="none" w:sz="0" w:space="0" w:color="auto"/>
          </w:divBdr>
        </w:div>
        <w:div w:id="349601119">
          <w:marLeft w:val="0"/>
          <w:marRight w:val="0"/>
          <w:marTop w:val="0"/>
          <w:marBottom w:val="0"/>
          <w:divBdr>
            <w:top w:val="none" w:sz="0" w:space="0" w:color="auto"/>
            <w:left w:val="none" w:sz="0" w:space="0" w:color="auto"/>
            <w:bottom w:val="none" w:sz="0" w:space="0" w:color="auto"/>
            <w:right w:val="none" w:sz="0" w:space="0" w:color="auto"/>
          </w:divBdr>
        </w:div>
        <w:div w:id="1550991135">
          <w:marLeft w:val="0"/>
          <w:marRight w:val="0"/>
          <w:marTop w:val="0"/>
          <w:marBottom w:val="0"/>
          <w:divBdr>
            <w:top w:val="none" w:sz="0" w:space="0" w:color="auto"/>
            <w:left w:val="none" w:sz="0" w:space="0" w:color="auto"/>
            <w:bottom w:val="none" w:sz="0" w:space="0" w:color="auto"/>
            <w:right w:val="none" w:sz="0" w:space="0" w:color="auto"/>
          </w:divBdr>
        </w:div>
        <w:div w:id="447048778">
          <w:marLeft w:val="0"/>
          <w:marRight w:val="0"/>
          <w:marTop w:val="0"/>
          <w:marBottom w:val="0"/>
          <w:divBdr>
            <w:top w:val="none" w:sz="0" w:space="0" w:color="auto"/>
            <w:left w:val="none" w:sz="0" w:space="0" w:color="auto"/>
            <w:bottom w:val="none" w:sz="0" w:space="0" w:color="auto"/>
            <w:right w:val="none" w:sz="0" w:space="0" w:color="auto"/>
          </w:divBdr>
        </w:div>
      </w:divsChild>
    </w:div>
    <w:div w:id="297226948">
      <w:bodyDiv w:val="1"/>
      <w:marLeft w:val="0"/>
      <w:marRight w:val="0"/>
      <w:marTop w:val="0"/>
      <w:marBottom w:val="0"/>
      <w:divBdr>
        <w:top w:val="none" w:sz="0" w:space="0" w:color="auto"/>
        <w:left w:val="none" w:sz="0" w:space="0" w:color="auto"/>
        <w:bottom w:val="none" w:sz="0" w:space="0" w:color="auto"/>
        <w:right w:val="none" w:sz="0" w:space="0" w:color="auto"/>
      </w:divBdr>
    </w:div>
    <w:div w:id="670983946">
      <w:bodyDiv w:val="1"/>
      <w:marLeft w:val="0"/>
      <w:marRight w:val="0"/>
      <w:marTop w:val="0"/>
      <w:marBottom w:val="0"/>
      <w:divBdr>
        <w:top w:val="none" w:sz="0" w:space="0" w:color="auto"/>
        <w:left w:val="none" w:sz="0" w:space="0" w:color="auto"/>
        <w:bottom w:val="none" w:sz="0" w:space="0" w:color="auto"/>
        <w:right w:val="none" w:sz="0" w:space="0" w:color="auto"/>
      </w:divBdr>
      <w:divsChild>
        <w:div w:id="1983851792">
          <w:marLeft w:val="0"/>
          <w:marRight w:val="0"/>
          <w:marTop w:val="0"/>
          <w:marBottom w:val="0"/>
          <w:divBdr>
            <w:top w:val="none" w:sz="0" w:space="0" w:color="auto"/>
            <w:left w:val="none" w:sz="0" w:space="0" w:color="auto"/>
            <w:bottom w:val="none" w:sz="0" w:space="0" w:color="auto"/>
            <w:right w:val="none" w:sz="0" w:space="0" w:color="auto"/>
          </w:divBdr>
        </w:div>
        <w:div w:id="1545487515">
          <w:marLeft w:val="0"/>
          <w:marRight w:val="0"/>
          <w:marTop w:val="0"/>
          <w:marBottom w:val="0"/>
          <w:divBdr>
            <w:top w:val="none" w:sz="0" w:space="0" w:color="auto"/>
            <w:left w:val="none" w:sz="0" w:space="0" w:color="auto"/>
            <w:bottom w:val="none" w:sz="0" w:space="0" w:color="auto"/>
            <w:right w:val="none" w:sz="0" w:space="0" w:color="auto"/>
          </w:divBdr>
        </w:div>
        <w:div w:id="410934967">
          <w:marLeft w:val="0"/>
          <w:marRight w:val="0"/>
          <w:marTop w:val="0"/>
          <w:marBottom w:val="0"/>
          <w:divBdr>
            <w:top w:val="none" w:sz="0" w:space="0" w:color="auto"/>
            <w:left w:val="none" w:sz="0" w:space="0" w:color="auto"/>
            <w:bottom w:val="none" w:sz="0" w:space="0" w:color="auto"/>
            <w:right w:val="none" w:sz="0" w:space="0" w:color="auto"/>
          </w:divBdr>
        </w:div>
        <w:div w:id="1067803175">
          <w:marLeft w:val="0"/>
          <w:marRight w:val="0"/>
          <w:marTop w:val="0"/>
          <w:marBottom w:val="0"/>
          <w:divBdr>
            <w:top w:val="none" w:sz="0" w:space="0" w:color="auto"/>
            <w:left w:val="none" w:sz="0" w:space="0" w:color="auto"/>
            <w:bottom w:val="none" w:sz="0" w:space="0" w:color="auto"/>
            <w:right w:val="none" w:sz="0" w:space="0" w:color="auto"/>
          </w:divBdr>
        </w:div>
        <w:div w:id="399182794">
          <w:marLeft w:val="0"/>
          <w:marRight w:val="0"/>
          <w:marTop w:val="0"/>
          <w:marBottom w:val="0"/>
          <w:divBdr>
            <w:top w:val="none" w:sz="0" w:space="0" w:color="auto"/>
            <w:left w:val="none" w:sz="0" w:space="0" w:color="auto"/>
            <w:bottom w:val="none" w:sz="0" w:space="0" w:color="auto"/>
            <w:right w:val="none" w:sz="0" w:space="0" w:color="auto"/>
          </w:divBdr>
        </w:div>
        <w:div w:id="1089038504">
          <w:marLeft w:val="0"/>
          <w:marRight w:val="0"/>
          <w:marTop w:val="0"/>
          <w:marBottom w:val="0"/>
          <w:divBdr>
            <w:top w:val="none" w:sz="0" w:space="0" w:color="auto"/>
            <w:left w:val="none" w:sz="0" w:space="0" w:color="auto"/>
            <w:bottom w:val="none" w:sz="0" w:space="0" w:color="auto"/>
            <w:right w:val="none" w:sz="0" w:space="0" w:color="auto"/>
          </w:divBdr>
        </w:div>
        <w:div w:id="570575939">
          <w:marLeft w:val="0"/>
          <w:marRight w:val="0"/>
          <w:marTop w:val="0"/>
          <w:marBottom w:val="0"/>
          <w:divBdr>
            <w:top w:val="none" w:sz="0" w:space="0" w:color="auto"/>
            <w:left w:val="none" w:sz="0" w:space="0" w:color="auto"/>
            <w:bottom w:val="none" w:sz="0" w:space="0" w:color="auto"/>
            <w:right w:val="none" w:sz="0" w:space="0" w:color="auto"/>
          </w:divBdr>
        </w:div>
        <w:div w:id="967473739">
          <w:marLeft w:val="0"/>
          <w:marRight w:val="0"/>
          <w:marTop w:val="0"/>
          <w:marBottom w:val="0"/>
          <w:divBdr>
            <w:top w:val="none" w:sz="0" w:space="0" w:color="auto"/>
            <w:left w:val="none" w:sz="0" w:space="0" w:color="auto"/>
            <w:bottom w:val="none" w:sz="0" w:space="0" w:color="auto"/>
            <w:right w:val="none" w:sz="0" w:space="0" w:color="auto"/>
          </w:divBdr>
        </w:div>
        <w:div w:id="999314519">
          <w:marLeft w:val="0"/>
          <w:marRight w:val="0"/>
          <w:marTop w:val="0"/>
          <w:marBottom w:val="0"/>
          <w:divBdr>
            <w:top w:val="none" w:sz="0" w:space="0" w:color="auto"/>
            <w:left w:val="none" w:sz="0" w:space="0" w:color="auto"/>
            <w:bottom w:val="none" w:sz="0" w:space="0" w:color="auto"/>
            <w:right w:val="none" w:sz="0" w:space="0" w:color="auto"/>
          </w:divBdr>
        </w:div>
        <w:div w:id="704870001">
          <w:marLeft w:val="0"/>
          <w:marRight w:val="0"/>
          <w:marTop w:val="0"/>
          <w:marBottom w:val="0"/>
          <w:divBdr>
            <w:top w:val="none" w:sz="0" w:space="0" w:color="auto"/>
            <w:left w:val="none" w:sz="0" w:space="0" w:color="auto"/>
            <w:bottom w:val="none" w:sz="0" w:space="0" w:color="auto"/>
            <w:right w:val="none" w:sz="0" w:space="0" w:color="auto"/>
          </w:divBdr>
        </w:div>
        <w:div w:id="142357940">
          <w:marLeft w:val="0"/>
          <w:marRight w:val="0"/>
          <w:marTop w:val="0"/>
          <w:marBottom w:val="0"/>
          <w:divBdr>
            <w:top w:val="none" w:sz="0" w:space="0" w:color="auto"/>
            <w:left w:val="none" w:sz="0" w:space="0" w:color="auto"/>
            <w:bottom w:val="none" w:sz="0" w:space="0" w:color="auto"/>
            <w:right w:val="none" w:sz="0" w:space="0" w:color="auto"/>
          </w:divBdr>
        </w:div>
        <w:div w:id="1694260378">
          <w:marLeft w:val="0"/>
          <w:marRight w:val="0"/>
          <w:marTop w:val="0"/>
          <w:marBottom w:val="0"/>
          <w:divBdr>
            <w:top w:val="none" w:sz="0" w:space="0" w:color="auto"/>
            <w:left w:val="none" w:sz="0" w:space="0" w:color="auto"/>
            <w:bottom w:val="none" w:sz="0" w:space="0" w:color="auto"/>
            <w:right w:val="none" w:sz="0" w:space="0" w:color="auto"/>
          </w:divBdr>
        </w:div>
        <w:div w:id="525412711">
          <w:marLeft w:val="0"/>
          <w:marRight w:val="0"/>
          <w:marTop w:val="0"/>
          <w:marBottom w:val="0"/>
          <w:divBdr>
            <w:top w:val="none" w:sz="0" w:space="0" w:color="auto"/>
            <w:left w:val="none" w:sz="0" w:space="0" w:color="auto"/>
            <w:bottom w:val="none" w:sz="0" w:space="0" w:color="auto"/>
            <w:right w:val="none" w:sz="0" w:space="0" w:color="auto"/>
          </w:divBdr>
        </w:div>
        <w:div w:id="1703246369">
          <w:marLeft w:val="0"/>
          <w:marRight w:val="0"/>
          <w:marTop w:val="0"/>
          <w:marBottom w:val="0"/>
          <w:divBdr>
            <w:top w:val="none" w:sz="0" w:space="0" w:color="auto"/>
            <w:left w:val="none" w:sz="0" w:space="0" w:color="auto"/>
            <w:bottom w:val="none" w:sz="0" w:space="0" w:color="auto"/>
            <w:right w:val="none" w:sz="0" w:space="0" w:color="auto"/>
          </w:divBdr>
        </w:div>
        <w:div w:id="1902861227">
          <w:marLeft w:val="0"/>
          <w:marRight w:val="0"/>
          <w:marTop w:val="0"/>
          <w:marBottom w:val="0"/>
          <w:divBdr>
            <w:top w:val="none" w:sz="0" w:space="0" w:color="auto"/>
            <w:left w:val="none" w:sz="0" w:space="0" w:color="auto"/>
            <w:bottom w:val="none" w:sz="0" w:space="0" w:color="auto"/>
            <w:right w:val="none" w:sz="0" w:space="0" w:color="auto"/>
          </w:divBdr>
        </w:div>
        <w:div w:id="1409573589">
          <w:marLeft w:val="0"/>
          <w:marRight w:val="0"/>
          <w:marTop w:val="0"/>
          <w:marBottom w:val="0"/>
          <w:divBdr>
            <w:top w:val="none" w:sz="0" w:space="0" w:color="auto"/>
            <w:left w:val="none" w:sz="0" w:space="0" w:color="auto"/>
            <w:bottom w:val="none" w:sz="0" w:space="0" w:color="auto"/>
            <w:right w:val="none" w:sz="0" w:space="0" w:color="auto"/>
          </w:divBdr>
        </w:div>
        <w:div w:id="672955354">
          <w:marLeft w:val="0"/>
          <w:marRight w:val="0"/>
          <w:marTop w:val="0"/>
          <w:marBottom w:val="0"/>
          <w:divBdr>
            <w:top w:val="none" w:sz="0" w:space="0" w:color="auto"/>
            <w:left w:val="none" w:sz="0" w:space="0" w:color="auto"/>
            <w:bottom w:val="none" w:sz="0" w:space="0" w:color="auto"/>
            <w:right w:val="none" w:sz="0" w:space="0" w:color="auto"/>
          </w:divBdr>
        </w:div>
        <w:div w:id="24327823">
          <w:marLeft w:val="0"/>
          <w:marRight w:val="0"/>
          <w:marTop w:val="0"/>
          <w:marBottom w:val="0"/>
          <w:divBdr>
            <w:top w:val="none" w:sz="0" w:space="0" w:color="auto"/>
            <w:left w:val="none" w:sz="0" w:space="0" w:color="auto"/>
            <w:bottom w:val="none" w:sz="0" w:space="0" w:color="auto"/>
            <w:right w:val="none" w:sz="0" w:space="0" w:color="auto"/>
          </w:divBdr>
        </w:div>
        <w:div w:id="642008789">
          <w:marLeft w:val="0"/>
          <w:marRight w:val="0"/>
          <w:marTop w:val="0"/>
          <w:marBottom w:val="0"/>
          <w:divBdr>
            <w:top w:val="none" w:sz="0" w:space="0" w:color="auto"/>
            <w:left w:val="none" w:sz="0" w:space="0" w:color="auto"/>
            <w:bottom w:val="none" w:sz="0" w:space="0" w:color="auto"/>
            <w:right w:val="none" w:sz="0" w:space="0" w:color="auto"/>
          </w:divBdr>
        </w:div>
        <w:div w:id="1787045410">
          <w:marLeft w:val="0"/>
          <w:marRight w:val="0"/>
          <w:marTop w:val="0"/>
          <w:marBottom w:val="0"/>
          <w:divBdr>
            <w:top w:val="none" w:sz="0" w:space="0" w:color="auto"/>
            <w:left w:val="none" w:sz="0" w:space="0" w:color="auto"/>
            <w:bottom w:val="none" w:sz="0" w:space="0" w:color="auto"/>
            <w:right w:val="none" w:sz="0" w:space="0" w:color="auto"/>
          </w:divBdr>
        </w:div>
        <w:div w:id="29187093">
          <w:marLeft w:val="0"/>
          <w:marRight w:val="0"/>
          <w:marTop w:val="0"/>
          <w:marBottom w:val="0"/>
          <w:divBdr>
            <w:top w:val="none" w:sz="0" w:space="0" w:color="auto"/>
            <w:left w:val="none" w:sz="0" w:space="0" w:color="auto"/>
            <w:bottom w:val="none" w:sz="0" w:space="0" w:color="auto"/>
            <w:right w:val="none" w:sz="0" w:space="0" w:color="auto"/>
          </w:divBdr>
        </w:div>
        <w:div w:id="682509887">
          <w:marLeft w:val="0"/>
          <w:marRight w:val="0"/>
          <w:marTop w:val="0"/>
          <w:marBottom w:val="0"/>
          <w:divBdr>
            <w:top w:val="none" w:sz="0" w:space="0" w:color="auto"/>
            <w:left w:val="none" w:sz="0" w:space="0" w:color="auto"/>
            <w:bottom w:val="none" w:sz="0" w:space="0" w:color="auto"/>
            <w:right w:val="none" w:sz="0" w:space="0" w:color="auto"/>
          </w:divBdr>
        </w:div>
        <w:div w:id="1822304379">
          <w:marLeft w:val="0"/>
          <w:marRight w:val="0"/>
          <w:marTop w:val="0"/>
          <w:marBottom w:val="0"/>
          <w:divBdr>
            <w:top w:val="none" w:sz="0" w:space="0" w:color="auto"/>
            <w:left w:val="none" w:sz="0" w:space="0" w:color="auto"/>
            <w:bottom w:val="none" w:sz="0" w:space="0" w:color="auto"/>
            <w:right w:val="none" w:sz="0" w:space="0" w:color="auto"/>
          </w:divBdr>
        </w:div>
        <w:div w:id="143592363">
          <w:marLeft w:val="0"/>
          <w:marRight w:val="0"/>
          <w:marTop w:val="0"/>
          <w:marBottom w:val="0"/>
          <w:divBdr>
            <w:top w:val="none" w:sz="0" w:space="0" w:color="auto"/>
            <w:left w:val="none" w:sz="0" w:space="0" w:color="auto"/>
            <w:bottom w:val="none" w:sz="0" w:space="0" w:color="auto"/>
            <w:right w:val="none" w:sz="0" w:space="0" w:color="auto"/>
          </w:divBdr>
        </w:div>
      </w:divsChild>
    </w:div>
    <w:div w:id="869952385">
      <w:bodyDiv w:val="1"/>
      <w:marLeft w:val="0"/>
      <w:marRight w:val="0"/>
      <w:marTop w:val="0"/>
      <w:marBottom w:val="0"/>
      <w:divBdr>
        <w:top w:val="none" w:sz="0" w:space="0" w:color="auto"/>
        <w:left w:val="none" w:sz="0" w:space="0" w:color="auto"/>
        <w:bottom w:val="none" w:sz="0" w:space="0" w:color="auto"/>
        <w:right w:val="none" w:sz="0" w:space="0" w:color="auto"/>
      </w:divBdr>
    </w:div>
    <w:div w:id="1032224370">
      <w:bodyDiv w:val="1"/>
      <w:marLeft w:val="0"/>
      <w:marRight w:val="0"/>
      <w:marTop w:val="0"/>
      <w:marBottom w:val="0"/>
      <w:divBdr>
        <w:top w:val="none" w:sz="0" w:space="0" w:color="auto"/>
        <w:left w:val="none" w:sz="0" w:space="0" w:color="auto"/>
        <w:bottom w:val="none" w:sz="0" w:space="0" w:color="auto"/>
        <w:right w:val="none" w:sz="0" w:space="0" w:color="auto"/>
      </w:divBdr>
      <w:divsChild>
        <w:div w:id="560288473">
          <w:marLeft w:val="0"/>
          <w:marRight w:val="0"/>
          <w:marTop w:val="0"/>
          <w:marBottom w:val="0"/>
          <w:divBdr>
            <w:top w:val="none" w:sz="0" w:space="0" w:color="auto"/>
            <w:left w:val="none" w:sz="0" w:space="0" w:color="auto"/>
            <w:bottom w:val="none" w:sz="0" w:space="0" w:color="auto"/>
            <w:right w:val="none" w:sz="0" w:space="0" w:color="auto"/>
          </w:divBdr>
        </w:div>
        <w:div w:id="1952278861">
          <w:marLeft w:val="0"/>
          <w:marRight w:val="0"/>
          <w:marTop w:val="0"/>
          <w:marBottom w:val="0"/>
          <w:divBdr>
            <w:top w:val="none" w:sz="0" w:space="0" w:color="auto"/>
            <w:left w:val="none" w:sz="0" w:space="0" w:color="auto"/>
            <w:bottom w:val="none" w:sz="0" w:space="0" w:color="auto"/>
            <w:right w:val="none" w:sz="0" w:space="0" w:color="auto"/>
          </w:divBdr>
        </w:div>
        <w:div w:id="1410468044">
          <w:marLeft w:val="0"/>
          <w:marRight w:val="0"/>
          <w:marTop w:val="0"/>
          <w:marBottom w:val="0"/>
          <w:divBdr>
            <w:top w:val="none" w:sz="0" w:space="0" w:color="auto"/>
            <w:left w:val="none" w:sz="0" w:space="0" w:color="auto"/>
            <w:bottom w:val="none" w:sz="0" w:space="0" w:color="auto"/>
            <w:right w:val="none" w:sz="0" w:space="0" w:color="auto"/>
          </w:divBdr>
        </w:div>
        <w:div w:id="109932584">
          <w:marLeft w:val="0"/>
          <w:marRight w:val="0"/>
          <w:marTop w:val="0"/>
          <w:marBottom w:val="0"/>
          <w:divBdr>
            <w:top w:val="none" w:sz="0" w:space="0" w:color="auto"/>
            <w:left w:val="none" w:sz="0" w:space="0" w:color="auto"/>
            <w:bottom w:val="none" w:sz="0" w:space="0" w:color="auto"/>
            <w:right w:val="none" w:sz="0" w:space="0" w:color="auto"/>
          </w:divBdr>
        </w:div>
        <w:div w:id="1279950473">
          <w:marLeft w:val="0"/>
          <w:marRight w:val="0"/>
          <w:marTop w:val="0"/>
          <w:marBottom w:val="0"/>
          <w:divBdr>
            <w:top w:val="none" w:sz="0" w:space="0" w:color="auto"/>
            <w:left w:val="none" w:sz="0" w:space="0" w:color="auto"/>
            <w:bottom w:val="none" w:sz="0" w:space="0" w:color="auto"/>
            <w:right w:val="none" w:sz="0" w:space="0" w:color="auto"/>
          </w:divBdr>
        </w:div>
        <w:div w:id="2120027308">
          <w:marLeft w:val="0"/>
          <w:marRight w:val="0"/>
          <w:marTop w:val="0"/>
          <w:marBottom w:val="0"/>
          <w:divBdr>
            <w:top w:val="none" w:sz="0" w:space="0" w:color="auto"/>
            <w:left w:val="none" w:sz="0" w:space="0" w:color="auto"/>
            <w:bottom w:val="none" w:sz="0" w:space="0" w:color="auto"/>
            <w:right w:val="none" w:sz="0" w:space="0" w:color="auto"/>
          </w:divBdr>
        </w:div>
        <w:div w:id="666598852">
          <w:marLeft w:val="0"/>
          <w:marRight w:val="0"/>
          <w:marTop w:val="0"/>
          <w:marBottom w:val="0"/>
          <w:divBdr>
            <w:top w:val="none" w:sz="0" w:space="0" w:color="auto"/>
            <w:left w:val="none" w:sz="0" w:space="0" w:color="auto"/>
            <w:bottom w:val="none" w:sz="0" w:space="0" w:color="auto"/>
            <w:right w:val="none" w:sz="0" w:space="0" w:color="auto"/>
          </w:divBdr>
        </w:div>
        <w:div w:id="83382673">
          <w:marLeft w:val="0"/>
          <w:marRight w:val="0"/>
          <w:marTop w:val="0"/>
          <w:marBottom w:val="0"/>
          <w:divBdr>
            <w:top w:val="none" w:sz="0" w:space="0" w:color="auto"/>
            <w:left w:val="none" w:sz="0" w:space="0" w:color="auto"/>
            <w:bottom w:val="none" w:sz="0" w:space="0" w:color="auto"/>
            <w:right w:val="none" w:sz="0" w:space="0" w:color="auto"/>
          </w:divBdr>
        </w:div>
        <w:div w:id="1247416487">
          <w:marLeft w:val="0"/>
          <w:marRight w:val="0"/>
          <w:marTop w:val="0"/>
          <w:marBottom w:val="0"/>
          <w:divBdr>
            <w:top w:val="none" w:sz="0" w:space="0" w:color="auto"/>
            <w:left w:val="none" w:sz="0" w:space="0" w:color="auto"/>
            <w:bottom w:val="none" w:sz="0" w:space="0" w:color="auto"/>
            <w:right w:val="none" w:sz="0" w:space="0" w:color="auto"/>
          </w:divBdr>
        </w:div>
        <w:div w:id="1466661566">
          <w:marLeft w:val="0"/>
          <w:marRight w:val="0"/>
          <w:marTop w:val="0"/>
          <w:marBottom w:val="0"/>
          <w:divBdr>
            <w:top w:val="none" w:sz="0" w:space="0" w:color="auto"/>
            <w:left w:val="none" w:sz="0" w:space="0" w:color="auto"/>
            <w:bottom w:val="none" w:sz="0" w:space="0" w:color="auto"/>
            <w:right w:val="none" w:sz="0" w:space="0" w:color="auto"/>
          </w:divBdr>
        </w:div>
        <w:div w:id="2145537633">
          <w:marLeft w:val="0"/>
          <w:marRight w:val="0"/>
          <w:marTop w:val="0"/>
          <w:marBottom w:val="0"/>
          <w:divBdr>
            <w:top w:val="none" w:sz="0" w:space="0" w:color="auto"/>
            <w:left w:val="none" w:sz="0" w:space="0" w:color="auto"/>
            <w:bottom w:val="none" w:sz="0" w:space="0" w:color="auto"/>
            <w:right w:val="none" w:sz="0" w:space="0" w:color="auto"/>
          </w:divBdr>
        </w:div>
        <w:div w:id="2101246467">
          <w:marLeft w:val="0"/>
          <w:marRight w:val="0"/>
          <w:marTop w:val="0"/>
          <w:marBottom w:val="0"/>
          <w:divBdr>
            <w:top w:val="none" w:sz="0" w:space="0" w:color="auto"/>
            <w:left w:val="none" w:sz="0" w:space="0" w:color="auto"/>
            <w:bottom w:val="none" w:sz="0" w:space="0" w:color="auto"/>
            <w:right w:val="none" w:sz="0" w:space="0" w:color="auto"/>
          </w:divBdr>
        </w:div>
        <w:div w:id="2131630951">
          <w:marLeft w:val="0"/>
          <w:marRight w:val="0"/>
          <w:marTop w:val="0"/>
          <w:marBottom w:val="0"/>
          <w:divBdr>
            <w:top w:val="none" w:sz="0" w:space="0" w:color="auto"/>
            <w:left w:val="none" w:sz="0" w:space="0" w:color="auto"/>
            <w:bottom w:val="none" w:sz="0" w:space="0" w:color="auto"/>
            <w:right w:val="none" w:sz="0" w:space="0" w:color="auto"/>
          </w:divBdr>
        </w:div>
        <w:div w:id="1188832679">
          <w:marLeft w:val="0"/>
          <w:marRight w:val="0"/>
          <w:marTop w:val="0"/>
          <w:marBottom w:val="0"/>
          <w:divBdr>
            <w:top w:val="none" w:sz="0" w:space="0" w:color="auto"/>
            <w:left w:val="none" w:sz="0" w:space="0" w:color="auto"/>
            <w:bottom w:val="none" w:sz="0" w:space="0" w:color="auto"/>
            <w:right w:val="none" w:sz="0" w:space="0" w:color="auto"/>
          </w:divBdr>
        </w:div>
        <w:div w:id="381173149">
          <w:marLeft w:val="0"/>
          <w:marRight w:val="0"/>
          <w:marTop w:val="0"/>
          <w:marBottom w:val="0"/>
          <w:divBdr>
            <w:top w:val="none" w:sz="0" w:space="0" w:color="auto"/>
            <w:left w:val="none" w:sz="0" w:space="0" w:color="auto"/>
            <w:bottom w:val="none" w:sz="0" w:space="0" w:color="auto"/>
            <w:right w:val="none" w:sz="0" w:space="0" w:color="auto"/>
          </w:divBdr>
        </w:div>
      </w:divsChild>
    </w:div>
    <w:div w:id="1195004262">
      <w:bodyDiv w:val="1"/>
      <w:marLeft w:val="0"/>
      <w:marRight w:val="0"/>
      <w:marTop w:val="0"/>
      <w:marBottom w:val="0"/>
      <w:divBdr>
        <w:top w:val="none" w:sz="0" w:space="0" w:color="auto"/>
        <w:left w:val="none" w:sz="0" w:space="0" w:color="auto"/>
        <w:bottom w:val="none" w:sz="0" w:space="0" w:color="auto"/>
        <w:right w:val="none" w:sz="0" w:space="0" w:color="auto"/>
      </w:divBdr>
    </w:div>
    <w:div w:id="1315256063">
      <w:bodyDiv w:val="1"/>
      <w:marLeft w:val="0"/>
      <w:marRight w:val="0"/>
      <w:marTop w:val="0"/>
      <w:marBottom w:val="0"/>
      <w:divBdr>
        <w:top w:val="none" w:sz="0" w:space="0" w:color="auto"/>
        <w:left w:val="none" w:sz="0" w:space="0" w:color="auto"/>
        <w:bottom w:val="none" w:sz="0" w:space="0" w:color="auto"/>
        <w:right w:val="none" w:sz="0" w:space="0" w:color="auto"/>
      </w:divBdr>
    </w:div>
    <w:div w:id="17418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3FF66-94A6-4C3F-B29F-F46F9AE4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15689</Words>
  <Characters>8943</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Bakaitė</dc:creator>
  <cp:lastModifiedBy>Inga Kmitienė</cp:lastModifiedBy>
  <cp:revision>3</cp:revision>
  <cp:lastPrinted>2023-01-27T10:13:00Z</cp:lastPrinted>
  <dcterms:created xsi:type="dcterms:W3CDTF">2024-02-26T12:31:00Z</dcterms:created>
  <dcterms:modified xsi:type="dcterms:W3CDTF">2024-02-26T14:08:00Z</dcterms:modified>
</cp:coreProperties>
</file>