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2CEA0" w14:textId="77777777" w:rsidR="002F5F58" w:rsidRPr="00742966" w:rsidRDefault="002F5F58" w:rsidP="000C3E30">
      <w:pPr>
        <w:spacing w:after="0"/>
        <w:rPr>
          <w:rFonts w:asciiTheme="majorBidi" w:hAnsiTheme="majorBidi" w:cstheme="majorBidi"/>
          <w:b/>
          <w:bCs/>
          <w:sz w:val="24"/>
          <w:szCs w:val="24"/>
        </w:rPr>
      </w:pPr>
    </w:p>
    <w:p w14:paraId="5DDABE26" w14:textId="77777777" w:rsidR="00A253A9" w:rsidRDefault="00A253A9" w:rsidP="00A253A9">
      <w:pPr>
        <w:spacing w:after="0"/>
        <w:jc w:val="center"/>
        <w:rPr>
          <w:rFonts w:ascii="Times New Roman" w:hAnsi="Times New Roman" w:cs="Times New Roman"/>
          <w:b/>
          <w:bCs/>
          <w:caps/>
          <w:color w:val="000000"/>
          <w:sz w:val="24"/>
          <w:szCs w:val="24"/>
        </w:rPr>
      </w:pPr>
      <w:r>
        <w:rPr>
          <w:rFonts w:ascii="Times New Roman" w:hAnsi="Times New Roman" w:cs="Times New Roman"/>
          <w:b/>
          <w:bCs/>
          <w:caps/>
          <w:color w:val="000000"/>
          <w:sz w:val="24"/>
          <w:szCs w:val="24"/>
        </w:rPr>
        <w:t xml:space="preserve">lietuvos respublikos </w:t>
      </w:r>
      <w:r w:rsidRPr="00D61EDF">
        <w:rPr>
          <w:rFonts w:ascii="Times New Roman" w:hAnsi="Times New Roman" w:cs="Times New Roman"/>
          <w:b/>
          <w:bCs/>
          <w:caps/>
          <w:color w:val="000000"/>
          <w:sz w:val="24"/>
          <w:szCs w:val="24"/>
        </w:rPr>
        <w:t>ENERGETIKOS MINISTRO ĮSAKYM</w:t>
      </w:r>
      <w:r>
        <w:rPr>
          <w:rFonts w:ascii="Times New Roman" w:hAnsi="Times New Roman" w:cs="Times New Roman"/>
          <w:b/>
          <w:bCs/>
          <w:caps/>
          <w:color w:val="000000"/>
          <w:sz w:val="24"/>
          <w:szCs w:val="24"/>
        </w:rPr>
        <w:t xml:space="preserve">O </w:t>
      </w:r>
      <w:r w:rsidRPr="00D61EDF">
        <w:rPr>
          <w:rFonts w:ascii="Times New Roman" w:hAnsi="Times New Roman" w:cs="Times New Roman"/>
          <w:b/>
          <w:bCs/>
          <w:color w:val="000000"/>
          <w:sz w:val="24"/>
          <w:szCs w:val="24"/>
        </w:rPr>
        <w:t>„</w:t>
      </w:r>
      <w:r w:rsidRPr="00D61EDF">
        <w:rPr>
          <w:rFonts w:ascii="Times New Roman" w:hAnsi="Times New Roman" w:cs="Times New Roman"/>
          <w:b/>
          <w:bCs/>
          <w:caps/>
          <w:color w:val="000000"/>
          <w:sz w:val="24"/>
          <w:szCs w:val="24"/>
        </w:rPr>
        <w:t>DĖL ENERGETIKOS MINISTRO 2022 M. RUGSĖJO 7 D. ĮSAKYMO NR. 1-265 „DĖL 2021–2030 METŲ PLĖTROS PROGRAMOS VALDYTOJOS LIETUVOS RESPUBLIKOS ENERGETIKOS MINISTERIJOS ENERGETIKOS PLĖTROS PROGRAMOS PAŽANGOS PRIEMONĖS </w:t>
      </w:r>
      <w:r w:rsidRPr="00D61EDF">
        <w:rPr>
          <w:rFonts w:ascii="Times New Roman" w:hAnsi="Times New Roman" w:cs="Times New Roman"/>
          <w:b/>
          <w:bCs/>
          <w:color w:val="000000"/>
          <w:sz w:val="24"/>
          <w:szCs w:val="24"/>
        </w:rPr>
        <w:t>NR. 03-001-06-03-02 „DIDINTI ATSINAUJINANČIŲ ENERGIJOS IŠTEKLIŲ DALĮ, UŽTIKRINANT ATSINAUJINANČIŲ IŠTEKLIŲ INTEGRACIJĄ Į ELEKTROS TINKLUS“</w:t>
      </w:r>
      <w:r w:rsidRPr="00D61EDF">
        <w:rPr>
          <w:rFonts w:ascii="Times New Roman" w:hAnsi="Times New Roman" w:cs="Times New Roman"/>
          <w:b/>
          <w:bCs/>
          <w:caps/>
          <w:color w:val="000000"/>
          <w:sz w:val="24"/>
          <w:szCs w:val="24"/>
        </w:rPr>
        <w:t> APRAŠO PATVIRTINIMO“ PAKEITIMO“</w:t>
      </w:r>
      <w:r>
        <w:rPr>
          <w:rFonts w:ascii="Times New Roman" w:hAnsi="Times New Roman" w:cs="Times New Roman"/>
          <w:b/>
          <w:bCs/>
          <w:caps/>
          <w:color w:val="000000"/>
          <w:sz w:val="24"/>
          <w:szCs w:val="24"/>
        </w:rPr>
        <w:t xml:space="preserve"> PROJEKTO</w:t>
      </w:r>
    </w:p>
    <w:p w14:paraId="2BBDAA5F" w14:textId="77777777" w:rsidR="00A253A9" w:rsidRDefault="00A253A9" w:rsidP="00A253A9">
      <w:pPr>
        <w:spacing w:after="0"/>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DERINIMO PAŽYMA</w:t>
      </w:r>
    </w:p>
    <w:p w14:paraId="741AC059" w14:textId="77777777" w:rsidR="00CE5B69" w:rsidRPr="006043D9" w:rsidRDefault="00CE5B69" w:rsidP="000C3E30">
      <w:pPr>
        <w:spacing w:after="0"/>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2246"/>
        <w:gridCol w:w="6679"/>
        <w:gridCol w:w="4070"/>
      </w:tblGrid>
      <w:tr w:rsidR="000C3E30" w:rsidRPr="006043D9" w14:paraId="1D2326EF" w14:textId="77777777" w:rsidTr="0B3C609B">
        <w:tc>
          <w:tcPr>
            <w:tcW w:w="2246" w:type="dxa"/>
            <w:shd w:val="clear" w:color="auto" w:fill="auto"/>
          </w:tcPr>
          <w:p w14:paraId="2E63322B" w14:textId="2AF7B599" w:rsidR="000C3E30" w:rsidRPr="006043D9" w:rsidRDefault="00A50E69" w:rsidP="006043D9">
            <w:pPr>
              <w:jc w:val="both"/>
              <w:rPr>
                <w:rFonts w:asciiTheme="majorBidi" w:hAnsiTheme="majorBidi" w:cstheme="majorBidi"/>
                <w:sz w:val="24"/>
                <w:szCs w:val="24"/>
              </w:rPr>
            </w:pPr>
            <w:r>
              <w:rPr>
                <w:rFonts w:ascii="Times New Roman" w:hAnsi="Times New Roman" w:cs="Times New Roman"/>
                <w:b/>
                <w:bCs/>
                <w:sz w:val="24"/>
                <w:szCs w:val="24"/>
                <w:lang w:val="lt-LT"/>
              </w:rPr>
              <w:t>Suinteresuotos i</w:t>
            </w:r>
            <w:r w:rsidRPr="00210BB0">
              <w:rPr>
                <w:rFonts w:ascii="Times New Roman" w:hAnsi="Times New Roman" w:cs="Times New Roman"/>
                <w:b/>
                <w:bCs/>
                <w:sz w:val="24"/>
                <w:szCs w:val="24"/>
                <w:lang w:val="lt-LT"/>
              </w:rPr>
              <w:t>nstitucij</w:t>
            </w:r>
            <w:r>
              <w:rPr>
                <w:rFonts w:ascii="Times New Roman" w:hAnsi="Times New Roman" w:cs="Times New Roman"/>
                <w:b/>
                <w:bCs/>
                <w:sz w:val="24"/>
                <w:szCs w:val="24"/>
                <w:lang w:val="lt-LT"/>
              </w:rPr>
              <w:t>os pavadinimas</w:t>
            </w:r>
            <w:r w:rsidRPr="00210BB0">
              <w:rPr>
                <w:rFonts w:ascii="Times New Roman" w:hAnsi="Times New Roman" w:cs="Times New Roman"/>
                <w:b/>
                <w:bCs/>
                <w:sz w:val="24"/>
                <w:szCs w:val="24"/>
                <w:lang w:val="lt-LT"/>
              </w:rPr>
              <w:t>, rašto data ir numeris</w:t>
            </w:r>
          </w:p>
        </w:tc>
        <w:tc>
          <w:tcPr>
            <w:tcW w:w="6679" w:type="dxa"/>
            <w:shd w:val="clear" w:color="auto" w:fill="auto"/>
          </w:tcPr>
          <w:p w14:paraId="2E885C83" w14:textId="3C8D9836" w:rsidR="000C3E30" w:rsidRPr="006043D9" w:rsidRDefault="00CA2B08" w:rsidP="006043D9">
            <w:pPr>
              <w:jc w:val="both"/>
              <w:rPr>
                <w:rFonts w:asciiTheme="majorBidi" w:hAnsiTheme="majorBidi" w:cstheme="majorBidi"/>
                <w:sz w:val="24"/>
                <w:szCs w:val="24"/>
              </w:rPr>
            </w:pPr>
            <w:r w:rsidRPr="00210BB0">
              <w:rPr>
                <w:rFonts w:ascii="Times New Roman" w:hAnsi="Times New Roman" w:cs="Times New Roman"/>
                <w:b/>
                <w:bCs/>
                <w:sz w:val="24"/>
                <w:szCs w:val="24"/>
                <w:lang w:val="lt-LT"/>
              </w:rPr>
              <w:t>Pastab</w:t>
            </w:r>
            <w:r>
              <w:rPr>
                <w:rFonts w:ascii="Times New Roman" w:hAnsi="Times New Roman" w:cs="Times New Roman"/>
                <w:b/>
                <w:bCs/>
                <w:sz w:val="24"/>
                <w:szCs w:val="24"/>
                <w:lang w:val="lt-LT"/>
              </w:rPr>
              <w:t>os ir pasiūlymai</w:t>
            </w:r>
          </w:p>
        </w:tc>
        <w:tc>
          <w:tcPr>
            <w:tcW w:w="4070" w:type="dxa"/>
            <w:shd w:val="clear" w:color="auto" w:fill="auto"/>
          </w:tcPr>
          <w:p w14:paraId="4051CC9B" w14:textId="392895B1" w:rsidR="000C3E30" w:rsidRPr="006043D9" w:rsidRDefault="00B83281" w:rsidP="006043D9">
            <w:pPr>
              <w:jc w:val="both"/>
              <w:rPr>
                <w:rFonts w:asciiTheme="majorBidi" w:hAnsiTheme="majorBidi" w:cstheme="majorBidi"/>
                <w:sz w:val="24"/>
                <w:szCs w:val="24"/>
              </w:rPr>
            </w:pPr>
            <w:r>
              <w:rPr>
                <w:rFonts w:ascii="Times New Roman" w:hAnsi="Times New Roman" w:cs="Times New Roman"/>
                <w:b/>
                <w:bCs/>
                <w:sz w:val="24"/>
                <w:szCs w:val="24"/>
                <w:lang w:val="lt-LT"/>
              </w:rPr>
              <w:t>Argumentai</w:t>
            </w:r>
            <w:r w:rsidRPr="00210BB0">
              <w:rPr>
                <w:rFonts w:ascii="Times New Roman" w:hAnsi="Times New Roman" w:cs="Times New Roman"/>
                <w:b/>
                <w:bCs/>
                <w:sz w:val="24"/>
                <w:szCs w:val="24"/>
                <w:lang w:val="lt-LT"/>
              </w:rPr>
              <w:t xml:space="preserve">, dėl kurių neatsižvelgta ar iš dalies atsižvelgta į </w:t>
            </w:r>
            <w:r>
              <w:rPr>
                <w:rFonts w:ascii="Times New Roman" w:hAnsi="Times New Roman" w:cs="Times New Roman"/>
                <w:b/>
                <w:bCs/>
                <w:sz w:val="24"/>
                <w:szCs w:val="24"/>
                <w:lang w:val="lt-LT"/>
              </w:rPr>
              <w:t xml:space="preserve">suinteresuotos institucijos </w:t>
            </w:r>
            <w:r w:rsidRPr="00210BB0">
              <w:rPr>
                <w:rFonts w:ascii="Times New Roman" w:hAnsi="Times New Roman" w:cs="Times New Roman"/>
                <w:b/>
                <w:bCs/>
                <w:sz w:val="24"/>
                <w:szCs w:val="24"/>
                <w:lang w:val="lt-LT"/>
              </w:rPr>
              <w:t>pastab</w:t>
            </w:r>
            <w:r>
              <w:rPr>
                <w:rFonts w:ascii="Times New Roman" w:hAnsi="Times New Roman" w:cs="Times New Roman"/>
                <w:b/>
                <w:bCs/>
                <w:sz w:val="24"/>
                <w:szCs w:val="24"/>
                <w:lang w:val="lt-LT"/>
              </w:rPr>
              <w:t>as ir pasiūlymus</w:t>
            </w:r>
          </w:p>
        </w:tc>
      </w:tr>
      <w:tr w:rsidR="00FE46EB" w:rsidRPr="00F46226" w14:paraId="617D7485" w14:textId="77777777" w:rsidTr="0B3C609B">
        <w:tc>
          <w:tcPr>
            <w:tcW w:w="2246" w:type="dxa"/>
            <w:vMerge w:val="restart"/>
          </w:tcPr>
          <w:p w14:paraId="1FAFD4DF" w14:textId="77777777" w:rsidR="00FE46EB" w:rsidRDefault="00FE46EB" w:rsidP="006043D9">
            <w:pPr>
              <w:jc w:val="both"/>
              <w:rPr>
                <w:rFonts w:asciiTheme="majorBidi" w:hAnsiTheme="majorBidi" w:cstheme="majorBidi"/>
                <w:sz w:val="24"/>
                <w:szCs w:val="24"/>
              </w:rPr>
            </w:pPr>
            <w:r>
              <w:rPr>
                <w:rFonts w:asciiTheme="majorBidi" w:hAnsiTheme="majorBidi" w:cstheme="majorBidi"/>
                <w:sz w:val="24"/>
                <w:szCs w:val="24"/>
              </w:rPr>
              <w:t>VšĮ Centrinė projektų valdymo agentūra,</w:t>
            </w:r>
          </w:p>
          <w:p w14:paraId="24D20BFD" w14:textId="7BE32016" w:rsidR="00FE46EB" w:rsidRPr="00D37D3F" w:rsidRDefault="00FE46EB" w:rsidP="00F436D5">
            <w:pPr>
              <w:jc w:val="both"/>
              <w:rPr>
                <w:rFonts w:asciiTheme="majorBidi" w:hAnsiTheme="majorBidi" w:cstheme="majorBidi"/>
                <w:sz w:val="24"/>
                <w:szCs w:val="24"/>
              </w:rPr>
            </w:pPr>
            <w:r>
              <w:rPr>
                <w:rFonts w:asciiTheme="majorBidi" w:hAnsiTheme="majorBidi" w:cstheme="majorBidi"/>
                <w:sz w:val="24"/>
                <w:szCs w:val="24"/>
              </w:rPr>
              <w:t xml:space="preserve">2025 m. sausio 7 d. raštas Nr. </w:t>
            </w:r>
            <w:r w:rsidR="00F436D5" w:rsidRPr="00F436D5">
              <w:rPr>
                <w:rFonts w:asciiTheme="majorBidi" w:hAnsiTheme="majorBidi" w:cstheme="majorBidi"/>
                <w:sz w:val="24"/>
                <w:szCs w:val="24"/>
              </w:rPr>
              <w:t>2025/2-146</w:t>
            </w:r>
            <w:r w:rsidR="00F436D5">
              <w:rPr>
                <w:rFonts w:asciiTheme="majorBidi" w:hAnsiTheme="majorBidi" w:cstheme="majorBidi"/>
                <w:sz w:val="24"/>
                <w:szCs w:val="24"/>
              </w:rPr>
              <w:t>.</w:t>
            </w:r>
          </w:p>
        </w:tc>
        <w:tc>
          <w:tcPr>
            <w:tcW w:w="6679" w:type="dxa"/>
            <w:shd w:val="clear" w:color="auto" w:fill="auto"/>
          </w:tcPr>
          <w:p w14:paraId="2922B052" w14:textId="0E331BD4" w:rsidR="00FE46EB" w:rsidRPr="00FE46EB" w:rsidRDefault="00FE46EB" w:rsidP="00D37D3F">
            <w:pPr>
              <w:pStyle w:val="KTpstrnum"/>
              <w:rPr>
                <w:rFonts w:asciiTheme="majorBidi" w:hAnsiTheme="majorBidi" w:cstheme="majorBidi"/>
                <w:sz w:val="24"/>
                <w:szCs w:val="24"/>
                <w:lang w:val="lt-LT"/>
              </w:rPr>
            </w:pPr>
            <w:r>
              <w:rPr>
                <w:rFonts w:asciiTheme="majorBidi" w:hAnsiTheme="majorBidi" w:cstheme="majorBidi"/>
                <w:sz w:val="24"/>
                <w:szCs w:val="24"/>
              </w:rPr>
              <w:t xml:space="preserve">Dėl 15 priedo 11 punkto. </w:t>
            </w:r>
            <w:r w:rsidRPr="00B90658">
              <w:rPr>
                <w:rFonts w:ascii="Times New Roman" w:eastAsia="Calibri" w:hAnsi="Times New Roman" w:cs="Times New Roman"/>
                <w:sz w:val="24"/>
                <w:szCs w:val="24"/>
                <w:lang w:val="lt-LT"/>
              </w:rPr>
              <w:t xml:space="preserve">Aprašo 11.1 punkte nurodoma, kad „JP vykdytojui valstybės pagalba neteikiama“, 11.2 punkte apibūdinama, kam pagal Aprašą teikiama </w:t>
            </w:r>
            <w:r w:rsidRPr="00B90658">
              <w:rPr>
                <w:rFonts w:ascii="Times New Roman" w:eastAsia="Calibri" w:hAnsi="Times New Roman" w:cs="Times New Roman"/>
                <w:i/>
                <w:iCs/>
                <w:sz w:val="24"/>
                <w:szCs w:val="24"/>
                <w:lang w:val="lt-LT"/>
              </w:rPr>
              <w:t xml:space="preserve">de minimis </w:t>
            </w:r>
            <w:r w:rsidRPr="00B90658">
              <w:rPr>
                <w:rFonts w:ascii="Times New Roman" w:eastAsia="Calibri" w:hAnsi="Times New Roman" w:cs="Times New Roman"/>
                <w:sz w:val="24"/>
                <w:szCs w:val="24"/>
                <w:lang w:val="lt-LT"/>
              </w:rPr>
              <w:t>pagalba, tačiau nėra aprašyti atvejai, kuomet finansavimo prašo jungtinio projekto vykdytojas fizinis asmuo, kuomet elektros vartojimo objekte nėra registruotas juridinis asmuo ar fizinis asmuo, vykdantis ekonominę veiklą. Rekomenduojama Aprašo 11 dalį pasipildyti nuostata, kad tokiais atvejais, kaip ir Aprašo 11.1 punkto atveju, valstybės pagalba/</w:t>
            </w:r>
            <w:r w:rsidRPr="00B90658">
              <w:rPr>
                <w:rFonts w:ascii="Times New Roman" w:eastAsia="Calibri" w:hAnsi="Times New Roman" w:cs="Times New Roman"/>
                <w:i/>
                <w:iCs/>
                <w:sz w:val="24"/>
                <w:szCs w:val="24"/>
                <w:lang w:val="lt-LT"/>
              </w:rPr>
              <w:t xml:space="preserve">de minimis </w:t>
            </w:r>
            <w:r w:rsidRPr="00B90658">
              <w:rPr>
                <w:rFonts w:ascii="Times New Roman" w:eastAsia="Calibri" w:hAnsi="Times New Roman" w:cs="Times New Roman"/>
                <w:sz w:val="24"/>
                <w:szCs w:val="24"/>
                <w:lang w:val="lt-LT"/>
              </w:rPr>
              <w:t>pagalba neteikiama.</w:t>
            </w:r>
          </w:p>
        </w:tc>
        <w:tc>
          <w:tcPr>
            <w:tcW w:w="4070" w:type="dxa"/>
            <w:vMerge w:val="restart"/>
            <w:shd w:val="clear" w:color="auto" w:fill="auto"/>
          </w:tcPr>
          <w:p w14:paraId="7915E191" w14:textId="77777777" w:rsidR="00FE46EB" w:rsidRDefault="0052632E" w:rsidP="00223CFE">
            <w:pPr>
              <w:jc w:val="both"/>
              <w:rPr>
                <w:rFonts w:asciiTheme="majorBidi" w:hAnsiTheme="majorBidi" w:cstheme="majorBidi"/>
                <w:b/>
                <w:bCs/>
                <w:sz w:val="24"/>
                <w:szCs w:val="24"/>
                <w:lang w:val="lt-LT"/>
              </w:rPr>
            </w:pPr>
            <w:r>
              <w:rPr>
                <w:rFonts w:asciiTheme="majorBidi" w:hAnsiTheme="majorBidi" w:cstheme="majorBidi"/>
                <w:b/>
                <w:bCs/>
                <w:sz w:val="24"/>
                <w:szCs w:val="24"/>
                <w:lang w:val="lt-LT"/>
              </w:rPr>
              <w:t>Neatsižvelgta.</w:t>
            </w:r>
          </w:p>
          <w:p w14:paraId="32D2F13D" w14:textId="77B8400F" w:rsidR="0052632E" w:rsidRPr="0052632E" w:rsidRDefault="0052632E" w:rsidP="00223CFE">
            <w:pPr>
              <w:jc w:val="both"/>
              <w:rPr>
                <w:rFonts w:asciiTheme="majorBidi" w:hAnsiTheme="majorBidi" w:cstheme="majorBidi"/>
                <w:sz w:val="24"/>
                <w:szCs w:val="24"/>
                <w:lang w:val="lt-LT"/>
              </w:rPr>
            </w:pPr>
            <w:r w:rsidRPr="0052632E">
              <w:rPr>
                <w:rFonts w:asciiTheme="majorBidi" w:hAnsiTheme="majorBidi" w:cstheme="majorBidi"/>
                <w:sz w:val="24"/>
                <w:szCs w:val="24"/>
                <w:lang w:val="lt-LT"/>
              </w:rPr>
              <w:t xml:space="preserve">15 priedo 11.2 papunktis ir 16 priedo 11.2 papunktis apibrėžia atvejus, kada teikiama de minimis pagalba. </w:t>
            </w:r>
            <w:r w:rsidR="000F39FF">
              <w:rPr>
                <w:rFonts w:asciiTheme="majorBidi" w:hAnsiTheme="majorBidi" w:cstheme="majorBidi"/>
                <w:sz w:val="24"/>
                <w:szCs w:val="24"/>
                <w:lang w:val="lt-LT"/>
              </w:rPr>
              <w:t>Manome, kad netikslinga atskirais papunkčiais reglamentuoti visus atvejus, kada ji neteikiama.</w:t>
            </w:r>
            <w:r w:rsidR="002828E3">
              <w:rPr>
                <w:rFonts w:asciiTheme="majorBidi" w:hAnsiTheme="majorBidi" w:cstheme="majorBidi"/>
                <w:sz w:val="24"/>
                <w:szCs w:val="24"/>
                <w:lang w:val="lt-LT"/>
              </w:rPr>
              <w:t xml:space="preserve"> Pažymėtina, kad nuostatos, analogiškos toms, kurios yra 15 ir 16 prieduose, buvo įdėtos į projektų finansavimo sąlygų aprašus, reglamentuojančius dotacijas fiziniams asmenims, įsirengiantiems ar įsigyjantiems saulės elektrines iš nutolusių parkų bei taikomos nuo 2023 metų.</w:t>
            </w:r>
          </w:p>
        </w:tc>
      </w:tr>
      <w:tr w:rsidR="00FE46EB" w:rsidRPr="00F46226" w14:paraId="587D1710" w14:textId="77777777" w:rsidTr="0B3C609B">
        <w:tc>
          <w:tcPr>
            <w:tcW w:w="2246" w:type="dxa"/>
            <w:vMerge/>
          </w:tcPr>
          <w:p w14:paraId="698C1DC1" w14:textId="77777777" w:rsidR="00FE46EB" w:rsidRPr="0052632E" w:rsidRDefault="00FE46EB" w:rsidP="006043D9">
            <w:pPr>
              <w:jc w:val="both"/>
              <w:rPr>
                <w:rFonts w:asciiTheme="majorBidi" w:hAnsiTheme="majorBidi" w:cstheme="majorBidi"/>
                <w:sz w:val="24"/>
                <w:szCs w:val="24"/>
                <w:lang w:val="lt-LT"/>
              </w:rPr>
            </w:pPr>
          </w:p>
        </w:tc>
        <w:tc>
          <w:tcPr>
            <w:tcW w:w="6679" w:type="dxa"/>
            <w:shd w:val="clear" w:color="auto" w:fill="auto"/>
          </w:tcPr>
          <w:p w14:paraId="3F5E722B" w14:textId="4253705C" w:rsidR="00FE46EB" w:rsidRPr="00FE46EB" w:rsidRDefault="00FE46EB" w:rsidP="00D37D3F">
            <w:pPr>
              <w:pStyle w:val="KTpstrnum"/>
              <w:rPr>
                <w:rFonts w:asciiTheme="majorBidi" w:hAnsiTheme="majorBidi" w:cstheme="majorBidi"/>
                <w:sz w:val="24"/>
                <w:szCs w:val="24"/>
                <w:lang w:val="lt-LT"/>
              </w:rPr>
            </w:pPr>
            <w:r w:rsidRPr="00E71CD9">
              <w:rPr>
                <w:rFonts w:asciiTheme="majorBidi" w:hAnsiTheme="majorBidi" w:cstheme="majorBidi"/>
                <w:sz w:val="24"/>
                <w:szCs w:val="24"/>
                <w:lang w:val="lt-LT"/>
              </w:rPr>
              <w:t xml:space="preserve">Dėl 16 priedo 11 punkto. </w:t>
            </w:r>
            <w:r w:rsidRPr="009D7A2F">
              <w:rPr>
                <w:rFonts w:ascii="Times New Roman" w:eastAsia="Calibri" w:hAnsi="Times New Roman" w:cs="Times New Roman"/>
                <w:sz w:val="24"/>
                <w:szCs w:val="24"/>
                <w:lang w:val="lt-LT"/>
              </w:rPr>
              <w:t xml:space="preserve">Aprašo 11.1 punkte nurodoma, kad „JP vykdytojui valstybės pagalba neteikiama“, 11.2 punkte apibūdinama, kam pagal Aprašą teikiama </w:t>
            </w:r>
            <w:r w:rsidRPr="009D7A2F">
              <w:rPr>
                <w:rFonts w:ascii="Times New Roman" w:eastAsia="Calibri" w:hAnsi="Times New Roman" w:cs="Times New Roman"/>
                <w:i/>
                <w:iCs/>
                <w:sz w:val="24"/>
                <w:szCs w:val="24"/>
                <w:lang w:val="lt-LT"/>
              </w:rPr>
              <w:t xml:space="preserve">de minimis </w:t>
            </w:r>
            <w:r w:rsidRPr="009D7A2F">
              <w:rPr>
                <w:rFonts w:ascii="Times New Roman" w:eastAsia="Calibri" w:hAnsi="Times New Roman" w:cs="Times New Roman"/>
                <w:sz w:val="24"/>
                <w:szCs w:val="24"/>
                <w:lang w:val="lt-LT"/>
              </w:rPr>
              <w:t>pagalba, tačiau nėra aprašyti atvejai, kuomet finansavimo prašo jungtinio projekto vykdytojas fizinis asmuo, kuomet elektros vartojimo objekte nėra registruotas juridinis asmuo ar fizinis asmuo, vykdantis ekonominę veiklą. Rekomenduojama Aprašo 11 dalį pasipildyti nuostata, kad tokiais atvejais, kaip ir Aprašo 11.1 punkto atveju, valstybės pagalba/</w:t>
            </w:r>
            <w:r w:rsidRPr="009D7A2F">
              <w:rPr>
                <w:rFonts w:ascii="Times New Roman" w:eastAsia="Calibri" w:hAnsi="Times New Roman" w:cs="Times New Roman"/>
                <w:i/>
                <w:iCs/>
                <w:sz w:val="24"/>
                <w:szCs w:val="24"/>
                <w:lang w:val="lt-LT"/>
              </w:rPr>
              <w:t xml:space="preserve">de minimis </w:t>
            </w:r>
            <w:r w:rsidRPr="009D7A2F">
              <w:rPr>
                <w:rFonts w:ascii="Times New Roman" w:eastAsia="Calibri" w:hAnsi="Times New Roman" w:cs="Times New Roman"/>
                <w:sz w:val="24"/>
                <w:szCs w:val="24"/>
                <w:lang w:val="lt-LT"/>
              </w:rPr>
              <w:t>pagalba neteikiama.</w:t>
            </w:r>
          </w:p>
        </w:tc>
        <w:tc>
          <w:tcPr>
            <w:tcW w:w="4070" w:type="dxa"/>
            <w:vMerge/>
            <w:shd w:val="clear" w:color="auto" w:fill="auto"/>
          </w:tcPr>
          <w:p w14:paraId="254EBB88" w14:textId="77777777" w:rsidR="00FE46EB" w:rsidRPr="00107EF2" w:rsidRDefault="00FE46EB" w:rsidP="00223CFE">
            <w:pPr>
              <w:jc w:val="both"/>
              <w:rPr>
                <w:rFonts w:asciiTheme="majorBidi" w:hAnsiTheme="majorBidi" w:cstheme="majorBidi"/>
                <w:b/>
                <w:bCs/>
                <w:sz w:val="24"/>
                <w:szCs w:val="24"/>
                <w:lang w:val="lt-LT"/>
              </w:rPr>
            </w:pPr>
          </w:p>
        </w:tc>
      </w:tr>
      <w:tr w:rsidR="00FE46EB" w:rsidRPr="00F46226" w14:paraId="56436700" w14:textId="77777777" w:rsidTr="0B3C609B">
        <w:tc>
          <w:tcPr>
            <w:tcW w:w="2246" w:type="dxa"/>
            <w:vMerge/>
          </w:tcPr>
          <w:p w14:paraId="24EBF779" w14:textId="77777777" w:rsidR="00FE46EB" w:rsidRPr="00E533AC" w:rsidRDefault="00FE46EB" w:rsidP="006043D9">
            <w:pPr>
              <w:jc w:val="both"/>
              <w:rPr>
                <w:rFonts w:asciiTheme="majorBidi" w:hAnsiTheme="majorBidi" w:cstheme="majorBidi"/>
                <w:sz w:val="24"/>
                <w:szCs w:val="24"/>
                <w:lang w:val="lt-LT"/>
              </w:rPr>
            </w:pPr>
          </w:p>
        </w:tc>
        <w:tc>
          <w:tcPr>
            <w:tcW w:w="6679" w:type="dxa"/>
            <w:shd w:val="clear" w:color="auto" w:fill="auto"/>
          </w:tcPr>
          <w:p w14:paraId="7370DA5F" w14:textId="77777777" w:rsidR="00FE46EB" w:rsidRPr="00B90658" w:rsidRDefault="00FE46EB" w:rsidP="00FE46EB">
            <w:pPr>
              <w:tabs>
                <w:tab w:val="left" w:pos="993"/>
              </w:tabs>
              <w:contextualSpacing/>
              <w:jc w:val="both"/>
              <w:rPr>
                <w:rFonts w:ascii="Times New Roman" w:eastAsia="Calibri" w:hAnsi="Times New Roman" w:cs="Times New Roman"/>
                <w:sz w:val="24"/>
                <w:szCs w:val="24"/>
                <w:lang w:val="lt-LT"/>
              </w:rPr>
            </w:pPr>
            <w:r>
              <w:rPr>
                <w:rFonts w:asciiTheme="majorBidi" w:hAnsiTheme="majorBidi" w:cstheme="majorBidi"/>
                <w:sz w:val="24"/>
                <w:szCs w:val="24"/>
                <w:lang w:val="lt-LT"/>
              </w:rPr>
              <w:t xml:space="preserve">Dėl 15 priedo 2 priedo. </w:t>
            </w:r>
            <w:r w:rsidRPr="00B90658">
              <w:rPr>
                <w:rFonts w:ascii="Times New Roman" w:eastAsia="Calibri" w:hAnsi="Times New Roman" w:cs="Times New Roman"/>
                <w:sz w:val="24"/>
                <w:szCs w:val="24"/>
                <w:lang w:val="lt-LT"/>
              </w:rPr>
              <w:t xml:space="preserve">Rekomenduojama atitikties </w:t>
            </w:r>
            <w:r w:rsidRPr="00B90658">
              <w:rPr>
                <w:rFonts w:ascii="Times New Roman" w:eastAsia="Calibri" w:hAnsi="Times New Roman" w:cs="Times New Roman"/>
                <w:i/>
                <w:iCs/>
                <w:sz w:val="24"/>
                <w:szCs w:val="24"/>
                <w:lang w:val="lt-LT"/>
              </w:rPr>
              <w:t>de minimis</w:t>
            </w:r>
            <w:r w:rsidRPr="00B90658">
              <w:rPr>
                <w:rFonts w:ascii="Times New Roman" w:eastAsia="Calibri" w:hAnsi="Times New Roman" w:cs="Times New Roman"/>
                <w:sz w:val="24"/>
                <w:szCs w:val="24"/>
                <w:lang w:val="lt-LT"/>
              </w:rPr>
              <w:t xml:space="preserve"> pagalbos taisyklėms patikros lapo klausimus performuluoti tokiu principu, kai Aprašo 3 ir 4 prieduose, kad atsakymai į patikros lapo klausimus turėtų būti „Taip“ ir galutinis atsakymas iš visų pažymėtų </w:t>
            </w:r>
            <w:r w:rsidRPr="00B90658">
              <w:rPr>
                <w:rFonts w:ascii="Times New Roman" w:eastAsia="Calibri" w:hAnsi="Times New Roman" w:cs="Times New Roman"/>
                <w:sz w:val="24"/>
                <w:szCs w:val="24"/>
                <w:lang w:val="lt-LT"/>
              </w:rPr>
              <w:lastRenderedPageBreak/>
              <w:t xml:space="preserve">„Taip“ susidėliotų, „Taip“, reiškiantis, jog teikiamas finansavimas atitinka </w:t>
            </w:r>
            <w:r w:rsidRPr="00B90658">
              <w:rPr>
                <w:rFonts w:ascii="Times New Roman" w:eastAsia="Calibri" w:hAnsi="Times New Roman" w:cs="Times New Roman"/>
                <w:i/>
                <w:iCs/>
                <w:sz w:val="24"/>
                <w:szCs w:val="24"/>
                <w:lang w:val="lt-LT"/>
              </w:rPr>
              <w:t>de minimis</w:t>
            </w:r>
            <w:r w:rsidRPr="00B90658">
              <w:rPr>
                <w:rFonts w:ascii="Times New Roman" w:eastAsia="Calibri" w:hAnsi="Times New Roman" w:cs="Times New Roman"/>
                <w:sz w:val="24"/>
                <w:szCs w:val="24"/>
                <w:lang w:val="lt-LT"/>
              </w:rPr>
              <w:t xml:space="preserve"> reglamentą. Pagal tai kaip šiuo metu pateiktos klausimų formuluotės, į daugumą klausimų atsakymas yra „Ne“, o galutinis atsakymas, kad atitiktų reglamentą gaunasi „Taip“. </w:t>
            </w:r>
          </w:p>
          <w:p w14:paraId="0B8198AE" w14:textId="4B766E30" w:rsidR="00FE46EB" w:rsidRPr="00742966" w:rsidRDefault="00FE46EB" w:rsidP="00FE46EB">
            <w:pPr>
              <w:pStyle w:val="KTpstrnum"/>
              <w:rPr>
                <w:rFonts w:asciiTheme="majorBidi" w:hAnsiTheme="majorBidi" w:cstheme="majorBidi"/>
                <w:sz w:val="24"/>
                <w:szCs w:val="24"/>
                <w:lang w:val="lt-LT"/>
              </w:rPr>
            </w:pPr>
            <w:r w:rsidRPr="00B90658">
              <w:rPr>
                <w:rFonts w:ascii="Times New Roman" w:eastAsia="Calibri" w:hAnsi="Times New Roman" w:cs="Times New Roman"/>
                <w:sz w:val="24"/>
                <w:szCs w:val="24"/>
                <w:lang w:val="lt-LT"/>
              </w:rPr>
              <w:t>Pažymėtina, kad Tarpinstitucinė darbo grupė 2024 m. sausio 19 d. posėdžio protokolu Nr. 19</w:t>
            </w:r>
            <w:r w:rsidRPr="00B90658">
              <w:rPr>
                <w:rFonts w:ascii="Times New Roman" w:eastAsia="Calibri" w:hAnsi="Times New Roman" w:cs="Times New Roman"/>
                <w:sz w:val="24"/>
                <w:szCs w:val="24"/>
                <w:lang w:val="lt-LT"/>
              </w:rPr>
              <w:br/>
              <w:t>yra patvirtinusi pavyzdinį projekto lygmens patikros lapą dėl atitikties 2023 m. gruodžio 13 d. Komisijos reglamentui (ES) 2023/2831 (</w:t>
            </w:r>
            <w:hyperlink r:id="rId11" w:history="1">
              <w:r w:rsidRPr="00B90658">
                <w:rPr>
                  <w:rStyle w:val="Hyperlink"/>
                  <w:rFonts w:ascii="Times New Roman" w:eastAsia="Calibri" w:hAnsi="Times New Roman" w:cs="Times New Roman"/>
                  <w:sz w:val="24"/>
                  <w:szCs w:val="24"/>
                  <w:lang w:val="lt-LT"/>
                </w:rPr>
                <w:t>https://www.esinvesticijos.lt/dokumentai/pavyzdinio-atitikties-de-minimis-pagalbos-taisyklems-komisijos-reglamentui-es-2023-2831-patikros-lapo-forma-projekto-lygmuo</w:t>
              </w:r>
            </w:hyperlink>
            <w:r w:rsidRPr="00B90658">
              <w:rPr>
                <w:rFonts w:ascii="Times New Roman" w:eastAsia="Calibri" w:hAnsi="Times New Roman" w:cs="Times New Roman"/>
                <w:sz w:val="24"/>
                <w:szCs w:val="24"/>
                <w:lang w:val="lt-LT"/>
              </w:rPr>
              <w:t>). Tikslinant patikros lapo klausimų formuluotes</w:t>
            </w:r>
            <w:r>
              <w:rPr>
                <w:rFonts w:ascii="Times New Roman" w:eastAsia="Calibri" w:hAnsi="Times New Roman" w:cs="Times New Roman"/>
                <w:sz w:val="24"/>
                <w:szCs w:val="24"/>
                <w:lang w:val="lt-LT"/>
              </w:rPr>
              <w:t>,</w:t>
            </w:r>
            <w:r w:rsidRPr="00B90658">
              <w:rPr>
                <w:rFonts w:ascii="Times New Roman" w:eastAsia="Calibri" w:hAnsi="Times New Roman" w:cs="Times New Roman"/>
                <w:sz w:val="24"/>
                <w:szCs w:val="24"/>
                <w:lang w:val="lt-LT"/>
              </w:rPr>
              <w:t xml:space="preserve"> rekomenduojama naudoti pavirtinto pavyzdinio patikros lapo klausimų formuluotes.</w:t>
            </w:r>
          </w:p>
        </w:tc>
        <w:tc>
          <w:tcPr>
            <w:tcW w:w="4070" w:type="dxa"/>
            <w:vMerge w:val="restart"/>
            <w:shd w:val="clear" w:color="auto" w:fill="auto"/>
          </w:tcPr>
          <w:p w14:paraId="692CC260" w14:textId="77777777" w:rsidR="00FE46EB" w:rsidRPr="002828E3" w:rsidRDefault="002828E3" w:rsidP="008F2F95">
            <w:pPr>
              <w:jc w:val="both"/>
              <w:rPr>
                <w:rFonts w:asciiTheme="majorBidi" w:hAnsiTheme="majorBidi" w:cstheme="majorBidi"/>
                <w:b/>
                <w:bCs/>
                <w:sz w:val="24"/>
                <w:szCs w:val="24"/>
                <w:lang w:val="lt-LT"/>
              </w:rPr>
            </w:pPr>
            <w:r w:rsidRPr="002828E3">
              <w:rPr>
                <w:rFonts w:asciiTheme="majorBidi" w:hAnsiTheme="majorBidi" w:cstheme="majorBidi"/>
                <w:b/>
                <w:bCs/>
                <w:sz w:val="24"/>
                <w:szCs w:val="24"/>
                <w:lang w:val="lt-LT"/>
              </w:rPr>
              <w:lastRenderedPageBreak/>
              <w:t>Neatsižvelgta.</w:t>
            </w:r>
          </w:p>
          <w:p w14:paraId="05CAF5C6" w14:textId="4485B822" w:rsidR="002828E3" w:rsidRPr="006043D9" w:rsidRDefault="002828E3" w:rsidP="008F2F95">
            <w:pPr>
              <w:jc w:val="both"/>
              <w:rPr>
                <w:rFonts w:asciiTheme="majorBidi" w:hAnsiTheme="majorBidi" w:cstheme="majorBidi"/>
                <w:sz w:val="24"/>
                <w:szCs w:val="24"/>
                <w:lang w:val="lt-LT"/>
              </w:rPr>
            </w:pPr>
            <w:r>
              <w:rPr>
                <w:rFonts w:asciiTheme="majorBidi" w:hAnsiTheme="majorBidi" w:cstheme="majorBidi"/>
                <w:sz w:val="24"/>
                <w:szCs w:val="24"/>
                <w:lang w:val="lt-LT"/>
              </w:rPr>
              <w:t xml:space="preserve">Atitikties de minimis pagalbos taisyklėms patikros lapai yra suderinti su Lietuvos Respublikos konkurencijos </w:t>
            </w:r>
            <w:r>
              <w:rPr>
                <w:rFonts w:asciiTheme="majorBidi" w:hAnsiTheme="majorBidi" w:cstheme="majorBidi"/>
                <w:sz w:val="24"/>
                <w:szCs w:val="24"/>
                <w:lang w:val="lt-LT"/>
              </w:rPr>
              <w:lastRenderedPageBreak/>
              <w:t xml:space="preserve">taryba ir atitinka 15 ir 16 priede reglamentuotos </w:t>
            </w:r>
            <w:r w:rsidRPr="002828E3">
              <w:rPr>
                <w:rFonts w:asciiTheme="majorBidi" w:hAnsiTheme="majorBidi" w:cstheme="majorBidi"/>
                <w:i/>
                <w:iCs/>
                <w:sz w:val="24"/>
                <w:szCs w:val="24"/>
                <w:lang w:val="lt-LT"/>
              </w:rPr>
              <w:t>de minimis</w:t>
            </w:r>
            <w:r>
              <w:rPr>
                <w:rFonts w:asciiTheme="majorBidi" w:hAnsiTheme="majorBidi" w:cstheme="majorBidi"/>
                <w:sz w:val="24"/>
                <w:szCs w:val="24"/>
                <w:lang w:val="lt-LT"/>
              </w:rPr>
              <w:t xml:space="preserve"> pagalbos specifiką. Šie patikros lapai yra analogiški tiems, kurie buvo pridėti prie projektų finansavimo sąlygų aprašų, reglamentuojančių dotacijas fiziniams asmenims, įsirengiantiems ar įsigyjantiems saulės elektrines iš nutolusių parkų, bei taikomi nuo 2023 metų.</w:t>
            </w:r>
          </w:p>
        </w:tc>
      </w:tr>
      <w:tr w:rsidR="00FE46EB" w:rsidRPr="00F46226" w14:paraId="683E567C" w14:textId="77777777" w:rsidTr="0B3C609B">
        <w:tc>
          <w:tcPr>
            <w:tcW w:w="2246" w:type="dxa"/>
            <w:vMerge/>
          </w:tcPr>
          <w:p w14:paraId="716CC3F2" w14:textId="77777777" w:rsidR="00FE46EB" w:rsidRPr="00FE46EB" w:rsidRDefault="00FE46EB" w:rsidP="006043D9">
            <w:pPr>
              <w:jc w:val="both"/>
              <w:rPr>
                <w:rFonts w:asciiTheme="majorBidi" w:hAnsiTheme="majorBidi" w:cstheme="majorBidi"/>
                <w:sz w:val="24"/>
                <w:szCs w:val="24"/>
                <w:lang w:val="lt-LT"/>
              </w:rPr>
            </w:pPr>
          </w:p>
        </w:tc>
        <w:tc>
          <w:tcPr>
            <w:tcW w:w="6679" w:type="dxa"/>
            <w:shd w:val="clear" w:color="auto" w:fill="auto"/>
          </w:tcPr>
          <w:p w14:paraId="382B54B6" w14:textId="77777777" w:rsidR="00FE46EB" w:rsidRPr="009D7A2F" w:rsidRDefault="00FE46EB" w:rsidP="00FE46EB">
            <w:pPr>
              <w:tabs>
                <w:tab w:val="left" w:pos="993"/>
              </w:tabs>
              <w:contextualSpacing/>
              <w:jc w:val="both"/>
              <w:rPr>
                <w:rFonts w:ascii="Times New Roman" w:eastAsia="Calibri" w:hAnsi="Times New Roman" w:cs="Times New Roman"/>
                <w:sz w:val="24"/>
                <w:szCs w:val="24"/>
                <w:lang w:val="lt-LT"/>
              </w:rPr>
            </w:pPr>
            <w:r>
              <w:rPr>
                <w:rFonts w:asciiTheme="majorBidi" w:hAnsiTheme="majorBidi" w:cstheme="majorBidi"/>
                <w:sz w:val="24"/>
                <w:szCs w:val="24"/>
                <w:lang w:val="lt-LT"/>
              </w:rPr>
              <w:t xml:space="preserve">Dėl 16 priedo 2 priedo. </w:t>
            </w:r>
            <w:r w:rsidRPr="009D7A2F">
              <w:rPr>
                <w:rFonts w:ascii="Times New Roman" w:eastAsia="Calibri" w:hAnsi="Times New Roman" w:cs="Times New Roman"/>
                <w:sz w:val="24"/>
                <w:szCs w:val="24"/>
                <w:lang w:val="lt-LT"/>
              </w:rPr>
              <w:t xml:space="preserve">Rekomenduojama atitikties </w:t>
            </w:r>
            <w:r w:rsidRPr="009D7A2F">
              <w:rPr>
                <w:rFonts w:ascii="Times New Roman" w:eastAsia="Calibri" w:hAnsi="Times New Roman" w:cs="Times New Roman"/>
                <w:i/>
                <w:iCs/>
                <w:sz w:val="24"/>
                <w:szCs w:val="24"/>
                <w:lang w:val="lt-LT"/>
              </w:rPr>
              <w:t>de minimis</w:t>
            </w:r>
            <w:r w:rsidRPr="009D7A2F">
              <w:rPr>
                <w:rFonts w:ascii="Times New Roman" w:eastAsia="Calibri" w:hAnsi="Times New Roman" w:cs="Times New Roman"/>
                <w:sz w:val="24"/>
                <w:szCs w:val="24"/>
                <w:lang w:val="lt-LT"/>
              </w:rPr>
              <w:t xml:space="preserve"> pagalbos taisyklėms patikros lapo klausimus performuluoti tokiu principu, kai Aprašo 3 ir 4 prieduose, kad atsakymai į patikros lapo klausimus turėtų būti „Taip“ ir galutinis atsakymas iš visų pažymėtų „Taip“ susidėliotų, „Taip“, reiškiantis, jog teikiamas finansavimas atitinka </w:t>
            </w:r>
            <w:r w:rsidRPr="009D7A2F">
              <w:rPr>
                <w:rFonts w:ascii="Times New Roman" w:eastAsia="Calibri" w:hAnsi="Times New Roman" w:cs="Times New Roman"/>
                <w:i/>
                <w:iCs/>
                <w:sz w:val="24"/>
                <w:szCs w:val="24"/>
                <w:lang w:val="lt-LT"/>
              </w:rPr>
              <w:t>de minimis</w:t>
            </w:r>
            <w:r w:rsidRPr="009D7A2F">
              <w:rPr>
                <w:rFonts w:ascii="Times New Roman" w:eastAsia="Calibri" w:hAnsi="Times New Roman" w:cs="Times New Roman"/>
                <w:sz w:val="24"/>
                <w:szCs w:val="24"/>
                <w:lang w:val="lt-LT"/>
              </w:rPr>
              <w:t xml:space="preserve"> reglamentą. Pagal tai kaip šiuo metu pateiktos klausimų formuluotės, į daugumą klausimų atsakymas yra „Ne“, o galutinis atsakymas, kad atitiktų reglamentą gaunasi „Taip“. </w:t>
            </w:r>
          </w:p>
          <w:p w14:paraId="74A5FEF1" w14:textId="715D9C76" w:rsidR="00FE46EB" w:rsidRPr="00D37D3F" w:rsidRDefault="00FE46EB" w:rsidP="00FE46EB">
            <w:pPr>
              <w:pStyle w:val="KTpstrnum"/>
              <w:rPr>
                <w:rFonts w:asciiTheme="majorBidi" w:hAnsiTheme="majorBidi" w:cstheme="majorBidi"/>
                <w:sz w:val="24"/>
                <w:szCs w:val="24"/>
                <w:lang w:val="lt-LT"/>
              </w:rPr>
            </w:pPr>
            <w:r w:rsidRPr="009D7A2F">
              <w:rPr>
                <w:rFonts w:ascii="Times New Roman" w:eastAsia="Calibri" w:hAnsi="Times New Roman" w:cs="Times New Roman"/>
                <w:sz w:val="24"/>
                <w:szCs w:val="24"/>
                <w:lang w:val="lt-LT"/>
              </w:rPr>
              <w:t>Pažymėtina, kad Tarpinstitucinė darbo grupė 2024 m. sausio 19 d. posėdžio protokolu Nr. 19</w:t>
            </w:r>
            <w:r w:rsidRPr="009D7A2F">
              <w:rPr>
                <w:rFonts w:ascii="Times New Roman" w:eastAsia="Calibri" w:hAnsi="Times New Roman" w:cs="Times New Roman"/>
                <w:sz w:val="24"/>
                <w:szCs w:val="24"/>
                <w:lang w:val="lt-LT"/>
              </w:rPr>
              <w:br/>
              <w:t>yra patvirtinusi pavyzdinį projekto lygmens patikros lapą dėl atitikties 2023 m. gruodžio 13 d. Komisijos reglamentui (ES) 2023/2831 (</w:t>
            </w:r>
            <w:hyperlink r:id="rId12" w:history="1">
              <w:r w:rsidRPr="009D7A2F">
                <w:rPr>
                  <w:rStyle w:val="Hyperlink"/>
                  <w:rFonts w:ascii="Times New Roman" w:eastAsia="Calibri" w:hAnsi="Times New Roman" w:cs="Times New Roman"/>
                  <w:sz w:val="24"/>
                  <w:szCs w:val="24"/>
                  <w:lang w:val="lt-LT"/>
                </w:rPr>
                <w:t>https://www.esinvesticijos.lt/dokumentai/pavyzdinio-atitikties-de-minimis-pagalbos-taisyklems-komisijos-reglamentui-es-2023-2831-patikros-lapo-forma-projekto-lygmuo</w:t>
              </w:r>
            </w:hyperlink>
            <w:r w:rsidRPr="009D7A2F">
              <w:rPr>
                <w:rFonts w:ascii="Times New Roman" w:eastAsia="Calibri" w:hAnsi="Times New Roman" w:cs="Times New Roman"/>
                <w:sz w:val="24"/>
                <w:szCs w:val="24"/>
                <w:lang w:val="lt-LT"/>
              </w:rPr>
              <w:t>). Tikslinant patikros lapo klausimų formuluotes, rekomenduojama naudoti pavirtinto pavyzdinio patikros lapo klausimų formuluotes.</w:t>
            </w:r>
          </w:p>
        </w:tc>
        <w:tc>
          <w:tcPr>
            <w:tcW w:w="4070" w:type="dxa"/>
            <w:vMerge/>
            <w:shd w:val="clear" w:color="auto" w:fill="auto"/>
          </w:tcPr>
          <w:p w14:paraId="1F325046" w14:textId="0E4CF946" w:rsidR="00FE46EB" w:rsidRPr="00FD1233" w:rsidRDefault="00FE46EB" w:rsidP="00223CFE">
            <w:pPr>
              <w:jc w:val="both"/>
              <w:rPr>
                <w:rFonts w:asciiTheme="majorBidi" w:hAnsiTheme="majorBidi" w:cstheme="majorBidi"/>
                <w:b/>
                <w:bCs/>
                <w:sz w:val="24"/>
                <w:szCs w:val="24"/>
                <w:lang w:val="lt-LT"/>
              </w:rPr>
            </w:pPr>
          </w:p>
        </w:tc>
      </w:tr>
      <w:tr w:rsidR="00E71CD9" w:rsidRPr="00F46226" w14:paraId="57DE5FDC" w14:textId="77777777" w:rsidTr="00742966">
        <w:tc>
          <w:tcPr>
            <w:tcW w:w="2246" w:type="dxa"/>
            <w:vMerge w:val="restart"/>
          </w:tcPr>
          <w:p w14:paraId="3E799112" w14:textId="77777777" w:rsidR="00E71CD9" w:rsidRDefault="00E71CD9" w:rsidP="005C5335">
            <w:pPr>
              <w:jc w:val="both"/>
              <w:rPr>
                <w:rFonts w:asciiTheme="majorBidi" w:hAnsiTheme="majorBidi" w:cstheme="majorBidi"/>
                <w:sz w:val="24"/>
                <w:szCs w:val="24"/>
                <w:lang w:val="lt-LT"/>
              </w:rPr>
            </w:pPr>
            <w:r>
              <w:rPr>
                <w:rFonts w:asciiTheme="majorBidi" w:hAnsiTheme="majorBidi" w:cstheme="majorBidi"/>
                <w:sz w:val="24"/>
                <w:szCs w:val="24"/>
                <w:lang w:val="lt-LT"/>
              </w:rPr>
              <w:t xml:space="preserve">Lietuvos Respublikos aplinkos ministerijos </w:t>
            </w:r>
            <w:r>
              <w:rPr>
                <w:rFonts w:asciiTheme="majorBidi" w:hAnsiTheme="majorBidi" w:cstheme="majorBidi"/>
                <w:sz w:val="24"/>
                <w:szCs w:val="24"/>
                <w:lang w:val="lt-LT"/>
              </w:rPr>
              <w:lastRenderedPageBreak/>
              <w:t>aplinkos projektų valdymo agentūra,</w:t>
            </w:r>
          </w:p>
          <w:p w14:paraId="00D9C780" w14:textId="44130D83" w:rsidR="00E71CD9" w:rsidRPr="00364614" w:rsidRDefault="00E71CD9" w:rsidP="005C5335">
            <w:pPr>
              <w:jc w:val="both"/>
              <w:rPr>
                <w:rFonts w:asciiTheme="majorBidi" w:hAnsiTheme="majorBidi" w:cstheme="majorBidi"/>
                <w:sz w:val="24"/>
                <w:szCs w:val="24"/>
                <w:lang w:val="lt-LT"/>
              </w:rPr>
            </w:pPr>
            <w:r>
              <w:rPr>
                <w:rFonts w:asciiTheme="majorBidi" w:hAnsiTheme="majorBidi" w:cstheme="majorBidi"/>
                <w:sz w:val="24"/>
                <w:szCs w:val="24"/>
                <w:lang w:val="lt-LT"/>
              </w:rPr>
              <w:t>2025 m. sausio 7 d. raštas Nr.</w:t>
            </w:r>
            <w:r w:rsidR="00F46226">
              <w:rPr>
                <w:rFonts w:asciiTheme="majorBidi" w:hAnsiTheme="majorBidi" w:cstheme="majorBidi"/>
                <w:sz w:val="24"/>
                <w:szCs w:val="24"/>
                <w:lang w:val="lt-LT"/>
              </w:rPr>
              <w:t xml:space="preserve"> APVA-83.</w:t>
            </w:r>
          </w:p>
        </w:tc>
        <w:tc>
          <w:tcPr>
            <w:tcW w:w="6679" w:type="dxa"/>
            <w:shd w:val="clear" w:color="auto" w:fill="auto"/>
            <w:vAlign w:val="center"/>
          </w:tcPr>
          <w:p w14:paraId="3DC72D80" w14:textId="4749F141" w:rsidR="00E71CD9" w:rsidRPr="007513EE" w:rsidRDefault="00E71CD9" w:rsidP="00123B4E">
            <w:pPr>
              <w:pStyle w:val="KTpstrnum"/>
              <w:rPr>
                <w:rFonts w:asciiTheme="majorBidi" w:hAnsiTheme="majorBidi" w:cstheme="majorBidi"/>
                <w:sz w:val="24"/>
                <w:szCs w:val="24"/>
                <w:lang w:val="lt-LT"/>
              </w:rPr>
            </w:pPr>
            <w:r w:rsidRPr="007513EE">
              <w:rPr>
                <w:rFonts w:asciiTheme="majorBidi" w:eastAsia="Calibri" w:hAnsiTheme="majorBidi" w:cstheme="majorBidi"/>
                <w:color w:val="000000" w:themeColor="text1"/>
                <w:sz w:val="24"/>
                <w:szCs w:val="24"/>
                <w:lang w:val="lt-LT"/>
              </w:rPr>
              <w:lastRenderedPageBreak/>
              <w:t>15 priede 4 rodiklio pasiekimo data nurodyta 2025 m. IV ketv., nors 1-3 rodiklio pasiekimo data yra 2026 m. II ketv. Siūlome 4 rodiklio pasiekimo datą nurodyti 2026 m. II ketv.</w:t>
            </w:r>
          </w:p>
        </w:tc>
        <w:tc>
          <w:tcPr>
            <w:tcW w:w="4070" w:type="dxa"/>
            <w:vMerge w:val="restart"/>
            <w:shd w:val="clear" w:color="auto" w:fill="auto"/>
          </w:tcPr>
          <w:p w14:paraId="4D10C84E" w14:textId="77777777" w:rsidR="00E71CD9" w:rsidRDefault="00E71CD9" w:rsidP="005C5335">
            <w:pPr>
              <w:jc w:val="both"/>
              <w:rPr>
                <w:rFonts w:asciiTheme="majorBidi" w:hAnsiTheme="majorBidi" w:cstheme="majorBidi"/>
                <w:b/>
                <w:bCs/>
                <w:sz w:val="24"/>
                <w:szCs w:val="24"/>
                <w:lang w:val="lt-LT"/>
              </w:rPr>
            </w:pPr>
            <w:r>
              <w:rPr>
                <w:rFonts w:asciiTheme="majorBidi" w:hAnsiTheme="majorBidi" w:cstheme="majorBidi"/>
                <w:b/>
                <w:bCs/>
                <w:sz w:val="24"/>
                <w:szCs w:val="24"/>
                <w:lang w:val="lt-LT"/>
              </w:rPr>
              <w:t>Neatsižvelgta.</w:t>
            </w:r>
          </w:p>
          <w:p w14:paraId="1D296397" w14:textId="42E29FAA" w:rsidR="00E71CD9" w:rsidRPr="00E71CD9" w:rsidRDefault="00E71CD9" w:rsidP="005C5335">
            <w:pPr>
              <w:jc w:val="both"/>
              <w:rPr>
                <w:rFonts w:asciiTheme="majorBidi" w:hAnsiTheme="majorBidi" w:cstheme="majorBidi"/>
                <w:sz w:val="24"/>
                <w:szCs w:val="24"/>
                <w:lang w:val="lt-LT"/>
              </w:rPr>
            </w:pPr>
            <w:r w:rsidRPr="00E71CD9">
              <w:rPr>
                <w:rFonts w:asciiTheme="majorBidi" w:hAnsiTheme="majorBidi" w:cstheme="majorBidi"/>
                <w:sz w:val="24"/>
                <w:szCs w:val="24"/>
                <w:lang w:val="lt-LT"/>
              </w:rPr>
              <w:t xml:space="preserve">15 priedo ir 16 priedo 4 rodiklis ir jo pasiekimo data (2025 m. III ketvirtis) </w:t>
            </w:r>
            <w:r w:rsidRPr="00E71CD9">
              <w:rPr>
                <w:rFonts w:asciiTheme="majorBidi" w:hAnsiTheme="majorBidi" w:cstheme="majorBidi"/>
                <w:sz w:val="24"/>
                <w:szCs w:val="24"/>
                <w:lang w:val="lt-LT"/>
              </w:rPr>
              <w:lastRenderedPageBreak/>
              <w:t>buvo sutartas su Europos Komisijos darbuotojais.</w:t>
            </w:r>
            <w:r>
              <w:rPr>
                <w:rFonts w:asciiTheme="majorBidi" w:hAnsiTheme="majorBidi" w:cstheme="majorBidi"/>
                <w:sz w:val="24"/>
                <w:szCs w:val="24"/>
                <w:lang w:val="lt-LT"/>
              </w:rPr>
              <w:t xml:space="preserve"> 15 ir 16 priede ištaisyta techninė klaida – 4 rodiklio pasiekimo laikas pataisytas iš 2025 m. IV ketv. į 2025 m. III ketv.</w:t>
            </w:r>
          </w:p>
        </w:tc>
      </w:tr>
      <w:tr w:rsidR="00E71CD9" w:rsidRPr="00FE46EB" w14:paraId="72658532" w14:textId="77777777" w:rsidTr="00742966">
        <w:tc>
          <w:tcPr>
            <w:tcW w:w="2246" w:type="dxa"/>
            <w:vMerge/>
          </w:tcPr>
          <w:p w14:paraId="09106A1E" w14:textId="77777777" w:rsidR="00E71CD9" w:rsidRPr="00364614" w:rsidRDefault="00E71CD9" w:rsidP="005C5335">
            <w:pPr>
              <w:jc w:val="both"/>
              <w:rPr>
                <w:rFonts w:asciiTheme="majorBidi" w:hAnsiTheme="majorBidi" w:cstheme="majorBidi"/>
                <w:sz w:val="24"/>
                <w:szCs w:val="24"/>
                <w:lang w:val="lt-LT"/>
              </w:rPr>
            </w:pPr>
          </w:p>
        </w:tc>
        <w:tc>
          <w:tcPr>
            <w:tcW w:w="6679" w:type="dxa"/>
            <w:shd w:val="clear" w:color="auto" w:fill="auto"/>
            <w:vAlign w:val="center"/>
          </w:tcPr>
          <w:p w14:paraId="55C3C9A7" w14:textId="71099552" w:rsidR="00E71CD9" w:rsidRPr="007513EE" w:rsidRDefault="00E71CD9" w:rsidP="00123B4E">
            <w:pPr>
              <w:pStyle w:val="KTpstrnum"/>
              <w:rPr>
                <w:rFonts w:asciiTheme="majorBidi" w:hAnsiTheme="majorBidi" w:cstheme="majorBidi"/>
                <w:sz w:val="24"/>
                <w:szCs w:val="24"/>
                <w:lang w:val="lt-LT"/>
              </w:rPr>
            </w:pPr>
            <w:r w:rsidRPr="007513EE">
              <w:rPr>
                <w:rFonts w:asciiTheme="majorBidi" w:eastAsia="Calibri" w:hAnsiTheme="majorBidi" w:cstheme="majorBidi"/>
                <w:sz w:val="24"/>
                <w:szCs w:val="24"/>
                <w:lang w:val="lt-LT"/>
              </w:rPr>
              <w:t>16 priede 4 rodiklio pasiekimo data nurodyta 2025 m. IV ketv., nors 1-3 rodiklio pasiekimo data 2026 m. II ketv. Siūlome 4 rodiklio pasiekimo datą nurodyti 2026 m. II ketv.</w:t>
            </w:r>
          </w:p>
        </w:tc>
        <w:tc>
          <w:tcPr>
            <w:tcW w:w="4070" w:type="dxa"/>
            <w:vMerge/>
            <w:shd w:val="clear" w:color="auto" w:fill="auto"/>
          </w:tcPr>
          <w:p w14:paraId="531BF3D1" w14:textId="7D830925" w:rsidR="00E71CD9" w:rsidRPr="00742966" w:rsidRDefault="00E71CD9" w:rsidP="00FD407C">
            <w:pPr>
              <w:jc w:val="both"/>
              <w:rPr>
                <w:rFonts w:asciiTheme="majorBidi" w:hAnsiTheme="majorBidi" w:cstheme="majorBidi"/>
                <w:b/>
                <w:bCs/>
                <w:sz w:val="24"/>
                <w:szCs w:val="24"/>
                <w:lang w:val="lt-LT"/>
              </w:rPr>
            </w:pPr>
          </w:p>
        </w:tc>
      </w:tr>
      <w:tr w:rsidR="00C565F0" w:rsidRPr="00E71CD9" w14:paraId="64298DC1" w14:textId="77777777" w:rsidTr="0B3C609B">
        <w:tc>
          <w:tcPr>
            <w:tcW w:w="2246" w:type="dxa"/>
            <w:vMerge w:val="restart"/>
          </w:tcPr>
          <w:p w14:paraId="64235EDE" w14:textId="77777777" w:rsidR="00C565F0" w:rsidRDefault="00C565F0" w:rsidP="00C565F0">
            <w:pPr>
              <w:jc w:val="both"/>
              <w:rPr>
                <w:rFonts w:asciiTheme="majorBidi" w:hAnsiTheme="majorBidi" w:cstheme="majorBidi"/>
                <w:sz w:val="24"/>
                <w:szCs w:val="24"/>
                <w:lang w:val="lt-LT"/>
              </w:rPr>
            </w:pPr>
            <w:r>
              <w:rPr>
                <w:rFonts w:asciiTheme="majorBidi" w:hAnsiTheme="majorBidi" w:cstheme="majorBidi"/>
                <w:sz w:val="24"/>
                <w:szCs w:val="24"/>
                <w:lang w:val="lt-LT"/>
              </w:rPr>
              <w:t>UAB ILTE,</w:t>
            </w:r>
          </w:p>
          <w:p w14:paraId="7A8AA7DA" w14:textId="5D3A769E" w:rsidR="00C565F0" w:rsidRPr="00B0270C" w:rsidRDefault="00C565F0" w:rsidP="00C565F0">
            <w:pPr>
              <w:jc w:val="both"/>
              <w:rPr>
                <w:rFonts w:asciiTheme="majorBidi" w:hAnsiTheme="majorBidi" w:cstheme="majorBidi"/>
                <w:sz w:val="24"/>
                <w:szCs w:val="24"/>
                <w:lang w:val="lt-LT"/>
              </w:rPr>
            </w:pPr>
            <w:r>
              <w:rPr>
                <w:rFonts w:asciiTheme="majorBidi" w:hAnsiTheme="majorBidi" w:cstheme="majorBidi"/>
                <w:sz w:val="24"/>
                <w:szCs w:val="24"/>
                <w:lang w:val="lt-LT"/>
              </w:rPr>
              <w:t xml:space="preserve">2025 m. sausio </w:t>
            </w:r>
            <w:r w:rsidR="00F436D5">
              <w:rPr>
                <w:rFonts w:asciiTheme="majorBidi" w:hAnsiTheme="majorBidi" w:cstheme="majorBidi"/>
                <w:sz w:val="24"/>
                <w:szCs w:val="24"/>
                <w:lang w:val="lt-LT"/>
              </w:rPr>
              <w:t>8</w:t>
            </w:r>
            <w:r>
              <w:rPr>
                <w:rFonts w:asciiTheme="majorBidi" w:hAnsiTheme="majorBidi" w:cstheme="majorBidi"/>
                <w:sz w:val="24"/>
                <w:szCs w:val="24"/>
                <w:lang w:val="lt-LT"/>
              </w:rPr>
              <w:t xml:space="preserve"> d. raštas Nr.</w:t>
            </w:r>
            <w:r w:rsidR="00F436D5">
              <w:rPr>
                <w:rFonts w:asciiTheme="majorBidi" w:hAnsiTheme="majorBidi" w:cstheme="majorBidi"/>
                <w:sz w:val="24"/>
                <w:szCs w:val="24"/>
                <w:lang w:val="lt-LT"/>
              </w:rPr>
              <w:t xml:space="preserve"> SD-45.</w:t>
            </w:r>
          </w:p>
        </w:tc>
        <w:tc>
          <w:tcPr>
            <w:tcW w:w="6679" w:type="dxa"/>
            <w:shd w:val="clear" w:color="auto" w:fill="auto"/>
          </w:tcPr>
          <w:p w14:paraId="34566203" w14:textId="35AD3AC6" w:rsidR="00C565F0" w:rsidRPr="00E71CD9" w:rsidRDefault="00C565F0" w:rsidP="00C565F0">
            <w:pPr>
              <w:spacing w:after="240"/>
              <w:jc w:val="both"/>
              <w:rPr>
                <w:rFonts w:asciiTheme="majorBidi" w:hAnsiTheme="majorBidi" w:cstheme="majorBidi"/>
                <w:sz w:val="24"/>
                <w:szCs w:val="24"/>
                <w:lang w:val="lt-LT"/>
              </w:rPr>
            </w:pPr>
            <w:r w:rsidRPr="00E71CD9">
              <w:rPr>
                <w:rFonts w:asciiTheme="majorBidi" w:hAnsiTheme="majorBidi" w:cstheme="majorBidi"/>
                <w:sz w:val="24"/>
                <w:szCs w:val="24"/>
                <w:lang w:val="lt-LT"/>
              </w:rPr>
              <w:t>Atkreipiame dėmesį, kad Įsakymo projekto III skyriaus 11 punkte nurodytiems rodikliams „Paskelbtas Nacionalinės plėtros įstaigos kvietimas teikti paraiškas paskoloms gauti viešiesiems ir privatiesiems juridiniams subjektams“ ir „Pasirašytos sutartys dėl investicijų į elektros energijos gamybos iš atsinaujinančių energijos išteklių įrenginius finansavimo iš Energijos efektyvumo fondo (MW)” nėra aprašymo kortelių. Prašome arba panaikinti šiuos rodiklius Įsakymo projekte, arba sukurti šių stebėsenos rodiklių aprašymo korteles.</w:t>
            </w:r>
          </w:p>
        </w:tc>
        <w:tc>
          <w:tcPr>
            <w:tcW w:w="4070" w:type="dxa"/>
            <w:shd w:val="clear" w:color="auto" w:fill="auto"/>
          </w:tcPr>
          <w:p w14:paraId="51B4802A" w14:textId="77777777" w:rsidR="00C565F0" w:rsidRDefault="00C565F0" w:rsidP="00C565F0">
            <w:pPr>
              <w:jc w:val="both"/>
              <w:rPr>
                <w:rFonts w:asciiTheme="majorBidi" w:hAnsiTheme="majorBidi" w:cstheme="majorBidi"/>
                <w:b/>
                <w:bCs/>
                <w:sz w:val="24"/>
                <w:szCs w:val="24"/>
                <w:lang w:val="lt-LT"/>
              </w:rPr>
            </w:pPr>
            <w:r>
              <w:rPr>
                <w:rFonts w:asciiTheme="majorBidi" w:hAnsiTheme="majorBidi" w:cstheme="majorBidi"/>
                <w:b/>
                <w:bCs/>
                <w:sz w:val="24"/>
                <w:szCs w:val="24"/>
                <w:lang w:val="lt-LT"/>
              </w:rPr>
              <w:t>Iš dalies atsižvelgta</w:t>
            </w:r>
            <w:r w:rsidRPr="00186890">
              <w:rPr>
                <w:rFonts w:asciiTheme="majorBidi" w:hAnsiTheme="majorBidi" w:cstheme="majorBidi"/>
                <w:b/>
                <w:bCs/>
                <w:sz w:val="24"/>
                <w:szCs w:val="24"/>
                <w:lang w:val="lt-LT"/>
              </w:rPr>
              <w:t>.</w:t>
            </w:r>
          </w:p>
          <w:p w14:paraId="14A5BAFB" w14:textId="77777777" w:rsidR="00C565F0" w:rsidRPr="003920BA" w:rsidRDefault="00C565F0" w:rsidP="00C565F0">
            <w:pPr>
              <w:jc w:val="both"/>
              <w:rPr>
                <w:rFonts w:asciiTheme="majorBidi" w:hAnsiTheme="majorBidi" w:cstheme="majorBidi"/>
                <w:sz w:val="24"/>
                <w:szCs w:val="24"/>
                <w:lang w:val="lt-LT"/>
              </w:rPr>
            </w:pPr>
            <w:r w:rsidRPr="003920BA">
              <w:rPr>
                <w:rFonts w:asciiTheme="majorBidi" w:hAnsiTheme="majorBidi" w:cstheme="majorBidi"/>
                <w:sz w:val="24"/>
                <w:szCs w:val="24"/>
                <w:lang w:val="lt-LT"/>
              </w:rPr>
              <w:t>Išvardintų stebėsenos rodiklių kortelės buvo pridėtos, tačiau skyrėsi pažangos priemonės apraše ir stebėsenos rodiklių kortelėse nurodyti šių rodiklių pavadinimai. Šie pavadinimai suvienodinti.</w:t>
            </w:r>
          </w:p>
          <w:p w14:paraId="70FAE4D4" w14:textId="698924AC" w:rsidR="00C565F0" w:rsidRPr="00E71CD9" w:rsidRDefault="00C565F0" w:rsidP="00C565F0">
            <w:pPr>
              <w:jc w:val="both"/>
              <w:rPr>
                <w:rFonts w:asciiTheme="majorBidi" w:hAnsiTheme="majorBidi" w:cstheme="majorBidi"/>
                <w:sz w:val="24"/>
                <w:szCs w:val="24"/>
                <w:lang w:val="lt-LT"/>
              </w:rPr>
            </w:pPr>
          </w:p>
        </w:tc>
      </w:tr>
      <w:tr w:rsidR="00FE46EB" w:rsidRPr="00F46226" w14:paraId="08EEEC6D" w14:textId="77777777" w:rsidTr="00742966">
        <w:tc>
          <w:tcPr>
            <w:tcW w:w="2246" w:type="dxa"/>
            <w:vMerge/>
          </w:tcPr>
          <w:p w14:paraId="32AAAA99" w14:textId="77777777" w:rsidR="00FE46EB" w:rsidRPr="00B0270C" w:rsidRDefault="00FE46EB" w:rsidP="00FE4246">
            <w:pPr>
              <w:jc w:val="both"/>
              <w:rPr>
                <w:rFonts w:asciiTheme="majorBidi" w:hAnsiTheme="majorBidi" w:cstheme="majorBidi"/>
                <w:sz w:val="24"/>
                <w:szCs w:val="24"/>
                <w:lang w:val="lt-LT"/>
              </w:rPr>
            </w:pPr>
          </w:p>
        </w:tc>
        <w:tc>
          <w:tcPr>
            <w:tcW w:w="6679" w:type="dxa"/>
            <w:shd w:val="clear" w:color="auto" w:fill="auto"/>
          </w:tcPr>
          <w:p w14:paraId="585F70EB" w14:textId="7BE1BC42" w:rsidR="00FE46EB" w:rsidRPr="00E71CD9" w:rsidRDefault="00E71CD9" w:rsidP="00E71CD9">
            <w:pPr>
              <w:spacing w:after="240"/>
              <w:jc w:val="both"/>
              <w:rPr>
                <w:rFonts w:asciiTheme="majorBidi" w:hAnsiTheme="majorBidi" w:cstheme="majorBidi"/>
                <w:sz w:val="24"/>
                <w:szCs w:val="24"/>
                <w:lang w:val="lt-LT"/>
              </w:rPr>
            </w:pPr>
            <w:r w:rsidRPr="00E71CD9">
              <w:rPr>
                <w:rFonts w:asciiTheme="majorBidi" w:hAnsiTheme="majorBidi" w:cstheme="majorBidi"/>
                <w:sz w:val="24"/>
                <w:szCs w:val="24"/>
                <w:lang w:val="lt-LT"/>
              </w:rPr>
              <w:t>Prašome stebėsenos rodiklių „Įdiegti papildomi atsinaujinančiosios energijos veikimo pajėgumai“, „Įdiegti papildomi atsinaujinančiosios energijos veikimo pajėgumai, iš jų: atsinaujinančiųjų išteklių energijos gamybos pajėgumai”, „Paramą gavusios įmonės“, „Paramą gavusios įmonės, iš jų: labai mažos ir mažos įmonės“, „Paramą gavusios įmonės, iš jų: vidutinės“, „Paramą gavusios įmonės, iš jų: didelės įmonės“ aprašymo kortelėse įvesti trumpinius „EGADP“, „Priemonė“.</w:t>
            </w:r>
          </w:p>
        </w:tc>
        <w:tc>
          <w:tcPr>
            <w:tcW w:w="4070" w:type="dxa"/>
            <w:shd w:val="clear" w:color="auto" w:fill="auto"/>
          </w:tcPr>
          <w:p w14:paraId="2EE25777" w14:textId="27732A26" w:rsidR="00435BF6" w:rsidRPr="00DD1B11" w:rsidRDefault="00DD1B11" w:rsidP="00861335">
            <w:pPr>
              <w:jc w:val="both"/>
              <w:rPr>
                <w:rFonts w:asciiTheme="majorBidi" w:hAnsiTheme="majorBidi" w:cstheme="majorBidi"/>
                <w:b/>
                <w:bCs/>
                <w:sz w:val="24"/>
                <w:szCs w:val="24"/>
                <w:lang w:val="lt-LT"/>
              </w:rPr>
            </w:pPr>
            <w:r w:rsidRPr="00DD1B11">
              <w:rPr>
                <w:rFonts w:asciiTheme="majorBidi" w:hAnsiTheme="majorBidi" w:cstheme="majorBidi"/>
                <w:b/>
                <w:bCs/>
                <w:sz w:val="24"/>
                <w:szCs w:val="24"/>
                <w:lang w:val="lt-LT"/>
              </w:rPr>
              <w:t>Neatsižvelgta.</w:t>
            </w:r>
          </w:p>
          <w:p w14:paraId="607BD032" w14:textId="4684FA51" w:rsidR="00DD1B11" w:rsidRPr="00861335" w:rsidRDefault="00DD1B11" w:rsidP="00861335">
            <w:pPr>
              <w:jc w:val="both"/>
              <w:rPr>
                <w:rFonts w:asciiTheme="majorBidi" w:hAnsiTheme="majorBidi" w:cstheme="majorBidi"/>
                <w:sz w:val="24"/>
                <w:szCs w:val="24"/>
                <w:highlight w:val="green"/>
                <w:lang w:val="lt-LT"/>
              </w:rPr>
            </w:pPr>
            <w:r w:rsidRPr="00DD1B11">
              <w:rPr>
                <w:rFonts w:asciiTheme="majorBidi" w:hAnsiTheme="majorBidi" w:cstheme="majorBidi"/>
                <w:sz w:val="24"/>
                <w:szCs w:val="24"/>
                <w:lang w:val="lt-LT"/>
              </w:rPr>
              <w:t xml:space="preserve">Pažymėtina, kad stebėsenos rodiklių kortelės yra vienas pažangos priemonės aprašo priedas, kuriame – įvedus trumpinį vieną kartą – jis galioja visam priedo tekstui. </w:t>
            </w:r>
          </w:p>
        </w:tc>
      </w:tr>
    </w:tbl>
    <w:p w14:paraId="4C02D18B" w14:textId="77777777" w:rsidR="000C3E30" w:rsidRDefault="000C3E30" w:rsidP="000C3E30">
      <w:pPr>
        <w:spacing w:after="0"/>
        <w:rPr>
          <w:rFonts w:asciiTheme="majorBidi" w:hAnsiTheme="majorBidi" w:cstheme="majorBidi"/>
          <w:sz w:val="24"/>
          <w:szCs w:val="24"/>
          <w:lang w:val="lt-LT"/>
        </w:rPr>
      </w:pPr>
    </w:p>
    <w:p w14:paraId="46AD5248" w14:textId="47E55511" w:rsidR="008A282D" w:rsidRPr="006043D9" w:rsidRDefault="008A282D" w:rsidP="008A282D">
      <w:pPr>
        <w:spacing w:after="0"/>
        <w:jc w:val="center"/>
        <w:rPr>
          <w:rFonts w:asciiTheme="majorBidi" w:hAnsiTheme="majorBidi" w:cstheme="majorBidi"/>
          <w:sz w:val="24"/>
          <w:szCs w:val="24"/>
          <w:lang w:val="lt-LT"/>
        </w:rPr>
      </w:pPr>
      <w:r>
        <w:rPr>
          <w:rFonts w:asciiTheme="majorBidi" w:hAnsiTheme="majorBidi" w:cstheme="majorBidi"/>
          <w:sz w:val="24"/>
          <w:szCs w:val="24"/>
          <w:lang w:val="lt-LT"/>
        </w:rPr>
        <w:t>________</w:t>
      </w:r>
    </w:p>
    <w:sectPr w:rsidR="008A282D" w:rsidRPr="006043D9" w:rsidSect="00FB640C">
      <w:pgSz w:w="15840" w:h="12240" w:orient="landscape"/>
      <w:pgMar w:top="1701" w:right="1701"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4DCBC" w14:textId="77777777" w:rsidR="005B0522" w:rsidRDefault="005B0522" w:rsidP="000C3E30">
      <w:pPr>
        <w:spacing w:after="0" w:line="240" w:lineRule="auto"/>
      </w:pPr>
      <w:r>
        <w:separator/>
      </w:r>
    </w:p>
  </w:endnote>
  <w:endnote w:type="continuationSeparator" w:id="0">
    <w:p w14:paraId="15792B51" w14:textId="77777777" w:rsidR="005B0522" w:rsidRDefault="005B0522" w:rsidP="000C3E30">
      <w:pPr>
        <w:spacing w:after="0" w:line="240" w:lineRule="auto"/>
      </w:pPr>
      <w:r>
        <w:continuationSeparator/>
      </w:r>
    </w:p>
  </w:endnote>
  <w:endnote w:type="continuationNotice" w:id="1">
    <w:p w14:paraId="0B507445" w14:textId="77777777" w:rsidR="005B0522" w:rsidRDefault="005B05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4A071" w14:textId="77777777" w:rsidR="005B0522" w:rsidRDefault="005B0522" w:rsidP="000C3E30">
      <w:pPr>
        <w:spacing w:after="0" w:line="240" w:lineRule="auto"/>
      </w:pPr>
      <w:r>
        <w:separator/>
      </w:r>
    </w:p>
  </w:footnote>
  <w:footnote w:type="continuationSeparator" w:id="0">
    <w:p w14:paraId="2869AF4B" w14:textId="77777777" w:rsidR="005B0522" w:rsidRDefault="005B0522" w:rsidP="000C3E30">
      <w:pPr>
        <w:spacing w:after="0" w:line="240" w:lineRule="auto"/>
      </w:pPr>
      <w:r>
        <w:continuationSeparator/>
      </w:r>
    </w:p>
  </w:footnote>
  <w:footnote w:type="continuationNotice" w:id="1">
    <w:p w14:paraId="54CA494E" w14:textId="77777777" w:rsidR="005B0522" w:rsidRDefault="005B05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1482"/>
    <w:multiLevelType w:val="multilevel"/>
    <w:tmpl w:val="22F6BF72"/>
    <w:lvl w:ilvl="0">
      <w:start w:val="1"/>
      <w:numFmt w:val="bullet"/>
      <w:lvlText w:val=""/>
      <w:lvlJc w:val="left"/>
      <w:pPr>
        <w:ind w:left="2689" w:firstLine="567"/>
      </w:pPr>
      <w:rPr>
        <w:rFonts w:ascii="Symbol" w:hAnsi="Symbol" w:hint="default"/>
        <w:sz w:val="24"/>
      </w:rPr>
    </w:lvl>
    <w:lvl w:ilvl="1">
      <w:start w:val="1"/>
      <w:numFmt w:val="lowerLetter"/>
      <w:lvlText w:val="(%2)"/>
      <w:lvlJc w:val="left"/>
      <w:pPr>
        <w:ind w:left="4390" w:hanging="567"/>
      </w:pPr>
    </w:lvl>
    <w:lvl w:ilvl="2">
      <w:start w:val="1"/>
      <w:numFmt w:val="lowerRoman"/>
      <w:lvlText w:val="(%3)"/>
      <w:lvlJc w:val="left"/>
      <w:pPr>
        <w:ind w:left="4957" w:hanging="567"/>
      </w:pPr>
    </w:lvl>
    <w:lvl w:ilvl="3">
      <w:start w:val="1"/>
      <w:numFmt w:val="decimal"/>
      <w:lvlText w:val="(%4)"/>
      <w:lvlJc w:val="left"/>
      <w:pPr>
        <w:ind w:left="5524" w:hanging="567"/>
      </w:pPr>
      <w:rPr>
        <w:rFonts w:ascii="Times New Roman" w:hAnsi="Times New Roman" w:cs="Times New Roman" w:hint="default"/>
        <w:sz w:val="24"/>
      </w:rPr>
    </w:lvl>
    <w:lvl w:ilvl="4">
      <w:start w:val="1"/>
      <w:numFmt w:val="lowerLetter"/>
      <w:lvlText w:val="(%5)"/>
      <w:lvlJc w:val="left"/>
      <w:pPr>
        <w:ind w:left="6091" w:hanging="567"/>
      </w:pPr>
      <w:rPr>
        <w:rFonts w:ascii="Times New Roman" w:hAnsi="Times New Roman" w:cs="Times New Roman" w:hint="default"/>
        <w:sz w:val="24"/>
      </w:rPr>
    </w:lvl>
    <w:lvl w:ilvl="5">
      <w:start w:val="1"/>
      <w:numFmt w:val="lowerRoman"/>
      <w:lvlText w:val="(%6)"/>
      <w:lvlJc w:val="left"/>
      <w:pPr>
        <w:ind w:left="6658" w:hanging="567"/>
      </w:pPr>
      <w:rPr>
        <w:rFonts w:ascii="Times New Roman" w:hAnsi="Times New Roman" w:cs="Times New Roman" w:hint="default"/>
        <w:sz w:val="24"/>
      </w:rPr>
    </w:lvl>
    <w:lvl w:ilvl="6">
      <w:start w:val="1"/>
      <w:numFmt w:val="decimal"/>
      <w:lvlText w:val="%7."/>
      <w:lvlJc w:val="left"/>
      <w:pPr>
        <w:tabs>
          <w:tab w:val="num" w:pos="6658"/>
        </w:tabs>
        <w:ind w:left="6091" w:firstLine="567"/>
      </w:pPr>
    </w:lvl>
    <w:lvl w:ilvl="7">
      <w:start w:val="1"/>
      <w:numFmt w:val="lowerLetter"/>
      <w:lvlText w:val="%8."/>
      <w:lvlJc w:val="left"/>
      <w:pPr>
        <w:tabs>
          <w:tab w:val="num" w:pos="7225"/>
        </w:tabs>
        <w:ind w:left="6658" w:firstLine="567"/>
      </w:pPr>
    </w:lvl>
    <w:lvl w:ilvl="8">
      <w:start w:val="1"/>
      <w:numFmt w:val="lowerRoman"/>
      <w:lvlText w:val="%9."/>
      <w:lvlJc w:val="left"/>
      <w:pPr>
        <w:tabs>
          <w:tab w:val="num" w:pos="7792"/>
        </w:tabs>
        <w:ind w:left="7225" w:firstLine="567"/>
      </w:pPr>
    </w:lvl>
  </w:abstractNum>
  <w:abstractNum w:abstractNumId="1" w15:restartNumberingAfterBreak="0">
    <w:nsid w:val="0C2B7EE1"/>
    <w:multiLevelType w:val="hybridMultilevel"/>
    <w:tmpl w:val="B4DE3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A5169D"/>
    <w:multiLevelType w:val="hybridMultilevel"/>
    <w:tmpl w:val="8F902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0B6F19"/>
    <w:multiLevelType w:val="hybridMultilevel"/>
    <w:tmpl w:val="E64460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F9A7E54"/>
    <w:multiLevelType w:val="hybridMultilevel"/>
    <w:tmpl w:val="62A81D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813B66"/>
    <w:multiLevelType w:val="hybridMultilevel"/>
    <w:tmpl w:val="EF60F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FC7EBC"/>
    <w:multiLevelType w:val="hybridMultilevel"/>
    <w:tmpl w:val="A46E845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220D164F"/>
    <w:multiLevelType w:val="hybridMultilevel"/>
    <w:tmpl w:val="0046F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E006A"/>
    <w:multiLevelType w:val="hybridMultilevel"/>
    <w:tmpl w:val="34EA4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D363107"/>
    <w:multiLevelType w:val="hybridMultilevel"/>
    <w:tmpl w:val="0E08C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83979EB"/>
    <w:multiLevelType w:val="hybridMultilevel"/>
    <w:tmpl w:val="0FCEAB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BDC6B2B"/>
    <w:multiLevelType w:val="hybridMultilevel"/>
    <w:tmpl w:val="1D64F4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FE0797F"/>
    <w:multiLevelType w:val="hybridMultilevel"/>
    <w:tmpl w:val="82A69A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6566A64"/>
    <w:multiLevelType w:val="hybridMultilevel"/>
    <w:tmpl w:val="4C6074D8"/>
    <w:lvl w:ilvl="0" w:tplc="04090001">
      <w:start w:val="1"/>
      <w:numFmt w:val="bullet"/>
      <w:lvlText w:val=""/>
      <w:lvlJc w:val="left"/>
      <w:pPr>
        <w:ind w:left="96" w:hanging="360"/>
      </w:pPr>
      <w:rPr>
        <w:rFonts w:ascii="Symbol" w:hAnsi="Symbol" w:hint="default"/>
      </w:rPr>
    </w:lvl>
    <w:lvl w:ilvl="1" w:tplc="04090003" w:tentative="1">
      <w:start w:val="1"/>
      <w:numFmt w:val="bullet"/>
      <w:lvlText w:val="o"/>
      <w:lvlJc w:val="left"/>
      <w:pPr>
        <w:ind w:left="816" w:hanging="360"/>
      </w:pPr>
      <w:rPr>
        <w:rFonts w:ascii="Courier New" w:hAnsi="Courier New" w:cs="Courier New" w:hint="default"/>
      </w:rPr>
    </w:lvl>
    <w:lvl w:ilvl="2" w:tplc="04090005" w:tentative="1">
      <w:start w:val="1"/>
      <w:numFmt w:val="bullet"/>
      <w:lvlText w:val=""/>
      <w:lvlJc w:val="left"/>
      <w:pPr>
        <w:ind w:left="1536" w:hanging="360"/>
      </w:pPr>
      <w:rPr>
        <w:rFonts w:ascii="Wingdings" w:hAnsi="Wingdings" w:hint="default"/>
      </w:rPr>
    </w:lvl>
    <w:lvl w:ilvl="3" w:tplc="04090001" w:tentative="1">
      <w:start w:val="1"/>
      <w:numFmt w:val="bullet"/>
      <w:lvlText w:val=""/>
      <w:lvlJc w:val="left"/>
      <w:pPr>
        <w:ind w:left="2256" w:hanging="360"/>
      </w:pPr>
      <w:rPr>
        <w:rFonts w:ascii="Symbol" w:hAnsi="Symbol" w:hint="default"/>
      </w:rPr>
    </w:lvl>
    <w:lvl w:ilvl="4" w:tplc="04090003" w:tentative="1">
      <w:start w:val="1"/>
      <w:numFmt w:val="bullet"/>
      <w:lvlText w:val="o"/>
      <w:lvlJc w:val="left"/>
      <w:pPr>
        <w:ind w:left="2976" w:hanging="360"/>
      </w:pPr>
      <w:rPr>
        <w:rFonts w:ascii="Courier New" w:hAnsi="Courier New" w:cs="Courier New" w:hint="default"/>
      </w:rPr>
    </w:lvl>
    <w:lvl w:ilvl="5" w:tplc="04090005" w:tentative="1">
      <w:start w:val="1"/>
      <w:numFmt w:val="bullet"/>
      <w:lvlText w:val=""/>
      <w:lvlJc w:val="left"/>
      <w:pPr>
        <w:ind w:left="3696" w:hanging="360"/>
      </w:pPr>
      <w:rPr>
        <w:rFonts w:ascii="Wingdings" w:hAnsi="Wingdings" w:hint="default"/>
      </w:rPr>
    </w:lvl>
    <w:lvl w:ilvl="6" w:tplc="04090001" w:tentative="1">
      <w:start w:val="1"/>
      <w:numFmt w:val="bullet"/>
      <w:lvlText w:val=""/>
      <w:lvlJc w:val="left"/>
      <w:pPr>
        <w:ind w:left="4416" w:hanging="360"/>
      </w:pPr>
      <w:rPr>
        <w:rFonts w:ascii="Symbol" w:hAnsi="Symbol" w:hint="default"/>
      </w:rPr>
    </w:lvl>
    <w:lvl w:ilvl="7" w:tplc="04090003" w:tentative="1">
      <w:start w:val="1"/>
      <w:numFmt w:val="bullet"/>
      <w:lvlText w:val="o"/>
      <w:lvlJc w:val="left"/>
      <w:pPr>
        <w:ind w:left="5136" w:hanging="360"/>
      </w:pPr>
      <w:rPr>
        <w:rFonts w:ascii="Courier New" w:hAnsi="Courier New" w:cs="Courier New" w:hint="default"/>
      </w:rPr>
    </w:lvl>
    <w:lvl w:ilvl="8" w:tplc="04090005" w:tentative="1">
      <w:start w:val="1"/>
      <w:numFmt w:val="bullet"/>
      <w:lvlText w:val=""/>
      <w:lvlJc w:val="left"/>
      <w:pPr>
        <w:ind w:left="5856" w:hanging="360"/>
      </w:pPr>
      <w:rPr>
        <w:rFonts w:ascii="Wingdings" w:hAnsi="Wingdings" w:hint="default"/>
      </w:rPr>
    </w:lvl>
  </w:abstractNum>
  <w:abstractNum w:abstractNumId="14" w15:restartNumberingAfterBreak="0">
    <w:nsid w:val="5B5D59DC"/>
    <w:multiLevelType w:val="multilevel"/>
    <w:tmpl w:val="22F6BF72"/>
    <w:lvl w:ilvl="0">
      <w:start w:val="1"/>
      <w:numFmt w:val="bullet"/>
      <w:lvlText w:val=""/>
      <w:lvlJc w:val="left"/>
      <w:pPr>
        <w:ind w:left="2689" w:firstLine="567"/>
      </w:pPr>
      <w:rPr>
        <w:rFonts w:ascii="Symbol" w:hAnsi="Symbol" w:hint="default"/>
        <w:sz w:val="24"/>
      </w:rPr>
    </w:lvl>
    <w:lvl w:ilvl="1">
      <w:start w:val="1"/>
      <w:numFmt w:val="lowerLetter"/>
      <w:lvlText w:val="(%2)"/>
      <w:lvlJc w:val="left"/>
      <w:pPr>
        <w:ind w:left="4390" w:hanging="567"/>
      </w:pPr>
    </w:lvl>
    <w:lvl w:ilvl="2">
      <w:start w:val="1"/>
      <w:numFmt w:val="lowerRoman"/>
      <w:lvlText w:val="(%3)"/>
      <w:lvlJc w:val="left"/>
      <w:pPr>
        <w:ind w:left="4957" w:hanging="567"/>
      </w:pPr>
    </w:lvl>
    <w:lvl w:ilvl="3">
      <w:start w:val="1"/>
      <w:numFmt w:val="decimal"/>
      <w:lvlText w:val="(%4)"/>
      <w:lvlJc w:val="left"/>
      <w:pPr>
        <w:ind w:left="5524" w:hanging="567"/>
      </w:pPr>
      <w:rPr>
        <w:rFonts w:ascii="Times New Roman" w:hAnsi="Times New Roman" w:cs="Times New Roman" w:hint="default"/>
        <w:sz w:val="24"/>
      </w:rPr>
    </w:lvl>
    <w:lvl w:ilvl="4">
      <w:start w:val="1"/>
      <w:numFmt w:val="lowerLetter"/>
      <w:lvlText w:val="(%5)"/>
      <w:lvlJc w:val="left"/>
      <w:pPr>
        <w:ind w:left="6091" w:hanging="567"/>
      </w:pPr>
      <w:rPr>
        <w:rFonts w:ascii="Times New Roman" w:hAnsi="Times New Roman" w:cs="Times New Roman" w:hint="default"/>
        <w:sz w:val="24"/>
      </w:rPr>
    </w:lvl>
    <w:lvl w:ilvl="5">
      <w:start w:val="1"/>
      <w:numFmt w:val="lowerRoman"/>
      <w:lvlText w:val="(%6)"/>
      <w:lvlJc w:val="left"/>
      <w:pPr>
        <w:ind w:left="6658" w:hanging="567"/>
      </w:pPr>
      <w:rPr>
        <w:rFonts w:ascii="Times New Roman" w:hAnsi="Times New Roman" w:cs="Times New Roman" w:hint="default"/>
        <w:sz w:val="24"/>
      </w:rPr>
    </w:lvl>
    <w:lvl w:ilvl="6">
      <w:start w:val="1"/>
      <w:numFmt w:val="decimal"/>
      <w:lvlText w:val="%7."/>
      <w:lvlJc w:val="left"/>
      <w:pPr>
        <w:tabs>
          <w:tab w:val="num" w:pos="6658"/>
        </w:tabs>
        <w:ind w:left="6091" w:firstLine="567"/>
      </w:pPr>
    </w:lvl>
    <w:lvl w:ilvl="7">
      <w:start w:val="1"/>
      <w:numFmt w:val="lowerLetter"/>
      <w:lvlText w:val="%8."/>
      <w:lvlJc w:val="left"/>
      <w:pPr>
        <w:tabs>
          <w:tab w:val="num" w:pos="7225"/>
        </w:tabs>
        <w:ind w:left="6658" w:firstLine="567"/>
      </w:pPr>
    </w:lvl>
    <w:lvl w:ilvl="8">
      <w:start w:val="1"/>
      <w:numFmt w:val="lowerRoman"/>
      <w:lvlText w:val="%9."/>
      <w:lvlJc w:val="left"/>
      <w:pPr>
        <w:tabs>
          <w:tab w:val="num" w:pos="7792"/>
        </w:tabs>
        <w:ind w:left="7225" w:firstLine="567"/>
      </w:pPr>
    </w:lvl>
  </w:abstractNum>
  <w:abstractNum w:abstractNumId="15" w15:restartNumberingAfterBreak="0">
    <w:nsid w:val="5F7B3FF1"/>
    <w:multiLevelType w:val="hybridMultilevel"/>
    <w:tmpl w:val="87F2C6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5A11A0D"/>
    <w:multiLevelType w:val="hybridMultilevel"/>
    <w:tmpl w:val="28A47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0B2BF2"/>
    <w:multiLevelType w:val="hybridMultilevel"/>
    <w:tmpl w:val="2E3048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A3F3135"/>
    <w:multiLevelType w:val="multilevel"/>
    <w:tmpl w:val="22F6BF72"/>
    <w:lvl w:ilvl="0">
      <w:start w:val="1"/>
      <w:numFmt w:val="bullet"/>
      <w:lvlText w:val=""/>
      <w:lvlJc w:val="left"/>
      <w:pPr>
        <w:ind w:left="2689" w:firstLine="567"/>
      </w:pPr>
      <w:rPr>
        <w:rFonts w:ascii="Symbol" w:hAnsi="Symbol" w:hint="default"/>
        <w:sz w:val="24"/>
      </w:rPr>
    </w:lvl>
    <w:lvl w:ilvl="1">
      <w:start w:val="1"/>
      <w:numFmt w:val="lowerLetter"/>
      <w:lvlText w:val="(%2)"/>
      <w:lvlJc w:val="left"/>
      <w:pPr>
        <w:ind w:left="4390" w:hanging="567"/>
      </w:pPr>
    </w:lvl>
    <w:lvl w:ilvl="2">
      <w:start w:val="1"/>
      <w:numFmt w:val="lowerRoman"/>
      <w:lvlText w:val="(%3)"/>
      <w:lvlJc w:val="left"/>
      <w:pPr>
        <w:ind w:left="4957" w:hanging="567"/>
      </w:pPr>
    </w:lvl>
    <w:lvl w:ilvl="3">
      <w:start w:val="1"/>
      <w:numFmt w:val="decimal"/>
      <w:lvlText w:val="(%4)"/>
      <w:lvlJc w:val="left"/>
      <w:pPr>
        <w:ind w:left="5524" w:hanging="567"/>
      </w:pPr>
      <w:rPr>
        <w:rFonts w:ascii="Times New Roman" w:hAnsi="Times New Roman" w:cs="Times New Roman" w:hint="default"/>
        <w:sz w:val="24"/>
      </w:rPr>
    </w:lvl>
    <w:lvl w:ilvl="4">
      <w:start w:val="1"/>
      <w:numFmt w:val="lowerLetter"/>
      <w:lvlText w:val="(%5)"/>
      <w:lvlJc w:val="left"/>
      <w:pPr>
        <w:ind w:left="6091" w:hanging="567"/>
      </w:pPr>
      <w:rPr>
        <w:rFonts w:ascii="Times New Roman" w:hAnsi="Times New Roman" w:cs="Times New Roman" w:hint="default"/>
        <w:sz w:val="24"/>
      </w:rPr>
    </w:lvl>
    <w:lvl w:ilvl="5">
      <w:start w:val="1"/>
      <w:numFmt w:val="lowerRoman"/>
      <w:lvlText w:val="(%6)"/>
      <w:lvlJc w:val="left"/>
      <w:pPr>
        <w:ind w:left="6658" w:hanging="567"/>
      </w:pPr>
      <w:rPr>
        <w:rFonts w:ascii="Times New Roman" w:hAnsi="Times New Roman" w:cs="Times New Roman" w:hint="default"/>
        <w:sz w:val="24"/>
      </w:rPr>
    </w:lvl>
    <w:lvl w:ilvl="6">
      <w:start w:val="1"/>
      <w:numFmt w:val="decimal"/>
      <w:lvlText w:val="%7."/>
      <w:lvlJc w:val="left"/>
      <w:pPr>
        <w:tabs>
          <w:tab w:val="num" w:pos="6658"/>
        </w:tabs>
        <w:ind w:left="6091" w:firstLine="567"/>
      </w:pPr>
    </w:lvl>
    <w:lvl w:ilvl="7">
      <w:start w:val="1"/>
      <w:numFmt w:val="lowerLetter"/>
      <w:lvlText w:val="%8."/>
      <w:lvlJc w:val="left"/>
      <w:pPr>
        <w:tabs>
          <w:tab w:val="num" w:pos="7225"/>
        </w:tabs>
        <w:ind w:left="6658" w:firstLine="567"/>
      </w:pPr>
    </w:lvl>
    <w:lvl w:ilvl="8">
      <w:start w:val="1"/>
      <w:numFmt w:val="lowerRoman"/>
      <w:lvlText w:val="%9."/>
      <w:lvlJc w:val="left"/>
      <w:pPr>
        <w:tabs>
          <w:tab w:val="num" w:pos="7792"/>
        </w:tabs>
        <w:ind w:left="7225" w:firstLine="567"/>
      </w:pPr>
    </w:lvl>
  </w:abstractNum>
  <w:abstractNum w:abstractNumId="19" w15:restartNumberingAfterBreak="0">
    <w:nsid w:val="6A550F0B"/>
    <w:multiLevelType w:val="hybridMultilevel"/>
    <w:tmpl w:val="B7B654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E061FE3"/>
    <w:multiLevelType w:val="hybridMultilevel"/>
    <w:tmpl w:val="15E688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D27260B"/>
    <w:multiLevelType w:val="hybridMultilevel"/>
    <w:tmpl w:val="4CFE2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1C385D"/>
    <w:multiLevelType w:val="hybridMultilevel"/>
    <w:tmpl w:val="C1CC614A"/>
    <w:lvl w:ilvl="0" w:tplc="7F52DC68">
      <w:start w:val="1"/>
      <w:numFmt w:val="decimal"/>
      <w:lvlText w:val="(%1)"/>
      <w:lvlJc w:val="left"/>
      <w:pPr>
        <w:ind w:left="786" w:hanging="360"/>
      </w:pPr>
      <w:rPr>
        <w:i w:val="0"/>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3" w15:restartNumberingAfterBreak="0">
    <w:nsid w:val="7FFD50FF"/>
    <w:multiLevelType w:val="hybridMultilevel"/>
    <w:tmpl w:val="C7B4E798"/>
    <w:lvl w:ilvl="0" w:tplc="592EA38C">
      <w:start w:val="1"/>
      <w:numFmt w:val="decimal"/>
      <w:lvlText w:val="%1."/>
      <w:lvlJc w:val="left"/>
      <w:pPr>
        <w:ind w:left="720" w:hanging="360"/>
      </w:pPr>
      <w:rPr>
        <w:rFonts w:hint="default"/>
        <w:b w:val="0"/>
        <w:bCs w:val="0"/>
        <w:strike w:val="0"/>
        <w:color w:val="004F8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86484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0209445">
    <w:abstractNumId w:val="18"/>
  </w:num>
  <w:num w:numId="3" w16cid:durableId="590970797">
    <w:abstractNumId w:val="22"/>
  </w:num>
  <w:num w:numId="4" w16cid:durableId="2055427124">
    <w:abstractNumId w:val="5"/>
  </w:num>
  <w:num w:numId="5" w16cid:durableId="895049618">
    <w:abstractNumId w:val="9"/>
  </w:num>
  <w:num w:numId="6" w16cid:durableId="115292307">
    <w:abstractNumId w:val="2"/>
  </w:num>
  <w:num w:numId="7" w16cid:durableId="1851412030">
    <w:abstractNumId w:val="20"/>
  </w:num>
  <w:num w:numId="8" w16cid:durableId="757946498">
    <w:abstractNumId w:val="11"/>
  </w:num>
  <w:num w:numId="9" w16cid:durableId="1953512602">
    <w:abstractNumId w:val="4"/>
  </w:num>
  <w:num w:numId="10" w16cid:durableId="895973249">
    <w:abstractNumId w:val="12"/>
  </w:num>
  <w:num w:numId="11" w16cid:durableId="535041331">
    <w:abstractNumId w:val="19"/>
  </w:num>
  <w:num w:numId="12" w16cid:durableId="135874336">
    <w:abstractNumId w:val="10"/>
  </w:num>
  <w:num w:numId="13" w16cid:durableId="2007173502">
    <w:abstractNumId w:val="15"/>
  </w:num>
  <w:num w:numId="14" w16cid:durableId="1339192558">
    <w:abstractNumId w:val="3"/>
  </w:num>
  <w:num w:numId="15" w16cid:durableId="505949806">
    <w:abstractNumId w:val="17"/>
  </w:num>
  <w:num w:numId="16" w16cid:durableId="1806240268">
    <w:abstractNumId w:val="6"/>
  </w:num>
  <w:num w:numId="17" w16cid:durableId="1984196508">
    <w:abstractNumId w:val="21"/>
  </w:num>
  <w:num w:numId="18" w16cid:durableId="387848336">
    <w:abstractNumId w:val="14"/>
  </w:num>
  <w:num w:numId="19" w16cid:durableId="1473601612">
    <w:abstractNumId w:val="0"/>
  </w:num>
  <w:num w:numId="20" w16cid:durableId="101537154">
    <w:abstractNumId w:val="8"/>
  </w:num>
  <w:num w:numId="21" w16cid:durableId="315576518">
    <w:abstractNumId w:val="1"/>
  </w:num>
  <w:num w:numId="22" w16cid:durableId="1099301199">
    <w:abstractNumId w:val="16"/>
  </w:num>
  <w:num w:numId="23" w16cid:durableId="1545412805">
    <w:abstractNumId w:val="13"/>
  </w:num>
  <w:num w:numId="24" w16cid:durableId="2142847158">
    <w:abstractNumId w:val="23"/>
  </w:num>
  <w:num w:numId="25" w16cid:durableId="20910744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E30"/>
    <w:rsid w:val="0000223F"/>
    <w:rsid w:val="00006FDF"/>
    <w:rsid w:val="00011745"/>
    <w:rsid w:val="00035B66"/>
    <w:rsid w:val="000473F4"/>
    <w:rsid w:val="00063135"/>
    <w:rsid w:val="000632B4"/>
    <w:rsid w:val="00071A88"/>
    <w:rsid w:val="000753DB"/>
    <w:rsid w:val="00082546"/>
    <w:rsid w:val="0008580B"/>
    <w:rsid w:val="000907F3"/>
    <w:rsid w:val="00094C91"/>
    <w:rsid w:val="000A55CD"/>
    <w:rsid w:val="000A6A85"/>
    <w:rsid w:val="000C37AB"/>
    <w:rsid w:val="000C3E30"/>
    <w:rsid w:val="000C4D5B"/>
    <w:rsid w:val="000C6665"/>
    <w:rsid w:val="000D1F93"/>
    <w:rsid w:val="000D35F5"/>
    <w:rsid w:val="000D47F1"/>
    <w:rsid w:val="000E0E5C"/>
    <w:rsid w:val="000F39FF"/>
    <w:rsid w:val="000F5304"/>
    <w:rsid w:val="00107EF2"/>
    <w:rsid w:val="00123B4E"/>
    <w:rsid w:val="00133E2A"/>
    <w:rsid w:val="0013794C"/>
    <w:rsid w:val="00150AA5"/>
    <w:rsid w:val="00152CD6"/>
    <w:rsid w:val="00167D49"/>
    <w:rsid w:val="001771B2"/>
    <w:rsid w:val="00180A98"/>
    <w:rsid w:val="00183CC2"/>
    <w:rsid w:val="001844AF"/>
    <w:rsid w:val="00186890"/>
    <w:rsid w:val="00194805"/>
    <w:rsid w:val="00196686"/>
    <w:rsid w:val="001A55DD"/>
    <w:rsid w:val="001A59A5"/>
    <w:rsid w:val="001B31E9"/>
    <w:rsid w:val="001B66FA"/>
    <w:rsid w:val="001C5150"/>
    <w:rsid w:val="001C7B06"/>
    <w:rsid w:val="001D12A3"/>
    <w:rsid w:val="001E4846"/>
    <w:rsid w:val="001E58BC"/>
    <w:rsid w:val="001F2B91"/>
    <w:rsid w:val="001F65FA"/>
    <w:rsid w:val="002051E5"/>
    <w:rsid w:val="0021321F"/>
    <w:rsid w:val="002147B5"/>
    <w:rsid w:val="002217CF"/>
    <w:rsid w:val="00223CFE"/>
    <w:rsid w:val="00232B08"/>
    <w:rsid w:val="002676F4"/>
    <w:rsid w:val="002715CD"/>
    <w:rsid w:val="00272214"/>
    <w:rsid w:val="00282681"/>
    <w:rsid w:val="002828E3"/>
    <w:rsid w:val="0028526D"/>
    <w:rsid w:val="00293A8F"/>
    <w:rsid w:val="002C095D"/>
    <w:rsid w:val="002D448F"/>
    <w:rsid w:val="002F3D45"/>
    <w:rsid w:val="002F5F58"/>
    <w:rsid w:val="0030091C"/>
    <w:rsid w:val="00307B5A"/>
    <w:rsid w:val="00311636"/>
    <w:rsid w:val="003168E2"/>
    <w:rsid w:val="003325C0"/>
    <w:rsid w:val="003466E7"/>
    <w:rsid w:val="0035580F"/>
    <w:rsid w:val="003627B9"/>
    <w:rsid w:val="00364614"/>
    <w:rsid w:val="003801EA"/>
    <w:rsid w:val="00382AE1"/>
    <w:rsid w:val="00391052"/>
    <w:rsid w:val="003920BA"/>
    <w:rsid w:val="00392C8B"/>
    <w:rsid w:val="003B212C"/>
    <w:rsid w:val="003B3D1D"/>
    <w:rsid w:val="003B745B"/>
    <w:rsid w:val="003D13F6"/>
    <w:rsid w:val="003D346E"/>
    <w:rsid w:val="003E020A"/>
    <w:rsid w:val="003F250A"/>
    <w:rsid w:val="0040290D"/>
    <w:rsid w:val="004054A7"/>
    <w:rsid w:val="004133A0"/>
    <w:rsid w:val="00416AF7"/>
    <w:rsid w:val="0042063D"/>
    <w:rsid w:val="0042311F"/>
    <w:rsid w:val="00432413"/>
    <w:rsid w:val="0043409F"/>
    <w:rsid w:val="00435BF6"/>
    <w:rsid w:val="00450D16"/>
    <w:rsid w:val="00455B44"/>
    <w:rsid w:val="00456F70"/>
    <w:rsid w:val="00461686"/>
    <w:rsid w:val="00466F23"/>
    <w:rsid w:val="00467E0B"/>
    <w:rsid w:val="004754A5"/>
    <w:rsid w:val="004772B2"/>
    <w:rsid w:val="004805E8"/>
    <w:rsid w:val="00487BE7"/>
    <w:rsid w:val="00487D02"/>
    <w:rsid w:val="00491EEA"/>
    <w:rsid w:val="00493698"/>
    <w:rsid w:val="004945F6"/>
    <w:rsid w:val="004969DB"/>
    <w:rsid w:val="004975B9"/>
    <w:rsid w:val="00497B43"/>
    <w:rsid w:val="004A6C1A"/>
    <w:rsid w:val="004B24B2"/>
    <w:rsid w:val="004B6F08"/>
    <w:rsid w:val="004E1D0A"/>
    <w:rsid w:val="004E6687"/>
    <w:rsid w:val="004E6D06"/>
    <w:rsid w:val="004F2486"/>
    <w:rsid w:val="004F5449"/>
    <w:rsid w:val="004F5B15"/>
    <w:rsid w:val="00520232"/>
    <w:rsid w:val="00522310"/>
    <w:rsid w:val="0052632E"/>
    <w:rsid w:val="005277EB"/>
    <w:rsid w:val="00567D66"/>
    <w:rsid w:val="00573184"/>
    <w:rsid w:val="005830FB"/>
    <w:rsid w:val="005906FC"/>
    <w:rsid w:val="00590D42"/>
    <w:rsid w:val="005A03C3"/>
    <w:rsid w:val="005B0522"/>
    <w:rsid w:val="005B6C11"/>
    <w:rsid w:val="005C5335"/>
    <w:rsid w:val="005D227B"/>
    <w:rsid w:val="005E11F8"/>
    <w:rsid w:val="005E3D11"/>
    <w:rsid w:val="005E69BD"/>
    <w:rsid w:val="005E7007"/>
    <w:rsid w:val="005F013B"/>
    <w:rsid w:val="00602643"/>
    <w:rsid w:val="006043D9"/>
    <w:rsid w:val="0062160D"/>
    <w:rsid w:val="00630639"/>
    <w:rsid w:val="006336BC"/>
    <w:rsid w:val="006347F5"/>
    <w:rsid w:val="00643DC7"/>
    <w:rsid w:val="00664298"/>
    <w:rsid w:val="00680D03"/>
    <w:rsid w:val="00697E08"/>
    <w:rsid w:val="006B139A"/>
    <w:rsid w:val="006B781F"/>
    <w:rsid w:val="006C3ADD"/>
    <w:rsid w:val="006E1BF2"/>
    <w:rsid w:val="006E3F7B"/>
    <w:rsid w:val="006E666E"/>
    <w:rsid w:val="006E6798"/>
    <w:rsid w:val="006E7177"/>
    <w:rsid w:val="0070013A"/>
    <w:rsid w:val="00704C9A"/>
    <w:rsid w:val="00724B98"/>
    <w:rsid w:val="00727B03"/>
    <w:rsid w:val="00742966"/>
    <w:rsid w:val="007513EE"/>
    <w:rsid w:val="007550A6"/>
    <w:rsid w:val="00767929"/>
    <w:rsid w:val="00767B4D"/>
    <w:rsid w:val="0077478B"/>
    <w:rsid w:val="00794F61"/>
    <w:rsid w:val="007A2A82"/>
    <w:rsid w:val="007A55ED"/>
    <w:rsid w:val="007C280E"/>
    <w:rsid w:val="007C717F"/>
    <w:rsid w:val="007D110D"/>
    <w:rsid w:val="007E51F7"/>
    <w:rsid w:val="007F0551"/>
    <w:rsid w:val="007F7370"/>
    <w:rsid w:val="00801210"/>
    <w:rsid w:val="00801A9E"/>
    <w:rsid w:val="008103D5"/>
    <w:rsid w:val="008258BE"/>
    <w:rsid w:val="00844A50"/>
    <w:rsid w:val="00845435"/>
    <w:rsid w:val="00856ED3"/>
    <w:rsid w:val="00857981"/>
    <w:rsid w:val="008612E9"/>
    <w:rsid w:val="00861335"/>
    <w:rsid w:val="00872792"/>
    <w:rsid w:val="00886568"/>
    <w:rsid w:val="00891BEC"/>
    <w:rsid w:val="008A282D"/>
    <w:rsid w:val="008B7BDB"/>
    <w:rsid w:val="008E4789"/>
    <w:rsid w:val="008F15B5"/>
    <w:rsid w:val="008F2F95"/>
    <w:rsid w:val="00903B42"/>
    <w:rsid w:val="00906B20"/>
    <w:rsid w:val="00906DE6"/>
    <w:rsid w:val="00925B91"/>
    <w:rsid w:val="00930301"/>
    <w:rsid w:val="00930DF2"/>
    <w:rsid w:val="00932875"/>
    <w:rsid w:val="009379A7"/>
    <w:rsid w:val="0095176F"/>
    <w:rsid w:val="00957475"/>
    <w:rsid w:val="0096325D"/>
    <w:rsid w:val="009734E9"/>
    <w:rsid w:val="00974899"/>
    <w:rsid w:val="00975919"/>
    <w:rsid w:val="009847D2"/>
    <w:rsid w:val="009B3640"/>
    <w:rsid w:val="009C0E3D"/>
    <w:rsid w:val="009C203B"/>
    <w:rsid w:val="009E3FF1"/>
    <w:rsid w:val="009E543D"/>
    <w:rsid w:val="00A00135"/>
    <w:rsid w:val="00A11E29"/>
    <w:rsid w:val="00A147BF"/>
    <w:rsid w:val="00A253A9"/>
    <w:rsid w:val="00A328E3"/>
    <w:rsid w:val="00A34849"/>
    <w:rsid w:val="00A50E69"/>
    <w:rsid w:val="00A576BE"/>
    <w:rsid w:val="00A60F90"/>
    <w:rsid w:val="00A6548A"/>
    <w:rsid w:val="00A65722"/>
    <w:rsid w:val="00A8165E"/>
    <w:rsid w:val="00A865AD"/>
    <w:rsid w:val="00A95124"/>
    <w:rsid w:val="00AC1EED"/>
    <w:rsid w:val="00AC2B7F"/>
    <w:rsid w:val="00AD5033"/>
    <w:rsid w:val="00AD70BC"/>
    <w:rsid w:val="00AD7AA7"/>
    <w:rsid w:val="00AE283D"/>
    <w:rsid w:val="00AF5060"/>
    <w:rsid w:val="00B0270C"/>
    <w:rsid w:val="00B051B8"/>
    <w:rsid w:val="00B132AA"/>
    <w:rsid w:val="00B15458"/>
    <w:rsid w:val="00B17D68"/>
    <w:rsid w:val="00B22BCF"/>
    <w:rsid w:val="00B33503"/>
    <w:rsid w:val="00B37EDD"/>
    <w:rsid w:val="00B41C51"/>
    <w:rsid w:val="00B477A2"/>
    <w:rsid w:val="00B601E9"/>
    <w:rsid w:val="00B61E2A"/>
    <w:rsid w:val="00B64B80"/>
    <w:rsid w:val="00B83281"/>
    <w:rsid w:val="00B97EAE"/>
    <w:rsid w:val="00BA45EC"/>
    <w:rsid w:val="00BA6221"/>
    <w:rsid w:val="00BB0AAE"/>
    <w:rsid w:val="00BC13D8"/>
    <w:rsid w:val="00BC1D67"/>
    <w:rsid w:val="00BC28DA"/>
    <w:rsid w:val="00BC5525"/>
    <w:rsid w:val="00BE044F"/>
    <w:rsid w:val="00BE340C"/>
    <w:rsid w:val="00BE3692"/>
    <w:rsid w:val="00BE5F17"/>
    <w:rsid w:val="00BE7BB7"/>
    <w:rsid w:val="00C00539"/>
    <w:rsid w:val="00C0098A"/>
    <w:rsid w:val="00C10A74"/>
    <w:rsid w:val="00C110FC"/>
    <w:rsid w:val="00C111CD"/>
    <w:rsid w:val="00C13230"/>
    <w:rsid w:val="00C137F4"/>
    <w:rsid w:val="00C35A90"/>
    <w:rsid w:val="00C506A3"/>
    <w:rsid w:val="00C56071"/>
    <w:rsid w:val="00C565F0"/>
    <w:rsid w:val="00C63F9B"/>
    <w:rsid w:val="00C678E6"/>
    <w:rsid w:val="00C91603"/>
    <w:rsid w:val="00C9492B"/>
    <w:rsid w:val="00CA1534"/>
    <w:rsid w:val="00CA2B08"/>
    <w:rsid w:val="00CA6DE3"/>
    <w:rsid w:val="00CA7A5C"/>
    <w:rsid w:val="00CB15F2"/>
    <w:rsid w:val="00CB69E4"/>
    <w:rsid w:val="00CD5BA4"/>
    <w:rsid w:val="00CD683C"/>
    <w:rsid w:val="00CD6EEE"/>
    <w:rsid w:val="00CE5B69"/>
    <w:rsid w:val="00D07E46"/>
    <w:rsid w:val="00D14A10"/>
    <w:rsid w:val="00D300FE"/>
    <w:rsid w:val="00D37D3F"/>
    <w:rsid w:val="00D44853"/>
    <w:rsid w:val="00D477E4"/>
    <w:rsid w:val="00D506C6"/>
    <w:rsid w:val="00D50B47"/>
    <w:rsid w:val="00D76625"/>
    <w:rsid w:val="00D7790E"/>
    <w:rsid w:val="00D92108"/>
    <w:rsid w:val="00D946FE"/>
    <w:rsid w:val="00DA66C8"/>
    <w:rsid w:val="00DB6D05"/>
    <w:rsid w:val="00DC0F36"/>
    <w:rsid w:val="00DC1F81"/>
    <w:rsid w:val="00DC78A0"/>
    <w:rsid w:val="00DD1B11"/>
    <w:rsid w:val="00DD4EC0"/>
    <w:rsid w:val="00DD634F"/>
    <w:rsid w:val="00DE180A"/>
    <w:rsid w:val="00DE7D50"/>
    <w:rsid w:val="00E11D6B"/>
    <w:rsid w:val="00E252AE"/>
    <w:rsid w:val="00E26DF3"/>
    <w:rsid w:val="00E37C9F"/>
    <w:rsid w:val="00E45143"/>
    <w:rsid w:val="00E533AC"/>
    <w:rsid w:val="00E71CD9"/>
    <w:rsid w:val="00E72BE4"/>
    <w:rsid w:val="00E75218"/>
    <w:rsid w:val="00E81642"/>
    <w:rsid w:val="00E86A65"/>
    <w:rsid w:val="00E90B03"/>
    <w:rsid w:val="00E92B77"/>
    <w:rsid w:val="00E9455C"/>
    <w:rsid w:val="00EA2F60"/>
    <w:rsid w:val="00EA3FCE"/>
    <w:rsid w:val="00EB19DC"/>
    <w:rsid w:val="00EB33B2"/>
    <w:rsid w:val="00EB70F6"/>
    <w:rsid w:val="00EC141D"/>
    <w:rsid w:val="00EC60A2"/>
    <w:rsid w:val="00ED1288"/>
    <w:rsid w:val="00EE1C70"/>
    <w:rsid w:val="00EE420B"/>
    <w:rsid w:val="00F3277B"/>
    <w:rsid w:val="00F4270B"/>
    <w:rsid w:val="00F436D5"/>
    <w:rsid w:val="00F45B7D"/>
    <w:rsid w:val="00F46226"/>
    <w:rsid w:val="00F47542"/>
    <w:rsid w:val="00F516CD"/>
    <w:rsid w:val="00F60459"/>
    <w:rsid w:val="00F64999"/>
    <w:rsid w:val="00F75A80"/>
    <w:rsid w:val="00F77445"/>
    <w:rsid w:val="00FA5DF0"/>
    <w:rsid w:val="00FB640C"/>
    <w:rsid w:val="00FC367B"/>
    <w:rsid w:val="00FD04E3"/>
    <w:rsid w:val="00FD1233"/>
    <w:rsid w:val="00FD345F"/>
    <w:rsid w:val="00FD407C"/>
    <w:rsid w:val="00FD5708"/>
    <w:rsid w:val="00FD6257"/>
    <w:rsid w:val="00FD6C14"/>
    <w:rsid w:val="00FE4246"/>
    <w:rsid w:val="00FE46EB"/>
    <w:rsid w:val="0B3C609B"/>
    <w:rsid w:val="207DFA80"/>
    <w:rsid w:val="208C112A"/>
    <w:rsid w:val="212F0DD0"/>
    <w:rsid w:val="65C1E9A5"/>
    <w:rsid w:val="6890A6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361A3"/>
  <w15:chartTrackingRefBased/>
  <w15:docId w15:val="{4020E94F-CE86-4D7D-AAF5-D5CEA198D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98A"/>
    <w:rPr>
      <w:noProof/>
    </w:rPr>
  </w:style>
  <w:style w:type="paragraph" w:styleId="Heading1">
    <w:name w:val="heading 1"/>
    <w:basedOn w:val="Normal"/>
    <w:next w:val="Normal"/>
    <w:link w:val="Heading1Char"/>
    <w:uiPriority w:val="9"/>
    <w:qFormat/>
    <w:rsid w:val="000C3E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3E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3E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3E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3E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3E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E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E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E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E30"/>
    <w:rPr>
      <w:rFonts w:asciiTheme="majorHAnsi" w:eastAsiaTheme="majorEastAsia" w:hAnsiTheme="majorHAnsi" w:cstheme="majorBidi"/>
      <w:noProof/>
      <w:color w:val="2F5496" w:themeColor="accent1" w:themeShade="BF"/>
      <w:sz w:val="40"/>
      <w:szCs w:val="40"/>
    </w:rPr>
  </w:style>
  <w:style w:type="character" w:customStyle="1" w:styleId="Heading2Char">
    <w:name w:val="Heading 2 Char"/>
    <w:basedOn w:val="DefaultParagraphFont"/>
    <w:link w:val="Heading2"/>
    <w:uiPriority w:val="9"/>
    <w:semiHidden/>
    <w:rsid w:val="000C3E30"/>
    <w:rPr>
      <w:rFonts w:asciiTheme="majorHAnsi" w:eastAsiaTheme="majorEastAsia" w:hAnsiTheme="majorHAnsi" w:cstheme="majorBidi"/>
      <w:noProof/>
      <w:color w:val="2F5496" w:themeColor="accent1" w:themeShade="BF"/>
      <w:sz w:val="32"/>
      <w:szCs w:val="32"/>
    </w:rPr>
  </w:style>
  <w:style w:type="character" w:customStyle="1" w:styleId="Heading3Char">
    <w:name w:val="Heading 3 Char"/>
    <w:basedOn w:val="DefaultParagraphFont"/>
    <w:link w:val="Heading3"/>
    <w:uiPriority w:val="9"/>
    <w:semiHidden/>
    <w:rsid w:val="000C3E30"/>
    <w:rPr>
      <w:rFonts w:eastAsiaTheme="majorEastAsia" w:cstheme="majorBidi"/>
      <w:noProof/>
      <w:color w:val="2F5496" w:themeColor="accent1" w:themeShade="BF"/>
      <w:sz w:val="28"/>
      <w:szCs w:val="28"/>
    </w:rPr>
  </w:style>
  <w:style w:type="character" w:customStyle="1" w:styleId="Heading4Char">
    <w:name w:val="Heading 4 Char"/>
    <w:basedOn w:val="DefaultParagraphFont"/>
    <w:link w:val="Heading4"/>
    <w:uiPriority w:val="9"/>
    <w:semiHidden/>
    <w:rsid w:val="000C3E30"/>
    <w:rPr>
      <w:rFonts w:eastAsiaTheme="majorEastAsia" w:cstheme="majorBidi"/>
      <w:i/>
      <w:iCs/>
      <w:noProof/>
      <w:color w:val="2F5496" w:themeColor="accent1" w:themeShade="BF"/>
    </w:rPr>
  </w:style>
  <w:style w:type="character" w:customStyle="1" w:styleId="Heading5Char">
    <w:name w:val="Heading 5 Char"/>
    <w:basedOn w:val="DefaultParagraphFont"/>
    <w:link w:val="Heading5"/>
    <w:uiPriority w:val="9"/>
    <w:semiHidden/>
    <w:rsid w:val="000C3E30"/>
    <w:rPr>
      <w:rFonts w:eastAsiaTheme="majorEastAsia" w:cstheme="majorBidi"/>
      <w:noProof/>
      <w:color w:val="2F5496" w:themeColor="accent1" w:themeShade="BF"/>
    </w:rPr>
  </w:style>
  <w:style w:type="character" w:customStyle="1" w:styleId="Heading6Char">
    <w:name w:val="Heading 6 Char"/>
    <w:basedOn w:val="DefaultParagraphFont"/>
    <w:link w:val="Heading6"/>
    <w:uiPriority w:val="9"/>
    <w:semiHidden/>
    <w:rsid w:val="000C3E30"/>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0C3E30"/>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0C3E30"/>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0C3E30"/>
    <w:rPr>
      <w:rFonts w:eastAsiaTheme="majorEastAsia" w:cstheme="majorBidi"/>
      <w:noProof/>
      <w:color w:val="272727" w:themeColor="text1" w:themeTint="D8"/>
    </w:rPr>
  </w:style>
  <w:style w:type="paragraph" w:styleId="Title">
    <w:name w:val="Title"/>
    <w:basedOn w:val="Normal"/>
    <w:next w:val="Normal"/>
    <w:link w:val="TitleChar"/>
    <w:uiPriority w:val="10"/>
    <w:qFormat/>
    <w:rsid w:val="000C3E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E30"/>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0C3E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E30"/>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0C3E30"/>
    <w:pPr>
      <w:spacing w:before="160"/>
      <w:jc w:val="center"/>
    </w:pPr>
    <w:rPr>
      <w:i/>
      <w:iCs/>
      <w:color w:val="404040" w:themeColor="text1" w:themeTint="BF"/>
    </w:rPr>
  </w:style>
  <w:style w:type="character" w:customStyle="1" w:styleId="QuoteChar">
    <w:name w:val="Quote Char"/>
    <w:basedOn w:val="DefaultParagraphFont"/>
    <w:link w:val="Quote"/>
    <w:uiPriority w:val="29"/>
    <w:rsid w:val="000C3E30"/>
    <w:rPr>
      <w:i/>
      <w:iCs/>
      <w:noProof/>
      <w:color w:val="404040" w:themeColor="text1" w:themeTint="BF"/>
    </w:rPr>
  </w:style>
  <w:style w:type="paragraph" w:styleId="ListParagraph">
    <w:name w:val="List Paragraph"/>
    <w:aliases w:val="Table of contents numbered,Colorful List - Accent 11,List Paragraph1,Bullet EY,List Paragraph2,ERP-List Paragraph,List Paragraph11,List Paragraph Red,lp1,Bullet 1,Use Case List Paragraph,Numbering,Paragraph,Buletai,List Paragraph21"/>
    <w:basedOn w:val="Normal"/>
    <w:link w:val="ListParagraphChar"/>
    <w:uiPriority w:val="34"/>
    <w:qFormat/>
    <w:rsid w:val="000C3E30"/>
    <w:pPr>
      <w:ind w:left="720"/>
      <w:contextualSpacing/>
    </w:pPr>
  </w:style>
  <w:style w:type="character" w:styleId="IntenseEmphasis">
    <w:name w:val="Intense Emphasis"/>
    <w:basedOn w:val="DefaultParagraphFont"/>
    <w:uiPriority w:val="21"/>
    <w:qFormat/>
    <w:rsid w:val="000C3E30"/>
    <w:rPr>
      <w:i/>
      <w:iCs/>
      <w:color w:val="2F5496" w:themeColor="accent1" w:themeShade="BF"/>
    </w:rPr>
  </w:style>
  <w:style w:type="paragraph" w:styleId="IntenseQuote">
    <w:name w:val="Intense Quote"/>
    <w:basedOn w:val="Normal"/>
    <w:next w:val="Normal"/>
    <w:link w:val="IntenseQuoteChar"/>
    <w:uiPriority w:val="30"/>
    <w:qFormat/>
    <w:rsid w:val="000C3E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3E30"/>
    <w:rPr>
      <w:i/>
      <w:iCs/>
      <w:noProof/>
      <w:color w:val="2F5496" w:themeColor="accent1" w:themeShade="BF"/>
    </w:rPr>
  </w:style>
  <w:style w:type="character" w:styleId="IntenseReference">
    <w:name w:val="Intense Reference"/>
    <w:basedOn w:val="DefaultParagraphFont"/>
    <w:uiPriority w:val="32"/>
    <w:qFormat/>
    <w:rsid w:val="000C3E30"/>
    <w:rPr>
      <w:b/>
      <w:bCs/>
      <w:smallCaps/>
      <w:color w:val="2F5496" w:themeColor="accent1" w:themeShade="BF"/>
      <w:spacing w:val="5"/>
    </w:rPr>
  </w:style>
  <w:style w:type="table" w:styleId="TableGrid">
    <w:name w:val="Table Grid"/>
    <w:basedOn w:val="TableNormal"/>
    <w:uiPriority w:val="39"/>
    <w:rsid w:val="000C3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Diagrama1,Car,fn,Footnotes,Footnote ak,Footnote Text Char Char,fn Char Char,footnote text Char Char,Footnotes Char Char,Footnote ak Char Char,fn Char1,footnote text Char1,Footnotes Char1,Footnote ak Char1,išnašos"/>
    <w:basedOn w:val="Normal"/>
    <w:link w:val="FootnoteTextChar"/>
    <w:unhideWhenUsed/>
    <w:qFormat/>
    <w:rsid w:val="000C3E30"/>
    <w:pPr>
      <w:spacing w:after="0" w:line="240" w:lineRule="auto"/>
      <w:jc w:val="both"/>
    </w:pPr>
    <w:rPr>
      <w:noProof w:val="0"/>
      <w:kern w:val="0"/>
      <w:sz w:val="20"/>
      <w:szCs w:val="20"/>
      <w:lang w:val="lt-LT"/>
    </w:rPr>
  </w:style>
  <w:style w:type="character" w:customStyle="1" w:styleId="FootnoteTextChar">
    <w:name w:val="Footnote Text Char"/>
    <w:aliases w:val="Diagrama1 Char,Car Char,fn Char,Footnotes Char,Footnote ak Char,Footnote Text Char Char Char,fn Char Char Char,footnote text Char Char Char,Footnotes Char Char Char,Footnote ak Char Char Char,fn Char1 Char,footnote text Char1 Char"/>
    <w:basedOn w:val="DefaultParagraphFont"/>
    <w:link w:val="FootnoteText"/>
    <w:qFormat/>
    <w:rsid w:val="000C3E30"/>
    <w:rPr>
      <w:kern w:val="0"/>
      <w:sz w:val="20"/>
      <w:szCs w:val="20"/>
      <w:lang w:val="lt-LT"/>
    </w:rPr>
  </w:style>
  <w:style w:type="character" w:styleId="FootnoteReference">
    <w:name w:val="footnote reference"/>
    <w:aliases w:val="Ref,de nota al pie,fr,(NECG) Footnote Reference,o,Puslapio išnašos nuoroda1,footnumber,BVI fnr,SUPERS,Footnote symbol,Style 4,FR,Style 6,Style 3,Appel note de bas de p,Style 124,Footnote Reference Number,Footnote Reference_LVL6"/>
    <w:basedOn w:val="DefaultParagraphFont"/>
    <w:unhideWhenUsed/>
    <w:rsid w:val="000C3E30"/>
    <w:rPr>
      <w:vertAlign w:val="superscript"/>
    </w:rPr>
  </w:style>
  <w:style w:type="character" w:styleId="Hyperlink">
    <w:name w:val="Hyperlink"/>
    <w:basedOn w:val="DefaultParagraphFont"/>
    <w:uiPriority w:val="99"/>
    <w:unhideWhenUsed/>
    <w:rsid w:val="000C3E30"/>
    <w:rPr>
      <w:color w:val="0563C1" w:themeColor="hyperlink"/>
      <w:u w:val="single"/>
    </w:rPr>
  </w:style>
  <w:style w:type="paragraph" w:styleId="NoSpacing">
    <w:name w:val="No Spacing"/>
    <w:uiPriority w:val="1"/>
    <w:qFormat/>
    <w:rsid w:val="000C3E30"/>
    <w:pPr>
      <w:spacing w:after="0" w:line="240" w:lineRule="auto"/>
      <w:jc w:val="both"/>
    </w:pPr>
    <w:rPr>
      <w:kern w:val="0"/>
      <w:lang w:val="lt-LT"/>
    </w:rPr>
  </w:style>
  <w:style w:type="character" w:customStyle="1" w:styleId="ListParagraphChar">
    <w:name w:val="List Paragraph Char"/>
    <w:aliases w:val="Table of contents numbered Char,Colorful List - Accent 11 Char,List Paragraph1 Char,Bullet EY Char,List Paragraph2 Char,ERP-List Paragraph Char,List Paragraph11 Char,List Paragraph Red Char,lp1 Char,Bullet 1 Char,Numbering Char"/>
    <w:basedOn w:val="DefaultParagraphFont"/>
    <w:link w:val="ListParagraph"/>
    <w:uiPriority w:val="34"/>
    <w:locked/>
    <w:rsid w:val="00A328E3"/>
    <w:rPr>
      <w:noProof/>
    </w:rPr>
  </w:style>
  <w:style w:type="character" w:customStyle="1" w:styleId="KTpstrnumChar">
    <w:name w:val="KT pstr num Char"/>
    <w:basedOn w:val="DefaultParagraphFont"/>
    <w:link w:val="KTpstrnum"/>
    <w:qFormat/>
    <w:locked/>
    <w:rsid w:val="000473F4"/>
  </w:style>
  <w:style w:type="paragraph" w:customStyle="1" w:styleId="KTpstrnum">
    <w:name w:val="KT pstr num"/>
    <w:basedOn w:val="Normal"/>
    <w:link w:val="KTpstrnumChar"/>
    <w:qFormat/>
    <w:rsid w:val="000473F4"/>
    <w:pPr>
      <w:spacing w:after="0" w:line="240" w:lineRule="auto"/>
      <w:jc w:val="both"/>
    </w:pPr>
    <w:rPr>
      <w:noProof w:val="0"/>
    </w:rPr>
  </w:style>
  <w:style w:type="character" w:styleId="CommentReference">
    <w:name w:val="annotation reference"/>
    <w:basedOn w:val="DefaultParagraphFont"/>
    <w:semiHidden/>
    <w:unhideWhenUsed/>
    <w:rsid w:val="00364614"/>
    <w:rPr>
      <w:sz w:val="16"/>
      <w:szCs w:val="16"/>
    </w:rPr>
  </w:style>
  <w:style w:type="character" w:styleId="FollowedHyperlink">
    <w:name w:val="FollowedHyperlink"/>
    <w:basedOn w:val="DefaultParagraphFont"/>
    <w:uiPriority w:val="99"/>
    <w:semiHidden/>
    <w:unhideWhenUsed/>
    <w:rsid w:val="00123B4E"/>
    <w:rPr>
      <w:color w:val="954F72" w:themeColor="followedHyperlink"/>
      <w:u w:val="single"/>
    </w:rPr>
  </w:style>
  <w:style w:type="character" w:styleId="UnresolvedMention">
    <w:name w:val="Unresolved Mention"/>
    <w:basedOn w:val="DefaultParagraphFont"/>
    <w:uiPriority w:val="99"/>
    <w:semiHidden/>
    <w:unhideWhenUsed/>
    <w:rsid w:val="00A147BF"/>
    <w:rPr>
      <w:color w:val="605E5C"/>
      <w:shd w:val="clear" w:color="auto" w:fill="E1DFDD"/>
    </w:rPr>
  </w:style>
  <w:style w:type="paragraph" w:styleId="Header">
    <w:name w:val="header"/>
    <w:basedOn w:val="Normal"/>
    <w:link w:val="HeaderChar"/>
    <w:uiPriority w:val="99"/>
    <w:semiHidden/>
    <w:unhideWhenUsed/>
    <w:rsid w:val="00D946FE"/>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946FE"/>
    <w:rPr>
      <w:noProof/>
    </w:rPr>
  </w:style>
  <w:style w:type="paragraph" w:styleId="Footer">
    <w:name w:val="footer"/>
    <w:basedOn w:val="Normal"/>
    <w:link w:val="FooterChar"/>
    <w:uiPriority w:val="99"/>
    <w:semiHidden/>
    <w:unhideWhenUsed/>
    <w:rsid w:val="00D946FE"/>
    <w:pPr>
      <w:tabs>
        <w:tab w:val="center" w:pos="4986"/>
        <w:tab w:val="right" w:pos="9972"/>
      </w:tabs>
      <w:spacing w:after="0" w:line="240" w:lineRule="auto"/>
    </w:pPr>
  </w:style>
  <w:style w:type="character" w:customStyle="1" w:styleId="FooterChar">
    <w:name w:val="Footer Char"/>
    <w:basedOn w:val="DefaultParagraphFont"/>
    <w:link w:val="Footer"/>
    <w:uiPriority w:val="99"/>
    <w:semiHidden/>
    <w:rsid w:val="00D946FE"/>
    <w:rPr>
      <w:noProof/>
    </w:rPr>
  </w:style>
  <w:style w:type="paragraph" w:styleId="Revision">
    <w:name w:val="Revision"/>
    <w:hidden/>
    <w:uiPriority w:val="99"/>
    <w:semiHidden/>
    <w:rsid w:val="004E6687"/>
    <w:pPr>
      <w:spacing w:after="0" w:line="240" w:lineRule="auto"/>
    </w:pPr>
    <w:rPr>
      <w:noProof/>
    </w:rPr>
  </w:style>
  <w:style w:type="paragraph" w:styleId="CommentText">
    <w:name w:val="annotation text"/>
    <w:basedOn w:val="Normal"/>
    <w:link w:val="CommentTextChar"/>
    <w:uiPriority w:val="99"/>
    <w:unhideWhenUsed/>
    <w:rsid w:val="00416AF7"/>
    <w:pPr>
      <w:spacing w:line="240" w:lineRule="auto"/>
    </w:pPr>
    <w:rPr>
      <w:sz w:val="20"/>
      <w:szCs w:val="20"/>
    </w:rPr>
  </w:style>
  <w:style w:type="character" w:customStyle="1" w:styleId="CommentTextChar">
    <w:name w:val="Comment Text Char"/>
    <w:basedOn w:val="DefaultParagraphFont"/>
    <w:link w:val="CommentText"/>
    <w:uiPriority w:val="99"/>
    <w:rsid w:val="00416AF7"/>
    <w:rPr>
      <w:noProof/>
      <w:sz w:val="20"/>
      <w:szCs w:val="20"/>
    </w:rPr>
  </w:style>
  <w:style w:type="paragraph" w:styleId="CommentSubject">
    <w:name w:val="annotation subject"/>
    <w:basedOn w:val="CommentText"/>
    <w:next w:val="CommentText"/>
    <w:link w:val="CommentSubjectChar"/>
    <w:uiPriority w:val="99"/>
    <w:semiHidden/>
    <w:unhideWhenUsed/>
    <w:rsid w:val="00416AF7"/>
    <w:rPr>
      <w:b/>
      <w:bCs/>
    </w:rPr>
  </w:style>
  <w:style w:type="character" w:customStyle="1" w:styleId="CommentSubjectChar">
    <w:name w:val="Comment Subject Char"/>
    <w:basedOn w:val="CommentTextChar"/>
    <w:link w:val="CommentSubject"/>
    <w:uiPriority w:val="99"/>
    <w:semiHidden/>
    <w:rsid w:val="00416AF7"/>
    <w:rPr>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6230">
      <w:bodyDiv w:val="1"/>
      <w:marLeft w:val="0"/>
      <w:marRight w:val="0"/>
      <w:marTop w:val="0"/>
      <w:marBottom w:val="0"/>
      <w:divBdr>
        <w:top w:val="none" w:sz="0" w:space="0" w:color="auto"/>
        <w:left w:val="none" w:sz="0" w:space="0" w:color="auto"/>
        <w:bottom w:val="none" w:sz="0" w:space="0" w:color="auto"/>
        <w:right w:val="none" w:sz="0" w:space="0" w:color="auto"/>
      </w:divBdr>
    </w:div>
    <w:div w:id="108083721">
      <w:bodyDiv w:val="1"/>
      <w:marLeft w:val="0"/>
      <w:marRight w:val="0"/>
      <w:marTop w:val="0"/>
      <w:marBottom w:val="0"/>
      <w:divBdr>
        <w:top w:val="none" w:sz="0" w:space="0" w:color="auto"/>
        <w:left w:val="none" w:sz="0" w:space="0" w:color="auto"/>
        <w:bottom w:val="none" w:sz="0" w:space="0" w:color="auto"/>
        <w:right w:val="none" w:sz="0" w:space="0" w:color="auto"/>
      </w:divBdr>
    </w:div>
    <w:div w:id="145823240">
      <w:bodyDiv w:val="1"/>
      <w:marLeft w:val="0"/>
      <w:marRight w:val="0"/>
      <w:marTop w:val="0"/>
      <w:marBottom w:val="0"/>
      <w:divBdr>
        <w:top w:val="none" w:sz="0" w:space="0" w:color="auto"/>
        <w:left w:val="none" w:sz="0" w:space="0" w:color="auto"/>
        <w:bottom w:val="none" w:sz="0" w:space="0" w:color="auto"/>
        <w:right w:val="none" w:sz="0" w:space="0" w:color="auto"/>
      </w:divBdr>
    </w:div>
    <w:div w:id="173423646">
      <w:bodyDiv w:val="1"/>
      <w:marLeft w:val="0"/>
      <w:marRight w:val="0"/>
      <w:marTop w:val="0"/>
      <w:marBottom w:val="0"/>
      <w:divBdr>
        <w:top w:val="none" w:sz="0" w:space="0" w:color="auto"/>
        <w:left w:val="none" w:sz="0" w:space="0" w:color="auto"/>
        <w:bottom w:val="none" w:sz="0" w:space="0" w:color="auto"/>
        <w:right w:val="none" w:sz="0" w:space="0" w:color="auto"/>
      </w:divBdr>
    </w:div>
    <w:div w:id="179006508">
      <w:bodyDiv w:val="1"/>
      <w:marLeft w:val="0"/>
      <w:marRight w:val="0"/>
      <w:marTop w:val="0"/>
      <w:marBottom w:val="0"/>
      <w:divBdr>
        <w:top w:val="none" w:sz="0" w:space="0" w:color="auto"/>
        <w:left w:val="none" w:sz="0" w:space="0" w:color="auto"/>
        <w:bottom w:val="none" w:sz="0" w:space="0" w:color="auto"/>
        <w:right w:val="none" w:sz="0" w:space="0" w:color="auto"/>
      </w:divBdr>
    </w:div>
    <w:div w:id="301811427">
      <w:bodyDiv w:val="1"/>
      <w:marLeft w:val="0"/>
      <w:marRight w:val="0"/>
      <w:marTop w:val="0"/>
      <w:marBottom w:val="0"/>
      <w:divBdr>
        <w:top w:val="none" w:sz="0" w:space="0" w:color="auto"/>
        <w:left w:val="none" w:sz="0" w:space="0" w:color="auto"/>
        <w:bottom w:val="none" w:sz="0" w:space="0" w:color="auto"/>
        <w:right w:val="none" w:sz="0" w:space="0" w:color="auto"/>
      </w:divBdr>
    </w:div>
    <w:div w:id="385179625">
      <w:bodyDiv w:val="1"/>
      <w:marLeft w:val="0"/>
      <w:marRight w:val="0"/>
      <w:marTop w:val="0"/>
      <w:marBottom w:val="0"/>
      <w:divBdr>
        <w:top w:val="none" w:sz="0" w:space="0" w:color="auto"/>
        <w:left w:val="none" w:sz="0" w:space="0" w:color="auto"/>
        <w:bottom w:val="none" w:sz="0" w:space="0" w:color="auto"/>
        <w:right w:val="none" w:sz="0" w:space="0" w:color="auto"/>
      </w:divBdr>
    </w:div>
    <w:div w:id="477304988">
      <w:bodyDiv w:val="1"/>
      <w:marLeft w:val="0"/>
      <w:marRight w:val="0"/>
      <w:marTop w:val="0"/>
      <w:marBottom w:val="0"/>
      <w:divBdr>
        <w:top w:val="none" w:sz="0" w:space="0" w:color="auto"/>
        <w:left w:val="none" w:sz="0" w:space="0" w:color="auto"/>
        <w:bottom w:val="none" w:sz="0" w:space="0" w:color="auto"/>
        <w:right w:val="none" w:sz="0" w:space="0" w:color="auto"/>
      </w:divBdr>
    </w:div>
    <w:div w:id="950867157">
      <w:bodyDiv w:val="1"/>
      <w:marLeft w:val="0"/>
      <w:marRight w:val="0"/>
      <w:marTop w:val="0"/>
      <w:marBottom w:val="0"/>
      <w:divBdr>
        <w:top w:val="none" w:sz="0" w:space="0" w:color="auto"/>
        <w:left w:val="none" w:sz="0" w:space="0" w:color="auto"/>
        <w:bottom w:val="none" w:sz="0" w:space="0" w:color="auto"/>
        <w:right w:val="none" w:sz="0" w:space="0" w:color="auto"/>
      </w:divBdr>
    </w:div>
    <w:div w:id="993946914">
      <w:bodyDiv w:val="1"/>
      <w:marLeft w:val="0"/>
      <w:marRight w:val="0"/>
      <w:marTop w:val="0"/>
      <w:marBottom w:val="0"/>
      <w:divBdr>
        <w:top w:val="none" w:sz="0" w:space="0" w:color="auto"/>
        <w:left w:val="none" w:sz="0" w:space="0" w:color="auto"/>
        <w:bottom w:val="none" w:sz="0" w:space="0" w:color="auto"/>
        <w:right w:val="none" w:sz="0" w:space="0" w:color="auto"/>
      </w:divBdr>
    </w:div>
    <w:div w:id="1070924050">
      <w:bodyDiv w:val="1"/>
      <w:marLeft w:val="0"/>
      <w:marRight w:val="0"/>
      <w:marTop w:val="0"/>
      <w:marBottom w:val="0"/>
      <w:divBdr>
        <w:top w:val="none" w:sz="0" w:space="0" w:color="auto"/>
        <w:left w:val="none" w:sz="0" w:space="0" w:color="auto"/>
        <w:bottom w:val="none" w:sz="0" w:space="0" w:color="auto"/>
        <w:right w:val="none" w:sz="0" w:space="0" w:color="auto"/>
      </w:divBdr>
    </w:div>
    <w:div w:id="1203517293">
      <w:bodyDiv w:val="1"/>
      <w:marLeft w:val="0"/>
      <w:marRight w:val="0"/>
      <w:marTop w:val="0"/>
      <w:marBottom w:val="0"/>
      <w:divBdr>
        <w:top w:val="none" w:sz="0" w:space="0" w:color="auto"/>
        <w:left w:val="none" w:sz="0" w:space="0" w:color="auto"/>
        <w:bottom w:val="none" w:sz="0" w:space="0" w:color="auto"/>
        <w:right w:val="none" w:sz="0" w:space="0" w:color="auto"/>
      </w:divBdr>
    </w:div>
    <w:div w:id="1234660075">
      <w:bodyDiv w:val="1"/>
      <w:marLeft w:val="0"/>
      <w:marRight w:val="0"/>
      <w:marTop w:val="0"/>
      <w:marBottom w:val="0"/>
      <w:divBdr>
        <w:top w:val="none" w:sz="0" w:space="0" w:color="auto"/>
        <w:left w:val="none" w:sz="0" w:space="0" w:color="auto"/>
        <w:bottom w:val="none" w:sz="0" w:space="0" w:color="auto"/>
        <w:right w:val="none" w:sz="0" w:space="0" w:color="auto"/>
      </w:divBdr>
    </w:div>
    <w:div w:id="1240213066">
      <w:bodyDiv w:val="1"/>
      <w:marLeft w:val="0"/>
      <w:marRight w:val="0"/>
      <w:marTop w:val="0"/>
      <w:marBottom w:val="0"/>
      <w:divBdr>
        <w:top w:val="none" w:sz="0" w:space="0" w:color="auto"/>
        <w:left w:val="none" w:sz="0" w:space="0" w:color="auto"/>
        <w:bottom w:val="none" w:sz="0" w:space="0" w:color="auto"/>
        <w:right w:val="none" w:sz="0" w:space="0" w:color="auto"/>
      </w:divBdr>
    </w:div>
    <w:div w:id="1269921985">
      <w:bodyDiv w:val="1"/>
      <w:marLeft w:val="0"/>
      <w:marRight w:val="0"/>
      <w:marTop w:val="0"/>
      <w:marBottom w:val="0"/>
      <w:divBdr>
        <w:top w:val="none" w:sz="0" w:space="0" w:color="auto"/>
        <w:left w:val="none" w:sz="0" w:space="0" w:color="auto"/>
        <w:bottom w:val="none" w:sz="0" w:space="0" w:color="auto"/>
        <w:right w:val="none" w:sz="0" w:space="0" w:color="auto"/>
      </w:divBdr>
    </w:div>
    <w:div w:id="1344044159">
      <w:bodyDiv w:val="1"/>
      <w:marLeft w:val="0"/>
      <w:marRight w:val="0"/>
      <w:marTop w:val="0"/>
      <w:marBottom w:val="0"/>
      <w:divBdr>
        <w:top w:val="none" w:sz="0" w:space="0" w:color="auto"/>
        <w:left w:val="none" w:sz="0" w:space="0" w:color="auto"/>
        <w:bottom w:val="none" w:sz="0" w:space="0" w:color="auto"/>
        <w:right w:val="none" w:sz="0" w:space="0" w:color="auto"/>
      </w:divBdr>
    </w:div>
    <w:div w:id="1383286568">
      <w:bodyDiv w:val="1"/>
      <w:marLeft w:val="0"/>
      <w:marRight w:val="0"/>
      <w:marTop w:val="0"/>
      <w:marBottom w:val="0"/>
      <w:divBdr>
        <w:top w:val="none" w:sz="0" w:space="0" w:color="auto"/>
        <w:left w:val="none" w:sz="0" w:space="0" w:color="auto"/>
        <w:bottom w:val="none" w:sz="0" w:space="0" w:color="auto"/>
        <w:right w:val="none" w:sz="0" w:space="0" w:color="auto"/>
      </w:divBdr>
    </w:div>
    <w:div w:id="1572227361">
      <w:bodyDiv w:val="1"/>
      <w:marLeft w:val="0"/>
      <w:marRight w:val="0"/>
      <w:marTop w:val="0"/>
      <w:marBottom w:val="0"/>
      <w:divBdr>
        <w:top w:val="none" w:sz="0" w:space="0" w:color="auto"/>
        <w:left w:val="none" w:sz="0" w:space="0" w:color="auto"/>
        <w:bottom w:val="none" w:sz="0" w:space="0" w:color="auto"/>
        <w:right w:val="none" w:sz="0" w:space="0" w:color="auto"/>
      </w:divBdr>
    </w:div>
    <w:div w:id="1663970310">
      <w:bodyDiv w:val="1"/>
      <w:marLeft w:val="0"/>
      <w:marRight w:val="0"/>
      <w:marTop w:val="0"/>
      <w:marBottom w:val="0"/>
      <w:divBdr>
        <w:top w:val="none" w:sz="0" w:space="0" w:color="auto"/>
        <w:left w:val="none" w:sz="0" w:space="0" w:color="auto"/>
        <w:bottom w:val="none" w:sz="0" w:space="0" w:color="auto"/>
        <w:right w:val="none" w:sz="0" w:space="0" w:color="auto"/>
      </w:divBdr>
    </w:div>
    <w:div w:id="1689285268">
      <w:bodyDiv w:val="1"/>
      <w:marLeft w:val="0"/>
      <w:marRight w:val="0"/>
      <w:marTop w:val="0"/>
      <w:marBottom w:val="0"/>
      <w:divBdr>
        <w:top w:val="none" w:sz="0" w:space="0" w:color="auto"/>
        <w:left w:val="none" w:sz="0" w:space="0" w:color="auto"/>
        <w:bottom w:val="none" w:sz="0" w:space="0" w:color="auto"/>
        <w:right w:val="none" w:sz="0" w:space="0" w:color="auto"/>
      </w:divBdr>
    </w:div>
    <w:div w:id="199780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investicijos.lt/dokumentai/pavyzdinio-atitikties-de-minimis-pagalbos-taisyklems-komisijos-reglamentui-es-2023-2831-patikros-lapo-forma-projekto-lygmu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investicijos.lt/dokumentai/pavyzdinio-atitikties-de-minimis-pagalbos-taisyklems-komisijos-reglamentui-es-2023-2831-patikros-lapo-forma-projekto-lygmu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505B653B8E093443A3015E1C14F73F77" ma:contentTypeVersion="18" ma:contentTypeDescription="Kurkite naują dokumentą." ma:contentTypeScope="" ma:versionID="0a186c4d79e6c941cd07647d513ec528">
  <xsd:schema xmlns:xsd="http://www.w3.org/2001/XMLSchema" xmlns:xs="http://www.w3.org/2001/XMLSchema" xmlns:p="http://schemas.microsoft.com/office/2006/metadata/properties" xmlns:ns3="60eb3c26-b129-41ac-b559-2d7a74bd92f5" xmlns:ns4="41cd6807-53bd-4402-9fe3-3e8fec02e61b" targetNamespace="http://schemas.microsoft.com/office/2006/metadata/properties" ma:root="true" ma:fieldsID="00dd4ebfd3f87a9870b235cad2c57b6f" ns3:_="" ns4:_="">
    <xsd:import namespace="60eb3c26-b129-41ac-b559-2d7a74bd92f5"/>
    <xsd:import namespace="41cd6807-53bd-4402-9fe3-3e8fec02e61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Location"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b3c26-b129-41ac-b559-2d7a74bd9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d6807-53bd-4402-9fe3-3e8fec02e61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60eb3c26-b129-41ac-b559-2d7a74bd92f5" xsi:nil="true"/>
  </documentManagement>
</p:properties>
</file>

<file path=customXml/itemProps1.xml><?xml version="1.0" encoding="utf-8"?>
<ds:datastoreItem xmlns:ds="http://schemas.openxmlformats.org/officeDocument/2006/customXml" ds:itemID="{BADEA726-A278-4E39-9C0E-A3F22E6AD6C1}">
  <ds:schemaRefs>
    <ds:schemaRef ds:uri="http://schemas.openxmlformats.org/officeDocument/2006/bibliography"/>
  </ds:schemaRefs>
</ds:datastoreItem>
</file>

<file path=customXml/itemProps2.xml><?xml version="1.0" encoding="utf-8"?>
<ds:datastoreItem xmlns:ds="http://schemas.openxmlformats.org/officeDocument/2006/customXml" ds:itemID="{8EFE4E65-8B6F-4DEE-9BA9-CE51B6228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b3c26-b129-41ac-b559-2d7a74bd92f5"/>
    <ds:schemaRef ds:uri="41cd6807-53bd-4402-9fe3-3e8fec02e6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322A6C-A16C-4804-BC5F-C63E96EE3697}">
  <ds:schemaRefs>
    <ds:schemaRef ds:uri="http://schemas.microsoft.com/sharepoint/v3/contenttype/forms"/>
  </ds:schemaRefs>
</ds:datastoreItem>
</file>

<file path=customXml/itemProps4.xml><?xml version="1.0" encoding="utf-8"?>
<ds:datastoreItem xmlns:ds="http://schemas.openxmlformats.org/officeDocument/2006/customXml" ds:itemID="{48239B04-F09A-476E-B6DA-AC09FF40CCD0}">
  <ds:schemaRefs>
    <ds:schemaRef ds:uri="http://schemas.microsoft.com/office/2006/metadata/properties"/>
    <ds:schemaRef ds:uri="http://schemas.microsoft.com/office/infopath/2007/PartnerControls"/>
    <ds:schemaRef ds:uri="60eb3c26-b129-41ac-b559-2d7a74bd92f5"/>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Lietuvos Respublikos energetikos ministerija</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 Petkevičius</dc:creator>
  <cp:keywords/>
  <dc:description/>
  <cp:lastModifiedBy>Algirdas Petkevičius</cp:lastModifiedBy>
  <cp:revision>220</cp:revision>
  <dcterms:created xsi:type="dcterms:W3CDTF">2024-12-11T12:44:00Z</dcterms:created>
  <dcterms:modified xsi:type="dcterms:W3CDTF">2025-01-08T12:52:00Z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0x010100505B653B8E093443A3015E1C14F73F77</vt:lpwstr>
  </property>
</Properties>
</file>