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C73F" w14:textId="77777777" w:rsidR="004914DA" w:rsidRPr="004914DA" w:rsidRDefault="004914DA" w:rsidP="004914DA">
      <w:pPr>
        <w:widowControl w:val="0"/>
        <w:suppressAutoHyphens/>
        <w:spacing w:after="0" w:line="240" w:lineRule="auto"/>
        <w:ind w:left="7090"/>
        <w:rPr>
          <w:rFonts w:ascii="Times New Roman" w:eastAsia="Andale Sans UI" w:hAnsi="Times New Roman" w:cs="Tahoma"/>
          <w:b/>
          <w:bCs/>
          <w:noProof/>
          <w:kern w:val="0"/>
          <w:sz w:val="24"/>
          <w:szCs w:val="24"/>
          <w:lang w:eastAsia="lt-LT"/>
          <w14:ligatures w14:val="none"/>
        </w:rPr>
      </w:pPr>
      <w:r w:rsidRPr="004914DA">
        <w:rPr>
          <w:rFonts w:ascii="Times New Roman" w:eastAsia="Andale Sans UI" w:hAnsi="Times New Roman" w:cs="Tahoma"/>
          <w:b/>
          <w:bCs/>
          <w:noProof/>
          <w:kern w:val="0"/>
          <w:sz w:val="24"/>
          <w:szCs w:val="24"/>
          <w:lang w:eastAsia="lt-LT"/>
          <w14:ligatures w14:val="none"/>
        </w:rPr>
        <w:t xml:space="preserve">Projekto </w:t>
      </w:r>
    </w:p>
    <w:p w14:paraId="2598B160" w14:textId="77777777" w:rsidR="004914DA" w:rsidRDefault="004914DA" w:rsidP="004914DA">
      <w:pPr>
        <w:widowControl w:val="0"/>
        <w:suppressAutoHyphens/>
        <w:spacing w:after="0" w:line="240" w:lineRule="auto"/>
        <w:ind w:left="7090"/>
        <w:rPr>
          <w:rFonts w:ascii="Times New Roman" w:eastAsia="Andale Sans UI" w:hAnsi="Times New Roman" w:cs="Tahoma"/>
          <w:b/>
          <w:bCs/>
          <w:noProof/>
          <w:kern w:val="0"/>
          <w:sz w:val="24"/>
          <w:szCs w:val="24"/>
          <w:lang w:eastAsia="lt-LT"/>
          <w14:ligatures w14:val="none"/>
        </w:rPr>
      </w:pPr>
      <w:r w:rsidRPr="004914DA">
        <w:rPr>
          <w:rFonts w:ascii="Times New Roman" w:eastAsia="Andale Sans UI" w:hAnsi="Times New Roman" w:cs="Tahoma"/>
          <w:b/>
          <w:bCs/>
          <w:noProof/>
          <w:kern w:val="0"/>
          <w:sz w:val="24"/>
          <w:szCs w:val="24"/>
          <w:lang w:eastAsia="lt-LT"/>
          <w14:ligatures w14:val="none"/>
        </w:rPr>
        <w:t>lyginamasis variantas</w:t>
      </w:r>
    </w:p>
    <w:p w14:paraId="48409073" w14:textId="77777777" w:rsidR="004914DA" w:rsidRPr="004914DA" w:rsidRDefault="004914DA" w:rsidP="004914DA">
      <w:pPr>
        <w:widowControl w:val="0"/>
        <w:suppressAutoHyphens/>
        <w:spacing w:after="0" w:line="240" w:lineRule="auto"/>
        <w:ind w:left="7090"/>
        <w:rPr>
          <w:rFonts w:ascii="Times New Roman" w:eastAsia="Andale Sans UI" w:hAnsi="Times New Roman" w:cs="Tahoma"/>
          <w:b/>
          <w:bCs/>
          <w:kern w:val="0"/>
          <w:sz w:val="24"/>
          <w:szCs w:val="24"/>
          <w:lang w:bidi="en-US"/>
          <w14:ligatures w14:val="none"/>
        </w:rPr>
      </w:pPr>
    </w:p>
    <w:p w14:paraId="6A1617DE" w14:textId="77777777" w:rsidR="00752C39" w:rsidRPr="004D7C83" w:rsidRDefault="00752C39" w:rsidP="00752C39">
      <w:pPr>
        <w:suppressAutoHyphens/>
        <w:spacing w:before="120" w:after="60" w:line="240" w:lineRule="auto"/>
        <w:jc w:val="center"/>
        <w:rPr>
          <w:rFonts w:ascii="Times New Roman" w:eastAsia="Times New Roman" w:hAnsi="Times New Roman" w:cs="Times New Roman"/>
          <w:b/>
          <w:bCs/>
          <w:kern w:val="0"/>
          <w:sz w:val="24"/>
          <w:szCs w:val="20"/>
          <w:lang w:eastAsia="lt-LT"/>
          <w14:ligatures w14:val="none"/>
        </w:rPr>
      </w:pPr>
      <w:r w:rsidRPr="004D7C83">
        <w:rPr>
          <w:rFonts w:ascii="Times New Roman" w:eastAsia="Times New Roman" w:hAnsi="Times New Roman" w:cs="Times New Roman"/>
          <w:b/>
          <w:bCs/>
          <w:kern w:val="0"/>
          <w:sz w:val="24"/>
          <w:szCs w:val="20"/>
          <w:lang w:eastAsia="lt-LT"/>
          <w14:ligatures w14:val="none"/>
        </w:rPr>
        <w:t>LIETUVOS RESPUBLIKOS APLINKOS MINISTRAS</w:t>
      </w:r>
    </w:p>
    <w:p w14:paraId="2ED89F75" w14:textId="77777777" w:rsidR="00F324F0" w:rsidRPr="004D7C83" w:rsidRDefault="00F324F0" w:rsidP="00F324F0">
      <w:pPr>
        <w:suppressAutoHyphens/>
        <w:spacing w:after="0" w:line="240" w:lineRule="auto"/>
        <w:jc w:val="center"/>
        <w:rPr>
          <w:rFonts w:ascii="Arial" w:eastAsia="Times New Roman" w:hAnsi="Arial" w:cs="Times New Roman"/>
          <w:spacing w:val="8"/>
          <w:kern w:val="0"/>
          <w:sz w:val="24"/>
          <w:szCs w:val="20"/>
          <w:lang w:eastAsia="lt-LT"/>
          <w14:ligatures w14:val="none"/>
        </w:rPr>
      </w:pPr>
    </w:p>
    <w:p w14:paraId="7F77254D" w14:textId="77777777" w:rsidR="00F324F0" w:rsidRPr="004D7C83" w:rsidRDefault="00F324F0" w:rsidP="00F324F0">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4D7C83">
        <w:rPr>
          <w:rFonts w:ascii="Times New Roman" w:eastAsia="Times New Roman" w:hAnsi="Times New Roman" w:cs="Times New Roman"/>
          <w:b/>
          <w:bCs/>
          <w:kern w:val="0"/>
          <w:sz w:val="24"/>
          <w:szCs w:val="24"/>
          <w:lang w:eastAsia="lt-LT"/>
          <w14:ligatures w14:val="none"/>
        </w:rPr>
        <w:t>ĮSAKYMAS</w:t>
      </w:r>
    </w:p>
    <w:p w14:paraId="18DEFEB3" w14:textId="2B3C3DE0" w:rsidR="00F324F0" w:rsidRPr="004D7C83" w:rsidRDefault="00F324F0" w:rsidP="00F324F0">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4D7C83">
        <w:rPr>
          <w:rFonts w:ascii="Times New Roman" w:eastAsia="Times New Roman" w:hAnsi="Times New Roman" w:cs="Times New Roman"/>
          <w:b/>
          <w:bCs/>
          <w:kern w:val="0"/>
          <w:sz w:val="24"/>
          <w:szCs w:val="24"/>
          <w:lang w:eastAsia="lt-LT"/>
          <w14:ligatures w14:val="none"/>
        </w:rPr>
        <w:t>DĖL LIETUVOS RESPUBLIKOS APLINKOS MINISTRO 202</w:t>
      </w:r>
      <w:r w:rsidR="005D1ECF">
        <w:rPr>
          <w:rFonts w:ascii="Times New Roman" w:eastAsia="Times New Roman" w:hAnsi="Times New Roman" w:cs="Times New Roman"/>
          <w:b/>
          <w:bCs/>
          <w:kern w:val="0"/>
          <w:sz w:val="24"/>
          <w:szCs w:val="24"/>
          <w:lang w:eastAsia="lt-LT"/>
          <w14:ligatures w14:val="none"/>
        </w:rPr>
        <w:t>2</w:t>
      </w:r>
      <w:r w:rsidRPr="004D7C83">
        <w:rPr>
          <w:rFonts w:ascii="Times New Roman" w:eastAsia="Times New Roman" w:hAnsi="Times New Roman" w:cs="Times New Roman"/>
          <w:b/>
          <w:bCs/>
          <w:kern w:val="0"/>
          <w:sz w:val="24"/>
          <w:szCs w:val="24"/>
          <w:lang w:eastAsia="lt-LT"/>
          <w14:ligatures w14:val="none"/>
        </w:rPr>
        <w:t xml:space="preserve"> M. </w:t>
      </w:r>
      <w:r w:rsidR="005D1ECF">
        <w:rPr>
          <w:rFonts w:ascii="Times New Roman" w:eastAsia="Times New Roman" w:hAnsi="Times New Roman" w:cs="Times New Roman"/>
          <w:b/>
          <w:bCs/>
          <w:kern w:val="0"/>
          <w:sz w:val="24"/>
          <w:szCs w:val="24"/>
          <w:lang w:eastAsia="lt-LT"/>
          <w14:ligatures w14:val="none"/>
        </w:rPr>
        <w:t>LIEPOS</w:t>
      </w:r>
      <w:r w:rsidRPr="004D7C83">
        <w:rPr>
          <w:rFonts w:ascii="Times New Roman" w:eastAsia="Times New Roman" w:hAnsi="Times New Roman" w:cs="Times New Roman"/>
          <w:b/>
          <w:bCs/>
          <w:kern w:val="0"/>
          <w:sz w:val="24"/>
          <w:szCs w:val="24"/>
          <w:lang w:eastAsia="lt-LT"/>
          <w14:ligatures w14:val="none"/>
        </w:rPr>
        <w:t xml:space="preserve"> </w:t>
      </w:r>
      <w:r w:rsidR="005D1ECF">
        <w:rPr>
          <w:rFonts w:ascii="Times New Roman" w:eastAsia="Times New Roman" w:hAnsi="Times New Roman" w:cs="Times New Roman"/>
          <w:b/>
          <w:bCs/>
          <w:kern w:val="0"/>
          <w:sz w:val="24"/>
          <w:szCs w:val="24"/>
          <w:lang w:eastAsia="lt-LT"/>
          <w14:ligatures w14:val="none"/>
        </w:rPr>
        <w:t>15</w:t>
      </w:r>
      <w:r w:rsidRPr="004D7C83">
        <w:rPr>
          <w:rFonts w:ascii="Times New Roman" w:eastAsia="Times New Roman" w:hAnsi="Times New Roman" w:cs="Times New Roman"/>
          <w:b/>
          <w:bCs/>
          <w:kern w:val="0"/>
          <w:sz w:val="24"/>
          <w:szCs w:val="24"/>
          <w:lang w:eastAsia="lt-LT"/>
          <w14:ligatures w14:val="none"/>
        </w:rPr>
        <w:t xml:space="preserve"> D. ĮSAKYMO NR. D1-</w:t>
      </w:r>
      <w:r w:rsidR="005D1ECF">
        <w:rPr>
          <w:rFonts w:ascii="Times New Roman" w:eastAsia="Times New Roman" w:hAnsi="Times New Roman" w:cs="Times New Roman"/>
          <w:b/>
          <w:bCs/>
          <w:kern w:val="0"/>
          <w:sz w:val="24"/>
          <w:szCs w:val="24"/>
          <w:lang w:eastAsia="lt-LT"/>
          <w14:ligatures w14:val="none"/>
        </w:rPr>
        <w:t>231</w:t>
      </w:r>
      <w:r w:rsidRPr="004D7C83">
        <w:rPr>
          <w:rFonts w:ascii="Times New Roman" w:eastAsia="Times New Roman" w:hAnsi="Times New Roman" w:cs="Times New Roman"/>
          <w:b/>
          <w:bCs/>
          <w:kern w:val="0"/>
          <w:sz w:val="24"/>
          <w:szCs w:val="24"/>
          <w:lang w:eastAsia="lt-LT"/>
          <w14:ligatures w14:val="none"/>
        </w:rPr>
        <w:t xml:space="preserve"> </w:t>
      </w:r>
      <w:r w:rsidR="005D1ECF" w:rsidRPr="005D1ECF">
        <w:rPr>
          <w:rFonts w:ascii="Times New Roman" w:eastAsia="Times New Roman" w:hAnsi="Times New Roman" w:cs="Times New Roman"/>
          <w:b/>
          <w:bCs/>
          <w:kern w:val="0"/>
          <w:sz w:val="24"/>
          <w:szCs w:val="24"/>
          <w:lang w:eastAsia="lt-LT"/>
          <w14:ligatures w14:val="none"/>
        </w:rPr>
        <w:t>„DĖL 2022–2030 METŲ PLĖTROS PROGRAMOS VALDYTOJOS LIETUVOS RESPUBLIKOS APLINKOS MINISTERIJOS APLINKOS APSAUGOS IR KLIMATO KAITOS VALDYMO PLĖTROS PROGRAMOS PAŽANGOS PRIEMONĖS NR. 02-01-06-07-01 „GERINTI VANDENS TELKINIŲ BŪKLĘ“ ĮGYVENDINIMO“</w:t>
      </w:r>
      <w:r w:rsidR="005D1ECF">
        <w:rPr>
          <w:rFonts w:ascii="Times New Roman" w:eastAsia="Times New Roman" w:hAnsi="Times New Roman" w:cs="Times New Roman"/>
          <w:b/>
          <w:bCs/>
          <w:kern w:val="0"/>
          <w:sz w:val="24"/>
          <w:szCs w:val="24"/>
          <w:lang w:eastAsia="lt-LT"/>
          <w14:ligatures w14:val="none"/>
        </w:rPr>
        <w:t xml:space="preserve"> </w:t>
      </w:r>
      <w:r w:rsidRPr="004D7C83">
        <w:rPr>
          <w:rFonts w:ascii="Times New Roman" w:eastAsia="Times New Roman" w:hAnsi="Times New Roman" w:cs="Times New Roman"/>
          <w:b/>
          <w:bCs/>
          <w:kern w:val="0"/>
          <w:sz w:val="24"/>
          <w:szCs w:val="24"/>
          <w:lang w:eastAsia="lt-LT"/>
          <w14:ligatures w14:val="none"/>
        </w:rPr>
        <w:t>PAKEITIMO</w:t>
      </w:r>
    </w:p>
    <w:p w14:paraId="3DDDD917" w14:textId="77777777" w:rsidR="00F324F0" w:rsidRPr="004D7C83" w:rsidRDefault="00F324F0" w:rsidP="00F324F0">
      <w:pPr>
        <w:suppressAutoHyphens/>
        <w:spacing w:after="0" w:line="240" w:lineRule="auto"/>
        <w:jc w:val="center"/>
        <w:rPr>
          <w:rFonts w:ascii="Times New Roman" w:eastAsia="Times New Roman" w:hAnsi="Times New Roman" w:cs="Times New Roman"/>
          <w:b/>
          <w:kern w:val="0"/>
          <w:sz w:val="24"/>
          <w:szCs w:val="20"/>
          <w:lang w:eastAsia="lt-LT"/>
          <w14:ligatures w14:val="none"/>
        </w:rPr>
      </w:pPr>
    </w:p>
    <w:p w14:paraId="02DE2CD0" w14:textId="3BBCAD03" w:rsidR="00F324F0" w:rsidRPr="004D7C83" w:rsidRDefault="00F324F0" w:rsidP="00F324F0">
      <w:pPr>
        <w:suppressAutoHyphens/>
        <w:spacing w:after="0" w:line="240" w:lineRule="auto"/>
        <w:jc w:val="center"/>
        <w:rPr>
          <w:rFonts w:ascii="Times New Roman" w:eastAsia="Times New Roman" w:hAnsi="Times New Roman" w:cs="Times New Roman"/>
          <w:kern w:val="0"/>
          <w:sz w:val="24"/>
          <w:szCs w:val="20"/>
          <w:lang w:eastAsia="lt-LT"/>
          <w14:ligatures w14:val="none"/>
        </w:rPr>
      </w:pPr>
      <w:r w:rsidRPr="004D7C83">
        <w:rPr>
          <w:rFonts w:ascii="Times New Roman" w:eastAsia="Times New Roman" w:hAnsi="Times New Roman" w:cs="Times New Roman"/>
          <w:kern w:val="0"/>
          <w:sz w:val="24"/>
          <w:szCs w:val="20"/>
          <w:lang w:eastAsia="lt-LT"/>
          <w14:ligatures w14:val="none"/>
        </w:rPr>
        <w:t>202</w:t>
      </w:r>
      <w:r w:rsidR="00B1600C">
        <w:rPr>
          <w:rFonts w:ascii="Times New Roman" w:eastAsia="Times New Roman" w:hAnsi="Times New Roman" w:cs="Times New Roman"/>
          <w:kern w:val="0"/>
          <w:sz w:val="24"/>
          <w:szCs w:val="20"/>
          <w:lang w:eastAsia="lt-LT"/>
          <w14:ligatures w14:val="none"/>
        </w:rPr>
        <w:t>5</w:t>
      </w:r>
      <w:r w:rsidRPr="004D7C83">
        <w:rPr>
          <w:rFonts w:ascii="Times New Roman" w:eastAsia="Times New Roman" w:hAnsi="Times New Roman" w:cs="Times New Roman"/>
          <w:kern w:val="0"/>
          <w:sz w:val="24"/>
          <w:szCs w:val="20"/>
          <w:lang w:eastAsia="lt-LT"/>
          <w14:ligatures w14:val="none"/>
        </w:rPr>
        <w:t xml:space="preserve"> m.                                  d. Nr. </w:t>
      </w:r>
    </w:p>
    <w:p w14:paraId="2069D8CB" w14:textId="77777777" w:rsidR="00F324F0" w:rsidRPr="004D7C83" w:rsidRDefault="00F324F0" w:rsidP="00F324F0">
      <w:pPr>
        <w:suppressAutoHyphens/>
        <w:spacing w:after="0" w:line="240" w:lineRule="auto"/>
        <w:jc w:val="center"/>
        <w:rPr>
          <w:rFonts w:ascii="Times New Roman" w:eastAsia="Times New Roman" w:hAnsi="Times New Roman" w:cs="Times New Roman"/>
          <w:kern w:val="0"/>
          <w:sz w:val="24"/>
          <w:szCs w:val="20"/>
          <w:lang w:eastAsia="lt-LT"/>
          <w14:ligatures w14:val="none"/>
        </w:rPr>
      </w:pPr>
      <w:r w:rsidRPr="004D7C83">
        <w:rPr>
          <w:rFonts w:ascii="Times New Roman" w:eastAsia="Times New Roman" w:hAnsi="Times New Roman" w:cs="Times New Roman"/>
          <w:kern w:val="0"/>
          <w:sz w:val="24"/>
          <w:szCs w:val="20"/>
          <w:lang w:eastAsia="lt-LT"/>
          <w14:ligatures w14:val="none"/>
        </w:rPr>
        <w:t>Vilnius</w:t>
      </w:r>
      <w:r w:rsidRPr="004D7C83">
        <w:rPr>
          <w:rFonts w:ascii="Times New Roman" w:eastAsia="Times New Roman" w:hAnsi="Times New Roman" w:cs="Times New Roman"/>
          <w:kern w:val="0"/>
          <w:sz w:val="24"/>
          <w:szCs w:val="20"/>
          <w:lang w:eastAsia="lt-LT"/>
          <w14:ligatures w14:val="none"/>
        </w:rPr>
        <w:br/>
      </w:r>
    </w:p>
    <w:p w14:paraId="46C60876" w14:textId="238261C3" w:rsidR="009F02FA" w:rsidRDefault="004914DA"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4914DA">
        <w:rPr>
          <w:rFonts w:ascii="Times New Roman" w:eastAsia="Times New Roman" w:hAnsi="Times New Roman" w:cs="Times New Roman"/>
          <w:color w:val="000000"/>
          <w:spacing w:val="60"/>
          <w:kern w:val="0"/>
          <w:sz w:val="24"/>
          <w:szCs w:val="24"/>
          <w14:ligatures w14:val="none"/>
        </w:rPr>
        <w:t>Pakeičiu</w:t>
      </w:r>
      <w:r w:rsidRPr="004914DA">
        <w:rPr>
          <w:rFonts w:ascii="Times New Roman" w:eastAsia="Times New Roman" w:hAnsi="Times New Roman" w:cs="Times New Roman"/>
          <w:color w:val="000000"/>
          <w:kern w:val="0"/>
          <w:sz w:val="24"/>
          <w:szCs w:val="24"/>
          <w14:ligatures w14:val="none"/>
        </w:rPr>
        <w:t xml:space="preserve"> Plėtros programos pažangos priemonės Nr.</w:t>
      </w:r>
      <w:r w:rsidR="007871C8" w:rsidRPr="007871C8">
        <w:rPr>
          <w:rFonts w:ascii="Times New Roman" w:eastAsia="Times New Roman" w:hAnsi="Times New Roman" w:cs="Times New Roman"/>
          <w:color w:val="000000"/>
          <w:kern w:val="0"/>
          <w:sz w:val="24"/>
          <w:szCs w:val="24"/>
          <w14:ligatures w14:val="none"/>
        </w:rPr>
        <w:t xml:space="preserve"> </w:t>
      </w:r>
      <w:r w:rsidR="007871C8" w:rsidRPr="00986ED7">
        <w:rPr>
          <w:rFonts w:ascii="Times New Roman" w:eastAsia="Times New Roman" w:hAnsi="Times New Roman" w:cs="Times New Roman"/>
          <w:color w:val="000000"/>
          <w:kern w:val="0"/>
          <w:sz w:val="24"/>
          <w:szCs w:val="24"/>
          <w14:ligatures w14:val="none"/>
        </w:rPr>
        <w:t>02-01-06-07-01</w:t>
      </w:r>
      <w:r w:rsidR="007871C8" w:rsidRPr="004914DA">
        <w:rPr>
          <w:rFonts w:ascii="Times New Roman" w:eastAsia="Times New Roman" w:hAnsi="Times New Roman" w:cs="Times New Roman"/>
          <w:color w:val="000000"/>
          <w:kern w:val="0"/>
          <w:sz w:val="24"/>
          <w:szCs w:val="24"/>
          <w14:ligatures w14:val="none"/>
        </w:rPr>
        <w:t xml:space="preserve"> </w:t>
      </w:r>
      <w:r w:rsidR="007871C8" w:rsidRPr="00986ED7">
        <w:rPr>
          <w:rFonts w:ascii="Times New Roman" w:eastAsia="Times New Roman" w:hAnsi="Times New Roman" w:cs="Times New Roman"/>
          <w:color w:val="000000"/>
          <w:kern w:val="0"/>
          <w:sz w:val="24"/>
          <w:szCs w:val="24"/>
          <w14:ligatures w14:val="none"/>
        </w:rPr>
        <w:t>„Gerinti vandens telkinių būklę“</w:t>
      </w:r>
      <w:r w:rsidRPr="004914DA">
        <w:rPr>
          <w:rFonts w:ascii="Times New Roman" w:eastAsia="Times New Roman" w:hAnsi="Times New Roman" w:cs="Times New Roman"/>
          <w:color w:val="000000"/>
          <w:kern w:val="0"/>
          <w:sz w:val="24"/>
          <w:szCs w:val="24"/>
          <w14:ligatures w14:val="none"/>
        </w:rPr>
        <w:t xml:space="preserve"> </w:t>
      </w:r>
      <w:r w:rsidR="007871C8" w:rsidRPr="007871C8">
        <w:rPr>
          <w:rFonts w:ascii="Times New Roman" w:eastAsia="Times New Roman" w:hAnsi="Times New Roman" w:cs="Times New Roman"/>
          <w:color w:val="000000"/>
          <w:kern w:val="0"/>
          <w:sz w:val="24"/>
          <w:szCs w:val="24"/>
          <w14:ligatures w14:val="none"/>
        </w:rPr>
        <w:t>veiklos „Vandens išteklių valdymo tobulinimas“ poveiklės „Vandens telkinių monitoringo sistemos tobulinimas“</w:t>
      </w:r>
      <w:r w:rsidRPr="004914DA">
        <w:rPr>
          <w:rFonts w:ascii="Times New Roman" w:eastAsia="Times New Roman" w:hAnsi="Times New Roman" w:cs="Times New Roman"/>
          <w:color w:val="000000"/>
          <w:kern w:val="0"/>
          <w:sz w:val="24"/>
          <w:szCs w:val="24"/>
          <w14:ligatures w14:val="none"/>
        </w:rPr>
        <w:t xml:space="preserve"> projektų finansavimo sąlygų aprašą</w:t>
      </w:r>
      <w:r>
        <w:rPr>
          <w:rFonts w:ascii="Times New Roman" w:eastAsia="Times New Roman" w:hAnsi="Times New Roman" w:cs="Times New Roman"/>
          <w:color w:val="000000"/>
          <w:kern w:val="0"/>
          <w:sz w:val="24"/>
          <w:szCs w:val="24"/>
          <w14:ligatures w14:val="none"/>
        </w:rPr>
        <w:t xml:space="preserve">, </w:t>
      </w:r>
      <w:r w:rsidR="00986ED7" w:rsidRPr="00986ED7">
        <w:rPr>
          <w:rFonts w:ascii="Times New Roman" w:eastAsia="Times New Roman" w:hAnsi="Times New Roman" w:cs="Times New Roman"/>
          <w:color w:val="000000"/>
          <w:kern w:val="0"/>
          <w:sz w:val="24"/>
          <w:szCs w:val="24"/>
          <w14:ligatures w14:val="none"/>
        </w:rPr>
        <w:t>patvirtintą Lietuvos Respublikos aplinkos ministro 2022 m. liepos 15 d. įsakymu Nr. D1-231 „Dėl 2022–2030 metų plėtros programos valdytojos Lietuvos Respublikos aplinkos ministerijos aplinkos apsaugos ir klimato kaitos valdymo plėtros programos pažangos priemonės Nr. 02-01-06-07-01 „Gerinti vandens telkinių būklę“ įgyvendinimo“</w:t>
      </w:r>
      <w:r w:rsidR="009F02FA">
        <w:rPr>
          <w:rFonts w:ascii="Times New Roman" w:eastAsia="Times New Roman" w:hAnsi="Times New Roman" w:cs="Times New Roman"/>
          <w:color w:val="000000"/>
          <w:kern w:val="0"/>
          <w:sz w:val="24"/>
          <w:szCs w:val="24"/>
          <w14:ligatures w14:val="none"/>
        </w:rPr>
        <w:t>:</w:t>
      </w:r>
    </w:p>
    <w:p w14:paraId="3E3DE626" w14:textId="378A153E" w:rsidR="009F02FA" w:rsidRDefault="009F02FA"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Pakeičiu Veiklos ar poveiklės, kurioms nustatomos projektų finansavimo sąlygos, lentelę ir ją išdėstau taip:</w:t>
      </w:r>
    </w:p>
    <w:p w14:paraId="4741C552" w14:textId="77777777" w:rsidR="009F02FA" w:rsidRDefault="009F02FA"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p>
    <w:p w14:paraId="49FC59DE" w14:textId="77777777" w:rsidR="004C13F8" w:rsidRDefault="004C13F8"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p>
    <w:p w14:paraId="13CC326A" w14:textId="77777777" w:rsidR="004C13F8" w:rsidRDefault="004C13F8"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sectPr w:rsidR="004C13F8" w:rsidSect="00F324F0">
          <w:headerReference w:type="default" r:id="rId7"/>
          <w:footnotePr>
            <w:pos w:val="beneathText"/>
          </w:footnotePr>
          <w:pgSz w:w="11905" w:h="16837"/>
          <w:pgMar w:top="1134" w:right="709" w:bottom="1032" w:left="1701" w:header="1140" w:footer="919" w:gutter="0"/>
          <w:cols w:space="1296"/>
          <w:titlePg/>
          <w:docGrid w:linePitch="360"/>
        </w:sect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7871C8" w14:paraId="37D9E4C7" w14:textId="77777777" w:rsidTr="00452AA0">
        <w:tc>
          <w:tcPr>
            <w:tcW w:w="15155" w:type="dxa"/>
            <w:gridSpan w:val="13"/>
            <w:vAlign w:val="center"/>
          </w:tcPr>
          <w:p w14:paraId="3D9FD5CD" w14:textId="3734A8F3" w:rsidR="007871C8" w:rsidRPr="00BB2D40" w:rsidRDefault="007871C8" w:rsidP="00452AA0">
            <w:pPr>
              <w:jc w:val="center"/>
              <w:rPr>
                <w:rFonts w:ascii="Times New Roman" w:hAnsi="Times New Roman" w:cs="Times New Roman"/>
                <w:bCs/>
                <w:sz w:val="24"/>
                <w:szCs w:val="24"/>
              </w:rPr>
            </w:pPr>
            <w:r w:rsidRPr="00BB2D40">
              <w:rPr>
                <w:rFonts w:ascii="Times New Roman" w:hAnsi="Times New Roman" w:cs="Times New Roman"/>
                <w:bCs/>
                <w:sz w:val="24"/>
                <w:szCs w:val="24"/>
              </w:rPr>
              <w:lastRenderedPageBreak/>
              <w:t>„VEIKLOS AR POVEIKLĖS, KURIOMS NUSTATOMOS PROJEKTŲ FINANSAVIMO SĄLYGOS</w:t>
            </w:r>
          </w:p>
        </w:tc>
      </w:tr>
      <w:tr w:rsidR="007871C8" w14:paraId="44AEC28D" w14:textId="77777777" w:rsidTr="00452AA0">
        <w:tc>
          <w:tcPr>
            <w:tcW w:w="1110" w:type="dxa"/>
            <w:vAlign w:val="center"/>
          </w:tcPr>
          <w:p w14:paraId="3D2A85D4"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Veiklos ar poveiklės pavadinimas</w:t>
            </w:r>
          </w:p>
        </w:tc>
        <w:tc>
          <w:tcPr>
            <w:tcW w:w="1125" w:type="dxa"/>
            <w:vAlign w:val="center"/>
          </w:tcPr>
          <w:p w14:paraId="235CE032"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Finansavimo šaltinis</w:t>
            </w:r>
          </w:p>
        </w:tc>
        <w:tc>
          <w:tcPr>
            <w:tcW w:w="1236" w:type="dxa"/>
            <w:vAlign w:val="center"/>
          </w:tcPr>
          <w:p w14:paraId="3D11B143"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Prioritetas ar komponentas</w:t>
            </w:r>
          </w:p>
        </w:tc>
        <w:tc>
          <w:tcPr>
            <w:tcW w:w="1134" w:type="dxa"/>
            <w:vAlign w:val="center"/>
          </w:tcPr>
          <w:p w14:paraId="6ACA1BAC"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Uždavinys ar priemonė</w:t>
            </w:r>
          </w:p>
        </w:tc>
        <w:tc>
          <w:tcPr>
            <w:tcW w:w="1134" w:type="dxa"/>
            <w:vAlign w:val="center"/>
          </w:tcPr>
          <w:p w14:paraId="6694887F"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Veikla ar papriemonė</w:t>
            </w:r>
          </w:p>
        </w:tc>
        <w:tc>
          <w:tcPr>
            <w:tcW w:w="1457" w:type="dxa"/>
            <w:vAlign w:val="center"/>
          </w:tcPr>
          <w:p w14:paraId="6B456971"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Intervencinės priemonės kodas</w:t>
            </w:r>
          </w:p>
        </w:tc>
        <w:tc>
          <w:tcPr>
            <w:tcW w:w="1344" w:type="dxa"/>
            <w:vAlign w:val="center"/>
          </w:tcPr>
          <w:p w14:paraId="60EB172C"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Regionas, kuriam priskiriama veikla ar poveiklė</w:t>
            </w:r>
          </w:p>
        </w:tc>
        <w:tc>
          <w:tcPr>
            <w:tcW w:w="1080" w:type="dxa"/>
            <w:vAlign w:val="center"/>
          </w:tcPr>
          <w:p w14:paraId="35E4EE64"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Paramos formos kodas</w:t>
            </w:r>
          </w:p>
        </w:tc>
        <w:tc>
          <w:tcPr>
            <w:tcW w:w="1344" w:type="dxa"/>
            <w:vAlign w:val="center"/>
          </w:tcPr>
          <w:p w14:paraId="2A9A5263"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Pagrindinės teritorinės srities kodas (-ai)</w:t>
            </w:r>
          </w:p>
        </w:tc>
        <w:tc>
          <w:tcPr>
            <w:tcW w:w="1051" w:type="dxa"/>
            <w:vAlign w:val="center"/>
          </w:tcPr>
          <w:p w14:paraId="7D57748E"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 xml:space="preserve">Ekonominės veiklos kodas </w:t>
            </w:r>
          </w:p>
          <w:p w14:paraId="1F1F6E90"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(-ai)</w:t>
            </w:r>
          </w:p>
        </w:tc>
        <w:tc>
          <w:tcPr>
            <w:tcW w:w="1132" w:type="dxa"/>
            <w:vAlign w:val="center"/>
          </w:tcPr>
          <w:p w14:paraId="13E15146"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„Europos socialinio fondo +“ (toliau – ESF+) antrinių temų kodai</w:t>
            </w:r>
          </w:p>
        </w:tc>
        <w:tc>
          <w:tcPr>
            <w:tcW w:w="859" w:type="dxa"/>
            <w:vAlign w:val="center"/>
          </w:tcPr>
          <w:p w14:paraId="45F79E6E"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Lyčių lygybės matmens kodas</w:t>
            </w:r>
          </w:p>
        </w:tc>
        <w:tc>
          <w:tcPr>
            <w:tcW w:w="1149" w:type="dxa"/>
            <w:vAlign w:val="center"/>
          </w:tcPr>
          <w:p w14:paraId="4785BE0C"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Nepanaudotos Ekonomikos gaivinimo ir atsparumo didinimo priemonės lėšos</w:t>
            </w:r>
          </w:p>
          <w:p w14:paraId="70D8B543" w14:textId="77777777" w:rsidR="007871C8" w:rsidRPr="00BB2D40" w:rsidRDefault="007871C8" w:rsidP="00452AA0">
            <w:pPr>
              <w:jc w:val="center"/>
              <w:rPr>
                <w:rFonts w:ascii="Times New Roman" w:hAnsi="Times New Roman" w:cs="Times New Roman"/>
                <w:bCs/>
                <w:sz w:val="20"/>
                <w:szCs w:val="20"/>
              </w:rPr>
            </w:pPr>
            <w:r w:rsidRPr="00BB2D40">
              <w:rPr>
                <w:rFonts w:ascii="Times New Roman" w:hAnsi="Times New Roman" w:cs="Times New Roman"/>
                <w:bCs/>
                <w:sz w:val="20"/>
                <w:szCs w:val="20"/>
              </w:rPr>
              <w:t>(Taip / Ne)</w:t>
            </w:r>
          </w:p>
        </w:tc>
      </w:tr>
      <w:tr w:rsidR="007871C8" w14:paraId="2BBFD319" w14:textId="77777777" w:rsidTr="00452AA0">
        <w:trPr>
          <w:trHeight w:val="278"/>
        </w:trPr>
        <w:tc>
          <w:tcPr>
            <w:tcW w:w="1110" w:type="dxa"/>
            <w:tcMar>
              <w:left w:w="28" w:type="dxa"/>
              <w:right w:w="28" w:type="dxa"/>
            </w:tcMar>
          </w:tcPr>
          <w:p w14:paraId="7F6A74C2" w14:textId="77777777" w:rsidR="007871C8" w:rsidRPr="00BB2D40" w:rsidRDefault="007871C8" w:rsidP="00452AA0">
            <w:pPr>
              <w:jc w:val="both"/>
              <w:rPr>
                <w:rFonts w:ascii="Times New Roman" w:hAnsi="Times New Roman" w:cs="Times New Roman"/>
                <w:color w:val="000000"/>
                <w:sz w:val="24"/>
                <w:szCs w:val="24"/>
                <w:shd w:val="clear" w:color="auto" w:fill="FFFFFF"/>
              </w:rPr>
            </w:pPr>
            <w:r w:rsidRPr="00BB2D40">
              <w:rPr>
                <w:rFonts w:ascii="Times New Roman" w:hAnsi="Times New Roman" w:cs="Times New Roman"/>
                <w:color w:val="000000"/>
                <w:sz w:val="24"/>
                <w:szCs w:val="24"/>
                <w:shd w:val="clear" w:color="auto" w:fill="FFFFFF"/>
              </w:rPr>
              <w:t xml:space="preserve">2.1. Poveiklė „ Vandens telkinių monitoringo sistemos tobulinimas“ </w:t>
            </w:r>
          </w:p>
          <w:p w14:paraId="320E3901" w14:textId="77777777" w:rsidR="007871C8" w:rsidRPr="00BB2D40" w:rsidRDefault="007871C8" w:rsidP="00452AA0">
            <w:pPr>
              <w:jc w:val="both"/>
              <w:rPr>
                <w:rFonts w:ascii="Times New Roman" w:hAnsi="Times New Roman" w:cs="Times New Roman"/>
                <w:i/>
                <w:sz w:val="24"/>
                <w:szCs w:val="24"/>
              </w:rPr>
            </w:pPr>
          </w:p>
        </w:tc>
        <w:tc>
          <w:tcPr>
            <w:tcW w:w="1125" w:type="dxa"/>
            <w:tcMar>
              <w:left w:w="28" w:type="dxa"/>
              <w:right w:w="28" w:type="dxa"/>
            </w:tcMar>
          </w:tcPr>
          <w:p w14:paraId="66AD9F06" w14:textId="77777777" w:rsidR="007871C8" w:rsidRPr="00BB2D40" w:rsidRDefault="007871C8" w:rsidP="00452AA0">
            <w:pPr>
              <w:rPr>
                <w:rFonts w:ascii="Times New Roman" w:hAnsi="Times New Roman" w:cs="Times New Roman"/>
                <w:color w:val="000000"/>
                <w:sz w:val="24"/>
                <w:szCs w:val="24"/>
                <w:bdr w:val="none" w:sz="0" w:space="0" w:color="auto" w:frame="1"/>
              </w:rPr>
            </w:pPr>
            <w:r w:rsidRPr="00BB2D40">
              <w:rPr>
                <w:rFonts w:ascii="Times New Roman" w:hAnsi="Times New Roman" w:cs="Times New Roman"/>
                <w:color w:val="000000"/>
                <w:sz w:val="24"/>
                <w:szCs w:val="24"/>
                <w:bdr w:val="none" w:sz="0" w:space="0" w:color="auto" w:frame="1"/>
              </w:rPr>
              <w:t xml:space="preserve">2021–2027 metų Europos Sąjungos fondų investicijų programa </w:t>
            </w:r>
          </w:p>
          <w:p w14:paraId="2DBA83D8" w14:textId="77777777" w:rsidR="007871C8" w:rsidRPr="00BB2D40" w:rsidRDefault="007871C8" w:rsidP="00452AA0">
            <w:pPr>
              <w:jc w:val="center"/>
              <w:rPr>
                <w:rFonts w:ascii="Times New Roman" w:hAnsi="Times New Roman" w:cs="Times New Roman"/>
                <w:strike/>
                <w:color w:val="000000"/>
                <w:sz w:val="24"/>
                <w:szCs w:val="24"/>
              </w:rPr>
            </w:pPr>
            <w:r w:rsidRPr="00BB2D40">
              <w:rPr>
                <w:rFonts w:ascii="Times New Roman" w:hAnsi="Times New Roman" w:cs="Times New Roman"/>
                <w:color w:val="000000"/>
                <w:sz w:val="24"/>
                <w:szCs w:val="24"/>
                <w:shd w:val="clear" w:color="auto" w:fill="FFFFFF"/>
              </w:rPr>
              <w:t>(toliau – 2021–2027 IP) </w:t>
            </w:r>
            <w:r w:rsidRPr="00BB2D40">
              <w:rPr>
                <w:rFonts w:ascii="Times New Roman" w:hAnsi="Times New Roman" w:cs="Times New Roman"/>
                <w:strike/>
                <w:color w:val="000000"/>
                <w:sz w:val="24"/>
                <w:szCs w:val="24"/>
                <w:shd w:val="clear" w:color="auto" w:fill="FFFFFF"/>
              </w:rPr>
              <w:t xml:space="preserve">ir </w:t>
            </w:r>
            <w:r w:rsidRPr="00BB2D40">
              <w:rPr>
                <w:rFonts w:ascii="Times New Roman" w:hAnsi="Times New Roman" w:cs="Times New Roman"/>
                <w:strike/>
                <w:color w:val="000000"/>
                <w:sz w:val="24"/>
                <w:szCs w:val="24"/>
              </w:rPr>
              <w:t xml:space="preserve">projekto vykdytojo indėlis  </w:t>
            </w:r>
            <w:r w:rsidRPr="00BB2D40">
              <w:rPr>
                <w:rFonts w:ascii="Times New Roman" w:hAnsi="Times New Roman" w:cs="Times New Roman"/>
                <w:strike/>
                <w:color w:val="000000"/>
                <w:sz w:val="24"/>
                <w:szCs w:val="24"/>
                <w:lang w:eastAsia="lt-LT"/>
              </w:rPr>
              <w:t xml:space="preserve">– </w:t>
            </w:r>
            <w:r w:rsidRPr="00BB2D40">
              <w:rPr>
                <w:rFonts w:ascii="Times New Roman" w:hAnsi="Times New Roman" w:cs="Times New Roman"/>
                <w:strike/>
                <w:color w:val="000000"/>
                <w:sz w:val="24"/>
                <w:szCs w:val="24"/>
              </w:rPr>
              <w:t xml:space="preserve"> valstybės biudžeto lėšos</w:t>
            </w:r>
          </w:p>
          <w:p w14:paraId="6760C710" w14:textId="77777777" w:rsidR="007871C8" w:rsidRPr="00BB2D40" w:rsidRDefault="007871C8" w:rsidP="00452AA0">
            <w:pPr>
              <w:jc w:val="center"/>
              <w:rPr>
                <w:rFonts w:ascii="Times New Roman" w:hAnsi="Times New Roman" w:cs="Times New Roman"/>
                <w:b/>
                <w:i/>
                <w:sz w:val="24"/>
                <w:szCs w:val="24"/>
              </w:rPr>
            </w:pPr>
          </w:p>
        </w:tc>
        <w:tc>
          <w:tcPr>
            <w:tcW w:w="1236" w:type="dxa"/>
            <w:tcMar>
              <w:left w:w="28" w:type="dxa"/>
              <w:right w:w="28" w:type="dxa"/>
            </w:tcMar>
          </w:tcPr>
          <w:p w14:paraId="06C1A99A" w14:textId="77777777" w:rsidR="007871C8" w:rsidRPr="00BB2D40" w:rsidRDefault="007871C8" w:rsidP="00452AA0">
            <w:pPr>
              <w:jc w:val="center"/>
              <w:rPr>
                <w:rFonts w:ascii="Times New Roman" w:hAnsi="Times New Roman" w:cs="Times New Roman"/>
                <w:sz w:val="24"/>
                <w:szCs w:val="24"/>
              </w:rPr>
            </w:pPr>
            <w:r w:rsidRPr="00BB2D40">
              <w:rPr>
                <w:rFonts w:ascii="Times New Roman" w:hAnsi="Times New Roman" w:cs="Times New Roman"/>
                <w:sz w:val="24"/>
                <w:szCs w:val="24"/>
              </w:rPr>
              <w:t>2</w:t>
            </w:r>
          </w:p>
          <w:p w14:paraId="4E9424ED" w14:textId="77777777" w:rsidR="007871C8" w:rsidRPr="00BB2D40" w:rsidRDefault="007871C8" w:rsidP="00452AA0">
            <w:pPr>
              <w:jc w:val="center"/>
              <w:rPr>
                <w:rFonts w:ascii="Times New Roman" w:hAnsi="Times New Roman" w:cs="Times New Roman"/>
                <w:i/>
                <w:sz w:val="24"/>
                <w:szCs w:val="24"/>
              </w:rPr>
            </w:pPr>
          </w:p>
        </w:tc>
        <w:tc>
          <w:tcPr>
            <w:tcW w:w="1134" w:type="dxa"/>
            <w:tcMar>
              <w:left w:w="28" w:type="dxa"/>
              <w:right w:w="28" w:type="dxa"/>
            </w:tcMar>
          </w:tcPr>
          <w:p w14:paraId="245989D7" w14:textId="77777777" w:rsidR="007871C8" w:rsidRPr="00BB2D40" w:rsidRDefault="007871C8" w:rsidP="00452AA0">
            <w:pPr>
              <w:jc w:val="center"/>
              <w:rPr>
                <w:rFonts w:ascii="Times New Roman" w:hAnsi="Times New Roman" w:cs="Times New Roman"/>
                <w:sz w:val="24"/>
                <w:szCs w:val="24"/>
              </w:rPr>
            </w:pPr>
            <w:r w:rsidRPr="00BB2D40">
              <w:rPr>
                <w:rFonts w:ascii="Times New Roman" w:hAnsi="Times New Roman" w:cs="Times New Roman"/>
                <w:sz w:val="24"/>
                <w:szCs w:val="24"/>
              </w:rPr>
              <w:t>2.5</w:t>
            </w:r>
          </w:p>
          <w:p w14:paraId="1A09CC9B" w14:textId="77777777" w:rsidR="007871C8" w:rsidRPr="00BB2D40" w:rsidRDefault="007871C8" w:rsidP="00452AA0">
            <w:pPr>
              <w:jc w:val="center"/>
              <w:rPr>
                <w:rFonts w:ascii="Times New Roman" w:hAnsi="Times New Roman" w:cs="Times New Roman"/>
                <w:sz w:val="24"/>
                <w:szCs w:val="24"/>
              </w:rPr>
            </w:pPr>
          </w:p>
          <w:p w14:paraId="04FB2570" w14:textId="77777777" w:rsidR="007871C8" w:rsidRPr="00BB2D40" w:rsidRDefault="007871C8" w:rsidP="00452AA0">
            <w:pPr>
              <w:jc w:val="center"/>
              <w:rPr>
                <w:rFonts w:ascii="Times New Roman" w:hAnsi="Times New Roman" w:cs="Times New Roman"/>
                <w:i/>
                <w:sz w:val="24"/>
                <w:szCs w:val="24"/>
              </w:rPr>
            </w:pPr>
          </w:p>
          <w:p w14:paraId="31D7E5F9" w14:textId="77777777" w:rsidR="007871C8" w:rsidRPr="00BB2D40" w:rsidRDefault="007871C8" w:rsidP="00452AA0">
            <w:pPr>
              <w:jc w:val="center"/>
              <w:rPr>
                <w:rFonts w:ascii="Times New Roman" w:hAnsi="Times New Roman" w:cs="Times New Roman"/>
                <w:sz w:val="24"/>
                <w:szCs w:val="24"/>
              </w:rPr>
            </w:pPr>
          </w:p>
        </w:tc>
        <w:tc>
          <w:tcPr>
            <w:tcW w:w="1134" w:type="dxa"/>
            <w:tcMar>
              <w:left w:w="28" w:type="dxa"/>
              <w:right w:w="28" w:type="dxa"/>
            </w:tcMar>
          </w:tcPr>
          <w:p w14:paraId="429E4258" w14:textId="77777777" w:rsidR="007871C8" w:rsidRPr="00BB2D40" w:rsidRDefault="007871C8" w:rsidP="00452AA0">
            <w:pPr>
              <w:jc w:val="center"/>
              <w:rPr>
                <w:rFonts w:ascii="Times New Roman" w:hAnsi="Times New Roman" w:cs="Times New Roman"/>
                <w:bCs/>
                <w:i/>
                <w:iCs/>
                <w:sz w:val="24"/>
                <w:szCs w:val="24"/>
              </w:rPr>
            </w:pPr>
            <w:r w:rsidRPr="00BB2D40">
              <w:rPr>
                <w:rFonts w:ascii="Times New Roman" w:hAnsi="Times New Roman" w:cs="Times New Roman"/>
                <w:bCs/>
                <w:sz w:val="24"/>
                <w:szCs w:val="24"/>
              </w:rPr>
              <w:t>2.5.1 Vandens išteklių valdymo stiprinimas</w:t>
            </w:r>
            <w:r w:rsidRPr="00BB2D40">
              <w:rPr>
                <w:rFonts w:ascii="Times New Roman" w:hAnsi="Times New Roman" w:cs="Times New Roman"/>
                <w:bCs/>
                <w:i/>
                <w:iCs/>
                <w:sz w:val="24"/>
                <w:szCs w:val="24"/>
              </w:rPr>
              <w:t xml:space="preserve"> </w:t>
            </w:r>
          </w:p>
          <w:p w14:paraId="4C640F59" w14:textId="77777777" w:rsidR="007871C8" w:rsidRPr="00BB2D40" w:rsidRDefault="007871C8" w:rsidP="00452AA0">
            <w:pPr>
              <w:jc w:val="center"/>
              <w:rPr>
                <w:rFonts w:ascii="Times New Roman" w:hAnsi="Times New Roman" w:cs="Times New Roman"/>
                <w:bCs/>
                <w:i/>
                <w:iCs/>
                <w:sz w:val="24"/>
                <w:szCs w:val="24"/>
              </w:rPr>
            </w:pPr>
          </w:p>
          <w:p w14:paraId="35AD99F5" w14:textId="77777777" w:rsidR="007871C8" w:rsidRPr="00BB2D40" w:rsidRDefault="007871C8" w:rsidP="00452AA0">
            <w:pPr>
              <w:jc w:val="center"/>
              <w:rPr>
                <w:rFonts w:ascii="Times New Roman" w:hAnsi="Times New Roman" w:cs="Times New Roman"/>
                <w:bCs/>
                <w:i/>
                <w:sz w:val="24"/>
                <w:szCs w:val="24"/>
              </w:rPr>
            </w:pPr>
          </w:p>
        </w:tc>
        <w:tc>
          <w:tcPr>
            <w:tcW w:w="1457" w:type="dxa"/>
            <w:tcMar>
              <w:left w:w="28" w:type="dxa"/>
              <w:right w:w="28" w:type="dxa"/>
            </w:tcMar>
          </w:tcPr>
          <w:p w14:paraId="5FF81090" w14:textId="77777777" w:rsidR="007871C8" w:rsidRPr="00BB2D40" w:rsidRDefault="007871C8" w:rsidP="00452AA0">
            <w:pPr>
              <w:jc w:val="center"/>
              <w:rPr>
                <w:rFonts w:ascii="Times New Roman" w:hAnsi="Times New Roman" w:cs="Times New Roman"/>
                <w:iCs/>
                <w:sz w:val="24"/>
                <w:szCs w:val="24"/>
              </w:rPr>
            </w:pPr>
            <w:r w:rsidRPr="00BB2D40">
              <w:rPr>
                <w:rFonts w:ascii="Times New Roman" w:hAnsi="Times New Roman" w:cs="Times New Roman"/>
                <w:iCs/>
                <w:sz w:val="24"/>
                <w:szCs w:val="24"/>
              </w:rPr>
              <w:t xml:space="preserve">064 </w:t>
            </w:r>
          </w:p>
          <w:p w14:paraId="4AA045DE" w14:textId="77777777" w:rsidR="007871C8" w:rsidRPr="00BB2D40" w:rsidRDefault="007871C8" w:rsidP="00452AA0">
            <w:pPr>
              <w:jc w:val="center"/>
              <w:rPr>
                <w:rFonts w:ascii="Times New Roman" w:hAnsi="Times New Roman" w:cs="Times New Roman"/>
                <w:i/>
                <w:iCs/>
                <w:sz w:val="24"/>
                <w:szCs w:val="24"/>
              </w:rPr>
            </w:pPr>
          </w:p>
          <w:p w14:paraId="01A54286" w14:textId="77777777" w:rsidR="007871C8" w:rsidRPr="00BB2D40" w:rsidRDefault="007871C8" w:rsidP="00452AA0">
            <w:pPr>
              <w:jc w:val="center"/>
              <w:rPr>
                <w:rFonts w:ascii="Times New Roman" w:hAnsi="Times New Roman" w:cs="Times New Roman"/>
                <w:i/>
                <w:sz w:val="24"/>
                <w:szCs w:val="24"/>
              </w:rPr>
            </w:pPr>
          </w:p>
        </w:tc>
        <w:tc>
          <w:tcPr>
            <w:tcW w:w="1344" w:type="dxa"/>
            <w:tcMar>
              <w:left w:w="28" w:type="dxa"/>
              <w:right w:w="28" w:type="dxa"/>
            </w:tcMar>
          </w:tcPr>
          <w:p w14:paraId="3BF5BF3C" w14:textId="77777777" w:rsidR="007871C8" w:rsidRPr="00BB2D40" w:rsidRDefault="007871C8" w:rsidP="00452AA0">
            <w:pPr>
              <w:jc w:val="center"/>
              <w:rPr>
                <w:rFonts w:ascii="Times New Roman" w:hAnsi="Times New Roman" w:cs="Times New Roman"/>
                <w:i/>
                <w:sz w:val="24"/>
                <w:szCs w:val="24"/>
              </w:rPr>
            </w:pPr>
            <w:r w:rsidRPr="00BB2D40">
              <w:rPr>
                <w:rFonts w:ascii="Times New Roman" w:hAnsi="Times New Roman" w:cs="Times New Roman"/>
                <w:i/>
                <w:sz w:val="24"/>
                <w:szCs w:val="24"/>
              </w:rPr>
              <w:t>-</w:t>
            </w:r>
          </w:p>
          <w:p w14:paraId="5DB62F3F" w14:textId="77777777" w:rsidR="007871C8" w:rsidRPr="00BB2D40" w:rsidRDefault="007871C8" w:rsidP="00452AA0">
            <w:pPr>
              <w:jc w:val="center"/>
              <w:rPr>
                <w:rFonts w:ascii="Times New Roman" w:hAnsi="Times New Roman" w:cs="Times New Roman"/>
                <w:i/>
                <w:sz w:val="24"/>
                <w:szCs w:val="24"/>
              </w:rPr>
            </w:pPr>
          </w:p>
        </w:tc>
        <w:tc>
          <w:tcPr>
            <w:tcW w:w="1080" w:type="dxa"/>
            <w:tcMar>
              <w:left w:w="28" w:type="dxa"/>
              <w:right w:w="28" w:type="dxa"/>
            </w:tcMar>
          </w:tcPr>
          <w:p w14:paraId="313F7002" w14:textId="77777777" w:rsidR="007871C8" w:rsidRPr="00BB2D40" w:rsidRDefault="007871C8" w:rsidP="00452AA0">
            <w:pPr>
              <w:jc w:val="center"/>
              <w:rPr>
                <w:rFonts w:ascii="Times New Roman" w:hAnsi="Times New Roman" w:cs="Times New Roman"/>
                <w:i/>
                <w:sz w:val="24"/>
                <w:szCs w:val="24"/>
              </w:rPr>
            </w:pPr>
            <w:r w:rsidRPr="00BB2D40">
              <w:rPr>
                <w:rFonts w:ascii="Times New Roman" w:hAnsi="Times New Roman" w:cs="Times New Roman"/>
                <w:bCs/>
                <w:sz w:val="24"/>
                <w:szCs w:val="24"/>
              </w:rPr>
              <w:t>01 Dotacija</w:t>
            </w:r>
          </w:p>
          <w:p w14:paraId="69B8DAAF" w14:textId="77777777" w:rsidR="007871C8" w:rsidRPr="00BB2D40" w:rsidRDefault="007871C8" w:rsidP="00452AA0">
            <w:pPr>
              <w:jc w:val="center"/>
              <w:rPr>
                <w:rFonts w:ascii="Times New Roman" w:hAnsi="Times New Roman" w:cs="Times New Roman"/>
                <w:i/>
                <w:sz w:val="24"/>
                <w:szCs w:val="24"/>
              </w:rPr>
            </w:pPr>
          </w:p>
          <w:p w14:paraId="73AA633B" w14:textId="77777777" w:rsidR="007871C8" w:rsidRPr="00BB2D40" w:rsidRDefault="007871C8" w:rsidP="00452AA0">
            <w:pPr>
              <w:jc w:val="center"/>
              <w:rPr>
                <w:rFonts w:ascii="Times New Roman" w:hAnsi="Times New Roman" w:cs="Times New Roman"/>
                <w:i/>
                <w:sz w:val="24"/>
                <w:szCs w:val="24"/>
              </w:rPr>
            </w:pPr>
          </w:p>
        </w:tc>
        <w:tc>
          <w:tcPr>
            <w:tcW w:w="1344" w:type="dxa"/>
            <w:tcMar>
              <w:left w:w="28" w:type="dxa"/>
              <w:right w:w="28" w:type="dxa"/>
            </w:tcMar>
          </w:tcPr>
          <w:p w14:paraId="6AADD1B5" w14:textId="77777777" w:rsidR="007871C8" w:rsidRPr="00BB2D40" w:rsidRDefault="007871C8" w:rsidP="00452AA0">
            <w:pPr>
              <w:jc w:val="center"/>
              <w:rPr>
                <w:rFonts w:ascii="Times New Roman" w:hAnsi="Times New Roman" w:cs="Times New Roman"/>
                <w:i/>
                <w:iCs/>
                <w:sz w:val="24"/>
                <w:szCs w:val="24"/>
              </w:rPr>
            </w:pPr>
            <w:r w:rsidRPr="00BB2D40">
              <w:rPr>
                <w:rFonts w:ascii="Times New Roman" w:hAnsi="Times New Roman" w:cs="Times New Roman"/>
                <w:iCs/>
                <w:sz w:val="24"/>
                <w:szCs w:val="24"/>
              </w:rPr>
              <w:t xml:space="preserve">08 – Kitų rūšių tikslinės teritorijos  </w:t>
            </w:r>
          </w:p>
          <w:p w14:paraId="2952EF96" w14:textId="77777777" w:rsidR="007871C8" w:rsidRPr="00BB2D40" w:rsidRDefault="007871C8" w:rsidP="00452AA0">
            <w:pPr>
              <w:jc w:val="center"/>
              <w:rPr>
                <w:rFonts w:ascii="Times New Roman" w:hAnsi="Times New Roman" w:cs="Times New Roman"/>
                <w:iCs/>
                <w:sz w:val="24"/>
                <w:szCs w:val="24"/>
              </w:rPr>
            </w:pPr>
          </w:p>
          <w:p w14:paraId="6DBE175E" w14:textId="77777777" w:rsidR="007871C8" w:rsidRPr="00BB2D40" w:rsidRDefault="007871C8" w:rsidP="00452AA0">
            <w:pPr>
              <w:jc w:val="center"/>
              <w:rPr>
                <w:rFonts w:ascii="Times New Roman" w:hAnsi="Times New Roman" w:cs="Times New Roman"/>
                <w:i/>
                <w:iCs/>
                <w:sz w:val="24"/>
                <w:szCs w:val="24"/>
              </w:rPr>
            </w:pPr>
            <w:r w:rsidRPr="00BB2D40">
              <w:rPr>
                <w:rFonts w:ascii="Times New Roman" w:hAnsi="Times New Roman" w:cs="Times New Roman"/>
                <w:iCs/>
                <w:sz w:val="24"/>
                <w:szCs w:val="24"/>
              </w:rPr>
              <w:t>33 – Nesiorientuojant į teritoriškumą</w:t>
            </w:r>
          </w:p>
          <w:p w14:paraId="30937519" w14:textId="77777777" w:rsidR="007871C8" w:rsidRPr="00BB2D40" w:rsidRDefault="007871C8" w:rsidP="00452AA0">
            <w:pPr>
              <w:jc w:val="center"/>
              <w:rPr>
                <w:rFonts w:ascii="Times New Roman" w:hAnsi="Times New Roman" w:cs="Times New Roman"/>
                <w:i/>
                <w:iCs/>
                <w:sz w:val="24"/>
                <w:szCs w:val="24"/>
              </w:rPr>
            </w:pPr>
          </w:p>
          <w:p w14:paraId="240014FA" w14:textId="77777777" w:rsidR="007871C8" w:rsidRPr="00BB2D40" w:rsidRDefault="007871C8" w:rsidP="00452AA0">
            <w:pPr>
              <w:jc w:val="center"/>
              <w:rPr>
                <w:rFonts w:ascii="Times New Roman" w:hAnsi="Times New Roman" w:cs="Times New Roman"/>
                <w:i/>
                <w:iCs/>
                <w:sz w:val="24"/>
                <w:szCs w:val="24"/>
              </w:rPr>
            </w:pPr>
          </w:p>
          <w:p w14:paraId="32318CF1" w14:textId="77777777" w:rsidR="007871C8" w:rsidRPr="00BB2D40" w:rsidRDefault="007871C8" w:rsidP="00452AA0">
            <w:pPr>
              <w:jc w:val="center"/>
              <w:rPr>
                <w:rFonts w:ascii="Times New Roman" w:hAnsi="Times New Roman" w:cs="Times New Roman"/>
                <w:sz w:val="24"/>
                <w:szCs w:val="24"/>
              </w:rPr>
            </w:pPr>
          </w:p>
        </w:tc>
        <w:tc>
          <w:tcPr>
            <w:tcW w:w="1051" w:type="dxa"/>
            <w:tcMar>
              <w:left w:w="28" w:type="dxa"/>
              <w:right w:w="28" w:type="dxa"/>
            </w:tcMar>
          </w:tcPr>
          <w:p w14:paraId="31F8D663" w14:textId="77777777" w:rsidR="007871C8" w:rsidRPr="00BB2D40" w:rsidRDefault="007871C8" w:rsidP="00452AA0">
            <w:pPr>
              <w:jc w:val="center"/>
              <w:rPr>
                <w:rFonts w:ascii="Times New Roman" w:hAnsi="Times New Roman" w:cs="Times New Roman"/>
                <w:i/>
                <w:iCs/>
                <w:sz w:val="24"/>
                <w:szCs w:val="24"/>
              </w:rPr>
            </w:pPr>
            <w:r w:rsidRPr="00BB2D40">
              <w:rPr>
                <w:rFonts w:ascii="Times New Roman" w:hAnsi="Times New Roman" w:cs="Times New Roman"/>
                <w:bCs/>
                <w:sz w:val="24"/>
                <w:szCs w:val="24"/>
              </w:rPr>
              <w:t>24 Su aplinka susijusi veikla</w:t>
            </w:r>
          </w:p>
          <w:p w14:paraId="32456FD4" w14:textId="77777777" w:rsidR="007871C8" w:rsidRPr="00BB2D40" w:rsidRDefault="007871C8" w:rsidP="00452AA0">
            <w:pPr>
              <w:jc w:val="center"/>
              <w:rPr>
                <w:rFonts w:ascii="Times New Roman" w:hAnsi="Times New Roman" w:cs="Times New Roman"/>
                <w:sz w:val="24"/>
                <w:szCs w:val="24"/>
              </w:rPr>
            </w:pPr>
          </w:p>
        </w:tc>
        <w:tc>
          <w:tcPr>
            <w:tcW w:w="1132" w:type="dxa"/>
            <w:tcMar>
              <w:left w:w="28" w:type="dxa"/>
              <w:right w:w="28" w:type="dxa"/>
            </w:tcMar>
          </w:tcPr>
          <w:p w14:paraId="2CDFE604" w14:textId="77777777" w:rsidR="007871C8" w:rsidRPr="00BB2D40" w:rsidRDefault="007871C8" w:rsidP="00452AA0">
            <w:pPr>
              <w:jc w:val="center"/>
              <w:rPr>
                <w:rFonts w:ascii="Times New Roman" w:hAnsi="Times New Roman" w:cs="Times New Roman"/>
                <w:i/>
                <w:iCs/>
                <w:sz w:val="24"/>
                <w:szCs w:val="24"/>
              </w:rPr>
            </w:pPr>
            <w:r w:rsidRPr="00BB2D40">
              <w:rPr>
                <w:rFonts w:ascii="Times New Roman" w:hAnsi="Times New Roman" w:cs="Times New Roman"/>
                <w:i/>
                <w:iCs/>
                <w:sz w:val="24"/>
                <w:szCs w:val="24"/>
              </w:rPr>
              <w:t>-</w:t>
            </w:r>
          </w:p>
          <w:p w14:paraId="248804AA" w14:textId="77777777" w:rsidR="007871C8" w:rsidRPr="00BB2D40" w:rsidRDefault="007871C8" w:rsidP="00452AA0">
            <w:pPr>
              <w:jc w:val="center"/>
              <w:rPr>
                <w:rFonts w:ascii="Times New Roman" w:hAnsi="Times New Roman" w:cs="Times New Roman"/>
                <w:i/>
                <w:iCs/>
                <w:sz w:val="24"/>
                <w:szCs w:val="24"/>
              </w:rPr>
            </w:pPr>
          </w:p>
          <w:p w14:paraId="1127C61A" w14:textId="77777777" w:rsidR="007871C8" w:rsidRPr="00BB2D40" w:rsidRDefault="007871C8" w:rsidP="00452AA0">
            <w:pPr>
              <w:jc w:val="center"/>
              <w:rPr>
                <w:rFonts w:ascii="Times New Roman" w:hAnsi="Times New Roman" w:cs="Times New Roman"/>
                <w:i/>
                <w:iCs/>
                <w:sz w:val="24"/>
                <w:szCs w:val="24"/>
              </w:rPr>
            </w:pPr>
          </w:p>
        </w:tc>
        <w:tc>
          <w:tcPr>
            <w:tcW w:w="859" w:type="dxa"/>
            <w:tcMar>
              <w:left w:w="28" w:type="dxa"/>
              <w:right w:w="28" w:type="dxa"/>
            </w:tcMar>
          </w:tcPr>
          <w:p w14:paraId="3DE78CD7" w14:textId="77777777" w:rsidR="007871C8" w:rsidRPr="00BB2D40" w:rsidRDefault="007871C8" w:rsidP="00452AA0">
            <w:pPr>
              <w:jc w:val="center"/>
              <w:rPr>
                <w:rFonts w:ascii="Times New Roman" w:hAnsi="Times New Roman" w:cs="Times New Roman"/>
                <w:i/>
                <w:iCs/>
                <w:sz w:val="24"/>
                <w:szCs w:val="24"/>
              </w:rPr>
            </w:pPr>
            <w:r w:rsidRPr="00BB2D40">
              <w:rPr>
                <w:rFonts w:ascii="Times New Roman" w:hAnsi="Times New Roman" w:cs="Times New Roman"/>
                <w:iCs/>
                <w:sz w:val="24"/>
                <w:szCs w:val="24"/>
              </w:rPr>
              <w:t>03 – Neutralumas lyties požiūriu</w:t>
            </w:r>
            <w:r w:rsidRPr="00BB2D40">
              <w:rPr>
                <w:rFonts w:ascii="Times New Roman" w:hAnsi="Times New Roman" w:cs="Times New Roman"/>
                <w:i/>
                <w:iCs/>
                <w:sz w:val="24"/>
                <w:szCs w:val="24"/>
              </w:rPr>
              <w:t xml:space="preserve"> </w:t>
            </w:r>
          </w:p>
          <w:p w14:paraId="7712F330" w14:textId="77777777" w:rsidR="007871C8" w:rsidRPr="00BB2D40" w:rsidRDefault="007871C8" w:rsidP="00452AA0">
            <w:pPr>
              <w:jc w:val="center"/>
              <w:rPr>
                <w:rFonts w:ascii="Times New Roman" w:hAnsi="Times New Roman" w:cs="Times New Roman"/>
                <w:i/>
                <w:iCs/>
                <w:sz w:val="24"/>
                <w:szCs w:val="24"/>
              </w:rPr>
            </w:pPr>
          </w:p>
        </w:tc>
        <w:tc>
          <w:tcPr>
            <w:tcW w:w="1149" w:type="dxa"/>
          </w:tcPr>
          <w:p w14:paraId="2D086589" w14:textId="7E610372" w:rsidR="007871C8" w:rsidRPr="00BB2D40" w:rsidRDefault="007871C8" w:rsidP="00452AA0">
            <w:pPr>
              <w:ind w:firstLine="62"/>
              <w:jc w:val="center"/>
              <w:rPr>
                <w:rFonts w:ascii="Times New Roman" w:hAnsi="Times New Roman" w:cs="Times New Roman"/>
                <w:sz w:val="24"/>
                <w:szCs w:val="24"/>
              </w:rPr>
            </w:pPr>
            <w:r w:rsidRPr="00BB2D40">
              <w:rPr>
                <w:rFonts w:ascii="Times New Roman" w:hAnsi="Times New Roman" w:cs="Times New Roman"/>
                <w:sz w:val="24"/>
                <w:szCs w:val="24"/>
              </w:rPr>
              <w:t>Ne“</w:t>
            </w:r>
          </w:p>
          <w:p w14:paraId="362BFE3B" w14:textId="77777777" w:rsidR="007871C8" w:rsidRPr="00BB2D40" w:rsidRDefault="007871C8" w:rsidP="00452AA0">
            <w:pPr>
              <w:jc w:val="center"/>
              <w:rPr>
                <w:rFonts w:ascii="Times New Roman" w:hAnsi="Times New Roman" w:cs="Times New Roman"/>
                <w:i/>
                <w:iCs/>
                <w:sz w:val="24"/>
                <w:szCs w:val="24"/>
              </w:rPr>
            </w:pPr>
          </w:p>
          <w:p w14:paraId="50C4DF85" w14:textId="77777777" w:rsidR="007871C8" w:rsidRPr="00BB2D40" w:rsidRDefault="007871C8" w:rsidP="00452AA0">
            <w:pPr>
              <w:jc w:val="center"/>
              <w:rPr>
                <w:rFonts w:ascii="Times New Roman" w:hAnsi="Times New Roman" w:cs="Times New Roman"/>
                <w:i/>
                <w:iCs/>
                <w:sz w:val="24"/>
                <w:szCs w:val="24"/>
              </w:rPr>
            </w:pPr>
          </w:p>
        </w:tc>
      </w:tr>
    </w:tbl>
    <w:p w14:paraId="40BF3A5E" w14:textId="77777777" w:rsidR="0035584E" w:rsidRDefault="0035584E"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sectPr w:rsidR="0035584E" w:rsidSect="00ED2DE2">
          <w:footnotePr>
            <w:pos w:val="beneathText"/>
          </w:footnotePr>
          <w:pgSz w:w="16837" w:h="11905" w:orient="landscape"/>
          <w:pgMar w:top="1701" w:right="1134" w:bottom="709" w:left="1032" w:header="1140" w:footer="919" w:gutter="0"/>
          <w:cols w:space="1296"/>
          <w:titlePg/>
          <w:docGrid w:linePitch="360"/>
        </w:sectPr>
      </w:pPr>
    </w:p>
    <w:p w14:paraId="7E61A70D" w14:textId="77777777" w:rsidR="009F02FA" w:rsidRDefault="009F02FA" w:rsidP="004914D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p>
    <w:p w14:paraId="6A78110A" w14:textId="6FCE9BF8" w:rsidR="00BB2D40" w:rsidRPr="00037160" w:rsidRDefault="00BB2D40" w:rsidP="00BB2D40">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037160">
        <w:rPr>
          <w:rFonts w:ascii="Times New Roman" w:eastAsia="Times New Roman" w:hAnsi="Times New Roman" w:cs="Times New Roman"/>
          <w:color w:val="000000"/>
          <w:kern w:val="0"/>
          <w:sz w:val="24"/>
          <w:szCs w:val="24"/>
          <w14:ligatures w14:val="none"/>
        </w:rPr>
        <w:t xml:space="preserve">2. Pakeičiu 2.1.1.3 papunktį ir jį išdėstau taip: </w:t>
      </w:r>
    </w:p>
    <w:p w14:paraId="13BE2EF4" w14:textId="3E28834D" w:rsidR="00BB2D40" w:rsidRPr="00037160" w:rsidRDefault="00BB2D40" w:rsidP="007E46A6">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037160">
        <w:rPr>
          <w:rFonts w:ascii="Times New Roman" w:eastAsia="Times New Roman" w:hAnsi="Times New Roman" w:cs="Times New Roman"/>
          <w:color w:val="000000"/>
          <w:kern w:val="0"/>
          <w:sz w:val="24"/>
          <w:szCs w:val="24"/>
          <w14:ligatures w14:val="none"/>
        </w:rPr>
        <w:t>„2.1.1.3. Duomenų ir informacijos analizė (iš naujo įvertinti jūros aplinkos būklę, geros aplinkos būklės savybes, jūros aplinkos apsaugos tikslus ir monitoringo programą, parengti priemonių programą ir veiksmus siekiant geros jūros aplinkos būklės</w:t>
      </w:r>
      <w:r w:rsidR="007E46A6" w:rsidRPr="00037160">
        <w:rPr>
          <w:rFonts w:ascii="Times New Roman" w:eastAsia="Times New Roman" w:hAnsi="Times New Roman" w:cs="Times New Roman"/>
          <w:color w:val="000000"/>
          <w:kern w:val="0"/>
          <w:sz w:val="24"/>
          <w:szCs w:val="24"/>
          <w14:ligatures w14:val="none"/>
        </w:rPr>
        <w:t xml:space="preserve"> </w:t>
      </w:r>
      <w:r w:rsidR="007E46A6" w:rsidRPr="00037160">
        <w:rPr>
          <w:rFonts w:ascii="Times New Roman" w:eastAsia="Times New Roman" w:hAnsi="Times New Roman" w:cs="Times New Roman"/>
          <w:b/>
          <w:bCs/>
          <w:color w:val="000000"/>
          <w:kern w:val="0"/>
          <w:sz w:val="24"/>
          <w:szCs w:val="24"/>
          <w14:ligatures w14:val="none"/>
        </w:rPr>
        <w:t>ir kitus, su Kuršių marių ir Baltijos jūros aplinkos apsaugos valdymo stiprinimu, susijusius dokumentus</w:t>
      </w:r>
      <w:r w:rsidRPr="00037160">
        <w:rPr>
          <w:rFonts w:ascii="Times New Roman" w:eastAsia="Times New Roman" w:hAnsi="Times New Roman" w:cs="Times New Roman"/>
          <w:color w:val="000000"/>
          <w:kern w:val="0"/>
          <w:sz w:val="24"/>
          <w:szCs w:val="24"/>
          <w14:ligatures w14:val="none"/>
        </w:rPr>
        <w:t xml:space="preserve">, įvertinti sąnaudų susigrąžinimo principą teikiant vandens paslaugas, peržiūrint nacionalinę mokesčių už vandens paslaugas sistemą ir tarifus, parengti  </w:t>
      </w:r>
      <w:r w:rsidRPr="00037160">
        <w:rPr>
          <w:rFonts w:ascii="Times New Roman" w:eastAsia="Times New Roman" w:hAnsi="Times New Roman" w:cs="Times New Roman"/>
          <w:strike/>
          <w:color w:val="000000"/>
          <w:kern w:val="0"/>
          <w:sz w:val="24"/>
          <w:szCs w:val="24"/>
          <w14:ligatures w14:val="none"/>
        </w:rPr>
        <w:t>vandens telkinių  erdvinių duomenų rinkinį</w:t>
      </w:r>
      <w:r w:rsidR="007E46A6" w:rsidRPr="00037160">
        <w:rPr>
          <w:rFonts w:ascii="Times New Roman" w:eastAsia="Times New Roman" w:hAnsi="Times New Roman" w:cs="Times New Roman"/>
          <w:strike/>
          <w:color w:val="000000"/>
          <w:kern w:val="0"/>
          <w:sz w:val="24"/>
          <w:szCs w:val="24"/>
          <w14:ligatures w14:val="none"/>
        </w:rPr>
        <w:t xml:space="preserve"> </w:t>
      </w:r>
      <w:r w:rsidR="007E46A6" w:rsidRPr="00037160">
        <w:rPr>
          <w:rFonts w:ascii="Times New Roman" w:eastAsia="Times New Roman" w:hAnsi="Times New Roman" w:cs="Times New Roman"/>
          <w:b/>
          <w:bCs/>
          <w:color w:val="000000"/>
          <w:kern w:val="0"/>
          <w:sz w:val="24"/>
          <w:szCs w:val="24"/>
          <w14:ligatures w14:val="none"/>
        </w:rPr>
        <w:t>metodines rekomendacijas stacionarių taršos šaltinių veiklos sąlygoms nustatyti</w:t>
      </w:r>
      <w:r w:rsidRPr="00037160">
        <w:rPr>
          <w:rFonts w:ascii="Times New Roman" w:eastAsia="Times New Roman" w:hAnsi="Times New Roman" w:cs="Times New Roman"/>
          <w:color w:val="000000"/>
          <w:kern w:val="0"/>
          <w:sz w:val="24"/>
          <w:szCs w:val="24"/>
          <w14:ligatures w14:val="none"/>
        </w:rPr>
        <w:t>);“</w:t>
      </w:r>
    </w:p>
    <w:p w14:paraId="2541965B" w14:textId="62292D54" w:rsidR="007E46A6" w:rsidRPr="00037160" w:rsidRDefault="007E46A6" w:rsidP="007E46A6">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037160">
        <w:rPr>
          <w:rFonts w:ascii="Times New Roman" w:eastAsia="Times New Roman" w:hAnsi="Times New Roman" w:cs="Times New Roman"/>
          <w:color w:val="000000"/>
          <w:kern w:val="0"/>
          <w:sz w:val="24"/>
          <w:szCs w:val="24"/>
          <w14:ligatures w14:val="none"/>
        </w:rPr>
        <w:t>3. Pakeičiu 2.1.1.4</w:t>
      </w:r>
      <w:r w:rsidRPr="00037160">
        <w:rPr>
          <w:color w:val="000000"/>
          <w:lang w:eastAsia="lt-LT"/>
        </w:rPr>
        <w:t xml:space="preserve"> </w:t>
      </w:r>
      <w:r w:rsidRPr="00037160">
        <w:rPr>
          <w:rFonts w:ascii="Times New Roman" w:eastAsia="Times New Roman" w:hAnsi="Times New Roman" w:cs="Times New Roman"/>
          <w:color w:val="000000"/>
          <w:kern w:val="0"/>
          <w:sz w:val="24"/>
          <w:szCs w:val="24"/>
          <w14:ligatures w14:val="none"/>
        </w:rPr>
        <w:t>papunktį ir jį išdėstau taip:</w:t>
      </w:r>
    </w:p>
    <w:p w14:paraId="78AE9934" w14:textId="68BC6C03" w:rsidR="007E46A6" w:rsidRPr="00037160" w:rsidRDefault="007E46A6" w:rsidP="007E46A6">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037160">
        <w:rPr>
          <w:rFonts w:ascii="Times New Roman" w:eastAsia="Times New Roman" w:hAnsi="Times New Roman" w:cs="Times New Roman"/>
          <w:color w:val="000000"/>
          <w:kern w:val="0"/>
          <w:sz w:val="24"/>
          <w:szCs w:val="24"/>
          <w14:ligatures w14:val="none"/>
        </w:rPr>
        <w:t xml:space="preserve">„2.1.1.4. </w:t>
      </w:r>
      <w:r w:rsidRPr="00037160">
        <w:rPr>
          <w:rFonts w:ascii="Times New Roman" w:eastAsia="Times New Roman" w:hAnsi="Times New Roman" w:cs="Times New Roman"/>
          <w:strike/>
          <w:color w:val="000000"/>
          <w:kern w:val="0"/>
          <w:sz w:val="24"/>
          <w:szCs w:val="24"/>
          <w14:ligatures w14:val="none"/>
        </w:rPr>
        <w:t>Visuomenės informavimas</w:t>
      </w:r>
      <w:r w:rsidRPr="00037160">
        <w:rPr>
          <w:rFonts w:ascii="Times New Roman" w:eastAsia="Times New Roman" w:hAnsi="Times New Roman" w:cs="Times New Roman"/>
          <w:color w:val="000000"/>
          <w:kern w:val="0"/>
          <w:sz w:val="24"/>
          <w:szCs w:val="24"/>
          <w14:ligatures w14:val="none"/>
        </w:rPr>
        <w:t xml:space="preserve"> </w:t>
      </w:r>
      <w:r w:rsidR="0002761A" w:rsidRPr="00B07FF4">
        <w:rPr>
          <w:rFonts w:ascii="Times New Roman" w:eastAsia="Times New Roman" w:hAnsi="Times New Roman" w:cs="Times New Roman"/>
          <w:b/>
          <w:bCs/>
          <w:color w:val="000000"/>
          <w:kern w:val="0"/>
          <w:sz w:val="24"/>
          <w:szCs w:val="24"/>
          <w14:ligatures w14:val="none"/>
        </w:rPr>
        <w:t>Informacinių</w:t>
      </w:r>
      <w:r w:rsidR="00B525AE" w:rsidRPr="00B07FF4">
        <w:rPr>
          <w:rFonts w:ascii="Times New Roman" w:eastAsia="Times New Roman" w:hAnsi="Times New Roman" w:cs="Times New Roman"/>
          <w:b/>
          <w:bCs/>
          <w:color w:val="000000"/>
          <w:kern w:val="0"/>
          <w:sz w:val="24"/>
          <w:szCs w:val="24"/>
          <w14:ligatures w14:val="none"/>
        </w:rPr>
        <w:t xml:space="preserve"> </w:t>
      </w:r>
      <w:r w:rsidR="00AA2CC3" w:rsidRPr="00B07FF4">
        <w:rPr>
          <w:rFonts w:ascii="Times New Roman" w:eastAsia="Times New Roman" w:hAnsi="Times New Roman" w:cs="Times New Roman"/>
          <w:b/>
          <w:bCs/>
          <w:color w:val="000000"/>
          <w:kern w:val="0"/>
          <w:sz w:val="24"/>
          <w:szCs w:val="24"/>
          <w14:ligatures w14:val="none"/>
        </w:rPr>
        <w:t>iniciatyvų/veiklų/programų</w:t>
      </w:r>
      <w:r w:rsidR="0002761A" w:rsidRPr="00037160">
        <w:rPr>
          <w:rFonts w:ascii="Times New Roman" w:eastAsia="Times New Roman" w:hAnsi="Times New Roman" w:cs="Times New Roman"/>
          <w:b/>
          <w:bCs/>
          <w:color w:val="000000"/>
          <w:kern w:val="0"/>
          <w:sz w:val="24"/>
          <w:szCs w:val="24"/>
          <w14:ligatures w14:val="none"/>
        </w:rPr>
        <w:t xml:space="preserve"> organizavimas ir informacijos sklaida</w:t>
      </w:r>
      <w:r w:rsidR="0002761A" w:rsidRPr="00037160">
        <w:rPr>
          <w:rFonts w:ascii="Times New Roman" w:eastAsia="Times New Roman" w:hAnsi="Times New Roman" w:cs="Times New Roman"/>
          <w:i/>
          <w:iCs/>
          <w:color w:val="000000"/>
          <w:kern w:val="0"/>
          <w:sz w:val="24"/>
          <w:szCs w:val="24"/>
          <w14:ligatures w14:val="none"/>
        </w:rPr>
        <w:t xml:space="preserve"> </w:t>
      </w:r>
      <w:r w:rsidRPr="00037160">
        <w:rPr>
          <w:rFonts w:ascii="Times New Roman" w:eastAsia="Times New Roman" w:hAnsi="Times New Roman" w:cs="Times New Roman"/>
          <w:color w:val="000000"/>
          <w:kern w:val="0"/>
          <w:sz w:val="24"/>
          <w:szCs w:val="24"/>
          <w14:ligatures w14:val="none"/>
        </w:rPr>
        <w:t>apie vandens telkinių būklę, taršos šaltinius, poveikį sveikatai</w:t>
      </w:r>
      <w:r w:rsidR="0002761A" w:rsidRPr="00037160">
        <w:rPr>
          <w:rFonts w:ascii="Times New Roman" w:eastAsia="Times New Roman" w:hAnsi="Times New Roman" w:cs="Times New Roman"/>
          <w:color w:val="000000"/>
          <w:kern w:val="0"/>
          <w:sz w:val="24"/>
          <w:szCs w:val="24"/>
          <w14:ligatures w14:val="none"/>
        </w:rPr>
        <w:t xml:space="preserve"> </w:t>
      </w:r>
      <w:r w:rsidR="0002761A" w:rsidRPr="00037160">
        <w:rPr>
          <w:rFonts w:ascii="Times New Roman" w:hAnsi="Times New Roman" w:cs="Times New Roman"/>
          <w:b/>
          <w:bCs/>
          <w:color w:val="000000"/>
          <w:sz w:val="24"/>
          <w:szCs w:val="24"/>
          <w:lang w:eastAsia="lt-LT"/>
        </w:rPr>
        <w:t>ir</w:t>
      </w:r>
      <w:r w:rsidR="001808A2" w:rsidRPr="00037160">
        <w:rPr>
          <w:rFonts w:ascii="Times New Roman" w:hAnsi="Times New Roman" w:cs="Times New Roman"/>
          <w:b/>
          <w:bCs/>
          <w:color w:val="000000"/>
          <w:sz w:val="24"/>
          <w:szCs w:val="24"/>
          <w:lang w:eastAsia="lt-LT"/>
        </w:rPr>
        <w:t xml:space="preserve"> (</w:t>
      </w:r>
      <w:r w:rsidR="0002761A" w:rsidRPr="00037160">
        <w:rPr>
          <w:rFonts w:ascii="Times New Roman" w:hAnsi="Times New Roman" w:cs="Times New Roman"/>
          <w:b/>
          <w:bCs/>
          <w:color w:val="000000"/>
          <w:sz w:val="24"/>
          <w:szCs w:val="24"/>
          <w:lang w:eastAsia="lt-LT"/>
        </w:rPr>
        <w:t>arba</w:t>
      </w:r>
      <w:r w:rsidR="001808A2" w:rsidRPr="00037160">
        <w:rPr>
          <w:rFonts w:ascii="Times New Roman" w:hAnsi="Times New Roman" w:cs="Times New Roman"/>
          <w:b/>
          <w:bCs/>
          <w:color w:val="000000"/>
          <w:sz w:val="24"/>
          <w:szCs w:val="24"/>
          <w:lang w:eastAsia="lt-LT"/>
        </w:rPr>
        <w:t>)</w:t>
      </w:r>
      <w:r w:rsidR="0002761A" w:rsidRPr="00037160">
        <w:rPr>
          <w:rFonts w:ascii="Times New Roman" w:hAnsi="Times New Roman" w:cs="Times New Roman"/>
          <w:b/>
          <w:bCs/>
          <w:color w:val="000000"/>
          <w:sz w:val="24"/>
          <w:szCs w:val="24"/>
          <w:lang w:eastAsia="lt-LT"/>
        </w:rPr>
        <w:t xml:space="preserve"> aplinkai</w:t>
      </w:r>
      <w:r w:rsidRPr="00037160">
        <w:rPr>
          <w:rFonts w:ascii="Times New Roman" w:eastAsia="Times New Roman" w:hAnsi="Times New Roman" w:cs="Times New Roman"/>
          <w:color w:val="000000"/>
          <w:kern w:val="0"/>
          <w:sz w:val="24"/>
          <w:szCs w:val="24"/>
          <w14:ligatures w14:val="none"/>
        </w:rPr>
        <w:t>, būdus padėti mažinti taršą</w:t>
      </w:r>
      <w:r w:rsidR="0002761A" w:rsidRPr="00037160">
        <w:rPr>
          <w:rFonts w:ascii="Times New Roman" w:eastAsia="Times New Roman" w:hAnsi="Times New Roman" w:cs="Times New Roman"/>
          <w:color w:val="000000"/>
          <w:kern w:val="0"/>
          <w:sz w:val="24"/>
          <w:szCs w:val="24"/>
          <w14:ligatures w14:val="none"/>
        </w:rPr>
        <w:t xml:space="preserve"> </w:t>
      </w:r>
      <w:r w:rsidR="0002761A" w:rsidRPr="00037160">
        <w:rPr>
          <w:rFonts w:ascii="Times New Roman" w:hAnsi="Times New Roman" w:cs="Times New Roman"/>
          <w:b/>
          <w:bCs/>
          <w:color w:val="000000"/>
          <w:sz w:val="24"/>
          <w:szCs w:val="24"/>
          <w:lang w:eastAsia="lt-LT"/>
        </w:rPr>
        <w:t>ir neigiamus poveikius</w:t>
      </w:r>
      <w:r w:rsidRPr="00037160">
        <w:rPr>
          <w:rFonts w:ascii="Times New Roman" w:eastAsia="Times New Roman" w:hAnsi="Times New Roman" w:cs="Times New Roman"/>
          <w:color w:val="000000"/>
          <w:kern w:val="0"/>
          <w:sz w:val="24"/>
          <w:szCs w:val="24"/>
          <w14:ligatures w14:val="none"/>
        </w:rPr>
        <w:t xml:space="preserve"> </w:t>
      </w:r>
      <w:r w:rsidRPr="00037160">
        <w:rPr>
          <w:rFonts w:ascii="Times New Roman" w:eastAsia="Times New Roman" w:hAnsi="Times New Roman" w:cs="Times New Roman"/>
          <w:strike/>
          <w:color w:val="000000"/>
          <w:kern w:val="0"/>
          <w:sz w:val="24"/>
          <w:szCs w:val="24"/>
          <w14:ligatures w14:val="none"/>
        </w:rPr>
        <w:t>(galimos priemonės: informaciniai leidiniai, informaciniai vaizdo filmukai; spaudos konferencijos, informacinių, mokomųjų renginių ir seminarų organizavimas)</w:t>
      </w:r>
      <w:r w:rsidRPr="00037160">
        <w:rPr>
          <w:rFonts w:ascii="Times New Roman" w:eastAsia="Times New Roman" w:hAnsi="Times New Roman" w:cs="Times New Roman"/>
          <w:color w:val="000000"/>
          <w:kern w:val="0"/>
          <w:sz w:val="24"/>
          <w:szCs w:val="24"/>
          <w14:ligatures w14:val="none"/>
        </w:rPr>
        <w:t>.“</w:t>
      </w:r>
    </w:p>
    <w:p w14:paraId="74C00E7C" w14:textId="46181323" w:rsidR="00B86DCE" w:rsidRPr="00037160" w:rsidRDefault="00B86DCE" w:rsidP="00B86DCE">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037160">
        <w:rPr>
          <w:rFonts w:ascii="Times New Roman" w:eastAsia="Times New Roman" w:hAnsi="Times New Roman" w:cs="Times New Roman"/>
          <w:color w:val="000000"/>
          <w:kern w:val="0"/>
          <w:sz w:val="24"/>
          <w:szCs w:val="24"/>
          <w14:ligatures w14:val="none"/>
        </w:rPr>
        <w:t xml:space="preserve">4. Pakeičiu 2.3 papunktį ir jį išdėstau taip: </w:t>
      </w:r>
    </w:p>
    <w:p w14:paraId="04849D10" w14:textId="33F73D08" w:rsidR="00B86DCE" w:rsidRPr="00037160" w:rsidRDefault="00B86DCE" w:rsidP="00B86DCE">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037160">
        <w:rPr>
          <w:rFonts w:ascii="Times New Roman" w:eastAsia="Times New Roman" w:hAnsi="Times New Roman" w:cs="Times New Roman"/>
          <w:color w:val="000000"/>
          <w:kern w:val="0"/>
          <w:sz w:val="24"/>
          <w:szCs w:val="24"/>
          <w14:ligatures w14:val="none"/>
        </w:rPr>
        <w:t>„</w:t>
      </w:r>
      <w:bookmarkStart w:id="0" w:name="_Hlk189829761"/>
      <w:r w:rsidRPr="00037160">
        <w:rPr>
          <w:rFonts w:ascii="Times New Roman" w:eastAsia="Times New Roman" w:hAnsi="Times New Roman" w:cs="Times New Roman"/>
          <w:color w:val="000000"/>
          <w:kern w:val="0"/>
          <w:sz w:val="24"/>
          <w:szCs w:val="24"/>
          <w14:ligatures w14:val="none"/>
        </w:rPr>
        <w:t xml:space="preserve">2.3. Projektams įgyvendinti skiriama iki 10 000 000 (dešimt milijonų) eurų 2021–2027 </w:t>
      </w:r>
      <w:r w:rsidRPr="00037160">
        <w:rPr>
          <w:rFonts w:ascii="Times New Roman" w:eastAsia="Times New Roman" w:hAnsi="Times New Roman" w:cs="Times New Roman"/>
          <w:strike/>
          <w:color w:val="000000"/>
          <w:kern w:val="0"/>
          <w:sz w:val="24"/>
          <w:szCs w:val="24"/>
          <w14:ligatures w14:val="none"/>
        </w:rPr>
        <w:t>m.</w:t>
      </w:r>
      <w:r w:rsidRPr="00037160">
        <w:rPr>
          <w:rFonts w:ascii="Times New Roman" w:eastAsia="Times New Roman" w:hAnsi="Times New Roman" w:cs="Times New Roman"/>
          <w:color w:val="000000"/>
          <w:kern w:val="0"/>
          <w:sz w:val="24"/>
          <w:szCs w:val="24"/>
          <w14:ligatures w14:val="none"/>
        </w:rPr>
        <w:t xml:space="preserve"> </w:t>
      </w:r>
      <w:r w:rsidR="00670773" w:rsidRPr="00037160">
        <w:rPr>
          <w:rFonts w:ascii="Times New Roman" w:eastAsia="Times New Roman" w:hAnsi="Times New Roman" w:cs="Times New Roman"/>
          <w:b/>
          <w:bCs/>
          <w:color w:val="000000"/>
          <w:kern w:val="0"/>
          <w:sz w:val="24"/>
          <w:szCs w:val="24"/>
          <w14:ligatures w14:val="none"/>
        </w:rPr>
        <w:t>IP (</w:t>
      </w:r>
      <w:r w:rsidRPr="00037160">
        <w:rPr>
          <w:rFonts w:ascii="Times New Roman" w:eastAsia="Times New Roman" w:hAnsi="Times New Roman" w:cs="Times New Roman"/>
          <w:color w:val="000000"/>
          <w:kern w:val="0"/>
          <w:sz w:val="24"/>
          <w:szCs w:val="24"/>
          <w14:ligatures w14:val="none"/>
        </w:rPr>
        <w:t>Sanglaudos fondo</w:t>
      </w:r>
      <w:r w:rsidR="00670773" w:rsidRPr="00037160">
        <w:rPr>
          <w:rFonts w:ascii="Times New Roman" w:eastAsia="Times New Roman" w:hAnsi="Times New Roman" w:cs="Times New Roman"/>
          <w:b/>
          <w:bCs/>
          <w:color w:val="000000"/>
          <w:kern w:val="0"/>
          <w:sz w:val="24"/>
          <w:szCs w:val="24"/>
          <w14:ligatures w14:val="none"/>
        </w:rPr>
        <w:t>)</w:t>
      </w:r>
      <w:r w:rsidRPr="00037160">
        <w:rPr>
          <w:rFonts w:ascii="Times New Roman" w:eastAsia="Times New Roman" w:hAnsi="Times New Roman" w:cs="Times New Roman"/>
          <w:color w:val="000000"/>
          <w:kern w:val="0"/>
          <w:sz w:val="24"/>
          <w:szCs w:val="24"/>
          <w14:ligatures w14:val="none"/>
        </w:rPr>
        <w:t xml:space="preserve"> lėšų </w:t>
      </w:r>
      <w:r w:rsidRPr="00037160">
        <w:rPr>
          <w:rFonts w:ascii="Times New Roman" w:eastAsia="Times New Roman" w:hAnsi="Times New Roman" w:cs="Times New Roman"/>
          <w:strike/>
          <w:color w:val="000000"/>
          <w:kern w:val="0"/>
          <w:sz w:val="24"/>
          <w:szCs w:val="24"/>
          <w14:ligatures w14:val="none"/>
        </w:rPr>
        <w:t>(toliau – 2021–2027 IP)</w:t>
      </w:r>
      <w:r w:rsidRPr="00037160">
        <w:rPr>
          <w:rFonts w:ascii="Times New Roman" w:eastAsia="Times New Roman" w:hAnsi="Times New Roman" w:cs="Times New Roman"/>
          <w:color w:val="000000"/>
          <w:kern w:val="0"/>
          <w:sz w:val="24"/>
          <w:szCs w:val="24"/>
          <w14:ligatures w14:val="none"/>
        </w:rPr>
        <w:t xml:space="preserve"> ir 1 764 706 (vien</w:t>
      </w:r>
      <w:r w:rsidR="002E7D9C">
        <w:rPr>
          <w:rFonts w:ascii="Times New Roman" w:eastAsia="Times New Roman" w:hAnsi="Times New Roman" w:cs="Times New Roman"/>
          <w:color w:val="000000"/>
          <w:kern w:val="0"/>
          <w:sz w:val="24"/>
          <w:szCs w:val="24"/>
          <w14:ligatures w14:val="none"/>
        </w:rPr>
        <w:t>o</w:t>
      </w:r>
      <w:r w:rsidRPr="00037160">
        <w:rPr>
          <w:rFonts w:ascii="Times New Roman" w:eastAsia="Times New Roman" w:hAnsi="Times New Roman" w:cs="Times New Roman"/>
          <w:color w:val="000000"/>
          <w:kern w:val="0"/>
          <w:sz w:val="24"/>
          <w:szCs w:val="24"/>
          <w14:ligatures w14:val="none"/>
        </w:rPr>
        <w:t xml:space="preserve"> milijon</w:t>
      </w:r>
      <w:r w:rsidR="002E7D9C">
        <w:rPr>
          <w:rFonts w:ascii="Times New Roman" w:eastAsia="Times New Roman" w:hAnsi="Times New Roman" w:cs="Times New Roman"/>
          <w:color w:val="000000"/>
          <w:kern w:val="0"/>
          <w:sz w:val="24"/>
          <w:szCs w:val="24"/>
          <w14:ligatures w14:val="none"/>
        </w:rPr>
        <w:t>o</w:t>
      </w:r>
      <w:r w:rsidRPr="00037160">
        <w:rPr>
          <w:rFonts w:ascii="Times New Roman" w:eastAsia="Times New Roman" w:hAnsi="Times New Roman" w:cs="Times New Roman"/>
          <w:color w:val="000000"/>
          <w:kern w:val="0"/>
          <w:sz w:val="24"/>
          <w:szCs w:val="24"/>
          <w14:ligatures w14:val="none"/>
        </w:rPr>
        <w:t xml:space="preserve"> septyni</w:t>
      </w:r>
      <w:r w:rsidR="002E7D9C">
        <w:rPr>
          <w:rFonts w:ascii="Times New Roman" w:eastAsia="Times New Roman" w:hAnsi="Times New Roman" w:cs="Times New Roman"/>
          <w:color w:val="000000"/>
          <w:kern w:val="0"/>
          <w:sz w:val="24"/>
          <w:szCs w:val="24"/>
          <w14:ligatures w14:val="none"/>
        </w:rPr>
        <w:t>ų</w:t>
      </w:r>
      <w:r w:rsidRPr="00037160">
        <w:rPr>
          <w:rFonts w:ascii="Times New Roman" w:eastAsia="Times New Roman" w:hAnsi="Times New Roman" w:cs="Times New Roman"/>
          <w:color w:val="000000"/>
          <w:kern w:val="0"/>
          <w:sz w:val="24"/>
          <w:szCs w:val="24"/>
          <w14:ligatures w14:val="none"/>
        </w:rPr>
        <w:t xml:space="preserve"> šimt</w:t>
      </w:r>
      <w:r w:rsidR="002E7D9C">
        <w:rPr>
          <w:rFonts w:ascii="Times New Roman" w:eastAsia="Times New Roman" w:hAnsi="Times New Roman" w:cs="Times New Roman"/>
          <w:color w:val="000000"/>
          <w:kern w:val="0"/>
          <w:sz w:val="24"/>
          <w:szCs w:val="24"/>
          <w14:ligatures w14:val="none"/>
        </w:rPr>
        <w:t>ų</w:t>
      </w:r>
      <w:r w:rsidRPr="00037160">
        <w:rPr>
          <w:rFonts w:ascii="Times New Roman" w:eastAsia="Times New Roman" w:hAnsi="Times New Roman" w:cs="Times New Roman"/>
          <w:color w:val="000000"/>
          <w:kern w:val="0"/>
          <w:sz w:val="24"/>
          <w:szCs w:val="24"/>
          <w14:ligatures w14:val="none"/>
        </w:rPr>
        <w:t xml:space="preserve"> šešiasdešimt keturi</w:t>
      </w:r>
      <w:r w:rsidR="002E7D9C">
        <w:rPr>
          <w:rFonts w:ascii="Times New Roman" w:eastAsia="Times New Roman" w:hAnsi="Times New Roman" w:cs="Times New Roman"/>
          <w:color w:val="000000"/>
          <w:kern w:val="0"/>
          <w:sz w:val="24"/>
          <w:szCs w:val="24"/>
          <w14:ligatures w14:val="none"/>
        </w:rPr>
        <w:t>ų</w:t>
      </w:r>
      <w:r w:rsidRPr="00037160">
        <w:rPr>
          <w:rFonts w:ascii="Times New Roman" w:eastAsia="Times New Roman" w:hAnsi="Times New Roman" w:cs="Times New Roman"/>
          <w:color w:val="000000"/>
          <w:kern w:val="0"/>
          <w:sz w:val="24"/>
          <w:szCs w:val="24"/>
          <w14:ligatures w14:val="none"/>
        </w:rPr>
        <w:t xml:space="preserve"> tūkstanči</w:t>
      </w:r>
      <w:r w:rsidR="002E7D9C">
        <w:rPr>
          <w:rFonts w:ascii="Times New Roman" w:eastAsia="Times New Roman" w:hAnsi="Times New Roman" w:cs="Times New Roman"/>
          <w:color w:val="000000"/>
          <w:kern w:val="0"/>
          <w:sz w:val="24"/>
          <w:szCs w:val="24"/>
          <w14:ligatures w14:val="none"/>
        </w:rPr>
        <w:t>ų</w:t>
      </w:r>
      <w:r w:rsidRPr="00037160">
        <w:rPr>
          <w:rFonts w:ascii="Times New Roman" w:eastAsia="Times New Roman" w:hAnsi="Times New Roman" w:cs="Times New Roman"/>
          <w:color w:val="000000"/>
          <w:kern w:val="0"/>
          <w:sz w:val="24"/>
          <w:szCs w:val="24"/>
          <w14:ligatures w14:val="none"/>
        </w:rPr>
        <w:t xml:space="preserve"> septyni</w:t>
      </w:r>
      <w:r w:rsidR="002E7D9C">
        <w:rPr>
          <w:rFonts w:ascii="Times New Roman" w:eastAsia="Times New Roman" w:hAnsi="Times New Roman" w:cs="Times New Roman"/>
          <w:color w:val="000000"/>
          <w:kern w:val="0"/>
          <w:sz w:val="24"/>
          <w:szCs w:val="24"/>
          <w14:ligatures w14:val="none"/>
        </w:rPr>
        <w:t>ų</w:t>
      </w:r>
      <w:r w:rsidRPr="00037160">
        <w:rPr>
          <w:rFonts w:ascii="Times New Roman" w:eastAsia="Times New Roman" w:hAnsi="Times New Roman" w:cs="Times New Roman"/>
          <w:color w:val="000000"/>
          <w:kern w:val="0"/>
          <w:sz w:val="24"/>
          <w:szCs w:val="24"/>
          <w14:ligatures w14:val="none"/>
        </w:rPr>
        <w:t xml:space="preserve"> šimt</w:t>
      </w:r>
      <w:r w:rsidR="002E7D9C">
        <w:rPr>
          <w:rFonts w:ascii="Times New Roman" w:eastAsia="Times New Roman" w:hAnsi="Times New Roman" w:cs="Times New Roman"/>
          <w:color w:val="000000"/>
          <w:kern w:val="0"/>
          <w:sz w:val="24"/>
          <w:szCs w:val="24"/>
          <w14:ligatures w14:val="none"/>
        </w:rPr>
        <w:t>ų</w:t>
      </w:r>
      <w:r w:rsidRPr="00037160">
        <w:rPr>
          <w:rFonts w:ascii="Times New Roman" w:eastAsia="Times New Roman" w:hAnsi="Times New Roman" w:cs="Times New Roman"/>
          <w:color w:val="000000"/>
          <w:kern w:val="0"/>
          <w:sz w:val="24"/>
          <w:szCs w:val="24"/>
          <w14:ligatures w14:val="none"/>
        </w:rPr>
        <w:t xml:space="preserve"> šeši</w:t>
      </w:r>
      <w:r w:rsidR="002E7D9C">
        <w:rPr>
          <w:rFonts w:ascii="Times New Roman" w:eastAsia="Times New Roman" w:hAnsi="Times New Roman" w:cs="Times New Roman"/>
          <w:color w:val="000000"/>
          <w:kern w:val="0"/>
          <w:sz w:val="24"/>
          <w:szCs w:val="24"/>
          <w14:ligatures w14:val="none"/>
        </w:rPr>
        <w:t>ų</w:t>
      </w:r>
      <w:r w:rsidRPr="00037160">
        <w:rPr>
          <w:rFonts w:ascii="Times New Roman" w:eastAsia="Times New Roman" w:hAnsi="Times New Roman" w:cs="Times New Roman"/>
          <w:color w:val="000000"/>
          <w:kern w:val="0"/>
          <w:sz w:val="24"/>
          <w:szCs w:val="24"/>
          <w14:ligatures w14:val="none"/>
        </w:rPr>
        <w:t>) eur</w:t>
      </w:r>
      <w:r w:rsidR="002E7D9C">
        <w:rPr>
          <w:rFonts w:ascii="Times New Roman" w:eastAsia="Times New Roman" w:hAnsi="Times New Roman" w:cs="Times New Roman"/>
          <w:color w:val="000000"/>
          <w:kern w:val="0"/>
          <w:sz w:val="24"/>
          <w:szCs w:val="24"/>
          <w14:ligatures w14:val="none"/>
        </w:rPr>
        <w:t>ų</w:t>
      </w:r>
      <w:r w:rsidRPr="00037160">
        <w:rPr>
          <w:rFonts w:ascii="Times New Roman" w:eastAsia="Times New Roman" w:hAnsi="Times New Roman" w:cs="Times New Roman"/>
          <w:color w:val="000000"/>
          <w:kern w:val="0"/>
          <w:sz w:val="24"/>
          <w:szCs w:val="24"/>
          <w14:ligatures w14:val="none"/>
        </w:rPr>
        <w:t xml:space="preserve"> – </w:t>
      </w:r>
      <w:r w:rsidRPr="00037160">
        <w:rPr>
          <w:rFonts w:ascii="Times New Roman" w:eastAsia="Times New Roman" w:hAnsi="Times New Roman" w:cs="Times New Roman"/>
          <w:strike/>
          <w:color w:val="000000"/>
          <w:kern w:val="0"/>
          <w:sz w:val="24"/>
          <w:szCs w:val="24"/>
          <w14:ligatures w14:val="none"/>
        </w:rPr>
        <w:t>Valstybės biudžeto lėšos (toliau – VB)</w:t>
      </w:r>
      <w:r w:rsidRPr="00037160">
        <w:rPr>
          <w:rFonts w:ascii="Times New Roman" w:eastAsia="Times New Roman" w:hAnsi="Times New Roman" w:cs="Times New Roman"/>
          <w:color w:val="000000"/>
          <w:kern w:val="0"/>
          <w:sz w:val="24"/>
          <w:szCs w:val="24"/>
          <w14:ligatures w14:val="none"/>
        </w:rPr>
        <w:t xml:space="preserve"> </w:t>
      </w:r>
      <w:r w:rsidRPr="00037160">
        <w:rPr>
          <w:rFonts w:ascii="Times New Roman" w:eastAsia="Times New Roman" w:hAnsi="Times New Roman" w:cs="Times New Roman"/>
          <w:b/>
          <w:bCs/>
          <w:kern w:val="0"/>
          <w:sz w:val="24"/>
          <w:szCs w:val="24"/>
          <w14:ligatures w14:val="none"/>
        </w:rPr>
        <w:t xml:space="preserve">2021–2027 </w:t>
      </w:r>
      <w:r w:rsidR="00670773" w:rsidRPr="00037160">
        <w:rPr>
          <w:rFonts w:ascii="Times New Roman" w:eastAsia="Times New Roman" w:hAnsi="Times New Roman" w:cs="Times New Roman"/>
          <w:b/>
          <w:bCs/>
          <w:kern w:val="0"/>
          <w:sz w:val="24"/>
          <w:szCs w:val="24"/>
          <w14:ligatures w14:val="none"/>
        </w:rPr>
        <w:t>IP</w:t>
      </w:r>
      <w:r w:rsidRPr="00037160">
        <w:rPr>
          <w:rFonts w:ascii="Times New Roman" w:eastAsia="Times New Roman" w:hAnsi="Times New Roman" w:cs="Times New Roman"/>
          <w:b/>
          <w:bCs/>
          <w:kern w:val="0"/>
          <w:sz w:val="24"/>
          <w:szCs w:val="24"/>
          <w14:ligatures w14:val="none"/>
        </w:rPr>
        <w:t xml:space="preserve"> lėš</w:t>
      </w:r>
      <w:r w:rsidR="00670773" w:rsidRPr="00037160">
        <w:rPr>
          <w:rFonts w:ascii="Times New Roman" w:eastAsia="Times New Roman" w:hAnsi="Times New Roman" w:cs="Times New Roman"/>
          <w:b/>
          <w:bCs/>
          <w:kern w:val="0"/>
          <w:sz w:val="24"/>
          <w:szCs w:val="24"/>
          <w14:ligatures w14:val="none"/>
        </w:rPr>
        <w:t>ų</w:t>
      </w:r>
      <w:r w:rsidRPr="00037160">
        <w:rPr>
          <w:rFonts w:ascii="Times New Roman" w:eastAsia="Times New Roman" w:hAnsi="Times New Roman" w:cs="Times New Roman"/>
          <w:b/>
          <w:bCs/>
          <w:kern w:val="0"/>
          <w:sz w:val="24"/>
          <w:szCs w:val="24"/>
          <w14:ligatures w14:val="none"/>
        </w:rPr>
        <w:t xml:space="preserve">, </w:t>
      </w:r>
      <w:r w:rsidR="00AA2CC3" w:rsidRPr="00AA2CC3">
        <w:rPr>
          <w:rFonts w:ascii="Times New Roman" w:eastAsia="Times New Roman" w:hAnsi="Times New Roman" w:cs="Times New Roman"/>
          <w:b/>
          <w:bCs/>
          <w:kern w:val="0"/>
          <w:sz w:val="24"/>
          <w:szCs w:val="24"/>
          <w14:ligatures w14:val="none"/>
        </w:rPr>
        <w:t xml:space="preserve">numatytų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w:t>
      </w:r>
      <w:r w:rsidR="000A40E8">
        <w:rPr>
          <w:rFonts w:ascii="Times New Roman" w:eastAsia="Times New Roman" w:hAnsi="Times New Roman" w:cs="Times New Roman"/>
          <w:b/>
          <w:bCs/>
          <w:kern w:val="0"/>
          <w:sz w:val="24"/>
          <w:szCs w:val="24"/>
          <w14:ligatures w14:val="none"/>
        </w:rPr>
        <w:t>„</w:t>
      </w:r>
      <w:r w:rsidR="00AA2CC3" w:rsidRPr="00AA2CC3">
        <w:rPr>
          <w:rFonts w:ascii="Times New Roman" w:eastAsia="Times New Roman" w:hAnsi="Times New Roman" w:cs="Times New Roman"/>
          <w:b/>
          <w:bCs/>
          <w:kern w:val="0"/>
          <w:sz w:val="24"/>
          <w:szCs w:val="24"/>
          <w14:ligatures w14:val="none"/>
        </w:rPr>
        <w:t>Žalesnė Lietuva</w:t>
      </w:r>
      <w:r w:rsidR="000A40E8">
        <w:rPr>
          <w:rFonts w:ascii="Times New Roman" w:eastAsia="Times New Roman" w:hAnsi="Times New Roman" w:cs="Times New Roman"/>
          <w:b/>
          <w:bCs/>
          <w:kern w:val="0"/>
          <w:sz w:val="24"/>
          <w:szCs w:val="24"/>
          <w14:ligatures w14:val="none"/>
        </w:rPr>
        <w:t>“</w:t>
      </w:r>
      <w:r w:rsidR="00AA2CC3" w:rsidRPr="00AA2CC3">
        <w:rPr>
          <w:rFonts w:ascii="Times New Roman" w:eastAsia="Times New Roman" w:hAnsi="Times New Roman" w:cs="Times New Roman"/>
          <w:b/>
          <w:bCs/>
          <w:kern w:val="0"/>
          <w:sz w:val="24"/>
          <w:szCs w:val="24"/>
          <w14:ligatures w14:val="none"/>
        </w:rPr>
        <w:t xml:space="preserve"> Aplinkos ministerijai Sanglaudos fondo sumos, iki kurios prisiimant įsipareigojimus pagal sudarytas projektų sutartis galima viršyti numatytą ES fondų lėšų dalį be lankstumo sumos</w:t>
      </w:r>
      <w:r w:rsidR="00AA2CC3">
        <w:rPr>
          <w:rFonts w:ascii="Times New Roman" w:eastAsia="Times New Roman" w:hAnsi="Times New Roman" w:cs="Times New Roman"/>
          <w:b/>
          <w:bCs/>
          <w:kern w:val="0"/>
          <w:sz w:val="24"/>
          <w:szCs w:val="24"/>
          <w14:ligatures w14:val="none"/>
        </w:rPr>
        <w:t xml:space="preserve"> </w:t>
      </w:r>
      <w:r w:rsidR="00FF3311" w:rsidRPr="00B525AE">
        <w:rPr>
          <w:rFonts w:ascii="Times New Roman" w:eastAsia="Times New Roman" w:hAnsi="Times New Roman" w:cs="Times New Roman"/>
          <w:b/>
          <w:bCs/>
          <w:kern w:val="0"/>
          <w:sz w:val="24"/>
          <w:szCs w:val="24"/>
          <w14:ligatures w14:val="none"/>
        </w:rPr>
        <w:t xml:space="preserve">(toliau – </w:t>
      </w:r>
      <w:r w:rsidR="00FF1D8E" w:rsidRPr="00B525AE">
        <w:rPr>
          <w:rFonts w:ascii="Times New Roman" w:eastAsia="Times New Roman" w:hAnsi="Times New Roman" w:cs="Times New Roman"/>
          <w:b/>
          <w:bCs/>
          <w:kern w:val="0"/>
          <w:sz w:val="24"/>
          <w:szCs w:val="24"/>
          <w14:ligatures w14:val="none"/>
        </w:rPr>
        <w:t xml:space="preserve">2021–2027 IP </w:t>
      </w:r>
      <w:r w:rsidR="00B525AE" w:rsidRPr="00B525AE">
        <w:rPr>
          <w:rFonts w:ascii="Times New Roman" w:eastAsia="Times New Roman" w:hAnsi="Times New Roman" w:cs="Times New Roman"/>
          <w:b/>
          <w:bCs/>
          <w:kern w:val="0"/>
          <w:sz w:val="24"/>
          <w:szCs w:val="24"/>
          <w14:ligatures w14:val="none"/>
        </w:rPr>
        <w:t xml:space="preserve">numatytas </w:t>
      </w:r>
      <w:r w:rsidR="00FF1D8E" w:rsidRPr="00B525AE">
        <w:rPr>
          <w:rFonts w:ascii="Times New Roman" w:eastAsia="Times New Roman" w:hAnsi="Times New Roman" w:cs="Times New Roman"/>
          <w:b/>
          <w:bCs/>
          <w:kern w:val="0"/>
          <w:sz w:val="24"/>
          <w:szCs w:val="24"/>
          <w14:ligatures w14:val="none"/>
        </w:rPr>
        <w:t>lėš</w:t>
      </w:r>
      <w:r w:rsidR="000A40E8" w:rsidRPr="00B525AE">
        <w:rPr>
          <w:rFonts w:ascii="Times New Roman" w:eastAsia="Times New Roman" w:hAnsi="Times New Roman" w:cs="Times New Roman"/>
          <w:b/>
          <w:bCs/>
          <w:kern w:val="0"/>
          <w:sz w:val="24"/>
          <w:szCs w:val="24"/>
          <w14:ligatures w14:val="none"/>
        </w:rPr>
        <w:t>as</w:t>
      </w:r>
      <w:r w:rsidR="002E7D9C" w:rsidRPr="00B525AE">
        <w:rPr>
          <w:rFonts w:ascii="Times New Roman" w:eastAsia="Times New Roman" w:hAnsi="Times New Roman" w:cs="Times New Roman"/>
          <w:b/>
          <w:bCs/>
          <w:kern w:val="0"/>
          <w:sz w:val="24"/>
          <w:szCs w:val="24"/>
          <w14:ligatures w14:val="none"/>
        </w:rPr>
        <w:t xml:space="preserve"> viršijanti </w:t>
      </w:r>
      <w:r w:rsidR="00FE798A">
        <w:rPr>
          <w:rFonts w:ascii="Times New Roman" w:eastAsia="Times New Roman" w:hAnsi="Times New Roman" w:cs="Times New Roman"/>
          <w:b/>
          <w:bCs/>
          <w:kern w:val="0"/>
          <w:sz w:val="24"/>
          <w:szCs w:val="24"/>
          <w14:ligatures w14:val="none"/>
        </w:rPr>
        <w:t>suma</w:t>
      </w:r>
      <w:r w:rsidR="00FF3311" w:rsidRPr="00B525AE">
        <w:rPr>
          <w:rFonts w:ascii="Times New Roman" w:eastAsia="Times New Roman" w:hAnsi="Times New Roman" w:cs="Times New Roman"/>
          <w:b/>
          <w:bCs/>
          <w:kern w:val="0"/>
          <w:sz w:val="24"/>
          <w:szCs w:val="24"/>
          <w14:ligatures w14:val="none"/>
        </w:rPr>
        <w:t>)</w:t>
      </w:r>
      <w:r w:rsidRPr="00037160">
        <w:rPr>
          <w:rFonts w:ascii="Times New Roman" w:eastAsia="Times New Roman" w:hAnsi="Times New Roman" w:cs="Times New Roman"/>
          <w:color w:val="000000"/>
          <w:kern w:val="0"/>
          <w:sz w:val="24"/>
          <w:szCs w:val="24"/>
          <w14:ligatures w14:val="none"/>
        </w:rPr>
        <w:t>.“</w:t>
      </w:r>
      <w:bookmarkEnd w:id="0"/>
    </w:p>
    <w:p w14:paraId="63B6EAF6" w14:textId="19613CB9" w:rsidR="00B86DCE" w:rsidRPr="00037160" w:rsidRDefault="00B86DCE" w:rsidP="00B86DCE">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037160">
        <w:rPr>
          <w:rFonts w:ascii="Times New Roman" w:eastAsia="Times New Roman" w:hAnsi="Times New Roman" w:cs="Times New Roman"/>
          <w:color w:val="000000"/>
          <w:kern w:val="0"/>
          <w:sz w:val="24"/>
          <w:szCs w:val="24"/>
          <w14:ligatures w14:val="none"/>
        </w:rPr>
        <w:t xml:space="preserve">5. Pakeičiu 2.4 papunktį ir jį išdėstau taip: </w:t>
      </w:r>
    </w:p>
    <w:p w14:paraId="652B8026" w14:textId="3CB22705" w:rsidR="00B86DCE" w:rsidRPr="00037160" w:rsidRDefault="00B86DCE" w:rsidP="00B86DCE">
      <w:pPr>
        <w:spacing w:after="0" w:line="240" w:lineRule="auto"/>
        <w:ind w:firstLine="567"/>
        <w:jc w:val="both"/>
        <w:textAlignment w:val="baseline"/>
        <w:rPr>
          <w:rFonts w:ascii="Times New Roman" w:hAnsi="Times New Roman" w:cs="Times New Roman"/>
          <w:sz w:val="24"/>
          <w:szCs w:val="24"/>
          <w:lang w:eastAsia="lt-LT"/>
        </w:rPr>
      </w:pPr>
      <w:r w:rsidRPr="00037160">
        <w:rPr>
          <w:rFonts w:ascii="Times New Roman" w:hAnsi="Times New Roman" w:cs="Times New Roman"/>
          <w:sz w:val="24"/>
          <w:szCs w:val="24"/>
        </w:rPr>
        <w:t xml:space="preserve">„2.4. Didžiausia galima skirti finansavimo lėšų suma </w:t>
      </w:r>
      <w:r w:rsidR="00DF0BB2" w:rsidRPr="00037160">
        <w:rPr>
          <w:rFonts w:ascii="Times New Roman" w:hAnsi="Times New Roman" w:cs="Times New Roman"/>
          <w:b/>
          <w:bCs/>
          <w:sz w:val="24"/>
          <w:szCs w:val="24"/>
        </w:rPr>
        <w:t>Aprašo 2.1.1. papunktyje nurodytam</w:t>
      </w:r>
      <w:r w:rsidR="00DF0BB2" w:rsidRPr="00037160">
        <w:rPr>
          <w:rFonts w:ascii="Times New Roman" w:hAnsi="Times New Roman" w:cs="Times New Roman"/>
          <w:sz w:val="24"/>
          <w:szCs w:val="24"/>
        </w:rPr>
        <w:t xml:space="preserve"> </w:t>
      </w:r>
      <w:r w:rsidRPr="00037160">
        <w:rPr>
          <w:rFonts w:ascii="Times New Roman" w:hAnsi="Times New Roman" w:cs="Times New Roman"/>
          <w:sz w:val="24"/>
          <w:szCs w:val="24"/>
        </w:rPr>
        <w:t xml:space="preserve">projektui neturi viršyti </w:t>
      </w:r>
      <w:r w:rsidRPr="00037160">
        <w:rPr>
          <w:rFonts w:ascii="Times New Roman" w:hAnsi="Times New Roman" w:cs="Times New Roman"/>
          <w:strike/>
          <w:sz w:val="24"/>
          <w:szCs w:val="24"/>
        </w:rPr>
        <w:t xml:space="preserve">Pažangos priemonės aprašo III skyriuje </w:t>
      </w:r>
      <w:r w:rsidRPr="00037160">
        <w:rPr>
          <w:rFonts w:ascii="Times New Roman" w:hAnsi="Times New Roman" w:cs="Times New Roman"/>
          <w:strike/>
          <w:color w:val="000000"/>
          <w:sz w:val="24"/>
          <w:szCs w:val="24"/>
          <w:shd w:val="clear" w:color="auto" w:fill="FFFFFF"/>
        </w:rPr>
        <w:t>2.1.1</w:t>
      </w:r>
      <w:r w:rsidRPr="00037160">
        <w:rPr>
          <w:rFonts w:ascii="Times New Roman" w:hAnsi="Times New Roman" w:cs="Times New Roman"/>
          <w:strike/>
          <w:color w:val="000000"/>
          <w:sz w:val="24"/>
          <w:szCs w:val="24"/>
        </w:rPr>
        <w:t>.</w:t>
      </w:r>
      <w:r w:rsidRPr="00037160">
        <w:rPr>
          <w:rFonts w:ascii="Times New Roman" w:hAnsi="Times New Roman" w:cs="Times New Roman"/>
          <w:strike/>
          <w:color w:val="000000"/>
          <w:sz w:val="24"/>
          <w:szCs w:val="24"/>
          <w:shd w:val="clear" w:color="auto" w:fill="FFFFFF"/>
        </w:rPr>
        <w:t xml:space="preserve"> ir 2.1.2 papunkčiuose nurodytų projektų</w:t>
      </w:r>
      <w:r w:rsidRPr="00037160">
        <w:rPr>
          <w:rFonts w:ascii="Times New Roman" w:hAnsi="Times New Roman" w:cs="Times New Roman"/>
          <w:strike/>
          <w:sz w:val="24"/>
          <w:szCs w:val="24"/>
        </w:rPr>
        <w:t xml:space="preserve"> finansavimo sumų</w:t>
      </w:r>
      <w:r w:rsidR="00A6194F" w:rsidRPr="00037160">
        <w:rPr>
          <w:rFonts w:ascii="Times New Roman" w:hAnsi="Times New Roman" w:cs="Times New Roman"/>
          <w:b/>
          <w:bCs/>
          <w:sz w:val="24"/>
          <w:szCs w:val="24"/>
        </w:rPr>
        <w:t xml:space="preserve"> 9 400 000 (devynių milijonų keturių šimtų tūkstančių) eurų </w:t>
      </w:r>
      <w:r w:rsidR="00A6194F" w:rsidRPr="00037160">
        <w:rPr>
          <w:rFonts w:ascii="Times New Roman" w:eastAsia="Times New Roman" w:hAnsi="Times New Roman" w:cs="Times New Roman"/>
          <w:b/>
          <w:bCs/>
          <w:color w:val="000000"/>
          <w:kern w:val="0"/>
          <w:sz w:val="24"/>
          <w:szCs w:val="24"/>
          <w14:ligatures w14:val="none"/>
        </w:rPr>
        <w:t>2021–2027 IP lėšų ir 1 658 824 (</w:t>
      </w:r>
      <w:r w:rsidR="00A15E24" w:rsidRPr="00037160">
        <w:rPr>
          <w:rFonts w:ascii="Times New Roman" w:eastAsia="Times New Roman" w:hAnsi="Times New Roman" w:cs="Times New Roman"/>
          <w:b/>
          <w:bCs/>
          <w:color w:val="000000"/>
          <w:kern w:val="0"/>
          <w:sz w:val="24"/>
          <w:szCs w:val="24"/>
          <w14:ligatures w14:val="none"/>
        </w:rPr>
        <w:t>vieno milijono šešių šimtų penkiasdešimt aštuonių tūkstančių aštuonių šimtų dvidešimt keturių</w:t>
      </w:r>
      <w:r w:rsidR="00A6194F" w:rsidRPr="00037160">
        <w:rPr>
          <w:rFonts w:ascii="Times New Roman" w:eastAsia="Times New Roman" w:hAnsi="Times New Roman" w:cs="Times New Roman"/>
          <w:b/>
          <w:bCs/>
          <w:color w:val="000000"/>
          <w:kern w:val="0"/>
          <w:sz w:val="24"/>
          <w:szCs w:val="24"/>
          <w14:ligatures w14:val="none"/>
        </w:rPr>
        <w:t xml:space="preserve">) eurų </w:t>
      </w:r>
      <w:r w:rsidR="00B525AE" w:rsidRPr="00B525AE">
        <w:rPr>
          <w:rFonts w:ascii="Times New Roman" w:eastAsia="Times New Roman" w:hAnsi="Times New Roman" w:cs="Times New Roman"/>
          <w:b/>
          <w:bCs/>
          <w:kern w:val="0"/>
          <w:sz w:val="24"/>
          <w:szCs w:val="24"/>
          <w14:ligatures w14:val="none"/>
        </w:rPr>
        <w:t xml:space="preserve">2021–2027 IP numatytas lėšas viršijanti </w:t>
      </w:r>
      <w:r w:rsidR="00FE798A">
        <w:rPr>
          <w:rFonts w:ascii="Times New Roman" w:eastAsia="Times New Roman" w:hAnsi="Times New Roman" w:cs="Times New Roman"/>
          <w:b/>
          <w:bCs/>
          <w:kern w:val="0"/>
          <w:sz w:val="24"/>
          <w:szCs w:val="24"/>
          <w14:ligatures w14:val="none"/>
        </w:rPr>
        <w:t>suma</w:t>
      </w:r>
      <w:r w:rsidR="00A15E24" w:rsidRPr="00037160">
        <w:rPr>
          <w:rFonts w:ascii="Times New Roman" w:eastAsia="Times New Roman" w:hAnsi="Times New Roman" w:cs="Times New Roman"/>
          <w:b/>
          <w:bCs/>
          <w:kern w:val="0"/>
          <w:sz w:val="24"/>
          <w:szCs w:val="24"/>
          <w14:ligatures w14:val="none"/>
        </w:rPr>
        <w:t xml:space="preserve">; </w:t>
      </w:r>
      <w:r w:rsidR="00A15E24" w:rsidRPr="00037160">
        <w:rPr>
          <w:rFonts w:ascii="Times New Roman" w:hAnsi="Times New Roman" w:cs="Times New Roman"/>
          <w:b/>
          <w:bCs/>
          <w:sz w:val="24"/>
          <w:szCs w:val="24"/>
        </w:rPr>
        <w:t xml:space="preserve">Aprašo 2.1.2 papunktyje nurodytam projektui </w:t>
      </w:r>
      <w:r w:rsidR="00A15E24" w:rsidRPr="00037160">
        <w:rPr>
          <w:rFonts w:ascii="Times New Roman" w:hAnsi="Times New Roman" w:cs="Times New Roman"/>
          <w:sz w:val="24"/>
          <w:szCs w:val="24"/>
        </w:rPr>
        <w:t xml:space="preserve"> </w:t>
      </w:r>
      <w:r w:rsidR="00A15E24" w:rsidRPr="00037160">
        <w:rPr>
          <w:rFonts w:ascii="Times New Roman" w:hAnsi="Times New Roman" w:cs="Times New Roman"/>
          <w:b/>
          <w:bCs/>
          <w:sz w:val="24"/>
          <w:szCs w:val="24"/>
        </w:rPr>
        <w:t>–</w:t>
      </w:r>
      <w:r w:rsidR="00A15E24" w:rsidRPr="00037160">
        <w:rPr>
          <w:rFonts w:ascii="Times New Roman" w:eastAsia="Times New Roman" w:hAnsi="Times New Roman" w:cs="Times New Roman"/>
          <w:b/>
          <w:bCs/>
          <w:kern w:val="0"/>
          <w:sz w:val="24"/>
          <w:szCs w:val="24"/>
          <w14:ligatures w14:val="none"/>
        </w:rPr>
        <w:t xml:space="preserve"> 600 000 (šešių šimtų tūkstančių) </w:t>
      </w:r>
      <w:r w:rsidR="00A15E24" w:rsidRPr="00037160">
        <w:rPr>
          <w:rFonts w:ascii="Times New Roman" w:hAnsi="Times New Roman" w:cs="Times New Roman"/>
          <w:b/>
          <w:bCs/>
          <w:sz w:val="24"/>
          <w:szCs w:val="24"/>
        </w:rPr>
        <w:t xml:space="preserve">eurų </w:t>
      </w:r>
      <w:r w:rsidR="00A15E24" w:rsidRPr="00037160">
        <w:rPr>
          <w:rFonts w:ascii="Times New Roman" w:eastAsia="Times New Roman" w:hAnsi="Times New Roman" w:cs="Times New Roman"/>
          <w:b/>
          <w:bCs/>
          <w:color w:val="000000"/>
          <w:kern w:val="0"/>
          <w:sz w:val="24"/>
          <w:szCs w:val="24"/>
          <w14:ligatures w14:val="none"/>
        </w:rPr>
        <w:t xml:space="preserve">2021–2027 IP lėšų ir 105 882 (šimto penkių </w:t>
      </w:r>
      <w:r w:rsidR="00037160" w:rsidRPr="00037160">
        <w:rPr>
          <w:rFonts w:ascii="Times New Roman" w:eastAsia="Times New Roman" w:hAnsi="Times New Roman" w:cs="Times New Roman"/>
          <w:b/>
          <w:bCs/>
          <w:color w:val="000000"/>
          <w:kern w:val="0"/>
          <w:sz w:val="24"/>
          <w:szCs w:val="24"/>
          <w14:ligatures w14:val="none"/>
        </w:rPr>
        <w:t xml:space="preserve">tūkstančių aštuonių šimtų aštuoniasdešimt dviejų) </w:t>
      </w:r>
      <w:r w:rsidR="00A15E24" w:rsidRPr="00037160">
        <w:rPr>
          <w:rFonts w:ascii="Times New Roman" w:eastAsia="Times New Roman" w:hAnsi="Times New Roman" w:cs="Times New Roman"/>
          <w:b/>
          <w:bCs/>
          <w:color w:val="000000"/>
          <w:kern w:val="0"/>
          <w:sz w:val="24"/>
          <w:szCs w:val="24"/>
          <w14:ligatures w14:val="none"/>
        </w:rPr>
        <w:t>eurų</w:t>
      </w:r>
      <w:r w:rsidR="00B525AE">
        <w:rPr>
          <w:rFonts w:ascii="Times New Roman" w:eastAsia="Times New Roman" w:hAnsi="Times New Roman" w:cs="Times New Roman"/>
          <w:b/>
          <w:bCs/>
          <w:kern w:val="0"/>
          <w:sz w:val="24"/>
          <w:szCs w:val="24"/>
          <w14:ligatures w14:val="none"/>
        </w:rPr>
        <w:t xml:space="preserve"> </w:t>
      </w:r>
      <w:r w:rsidR="00B525AE" w:rsidRPr="00B525AE">
        <w:rPr>
          <w:rFonts w:ascii="Times New Roman" w:eastAsia="Times New Roman" w:hAnsi="Times New Roman" w:cs="Times New Roman"/>
          <w:b/>
          <w:bCs/>
          <w:kern w:val="0"/>
          <w:sz w:val="24"/>
          <w:szCs w:val="24"/>
          <w14:ligatures w14:val="none"/>
        </w:rPr>
        <w:t xml:space="preserve">2021–2027 IP numatytas lėšas viršijanti </w:t>
      </w:r>
      <w:r w:rsidR="00FE798A">
        <w:rPr>
          <w:rFonts w:ascii="Times New Roman" w:eastAsia="Times New Roman" w:hAnsi="Times New Roman" w:cs="Times New Roman"/>
          <w:b/>
          <w:bCs/>
          <w:kern w:val="0"/>
          <w:sz w:val="24"/>
          <w:szCs w:val="24"/>
          <w14:ligatures w14:val="none"/>
        </w:rPr>
        <w:t>suma</w:t>
      </w:r>
      <w:r w:rsidRPr="00037160">
        <w:rPr>
          <w:rFonts w:ascii="Times New Roman" w:hAnsi="Times New Roman" w:cs="Times New Roman"/>
          <w:sz w:val="24"/>
          <w:szCs w:val="24"/>
        </w:rPr>
        <w:t xml:space="preserve">. </w:t>
      </w:r>
      <w:r w:rsidRPr="00037160">
        <w:rPr>
          <w:rFonts w:ascii="Times New Roman" w:hAnsi="Times New Roman" w:cs="Times New Roman"/>
          <w:sz w:val="24"/>
          <w:szCs w:val="24"/>
          <w:lang w:eastAsia="lt-LT"/>
        </w:rPr>
        <w:t xml:space="preserve">Aprašo 2.1.1.3. papunktyje nurodytos išlaidos negali sudaryti daugiau kaip </w:t>
      </w:r>
      <w:r w:rsidRPr="00037160">
        <w:rPr>
          <w:rFonts w:ascii="Times New Roman" w:hAnsi="Times New Roman" w:cs="Times New Roman"/>
          <w:strike/>
          <w:sz w:val="24"/>
          <w:szCs w:val="24"/>
          <w:lang w:eastAsia="lt-LT"/>
        </w:rPr>
        <w:t>20</w:t>
      </w:r>
      <w:r w:rsidRPr="00037160">
        <w:rPr>
          <w:rFonts w:ascii="Times New Roman" w:hAnsi="Times New Roman" w:cs="Times New Roman"/>
          <w:sz w:val="24"/>
          <w:szCs w:val="24"/>
          <w:lang w:eastAsia="lt-LT"/>
        </w:rPr>
        <w:t xml:space="preserve"> </w:t>
      </w:r>
      <w:r w:rsidR="001946C3" w:rsidRPr="00037160">
        <w:rPr>
          <w:rFonts w:ascii="Times New Roman" w:hAnsi="Times New Roman" w:cs="Times New Roman"/>
          <w:b/>
          <w:bCs/>
          <w:sz w:val="24"/>
          <w:szCs w:val="24"/>
          <w:lang w:eastAsia="lt-LT"/>
        </w:rPr>
        <w:t>30</w:t>
      </w:r>
      <w:r w:rsidR="001946C3" w:rsidRPr="00037160">
        <w:rPr>
          <w:rFonts w:ascii="Times New Roman" w:hAnsi="Times New Roman" w:cs="Times New Roman"/>
          <w:sz w:val="24"/>
          <w:szCs w:val="24"/>
          <w:lang w:eastAsia="lt-LT"/>
        </w:rPr>
        <w:t xml:space="preserve"> </w:t>
      </w:r>
      <w:r w:rsidRPr="00037160">
        <w:rPr>
          <w:rFonts w:ascii="Times New Roman" w:hAnsi="Times New Roman" w:cs="Times New Roman"/>
          <w:sz w:val="24"/>
          <w:szCs w:val="24"/>
          <w:lang w:eastAsia="lt-LT"/>
        </w:rPr>
        <w:t>procentų visų projekto įgyvendinimo išlaidų; Aprašo 2.1.1.4 papunktyje</w:t>
      </w:r>
      <w:r w:rsidRPr="00037160">
        <w:rPr>
          <w:rFonts w:ascii="Times New Roman" w:hAnsi="Times New Roman" w:cs="Times New Roman"/>
          <w:i/>
          <w:iCs/>
          <w:sz w:val="24"/>
          <w:szCs w:val="24"/>
          <w:lang w:eastAsia="lt-LT"/>
        </w:rPr>
        <w:t> </w:t>
      </w:r>
      <w:r w:rsidRPr="00037160">
        <w:rPr>
          <w:rFonts w:ascii="Times New Roman" w:hAnsi="Times New Roman" w:cs="Times New Roman"/>
          <w:sz w:val="24"/>
          <w:szCs w:val="24"/>
          <w:lang w:eastAsia="lt-LT"/>
        </w:rPr>
        <w:t>nurodytos išlaidos negali sudaryti daugiau kaip 3 procentus visų projekto įgyvendinimo išlaidų.“</w:t>
      </w:r>
    </w:p>
    <w:p w14:paraId="2B6C90CA" w14:textId="733A867A" w:rsidR="0098393A" w:rsidRPr="00037160" w:rsidRDefault="0098393A" w:rsidP="0098393A">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037160">
        <w:rPr>
          <w:rFonts w:ascii="Times New Roman" w:eastAsia="Times New Roman" w:hAnsi="Times New Roman" w:cs="Times New Roman"/>
          <w:color w:val="000000"/>
          <w:kern w:val="0"/>
          <w:sz w:val="24"/>
          <w:szCs w:val="24"/>
          <w14:ligatures w14:val="none"/>
        </w:rPr>
        <w:t xml:space="preserve">6. Pakeičiu 2.5 papunktį ir jį išdėstau taip: </w:t>
      </w:r>
    </w:p>
    <w:p w14:paraId="409B2510" w14:textId="3387CC9A" w:rsidR="005F1994" w:rsidRPr="00037160" w:rsidRDefault="0098393A" w:rsidP="00ED2DE2">
      <w:pPr>
        <w:spacing w:after="0" w:line="240" w:lineRule="auto"/>
        <w:ind w:firstLine="567"/>
        <w:jc w:val="both"/>
        <w:textAlignment w:val="baseline"/>
        <w:rPr>
          <w:rFonts w:ascii="Times New Roman" w:eastAsia="Times New Roman" w:hAnsi="Times New Roman" w:cs="Times New Roman"/>
          <w:color w:val="000000"/>
          <w:kern w:val="0"/>
          <w:sz w:val="24"/>
          <w:szCs w:val="24"/>
          <w14:ligatures w14:val="none"/>
        </w:rPr>
      </w:pPr>
      <w:r w:rsidRPr="00037160">
        <w:rPr>
          <w:rFonts w:ascii="Times New Roman" w:hAnsi="Times New Roman" w:cs="Times New Roman"/>
          <w:sz w:val="24"/>
          <w:szCs w:val="24"/>
        </w:rPr>
        <w:t xml:space="preserve">„2.5. </w:t>
      </w:r>
      <w:r w:rsidRPr="00037160">
        <w:rPr>
          <w:rFonts w:ascii="Times New Roman" w:hAnsi="Times New Roman" w:cs="Times New Roman"/>
          <w:strike/>
          <w:sz w:val="24"/>
          <w:szCs w:val="24"/>
        </w:rPr>
        <w:t>Didžiausia galima projekto</w:t>
      </w:r>
      <w:r w:rsidRPr="00037160">
        <w:rPr>
          <w:rFonts w:ascii="Times New Roman" w:hAnsi="Times New Roman" w:cs="Times New Roman"/>
          <w:sz w:val="24"/>
          <w:szCs w:val="24"/>
        </w:rPr>
        <w:t xml:space="preserve"> </w:t>
      </w:r>
      <w:r w:rsidR="00670773" w:rsidRPr="00037160">
        <w:rPr>
          <w:rFonts w:ascii="Times New Roman" w:hAnsi="Times New Roman" w:cs="Times New Roman"/>
          <w:b/>
          <w:bCs/>
          <w:sz w:val="24"/>
          <w:szCs w:val="24"/>
        </w:rPr>
        <w:t>Projekto</w:t>
      </w:r>
      <w:r w:rsidR="00670773" w:rsidRPr="00037160">
        <w:rPr>
          <w:rFonts w:ascii="Times New Roman" w:hAnsi="Times New Roman" w:cs="Times New Roman"/>
          <w:sz w:val="24"/>
          <w:szCs w:val="24"/>
        </w:rPr>
        <w:t xml:space="preserve"> </w:t>
      </w:r>
      <w:r w:rsidR="00670773" w:rsidRPr="00037160">
        <w:rPr>
          <w:rFonts w:ascii="Times New Roman" w:eastAsia="Times New Roman" w:hAnsi="Times New Roman" w:cs="Times New Roman"/>
          <w:b/>
          <w:bCs/>
          <w:color w:val="000000"/>
          <w:kern w:val="0"/>
          <w:sz w:val="24"/>
          <w:szCs w:val="24"/>
          <w14:ligatures w14:val="none"/>
        </w:rPr>
        <w:t>2021–2027 IP</w:t>
      </w:r>
      <w:r w:rsidR="00670773" w:rsidRPr="00037160">
        <w:rPr>
          <w:rFonts w:ascii="Times New Roman" w:hAnsi="Times New Roman" w:cs="Times New Roman"/>
          <w:sz w:val="24"/>
          <w:szCs w:val="24"/>
        </w:rPr>
        <w:t xml:space="preserve"> </w:t>
      </w:r>
      <w:r w:rsidRPr="00037160">
        <w:rPr>
          <w:rFonts w:ascii="Times New Roman" w:hAnsi="Times New Roman" w:cs="Times New Roman"/>
          <w:sz w:val="24"/>
          <w:szCs w:val="24"/>
        </w:rPr>
        <w:t xml:space="preserve">finansuojamoji dalis sudaro 85 proc., </w:t>
      </w:r>
      <w:r w:rsidRPr="00037160">
        <w:rPr>
          <w:rFonts w:ascii="Times New Roman" w:hAnsi="Times New Roman" w:cs="Times New Roman"/>
          <w:strike/>
          <w:sz w:val="24"/>
          <w:szCs w:val="24"/>
          <w:lang w:eastAsia="lt-LT"/>
        </w:rPr>
        <w:t>valstybės biudžeto dalis</w:t>
      </w:r>
      <w:r w:rsidRPr="00037160">
        <w:rPr>
          <w:rFonts w:ascii="Times New Roman" w:hAnsi="Times New Roman" w:cs="Times New Roman"/>
          <w:sz w:val="24"/>
          <w:szCs w:val="24"/>
          <w:lang w:eastAsia="lt-LT"/>
        </w:rPr>
        <w:t xml:space="preserve"> </w:t>
      </w:r>
      <w:r w:rsidR="00424A46" w:rsidRPr="00B525AE">
        <w:rPr>
          <w:rFonts w:ascii="Times New Roman" w:eastAsia="Times New Roman" w:hAnsi="Times New Roman" w:cs="Times New Roman"/>
          <w:b/>
          <w:bCs/>
          <w:kern w:val="0"/>
          <w:sz w:val="24"/>
          <w:szCs w:val="24"/>
          <w14:ligatures w14:val="none"/>
        </w:rPr>
        <w:t xml:space="preserve">2021–2027 IP numatytas lėšas viršijanti </w:t>
      </w:r>
      <w:r w:rsidR="00FE798A">
        <w:rPr>
          <w:rFonts w:ascii="Times New Roman" w:eastAsia="Times New Roman" w:hAnsi="Times New Roman" w:cs="Times New Roman"/>
          <w:b/>
          <w:bCs/>
          <w:kern w:val="0"/>
          <w:sz w:val="24"/>
          <w:szCs w:val="24"/>
          <w14:ligatures w14:val="none"/>
        </w:rPr>
        <w:t>suma</w:t>
      </w:r>
      <w:r w:rsidRPr="00037160">
        <w:rPr>
          <w:rFonts w:ascii="Times New Roman" w:hAnsi="Times New Roman" w:cs="Times New Roman"/>
          <w:sz w:val="24"/>
          <w:szCs w:val="24"/>
          <w:lang w:eastAsia="lt-LT"/>
        </w:rPr>
        <w:t xml:space="preserve"> –– 15 proc. </w:t>
      </w:r>
      <w:r w:rsidRPr="00037160">
        <w:rPr>
          <w:rFonts w:ascii="Times New Roman" w:hAnsi="Times New Roman" w:cs="Times New Roman"/>
          <w:sz w:val="24"/>
          <w:szCs w:val="24"/>
        </w:rPr>
        <w:t>visų tinkamų finansuoti projekto išlaidų. </w:t>
      </w:r>
      <w:r w:rsidRPr="00037160">
        <w:rPr>
          <w:rFonts w:ascii="Times New Roman" w:hAnsi="Times New Roman" w:cs="Times New Roman"/>
          <w:sz w:val="24"/>
          <w:szCs w:val="24"/>
          <w:lang w:eastAsia="lt-LT"/>
        </w:rPr>
        <w:t>Netinkamos finansuoti išlaidos turi būti finansuojamos projekto vykdytojo lėšomis.“</w:t>
      </w:r>
    </w:p>
    <w:p w14:paraId="07FB720B" w14:textId="77777777" w:rsidR="004C13F8" w:rsidRPr="00037160" w:rsidRDefault="004C13F8" w:rsidP="005F1994">
      <w:pPr>
        <w:spacing w:after="0" w:line="240" w:lineRule="auto"/>
        <w:ind w:firstLine="705"/>
        <w:jc w:val="both"/>
        <w:textAlignment w:val="baseline"/>
        <w:rPr>
          <w:rFonts w:ascii="Times New Roman" w:eastAsia="Times New Roman" w:hAnsi="Times New Roman" w:cs="Times New Roman"/>
          <w:color w:val="000000"/>
          <w:kern w:val="0"/>
          <w:sz w:val="24"/>
          <w:szCs w:val="24"/>
          <w14:ligatures w14:val="none"/>
        </w:rPr>
      </w:pPr>
    </w:p>
    <w:p w14:paraId="0589717D" w14:textId="77777777" w:rsidR="004C13F8" w:rsidRPr="00037160" w:rsidRDefault="004C13F8" w:rsidP="005F1994">
      <w:pPr>
        <w:spacing w:after="0" w:line="240" w:lineRule="auto"/>
        <w:ind w:firstLine="705"/>
        <w:jc w:val="both"/>
        <w:textAlignment w:val="baseline"/>
        <w:rPr>
          <w:rFonts w:ascii="Times New Roman" w:eastAsia="Times New Roman" w:hAnsi="Times New Roman" w:cs="Times New Roman"/>
          <w:color w:val="000000"/>
          <w:kern w:val="0"/>
          <w:sz w:val="24"/>
          <w:szCs w:val="24"/>
          <w14:ligatures w14:val="none"/>
        </w:rPr>
      </w:pPr>
    </w:p>
    <w:p w14:paraId="3E6FFA38" w14:textId="0DFE6907" w:rsidR="004C13F8" w:rsidRDefault="004C13F8" w:rsidP="004C13F8">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C13F8">
        <w:rPr>
          <w:rFonts w:ascii="Times New Roman" w:eastAsia="Times New Roman" w:hAnsi="Times New Roman" w:cs="Times New Roman"/>
          <w:color w:val="000000"/>
          <w:kern w:val="0"/>
          <w:sz w:val="24"/>
          <w:szCs w:val="24"/>
          <w14:ligatures w14:val="none"/>
        </w:rPr>
        <w:t>Aplinkos ministras</w:t>
      </w:r>
      <w:r w:rsidRPr="004C13F8">
        <w:rPr>
          <w:rFonts w:ascii="Times New Roman" w:eastAsia="Times New Roman" w:hAnsi="Times New Roman" w:cs="Times New Roman"/>
          <w:color w:val="000000"/>
          <w:kern w:val="0"/>
          <w:sz w:val="24"/>
          <w:szCs w:val="24"/>
          <w14:ligatures w14:val="none"/>
        </w:rPr>
        <w:tab/>
      </w:r>
    </w:p>
    <w:sectPr w:rsidR="004C13F8" w:rsidSect="0035584E">
      <w:footnotePr>
        <w:pos w:val="beneathText"/>
      </w:footnotePr>
      <w:pgSz w:w="11905" w:h="16837"/>
      <w:pgMar w:top="1134" w:right="709" w:bottom="1032" w:left="1701" w:header="1140" w:footer="91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0D71" w14:textId="77777777" w:rsidR="00294A79" w:rsidRDefault="00294A79">
      <w:pPr>
        <w:spacing w:after="0" w:line="240" w:lineRule="auto"/>
      </w:pPr>
      <w:r>
        <w:separator/>
      </w:r>
    </w:p>
  </w:endnote>
  <w:endnote w:type="continuationSeparator" w:id="0">
    <w:p w14:paraId="3A083942" w14:textId="77777777" w:rsidR="00294A79" w:rsidRDefault="0029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7052" w14:textId="77777777" w:rsidR="00294A79" w:rsidRDefault="00294A79">
      <w:pPr>
        <w:spacing w:after="0" w:line="240" w:lineRule="auto"/>
      </w:pPr>
      <w:r>
        <w:separator/>
      </w:r>
    </w:p>
  </w:footnote>
  <w:footnote w:type="continuationSeparator" w:id="0">
    <w:p w14:paraId="6D1C6E8D" w14:textId="77777777" w:rsidR="00294A79" w:rsidRDefault="00294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258078"/>
      <w:docPartObj>
        <w:docPartGallery w:val="Page Numbers (Top of Page)"/>
        <w:docPartUnique/>
      </w:docPartObj>
    </w:sdtPr>
    <w:sdtEndPr/>
    <w:sdtContent>
      <w:p w14:paraId="50662FC3" w14:textId="77777777" w:rsidR="00F324F0" w:rsidRDefault="00F324F0">
        <w:pPr>
          <w:pStyle w:val="Header"/>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F0"/>
    <w:rsid w:val="0002761A"/>
    <w:rsid w:val="00037160"/>
    <w:rsid w:val="000477F5"/>
    <w:rsid w:val="00077BD4"/>
    <w:rsid w:val="000A40E8"/>
    <w:rsid w:val="00143718"/>
    <w:rsid w:val="001808A2"/>
    <w:rsid w:val="001938D4"/>
    <w:rsid w:val="001946C3"/>
    <w:rsid w:val="001A0E95"/>
    <w:rsid w:val="001A1257"/>
    <w:rsid w:val="0020446C"/>
    <w:rsid w:val="00294A79"/>
    <w:rsid w:val="002E7D9C"/>
    <w:rsid w:val="0035584E"/>
    <w:rsid w:val="003C3E47"/>
    <w:rsid w:val="00424A46"/>
    <w:rsid w:val="00434F8A"/>
    <w:rsid w:val="004914DA"/>
    <w:rsid w:val="004C13F8"/>
    <w:rsid w:val="004D7C83"/>
    <w:rsid w:val="005B7CAF"/>
    <w:rsid w:val="005D1ECF"/>
    <w:rsid w:val="005F1994"/>
    <w:rsid w:val="00670773"/>
    <w:rsid w:val="0069392A"/>
    <w:rsid w:val="00752C39"/>
    <w:rsid w:val="0077093A"/>
    <w:rsid w:val="00782E04"/>
    <w:rsid w:val="007871C8"/>
    <w:rsid w:val="007932C0"/>
    <w:rsid w:val="007E46A6"/>
    <w:rsid w:val="007E7235"/>
    <w:rsid w:val="007F2E93"/>
    <w:rsid w:val="008053FD"/>
    <w:rsid w:val="00815B1F"/>
    <w:rsid w:val="009347BA"/>
    <w:rsid w:val="00946232"/>
    <w:rsid w:val="0098393A"/>
    <w:rsid w:val="00986ED7"/>
    <w:rsid w:val="009C5647"/>
    <w:rsid w:val="009D4119"/>
    <w:rsid w:val="009F02FA"/>
    <w:rsid w:val="00A15E24"/>
    <w:rsid w:val="00A6194F"/>
    <w:rsid w:val="00AA2CC3"/>
    <w:rsid w:val="00AF03ED"/>
    <w:rsid w:val="00B07FF4"/>
    <w:rsid w:val="00B1600C"/>
    <w:rsid w:val="00B525AE"/>
    <w:rsid w:val="00B86DCE"/>
    <w:rsid w:val="00BA6E6F"/>
    <w:rsid w:val="00BB2D40"/>
    <w:rsid w:val="00BF5E49"/>
    <w:rsid w:val="00C45E55"/>
    <w:rsid w:val="00D512BB"/>
    <w:rsid w:val="00DF0BB2"/>
    <w:rsid w:val="00E4120B"/>
    <w:rsid w:val="00E4122D"/>
    <w:rsid w:val="00EC3E88"/>
    <w:rsid w:val="00ED2DE2"/>
    <w:rsid w:val="00EF4216"/>
    <w:rsid w:val="00F324F0"/>
    <w:rsid w:val="00F345AD"/>
    <w:rsid w:val="00FD7C78"/>
    <w:rsid w:val="00FE798A"/>
    <w:rsid w:val="00FF0FC1"/>
    <w:rsid w:val="00FF1D8E"/>
    <w:rsid w:val="00FF33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CAAF"/>
  <w15:chartTrackingRefBased/>
  <w15:docId w15:val="{8FF6372F-C27D-4330-A8CF-AC76B1D2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93A"/>
  </w:style>
  <w:style w:type="paragraph" w:styleId="Heading1">
    <w:name w:val="heading 1"/>
    <w:basedOn w:val="Normal"/>
    <w:next w:val="Normal"/>
    <w:link w:val="Heading1Char"/>
    <w:uiPriority w:val="9"/>
    <w:qFormat/>
    <w:rsid w:val="00F32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4F0"/>
    <w:rPr>
      <w:rFonts w:eastAsiaTheme="majorEastAsia" w:cstheme="majorBidi"/>
      <w:color w:val="272727" w:themeColor="text1" w:themeTint="D8"/>
    </w:rPr>
  </w:style>
  <w:style w:type="paragraph" w:styleId="Title">
    <w:name w:val="Title"/>
    <w:basedOn w:val="Normal"/>
    <w:next w:val="Normal"/>
    <w:link w:val="TitleChar"/>
    <w:uiPriority w:val="10"/>
    <w:qFormat/>
    <w:rsid w:val="00F32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4F0"/>
    <w:pPr>
      <w:spacing w:before="160"/>
      <w:jc w:val="center"/>
    </w:pPr>
    <w:rPr>
      <w:i/>
      <w:iCs/>
      <w:color w:val="404040" w:themeColor="text1" w:themeTint="BF"/>
    </w:rPr>
  </w:style>
  <w:style w:type="character" w:customStyle="1" w:styleId="QuoteChar">
    <w:name w:val="Quote Char"/>
    <w:basedOn w:val="DefaultParagraphFont"/>
    <w:link w:val="Quote"/>
    <w:uiPriority w:val="29"/>
    <w:rsid w:val="00F324F0"/>
    <w:rPr>
      <w:i/>
      <w:iCs/>
      <w:color w:val="404040" w:themeColor="text1" w:themeTint="BF"/>
    </w:rPr>
  </w:style>
  <w:style w:type="paragraph" w:styleId="ListParagraph">
    <w:name w:val="List Paragraph"/>
    <w:basedOn w:val="Normal"/>
    <w:uiPriority w:val="34"/>
    <w:qFormat/>
    <w:rsid w:val="00F324F0"/>
    <w:pPr>
      <w:ind w:left="720"/>
      <w:contextualSpacing/>
    </w:pPr>
  </w:style>
  <w:style w:type="character" w:styleId="IntenseEmphasis">
    <w:name w:val="Intense Emphasis"/>
    <w:basedOn w:val="DefaultParagraphFont"/>
    <w:uiPriority w:val="21"/>
    <w:qFormat/>
    <w:rsid w:val="00F324F0"/>
    <w:rPr>
      <w:i/>
      <w:iCs/>
      <w:color w:val="0F4761" w:themeColor="accent1" w:themeShade="BF"/>
    </w:rPr>
  </w:style>
  <w:style w:type="paragraph" w:styleId="IntenseQuote">
    <w:name w:val="Intense Quote"/>
    <w:basedOn w:val="Normal"/>
    <w:next w:val="Normal"/>
    <w:link w:val="IntenseQuoteChar"/>
    <w:uiPriority w:val="30"/>
    <w:qFormat/>
    <w:rsid w:val="00F32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4F0"/>
    <w:rPr>
      <w:i/>
      <w:iCs/>
      <w:color w:val="0F4761" w:themeColor="accent1" w:themeShade="BF"/>
    </w:rPr>
  </w:style>
  <w:style w:type="character" w:styleId="IntenseReference">
    <w:name w:val="Intense Reference"/>
    <w:basedOn w:val="DefaultParagraphFont"/>
    <w:uiPriority w:val="32"/>
    <w:qFormat/>
    <w:rsid w:val="00F324F0"/>
    <w:rPr>
      <w:b/>
      <w:bCs/>
      <w:smallCaps/>
      <w:color w:val="0F4761" w:themeColor="accent1" w:themeShade="BF"/>
      <w:spacing w:val="5"/>
    </w:rPr>
  </w:style>
  <w:style w:type="paragraph" w:styleId="Header">
    <w:name w:val="header"/>
    <w:basedOn w:val="Normal"/>
    <w:link w:val="HeaderChar"/>
    <w:uiPriority w:val="99"/>
    <w:semiHidden/>
    <w:unhideWhenUsed/>
    <w:rsid w:val="00F324F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F324F0"/>
  </w:style>
  <w:style w:type="paragraph" w:styleId="Revision">
    <w:name w:val="Revision"/>
    <w:hidden/>
    <w:uiPriority w:val="99"/>
    <w:semiHidden/>
    <w:rsid w:val="00946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140594">
      <w:bodyDiv w:val="1"/>
      <w:marLeft w:val="0"/>
      <w:marRight w:val="0"/>
      <w:marTop w:val="0"/>
      <w:marBottom w:val="0"/>
      <w:divBdr>
        <w:top w:val="none" w:sz="0" w:space="0" w:color="auto"/>
        <w:left w:val="none" w:sz="0" w:space="0" w:color="auto"/>
        <w:bottom w:val="none" w:sz="0" w:space="0" w:color="auto"/>
        <w:right w:val="none" w:sz="0" w:space="0" w:color="auto"/>
      </w:divBdr>
    </w:div>
    <w:div w:id="1908346363">
      <w:bodyDiv w:val="1"/>
      <w:marLeft w:val="0"/>
      <w:marRight w:val="0"/>
      <w:marTop w:val="0"/>
      <w:marBottom w:val="0"/>
      <w:divBdr>
        <w:top w:val="none" w:sz="0" w:space="0" w:color="auto"/>
        <w:left w:val="none" w:sz="0" w:space="0" w:color="auto"/>
        <w:bottom w:val="none" w:sz="0" w:space="0" w:color="auto"/>
        <w:right w:val="none" w:sz="0" w:space="0" w:color="auto"/>
      </w:divBdr>
    </w:div>
    <w:div w:id="19378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55BD-D663-4C81-B7F4-4E1EAF31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Alčauskienė</dc:creator>
  <cp:keywords/>
  <dc:description/>
  <cp:lastModifiedBy>Roma Būtėnienė</cp:lastModifiedBy>
  <cp:revision>19</cp:revision>
  <dcterms:created xsi:type="dcterms:W3CDTF">2025-02-06T07:31:00Z</dcterms:created>
  <dcterms:modified xsi:type="dcterms:W3CDTF">2025-02-07T12:47:00Z</dcterms:modified>
</cp:coreProperties>
</file>