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KVIETIMO NR. 11-476-K „NAUJŲ EKONOMINIŲ GALIMYBIŲ KŪRIMAS, SKATINANT KŪRYBIŠKUMĄ, INOVACIJAS, BEI KURIANT DRAUGIŠKĄ VISUOMENEI APLINKĄ“ PROJEKTŲ ĮGYVENDINIMO PLANŲ BENDRIEJI IR PRIORITETINIAI NAUDOS IR KOKYBĖS VERTINIMO KRITERIJAI</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spacing w:before="120" w:lineRule="auto"/>
        <w:jc w:val="both"/>
        <w:rPr/>
      </w:pPr>
      <w:r w:rsidDel="00000000" w:rsidR="00000000" w:rsidRPr="00000000">
        <w:rPr>
          <w:rtl w:val="0"/>
        </w:rPr>
        <w:t xml:space="preserve">Didžiausia projektui galima skirti balų suma – 100 balų. </w:t>
      </w:r>
    </w:p>
    <w:p w:rsidR="00000000" w:rsidDel="00000000" w:rsidP="00000000" w:rsidRDefault="00000000" w:rsidRPr="00000000" w14:paraId="00000004">
      <w:pPr>
        <w:spacing w:before="120" w:lineRule="auto"/>
        <w:jc w:val="both"/>
        <w:rPr/>
      </w:pPr>
      <w:r w:rsidDel="00000000" w:rsidR="00000000" w:rsidRPr="00000000">
        <w:rPr>
          <w:rtl w:val="0"/>
        </w:rPr>
        <w:t xml:space="preserve">Minimali balų suma – </w:t>
      </w:r>
      <w:r w:rsidDel="00000000" w:rsidR="00000000" w:rsidRPr="00000000">
        <w:rPr>
          <w:rtl w:val="0"/>
        </w:rPr>
        <w:t xml:space="preserve">45 balų</w:t>
      </w:r>
      <w:r w:rsidDel="00000000" w:rsidR="00000000" w:rsidRPr="00000000">
        <w:rPr>
          <w:rtl w:val="0"/>
        </w:rPr>
        <w:t xml:space="preserve">. Projektai, kurie naudos ir kokybės vertinimo etape nesurinko nustatytos minimalios balų sumos, nėra tinkami finansuoti ir PĮP atmetami.</w:t>
      </w:r>
    </w:p>
    <w:tbl>
      <w:tblPr>
        <w:tblStyle w:val="Table1"/>
        <w:tblW w:w="14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544"/>
        <w:gridCol w:w="4111"/>
        <w:gridCol w:w="1134"/>
        <w:gridCol w:w="4677"/>
        <w:tblGridChange w:id="0">
          <w:tblGrid>
            <w:gridCol w:w="704"/>
            <w:gridCol w:w="3544"/>
            <w:gridCol w:w="4111"/>
            <w:gridCol w:w="1134"/>
            <w:gridCol w:w="4677"/>
          </w:tblGrid>
        </w:tblGridChange>
      </w:tblGrid>
      <w:tr>
        <w:trPr>
          <w:cantSplit w:val="0"/>
          <w:tblHeader w:val="0"/>
        </w:trPr>
        <w:tc>
          <w:tcPr>
            <w:gridSpan w:val="5"/>
            <w:shd w:fill="ffcc00" w:val="clear"/>
          </w:tcPr>
          <w:p w:rsidR="00000000" w:rsidDel="00000000" w:rsidP="00000000" w:rsidRDefault="00000000" w:rsidRPr="00000000" w14:paraId="00000005">
            <w:pPr>
              <w:jc w:val="center"/>
              <w:rPr>
                <w:b w:val="1"/>
              </w:rPr>
            </w:pPr>
            <w:r w:rsidDel="00000000" w:rsidR="00000000" w:rsidRPr="00000000">
              <w:rPr>
                <w:b w:val="1"/>
                <w:rtl w:val="0"/>
              </w:rPr>
              <w:t xml:space="preserve">BENDRIEJI NAUDOS IR KOKYBĖS KRITERIJAI</w:t>
            </w:r>
          </w:p>
        </w:tc>
      </w:tr>
      <w:tr>
        <w:trPr>
          <w:cantSplit w:val="0"/>
          <w:tblHeader w:val="0"/>
        </w:trPr>
        <w:tc>
          <w:tcPr>
            <w:shd w:fill="ffcc00" w:val="clear"/>
          </w:tcPr>
          <w:p w:rsidR="00000000" w:rsidDel="00000000" w:rsidP="00000000" w:rsidRDefault="00000000" w:rsidRPr="00000000" w14:paraId="0000000A">
            <w:pPr>
              <w:jc w:val="center"/>
              <w:rPr>
                <w:b w:val="1"/>
              </w:rPr>
            </w:pPr>
            <w:r w:rsidDel="00000000" w:rsidR="00000000" w:rsidRPr="00000000">
              <w:rPr>
                <w:b w:val="1"/>
                <w:rtl w:val="0"/>
              </w:rPr>
              <w:t xml:space="preserve">Eil. Nr.</w:t>
            </w:r>
          </w:p>
        </w:tc>
        <w:tc>
          <w:tcPr>
            <w:shd w:fill="ffcc00" w:val="clear"/>
          </w:tcPr>
          <w:p w:rsidR="00000000" w:rsidDel="00000000" w:rsidP="00000000" w:rsidRDefault="00000000" w:rsidRPr="00000000" w14:paraId="0000000B">
            <w:pPr>
              <w:jc w:val="center"/>
              <w:rPr>
                <w:b w:val="1"/>
              </w:rPr>
            </w:pPr>
            <w:r w:rsidDel="00000000" w:rsidR="00000000" w:rsidRPr="00000000">
              <w:rPr>
                <w:b w:val="1"/>
                <w:rtl w:val="0"/>
              </w:rPr>
              <w:t xml:space="preserve">Kriterijus</w:t>
            </w:r>
          </w:p>
        </w:tc>
        <w:tc>
          <w:tcPr>
            <w:shd w:fill="ffcc00" w:val="clear"/>
          </w:tcPr>
          <w:p w:rsidR="00000000" w:rsidDel="00000000" w:rsidP="00000000" w:rsidRDefault="00000000" w:rsidRPr="00000000" w14:paraId="0000000C">
            <w:pPr>
              <w:jc w:val="center"/>
              <w:rPr>
                <w:b w:val="1"/>
              </w:rPr>
            </w:pPr>
            <w:r w:rsidDel="00000000" w:rsidR="00000000" w:rsidRPr="00000000">
              <w:rPr>
                <w:b w:val="1"/>
                <w:rtl w:val="0"/>
              </w:rPr>
              <w:t xml:space="preserve">Aprašymas</w:t>
            </w:r>
          </w:p>
        </w:tc>
        <w:tc>
          <w:tcPr>
            <w:shd w:fill="ffcc00" w:val="clear"/>
          </w:tcPr>
          <w:p w:rsidR="00000000" w:rsidDel="00000000" w:rsidP="00000000" w:rsidRDefault="00000000" w:rsidRPr="00000000" w14:paraId="0000000D">
            <w:pPr>
              <w:jc w:val="center"/>
              <w:rPr>
                <w:b w:val="1"/>
              </w:rPr>
            </w:pPr>
            <w:r w:rsidDel="00000000" w:rsidR="00000000" w:rsidRPr="00000000">
              <w:rPr>
                <w:b w:val="1"/>
                <w:rtl w:val="0"/>
              </w:rPr>
              <w:t xml:space="preserve">Balų skaičius</w:t>
            </w:r>
          </w:p>
        </w:tc>
        <w:tc>
          <w:tcPr>
            <w:shd w:fill="ffcc00" w:val="clear"/>
          </w:tcPr>
          <w:p w:rsidR="00000000" w:rsidDel="00000000" w:rsidP="00000000" w:rsidRDefault="00000000" w:rsidRPr="00000000" w14:paraId="0000000E">
            <w:pPr>
              <w:jc w:val="center"/>
              <w:rPr>
                <w:b w:val="1"/>
              </w:rPr>
            </w:pPr>
            <w:r w:rsidDel="00000000" w:rsidR="00000000" w:rsidRPr="00000000">
              <w:rPr>
                <w:b w:val="1"/>
                <w:rtl w:val="0"/>
              </w:rPr>
              <w:t xml:space="preserve">Pagrindimas</w:t>
            </w:r>
          </w:p>
        </w:tc>
      </w:tr>
      <w:tr>
        <w:trPr>
          <w:cantSplit w:val="0"/>
          <w:tblHeader w:val="0"/>
        </w:trPr>
        <w:tc>
          <w:tcPr>
            <w:vMerge w:val="restart"/>
          </w:tcPr>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24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10">
            <w:pPr>
              <w:spacing w:before="240" w:lineRule="auto"/>
              <w:jc w:val="both"/>
              <w:rPr/>
            </w:pPr>
            <w:r w:rsidDel="00000000" w:rsidR="00000000" w:rsidRPr="00000000">
              <w:rPr>
                <w:rtl w:val="0"/>
              </w:rPr>
              <w:t xml:space="preserve">Kuriamų darbo vietų </w:t>
            </w:r>
            <w:r w:rsidDel="00000000" w:rsidR="00000000" w:rsidRPr="00000000">
              <w:rPr>
                <w:rtl w:val="0"/>
              </w:rPr>
              <w:t xml:space="preserve">skaičius (</w:t>
            </w:r>
            <w:r w:rsidDel="00000000" w:rsidR="00000000" w:rsidRPr="00000000">
              <w:rPr>
                <w:b w:val="1"/>
                <w:rtl w:val="0"/>
              </w:rPr>
              <w:t xml:space="preserve">15 yra privalomas minimalus skaičius</w:t>
            </w:r>
            <w:r w:rsidDel="00000000" w:rsidR="00000000" w:rsidRPr="00000000">
              <w:rPr>
                <w:rtl w:val="0"/>
              </w:rPr>
              <w:t xml:space="preserve">)</w:t>
            </w:r>
          </w:p>
        </w:tc>
        <w:tc>
          <w:tcPr/>
          <w:p w:rsidR="00000000" w:rsidDel="00000000" w:rsidP="00000000" w:rsidRDefault="00000000" w:rsidRPr="00000000" w14:paraId="00000011">
            <w:pPr>
              <w:spacing w:before="240" w:lineRule="auto"/>
              <w:jc w:val="both"/>
              <w:rPr>
                <w:highlight w:val="red"/>
              </w:rPr>
            </w:pPr>
            <w:r w:rsidDel="00000000" w:rsidR="00000000" w:rsidRPr="00000000">
              <w:rPr>
                <w:rtl w:val="0"/>
              </w:rPr>
              <w:t xml:space="preserve">Nurodyta, kad po projekto įgyvendinimo bus sukurta bent 1 darbo vieta. </w:t>
            </w:r>
            <w:r w:rsidDel="00000000" w:rsidR="00000000" w:rsidRPr="00000000">
              <w:rPr>
                <w:rtl w:val="0"/>
              </w:rPr>
            </w:r>
          </w:p>
        </w:tc>
        <w:tc>
          <w:tcPr/>
          <w:p w:rsidR="00000000" w:rsidDel="00000000" w:rsidP="00000000" w:rsidRDefault="00000000" w:rsidRPr="00000000" w14:paraId="00000012">
            <w:pPr>
              <w:spacing w:before="240" w:lineRule="auto"/>
              <w:jc w:val="center"/>
              <w:rPr/>
            </w:pPr>
            <w:r w:rsidDel="00000000" w:rsidR="00000000" w:rsidRPr="00000000">
              <w:rPr>
                <w:rtl w:val="0"/>
              </w:rPr>
              <w:t xml:space="preserve">15</w:t>
            </w:r>
          </w:p>
        </w:tc>
        <w:tc>
          <w:tcPr>
            <w:vMerge w:val="restart"/>
          </w:tcPr>
          <w:p w:rsidR="00000000" w:rsidDel="00000000" w:rsidP="00000000" w:rsidRDefault="00000000" w:rsidRPr="00000000" w14:paraId="00000013">
            <w:pPr>
              <w:spacing w:before="240" w:lineRule="auto"/>
              <w:jc w:val="both"/>
              <w:rPr/>
            </w:pPr>
            <w:r w:rsidDel="00000000" w:rsidR="00000000" w:rsidRPr="00000000">
              <w:rPr>
                <w:rtl w:val="0"/>
              </w:rPr>
              <w:t xml:space="preserve">Pareiškėjas nurodo, kiek po projekto veiklų bus </w:t>
            </w:r>
            <w:r w:rsidDel="00000000" w:rsidR="00000000" w:rsidRPr="00000000">
              <w:rPr>
                <w:b w:val="1"/>
                <w:rtl w:val="0"/>
              </w:rPr>
              <w:t xml:space="preserve">sukurta naujų darbo vietų ir aiškiai jas pagrindžia</w:t>
            </w:r>
            <w:r w:rsidDel="00000000" w:rsidR="00000000" w:rsidRPr="00000000">
              <w:rPr>
                <w:rtl w:val="0"/>
              </w:rPr>
              <w:t xml:space="preserve"> (ankstesniais pavyzdžiais, kitų gerąja praktika ir pan.). </w:t>
            </w:r>
          </w:p>
          <w:p w:rsidR="00000000" w:rsidDel="00000000" w:rsidP="00000000" w:rsidRDefault="00000000" w:rsidRPr="00000000" w14:paraId="00000014">
            <w:pPr>
              <w:spacing w:before="240" w:lineRule="auto"/>
              <w:jc w:val="both"/>
              <w:rPr/>
            </w:pPr>
            <w:r w:rsidDel="00000000" w:rsidR="00000000" w:rsidRPr="00000000">
              <w:rPr>
                <w:rtl w:val="0"/>
              </w:rPr>
              <w:t xml:space="preserve">Projektų vykdytojai įsipareigoja, kad naujai sukurtos darbo vietos bus išlaikytos projekto įgyvendinimo ir kontrolės laikotarpiu. </w:t>
            </w:r>
          </w:p>
          <w:p w:rsidR="00000000" w:rsidDel="00000000" w:rsidP="00000000" w:rsidRDefault="00000000" w:rsidRPr="00000000" w14:paraId="00000015">
            <w:pPr>
              <w:spacing w:before="240" w:lineRule="auto"/>
              <w:jc w:val="both"/>
              <w:rPr/>
            </w:pPr>
            <w:r w:rsidDel="00000000" w:rsidR="00000000" w:rsidRPr="00000000">
              <w:rPr>
                <w:i w:val="1"/>
                <w:sz w:val="20"/>
                <w:szCs w:val="20"/>
                <w:rtl w:val="0"/>
              </w:rPr>
              <w:t xml:space="preserve">Kriterijus vertinamas PĮP pateikimo dienai</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18">
            <w:pPr>
              <w:spacing w:before="240" w:lineRule="auto"/>
              <w:jc w:val="both"/>
              <w:rPr/>
            </w:pPr>
            <w:r w:rsidDel="00000000" w:rsidR="00000000" w:rsidRPr="00000000">
              <w:rPr>
                <w:rtl w:val="0"/>
              </w:rPr>
              <w:t xml:space="preserve">Nurodyta, kad po projekto įgyvendinimo bus sukurta daugiau nei 2 darbo vietos.</w:t>
            </w:r>
          </w:p>
        </w:tc>
        <w:tc>
          <w:tcPr/>
          <w:p w:rsidR="00000000" w:rsidDel="00000000" w:rsidP="00000000" w:rsidRDefault="00000000" w:rsidRPr="00000000" w14:paraId="00000019">
            <w:pPr>
              <w:spacing w:before="240" w:lineRule="auto"/>
              <w:jc w:val="center"/>
              <w:rPr/>
            </w:pPr>
            <w:r w:rsidDel="00000000" w:rsidR="00000000" w:rsidRPr="00000000">
              <w:rPr>
                <w:rtl w:val="0"/>
              </w:rPr>
              <w:t xml:space="preserve">25</w:t>
            </w:r>
          </w:p>
        </w:tc>
        <w:tc>
          <w:tcPr>
            <w:vMerge w:val="continue"/>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1B">
            <w:pPr>
              <w:spacing w:before="240" w:lineRule="auto"/>
              <w:jc w:val="right"/>
              <w:rPr/>
            </w:pPr>
            <w:r w:rsidDel="00000000" w:rsidR="00000000" w:rsidRPr="00000000">
              <w:rPr>
                <w:rtl w:val="0"/>
              </w:rPr>
              <w:t xml:space="preserve">2.</w:t>
            </w:r>
          </w:p>
        </w:tc>
        <w:tc>
          <w:tcPr/>
          <w:p w:rsidR="00000000" w:rsidDel="00000000" w:rsidP="00000000" w:rsidRDefault="00000000" w:rsidRPr="00000000" w14:paraId="0000001C">
            <w:pPr>
              <w:spacing w:before="240" w:lineRule="auto"/>
              <w:jc w:val="both"/>
              <w:rPr/>
            </w:pPr>
            <w:r w:rsidDel="00000000" w:rsidR="00000000" w:rsidRPr="00000000">
              <w:rPr>
                <w:rtl w:val="0"/>
              </w:rPr>
              <w:t xml:space="preserve">Projektu sprendžiama Molėtų miesto 2024-2027 m. vietos plėtros strategijoje nurodyta problema, PĮP nurodytas projekto tikslas ir planuojamos veiklos atitinka Strategijos 1.1.1 veiksmą (</w:t>
            </w:r>
            <w:r w:rsidDel="00000000" w:rsidR="00000000" w:rsidRPr="00000000">
              <w:rPr>
                <w:b w:val="1"/>
                <w:rtl w:val="0"/>
              </w:rPr>
              <w:t xml:space="preserve">15 yra privalomas minimalus skaičius</w:t>
            </w:r>
            <w:r w:rsidDel="00000000" w:rsidR="00000000" w:rsidRPr="00000000">
              <w:rPr>
                <w:rtl w:val="0"/>
              </w:rPr>
              <w:t xml:space="preserve">)</w:t>
            </w:r>
          </w:p>
        </w:tc>
        <w:tc>
          <w:tcPr/>
          <w:p w:rsidR="00000000" w:rsidDel="00000000" w:rsidP="00000000" w:rsidRDefault="00000000" w:rsidRPr="00000000" w14:paraId="0000001D">
            <w:pPr>
              <w:spacing w:before="240" w:lineRule="auto"/>
              <w:jc w:val="both"/>
              <w:rPr/>
            </w:pPr>
            <w:r w:rsidDel="00000000" w:rsidR="00000000" w:rsidRPr="00000000">
              <w:rPr>
                <w:rtl w:val="0"/>
              </w:rPr>
              <w:t xml:space="preserve">Aiškiai nurodoma projektu sprendžiama problema/-os ir pagrindžiama su Strategijoje nurodytomis problemomis, kurias siekiama spręsti, PĮP nurodytas projekto tikslas ir planuojamos veiklos aiškiai prisideda prie Strategijos 1.1.1 veiksmo įgyvendinimo</w:t>
            </w:r>
          </w:p>
        </w:tc>
        <w:tc>
          <w:tcPr/>
          <w:p w:rsidR="00000000" w:rsidDel="00000000" w:rsidP="00000000" w:rsidRDefault="00000000" w:rsidRPr="00000000" w14:paraId="0000001E">
            <w:pPr>
              <w:spacing w:before="240" w:lineRule="auto"/>
              <w:jc w:val="center"/>
              <w:rPr/>
            </w:pPr>
            <w:r w:rsidDel="00000000" w:rsidR="00000000" w:rsidRPr="00000000">
              <w:rPr>
                <w:rtl w:val="0"/>
              </w:rPr>
              <w:t xml:space="preserve">15</w:t>
            </w:r>
          </w:p>
        </w:tc>
        <w:tc>
          <w:tcPr/>
          <w:p w:rsidR="00000000" w:rsidDel="00000000" w:rsidP="00000000" w:rsidRDefault="00000000" w:rsidRPr="00000000" w14:paraId="0000001F">
            <w:pPr>
              <w:spacing w:before="240" w:lineRule="auto"/>
              <w:jc w:val="both"/>
              <w:rPr/>
            </w:pPr>
            <w:r w:rsidDel="00000000" w:rsidR="00000000" w:rsidRPr="00000000">
              <w:rPr>
                <w:rtl w:val="0"/>
              </w:rPr>
              <w:t xml:space="preserve">Pareiškėjas turi nurodyti ir aprašyti, kokia problema/-</w:t>
            </w:r>
            <w:r w:rsidDel="00000000" w:rsidR="00000000" w:rsidRPr="00000000">
              <w:rPr>
                <w:rtl w:val="0"/>
              </w:rPr>
              <w:t xml:space="preserve">os būtų sprendžiamos, aprašyti priežastis, lėmusias projek</w:t>
            </w:r>
            <w:r w:rsidDel="00000000" w:rsidR="00000000" w:rsidRPr="00000000">
              <w:rPr>
                <w:rtl w:val="0"/>
              </w:rPr>
              <w:t xml:space="preserve">to įgyvendinimą ir aiškiai nurodyti, kokias ir kaip Strategijoje iškeltas problemas projektas spręs, ir kaip projektas prisidės prie 1.1.1 veiksmo įgyvendinimo. </w:t>
            </w:r>
          </w:p>
        </w:tc>
      </w:tr>
      <w:tr>
        <w:trPr>
          <w:cantSplit w:val="0"/>
          <w:tblHeader w:val="0"/>
        </w:trPr>
        <w:tc>
          <w:tcPr>
            <w:gridSpan w:val="5"/>
            <w:shd w:fill="ffcc00" w:val="clear"/>
          </w:tcPr>
          <w:p w:rsidR="00000000" w:rsidDel="00000000" w:rsidP="00000000" w:rsidRDefault="00000000" w:rsidRPr="00000000" w14:paraId="00000020">
            <w:pPr>
              <w:jc w:val="center"/>
              <w:rPr>
                <w:b w:val="1"/>
              </w:rPr>
            </w:pPr>
            <w:r w:rsidDel="00000000" w:rsidR="00000000" w:rsidRPr="00000000">
              <w:rPr>
                <w:b w:val="1"/>
                <w:rtl w:val="0"/>
              </w:rPr>
              <w:t xml:space="preserve">PRIORITETINIAI NAUDOS IR KOKYBĖS KRITERIJAI</w:t>
            </w:r>
          </w:p>
        </w:tc>
      </w:tr>
      <w:tr>
        <w:trPr>
          <w:cantSplit w:val="0"/>
          <w:trHeight w:val="2484" w:hRule="atLeast"/>
          <w:tblHeader w:val="0"/>
        </w:trPr>
        <w:tc>
          <w:tcPr/>
          <w:p w:rsidR="00000000" w:rsidDel="00000000" w:rsidP="00000000" w:rsidRDefault="00000000" w:rsidRPr="00000000" w14:paraId="00000025">
            <w:pPr>
              <w:jc w:val="center"/>
              <w:rPr/>
            </w:pPr>
            <w:r w:rsidDel="00000000" w:rsidR="00000000" w:rsidRPr="00000000">
              <w:rPr>
                <w:rtl w:val="0"/>
              </w:rPr>
              <w:t xml:space="preserve">3.</w:t>
            </w:r>
          </w:p>
        </w:tc>
        <w:tc>
          <w:tcPr/>
          <w:p w:rsidR="00000000" w:rsidDel="00000000" w:rsidP="00000000" w:rsidRDefault="00000000" w:rsidRPr="00000000" w14:paraId="00000026">
            <w:pPr>
              <w:jc w:val="both"/>
              <w:rPr/>
            </w:pPr>
            <w:r w:rsidDel="00000000" w:rsidR="00000000" w:rsidRPr="00000000">
              <w:rPr>
                <w:rtl w:val="0"/>
              </w:rPr>
              <w:t xml:space="preserve">Projektu įgyvendinamas </w:t>
            </w:r>
            <w:r w:rsidDel="00000000" w:rsidR="00000000" w:rsidRPr="00000000">
              <w:rPr>
                <w:b w:val="1"/>
                <w:rtl w:val="0"/>
              </w:rPr>
              <w:t xml:space="preserve">įterptinio arba integruoto socialinio verslo</w:t>
            </w:r>
            <w:r w:rsidDel="00000000" w:rsidR="00000000" w:rsidRPr="00000000">
              <w:rPr>
                <w:rtl w:val="0"/>
              </w:rPr>
              <w:t xml:space="preserve"> modelis, kaip nurodyta Lietuvos Respublikos vidaus reikalų ministro 2023 m. lapkričio 27 d. įsakymu Nr. 1V-756 patvirtintose Socialinio verslo paramos, įgyvendinant 2021-2027 metų Europos sąjungos fondų investicijų programą, taisyklėse.</w:t>
            </w:r>
          </w:p>
          <w:p w:rsidR="00000000" w:rsidDel="00000000" w:rsidP="00000000" w:rsidRDefault="00000000" w:rsidRPr="00000000" w14:paraId="00000027">
            <w:pPr>
              <w:jc w:val="both"/>
              <w:rPr/>
            </w:pPr>
            <w:r w:rsidDel="00000000" w:rsidR="00000000" w:rsidRPr="00000000">
              <w:rPr>
                <w:rtl w:val="0"/>
              </w:rPr>
            </w:r>
          </w:p>
        </w:tc>
        <w:tc>
          <w:tcPr/>
          <w:p w:rsidR="00000000" w:rsidDel="00000000" w:rsidP="00000000" w:rsidRDefault="00000000" w:rsidRPr="00000000" w14:paraId="00000028">
            <w:pPr>
              <w:jc w:val="both"/>
              <w:rPr/>
            </w:pPr>
            <w:r w:rsidDel="00000000" w:rsidR="00000000" w:rsidRPr="00000000">
              <w:rPr>
                <w:rtl w:val="0"/>
              </w:rPr>
            </w:r>
          </w:p>
        </w:tc>
        <w:tc>
          <w:tcPr/>
          <w:p w:rsidR="00000000" w:rsidDel="00000000" w:rsidP="00000000" w:rsidRDefault="00000000" w:rsidRPr="00000000" w14:paraId="00000029">
            <w:pPr>
              <w:jc w:val="center"/>
              <w:rPr/>
            </w:pPr>
            <w:r w:rsidDel="00000000" w:rsidR="00000000" w:rsidRPr="00000000">
              <w:rPr>
                <w:rtl w:val="0"/>
              </w:rPr>
              <w:t xml:space="preserve">20</w:t>
            </w:r>
          </w:p>
        </w:tc>
        <w:tc>
          <w:tcPr/>
          <w:p w:rsidR="00000000" w:rsidDel="00000000" w:rsidP="00000000" w:rsidRDefault="00000000" w:rsidRPr="00000000" w14:paraId="0000002A">
            <w:pPr>
              <w:jc w:val="both"/>
              <w:rPr/>
            </w:pPr>
            <w:r w:rsidDel="00000000" w:rsidR="00000000" w:rsidRPr="00000000">
              <w:rPr>
                <w:rtl w:val="0"/>
              </w:rPr>
              <w:t xml:space="preserve">Projektas atitinka šį prioritetinį projektų atrankos kriterijų, jei Socialinio verslo paramos, įgyvendinant 2021–2027 metų Europos Sąjungos fondų investicijų programą, taisyklių 1 priede nurodytas ir tinkamai pagrįstas nurodytas socialinio verslo modelis</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ind w:left="601" w:hanging="539"/>
              <w:jc w:val="both"/>
              <w:rPr/>
            </w:pPr>
            <w:r w:rsidDel="00000000" w:rsidR="00000000" w:rsidRPr="00000000">
              <w:rPr>
                <w:rtl w:val="0"/>
              </w:rPr>
            </w:r>
          </w:p>
          <w:p w:rsidR="00000000" w:rsidDel="00000000" w:rsidP="00000000" w:rsidRDefault="00000000" w:rsidRPr="00000000" w14:paraId="0000002D">
            <w:pPr>
              <w:ind w:left="601" w:hanging="539"/>
              <w:jc w:val="both"/>
              <w:rPr/>
            </w:pPr>
            <w:r w:rsidDel="00000000" w:rsidR="00000000" w:rsidRPr="00000000">
              <w:rPr>
                <w:rtl w:val="0"/>
              </w:rPr>
            </w:r>
          </w:p>
          <w:p w:rsidR="00000000" w:rsidDel="00000000" w:rsidP="00000000" w:rsidRDefault="00000000" w:rsidRPr="00000000" w14:paraId="0000002E">
            <w:pPr>
              <w:jc w:val="both"/>
              <w:rPr>
                <w:sz w:val="20"/>
                <w:szCs w:val="20"/>
              </w:rPr>
            </w:pPr>
            <w:r w:rsidDel="00000000" w:rsidR="00000000" w:rsidRPr="00000000">
              <w:rPr>
                <w:rtl w:val="0"/>
              </w:rPr>
            </w:r>
          </w:p>
          <w:p w:rsidR="00000000" w:rsidDel="00000000" w:rsidP="00000000" w:rsidRDefault="00000000" w:rsidRPr="00000000" w14:paraId="0000002F">
            <w:pPr>
              <w:jc w:val="both"/>
              <w:rPr>
                <w:sz w:val="20"/>
                <w:szCs w:val="20"/>
              </w:rPr>
            </w:pPr>
            <w:r w:rsidDel="00000000" w:rsidR="00000000" w:rsidRPr="00000000">
              <w:rPr>
                <w:rtl w:val="0"/>
              </w:rPr>
            </w:r>
          </w:p>
          <w:p w:rsidR="00000000" w:rsidDel="00000000" w:rsidP="00000000" w:rsidRDefault="00000000" w:rsidRPr="00000000" w14:paraId="00000030">
            <w:pPr>
              <w:rPr/>
            </w:pPr>
            <w:r w:rsidDel="00000000" w:rsidR="00000000" w:rsidRPr="00000000">
              <w:rPr>
                <w:i w:val="1"/>
                <w:sz w:val="20"/>
                <w:szCs w:val="20"/>
                <w:rtl w:val="0"/>
              </w:rPr>
              <w:t xml:space="preserve">Kriterijus vertinamas PĮP pateikimo dienai</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31">
            <w:pPr>
              <w:jc w:val="center"/>
              <w:rPr/>
            </w:pPr>
            <w:r w:rsidDel="00000000" w:rsidR="00000000" w:rsidRPr="00000000">
              <w:rPr>
                <w:rtl w:val="0"/>
              </w:rPr>
              <w:t xml:space="preserve">4.</w:t>
            </w:r>
          </w:p>
        </w:tc>
        <w:tc>
          <w:tcPr>
            <w:vMerge w:val="restart"/>
          </w:tcPr>
          <w:p w:rsidR="00000000" w:rsidDel="00000000" w:rsidP="00000000" w:rsidRDefault="00000000" w:rsidRPr="00000000" w14:paraId="00000032">
            <w:pPr>
              <w:jc w:val="both"/>
              <w:rPr/>
            </w:pPr>
            <w:r w:rsidDel="00000000" w:rsidR="00000000" w:rsidRPr="00000000">
              <w:rPr>
                <w:rtl w:val="0"/>
              </w:rPr>
              <w:t xml:space="preserve">Pradedamos teikti naujos socialinės paslaugos ir vykdyti socialinis verslas.</w:t>
            </w:r>
          </w:p>
          <w:p w:rsidR="00000000" w:rsidDel="00000000" w:rsidP="00000000" w:rsidRDefault="00000000" w:rsidRPr="00000000" w14:paraId="00000033">
            <w:pPr>
              <w:jc w:val="both"/>
              <w:rPr>
                <w:sz w:val="20"/>
                <w:szCs w:val="20"/>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i w:val="1"/>
                <w:sz w:val="20"/>
                <w:szCs w:val="20"/>
                <w:rtl w:val="0"/>
              </w:rPr>
              <w:t xml:space="preserve">(laikoma, kad nauja socialinė paslauga ir naujas socialinis verslas yra tokie, kurie kvietimo paskelbimo dienai nėra teikiami MVVG  teritorijoje)</w:t>
            </w:r>
            <w:r w:rsidDel="00000000" w:rsidR="00000000" w:rsidRPr="00000000">
              <w:rPr>
                <w:rtl w:val="0"/>
              </w:rPr>
            </w:r>
          </w:p>
        </w:tc>
        <w:tc>
          <w:tcPr/>
          <w:p w:rsidR="00000000" w:rsidDel="00000000" w:rsidP="00000000" w:rsidRDefault="00000000" w:rsidRPr="00000000" w14:paraId="00000035">
            <w:pPr>
              <w:jc w:val="both"/>
              <w:rPr/>
            </w:pPr>
            <w:r w:rsidDel="00000000" w:rsidR="00000000" w:rsidRPr="00000000">
              <w:rPr>
                <w:rtl w:val="0"/>
              </w:rPr>
              <w:t xml:space="preserve">Planuojama/-os teikti socialinė/-ės paslauga/-os ir socialinis verslas nėra nauja (jau vykdoma)</w:t>
            </w:r>
          </w:p>
        </w:tc>
        <w:tc>
          <w:tcPr/>
          <w:p w:rsidR="00000000" w:rsidDel="00000000" w:rsidP="00000000" w:rsidRDefault="00000000" w:rsidRPr="00000000" w14:paraId="00000036">
            <w:pPr>
              <w:jc w:val="center"/>
              <w:rPr/>
            </w:pPr>
            <w:r w:rsidDel="00000000" w:rsidR="00000000" w:rsidRPr="00000000">
              <w:rPr>
                <w:rtl w:val="0"/>
              </w:rPr>
              <w:t xml:space="preserve">0</w:t>
            </w:r>
          </w:p>
        </w:tc>
        <w:tc>
          <w:tcPr>
            <w:vMerge w:val="restart"/>
          </w:tcPr>
          <w:p w:rsidR="00000000" w:rsidDel="00000000" w:rsidP="00000000" w:rsidRDefault="00000000" w:rsidRPr="00000000" w14:paraId="00000037">
            <w:pPr>
              <w:jc w:val="both"/>
              <w:rPr/>
            </w:pPr>
            <w:r w:rsidDel="00000000" w:rsidR="00000000" w:rsidRPr="00000000">
              <w:rPr>
                <w:rtl w:val="0"/>
              </w:rPr>
              <w:t xml:space="preserve">Projektas atitinka šį prioritetinį projektų atrankos kriterijų, jei pareiškėjas PĮP aiškiai aprašo:</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Jei MVVG teritorijoje planuojama teikti paslauga/-os ir</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planuojamas vystyti socialinis verslas jau yra teikiama/-os ir vykdomas, pareiškėjas turi pateikti tikslias datas, kada tokia paslauga/-os ir socialinis verslas buvo pradėta/-i teikti, bei aprašyti, kodėl poreikis (paklausa) yra didesnė nei siūloma (asmenų, kuriems reikalinga tokia paslauga, yra daugiau, nei šiuo metu suteikiama paslaugų ir pan.).</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Jei planuojama pradėti teikti visai nauja/-os paslauga/-os ir vykdyti socialinis verslas, turi būti aprašyta, remiantis kitų MVVG ir (arba) kitų miestų, ir kitų šalių patirtimi, kodėl tokia paslauga ir socialinis verslas reikalinga /-as sėkminga /-as ir t.t.</w:t>
            </w:r>
          </w:p>
          <w:p w:rsidR="00000000" w:rsidDel="00000000" w:rsidP="00000000" w:rsidRDefault="00000000" w:rsidRPr="00000000" w14:paraId="0000003A">
            <w:pPr>
              <w:jc w:val="both"/>
              <w:rPr>
                <w:sz w:val="20"/>
                <w:szCs w:val="20"/>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i w:val="1"/>
                <w:sz w:val="20"/>
                <w:szCs w:val="20"/>
                <w:rtl w:val="0"/>
              </w:rPr>
              <w:t xml:space="preserve">Kriterijus vertinamas PĮP pateikimo dienai</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E">
            <w:pPr>
              <w:jc w:val="both"/>
              <w:rPr/>
            </w:pPr>
            <w:r w:rsidDel="00000000" w:rsidR="00000000" w:rsidRPr="00000000">
              <w:rPr>
                <w:rtl w:val="0"/>
              </w:rPr>
              <w:t xml:space="preserve">Planuojama/-os teikti socialinė/-ės paslauga/-os ir socialinis verslas nėra nauja/-i, tačiau yra aiškus tokios teikiamos paslaugos trūkumas ir poreikis</w:t>
            </w:r>
          </w:p>
        </w:tc>
        <w:tc>
          <w:tcPr/>
          <w:p w:rsidR="00000000" w:rsidDel="00000000" w:rsidP="00000000" w:rsidRDefault="00000000" w:rsidRPr="00000000" w14:paraId="0000003F">
            <w:pPr>
              <w:jc w:val="center"/>
              <w:rPr/>
            </w:pPr>
            <w:r w:rsidDel="00000000" w:rsidR="00000000" w:rsidRPr="00000000">
              <w:rPr>
                <w:rtl w:val="0"/>
              </w:rPr>
              <w:t xml:space="preserve">10</w:t>
            </w:r>
          </w:p>
        </w:tc>
        <w:tc>
          <w:tcPr>
            <w:vMerge w:val="continue"/>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43">
            <w:pPr>
              <w:jc w:val="both"/>
              <w:rPr/>
            </w:pPr>
            <w:r w:rsidDel="00000000" w:rsidR="00000000" w:rsidRPr="00000000">
              <w:rPr>
                <w:rtl w:val="0"/>
              </w:rPr>
              <w:t xml:space="preserve">Planuojam teikti naują/-as socialinę/-es paslaugą/-as ir vystyti naują socialinį verslą, ir toks poreikis aiškiai pagrįstas  </w:t>
            </w:r>
          </w:p>
        </w:tc>
        <w:tc>
          <w:tcPr/>
          <w:p w:rsidR="00000000" w:rsidDel="00000000" w:rsidP="00000000" w:rsidRDefault="00000000" w:rsidRPr="00000000" w14:paraId="00000044">
            <w:pPr>
              <w:jc w:val="center"/>
              <w:rPr/>
            </w:pPr>
            <w:r w:rsidDel="00000000" w:rsidR="00000000" w:rsidRPr="00000000">
              <w:rPr>
                <w:rtl w:val="0"/>
              </w:rPr>
              <w:t xml:space="preserve">20</w:t>
            </w:r>
          </w:p>
        </w:tc>
        <w:tc>
          <w:tcPr>
            <w:vMerge w:val="continue"/>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46">
            <w:pPr>
              <w:jc w:val="center"/>
              <w:rPr/>
            </w:pPr>
            <w:r w:rsidDel="00000000" w:rsidR="00000000" w:rsidRPr="00000000">
              <w:rPr>
                <w:rtl w:val="0"/>
              </w:rPr>
              <w:t xml:space="preserve">5.</w:t>
            </w:r>
          </w:p>
        </w:tc>
        <w:tc>
          <w:tcPr>
            <w:vMerge w:val="restart"/>
          </w:tcPr>
          <w:p w:rsidR="00000000" w:rsidDel="00000000" w:rsidP="00000000" w:rsidRDefault="00000000" w:rsidRPr="00000000" w14:paraId="00000047">
            <w:pPr>
              <w:jc w:val="both"/>
              <w:rPr/>
            </w:pPr>
            <w:r w:rsidDel="00000000" w:rsidR="00000000" w:rsidRPr="00000000">
              <w:rPr>
                <w:rtl w:val="0"/>
              </w:rPr>
              <w:t xml:space="preserve">Pareiškėjo patirtis įgyvendinant panašaus pobūdžio veiklas.</w:t>
            </w:r>
          </w:p>
        </w:tc>
        <w:tc>
          <w:tcPr/>
          <w:p w:rsidR="00000000" w:rsidDel="00000000" w:rsidP="00000000" w:rsidRDefault="00000000" w:rsidRPr="00000000" w14:paraId="00000048">
            <w:pPr>
              <w:jc w:val="both"/>
              <w:rPr/>
            </w:pPr>
            <w:r w:rsidDel="00000000" w:rsidR="00000000" w:rsidRPr="00000000">
              <w:rPr>
                <w:rtl w:val="0"/>
              </w:rPr>
              <w:t xml:space="preserve">Iki 1 metų </w:t>
            </w:r>
          </w:p>
        </w:tc>
        <w:tc>
          <w:tcPr/>
          <w:p w:rsidR="00000000" w:rsidDel="00000000" w:rsidP="00000000" w:rsidRDefault="00000000" w:rsidRPr="00000000" w14:paraId="00000049">
            <w:pPr>
              <w:jc w:val="center"/>
              <w:rPr/>
            </w:pPr>
            <w:r w:rsidDel="00000000" w:rsidR="00000000" w:rsidRPr="00000000">
              <w:rPr>
                <w:rtl w:val="0"/>
              </w:rPr>
              <w:t xml:space="preserve">0</w:t>
            </w:r>
          </w:p>
        </w:tc>
        <w:tc>
          <w:tcPr>
            <w:vMerge w:val="restart"/>
          </w:tcPr>
          <w:p w:rsidR="00000000" w:rsidDel="00000000" w:rsidP="00000000" w:rsidRDefault="00000000" w:rsidRPr="00000000" w14:paraId="0000004A">
            <w:pPr>
              <w:jc w:val="both"/>
              <w:rPr/>
            </w:pPr>
            <w:r w:rsidDel="00000000" w:rsidR="00000000" w:rsidRPr="00000000">
              <w:rPr>
                <w:rtl w:val="0"/>
              </w:rPr>
              <w:t xml:space="preserve">Projektas atitinka šį prioritetinį projektų atrankos kriterijų, jei pareiškėjas PĮP aiškiai aprašo savo veiklą, susijusią su planuojama projekte, aiškiai nurodant, nuo kada tokia veikla teikiama ir pateikiama veiklos </w:t>
            </w:r>
            <w:r w:rsidDel="00000000" w:rsidR="00000000" w:rsidRPr="00000000">
              <w:rPr>
                <w:rtl w:val="0"/>
              </w:rPr>
              <w:t xml:space="preserve">vykdymą</w:t>
            </w:r>
            <w:r w:rsidDel="00000000" w:rsidR="00000000" w:rsidRPr="00000000">
              <w:rPr>
                <w:rtl w:val="0"/>
              </w:rPr>
              <w:t xml:space="preserve"> įrodanti informacija (pvz. socialiniai tinklai, išsilavinimo dokumentai ir t.t.) </w:t>
            </w:r>
          </w:p>
          <w:p w:rsidR="00000000" w:rsidDel="00000000" w:rsidP="00000000" w:rsidRDefault="00000000" w:rsidRPr="00000000" w14:paraId="0000004B">
            <w:pPr>
              <w:jc w:val="both"/>
              <w:rPr>
                <w:sz w:val="20"/>
                <w:szCs w:val="20"/>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i w:val="1"/>
                <w:sz w:val="20"/>
                <w:szCs w:val="20"/>
                <w:rtl w:val="0"/>
              </w:rPr>
              <w:t xml:space="preserve">Kriterijus vertinamas PĮP pateikimo dienai</w:t>
            </w:r>
            <w:r w:rsidDel="00000000" w:rsidR="00000000" w:rsidRPr="00000000">
              <w:rPr>
                <w:rtl w:val="0"/>
              </w:rPr>
              <w:t xml:space="preserve">.</w:t>
            </w:r>
          </w:p>
        </w:tc>
      </w:tr>
      <w:tr>
        <w:trPr>
          <w:cantSplit w:val="0"/>
          <w:tblHeader w:val="0"/>
        </w:trPr>
        <w:tc>
          <w:tcPr>
            <w:vMerge w:val="continue"/>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4F">
            <w:pPr>
              <w:jc w:val="both"/>
              <w:rPr/>
            </w:pPr>
            <w:r w:rsidDel="00000000" w:rsidR="00000000" w:rsidRPr="00000000">
              <w:rPr>
                <w:rtl w:val="0"/>
              </w:rPr>
              <w:t xml:space="preserve">Nuo 1 iki 2</w:t>
            </w:r>
          </w:p>
        </w:tc>
        <w:tc>
          <w:tcPr/>
          <w:p w:rsidR="00000000" w:rsidDel="00000000" w:rsidP="00000000" w:rsidRDefault="00000000" w:rsidRPr="00000000" w14:paraId="00000050">
            <w:pPr>
              <w:jc w:val="center"/>
              <w:rPr/>
            </w:pPr>
            <w:r w:rsidDel="00000000" w:rsidR="00000000" w:rsidRPr="00000000">
              <w:rPr>
                <w:rtl w:val="0"/>
              </w:rPr>
              <w:t xml:space="preserve">5</w:t>
            </w:r>
          </w:p>
        </w:tc>
        <w:tc>
          <w:tcPr>
            <w:vMerge w:val="continue"/>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54">
            <w:pPr>
              <w:jc w:val="both"/>
              <w:rPr/>
            </w:pPr>
            <w:r w:rsidDel="00000000" w:rsidR="00000000" w:rsidRPr="00000000">
              <w:rPr>
                <w:rtl w:val="0"/>
              </w:rPr>
              <w:t xml:space="preserve">Nuo 2 ir daugiau metų</w:t>
            </w:r>
          </w:p>
        </w:tc>
        <w:tc>
          <w:tcPr/>
          <w:p w:rsidR="00000000" w:rsidDel="00000000" w:rsidP="00000000" w:rsidRDefault="00000000" w:rsidRPr="00000000" w14:paraId="00000055">
            <w:pPr>
              <w:jc w:val="center"/>
              <w:rPr/>
            </w:pPr>
            <w:r w:rsidDel="00000000" w:rsidR="00000000" w:rsidRPr="00000000">
              <w:rPr>
                <w:rtl w:val="0"/>
              </w:rPr>
              <w:t xml:space="preserve">10</w:t>
            </w:r>
          </w:p>
        </w:tc>
        <w:tc>
          <w:tcPr>
            <w:vMerge w:val="continue"/>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57">
            <w:pPr>
              <w:jc w:val="center"/>
              <w:rPr/>
            </w:pPr>
            <w:r w:rsidDel="00000000" w:rsidR="00000000" w:rsidRPr="00000000">
              <w:rPr>
                <w:rtl w:val="0"/>
              </w:rPr>
              <w:t xml:space="preserve">6.</w:t>
            </w:r>
          </w:p>
        </w:tc>
        <w:tc>
          <w:tcPr>
            <w:vMerge w:val="restart"/>
          </w:tcPr>
          <w:p w:rsidR="00000000" w:rsidDel="00000000" w:rsidP="00000000" w:rsidRDefault="00000000" w:rsidRPr="00000000" w14:paraId="00000058">
            <w:pPr>
              <w:jc w:val="both"/>
              <w:rPr/>
            </w:pPr>
            <w:r w:rsidDel="00000000" w:rsidR="00000000" w:rsidRPr="00000000">
              <w:rPr>
                <w:rtl w:val="0"/>
              </w:rPr>
              <w:t xml:space="preserve">Pareiškėjo steigėjas ar vadovas yra asmuo iki 29 metų (imtinai</w:t>
            </w:r>
            <w:r w:rsidDel="00000000" w:rsidR="00000000" w:rsidRPr="00000000">
              <w:rPr>
                <w:rtl w:val="0"/>
              </w:rPr>
              <w:t xml:space="preserve">).</w:t>
            </w:r>
          </w:p>
        </w:tc>
        <w:tc>
          <w:tcPr/>
          <w:p w:rsidR="00000000" w:rsidDel="00000000" w:rsidP="00000000" w:rsidRDefault="00000000" w:rsidRPr="00000000" w14:paraId="00000059">
            <w:pPr>
              <w:jc w:val="both"/>
              <w:rPr/>
            </w:pPr>
            <w:r w:rsidDel="00000000" w:rsidR="00000000" w:rsidRPr="00000000">
              <w:rPr>
                <w:rtl w:val="0"/>
              </w:rPr>
              <w:t xml:space="preserve">Pareiškėjo steigėjas ar vadovas yra asmuo vyresnis nei 29 metai</w:t>
            </w:r>
          </w:p>
        </w:tc>
        <w:tc>
          <w:tcPr/>
          <w:p w:rsidR="00000000" w:rsidDel="00000000" w:rsidP="00000000" w:rsidRDefault="00000000" w:rsidRPr="00000000" w14:paraId="0000005A">
            <w:pPr>
              <w:jc w:val="center"/>
              <w:rPr/>
            </w:pPr>
            <w:r w:rsidDel="00000000" w:rsidR="00000000" w:rsidRPr="00000000">
              <w:rPr>
                <w:rtl w:val="0"/>
              </w:rPr>
              <w:t xml:space="preserve">0</w:t>
            </w:r>
          </w:p>
        </w:tc>
        <w:tc>
          <w:tcPr>
            <w:vMerge w:val="restart"/>
          </w:tcPr>
          <w:p w:rsidR="00000000" w:rsidDel="00000000" w:rsidP="00000000" w:rsidRDefault="00000000" w:rsidRPr="00000000" w14:paraId="0000005B">
            <w:pPr>
              <w:jc w:val="both"/>
              <w:rPr/>
            </w:pPr>
            <w:r w:rsidDel="00000000" w:rsidR="00000000" w:rsidRPr="00000000">
              <w:rPr>
                <w:rtl w:val="0"/>
              </w:rPr>
              <w:t xml:space="preserve">Pareiškėjas kartu su PĮP turi pateikti dokumentus, įrodančius atitikimą šiam kriterijui - pareiškėjo steigėjas ar vadovas turi būti ne vyresnis kaip 29 metai (imtinai).</w:t>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i w:val="1"/>
                <w:sz w:val="20"/>
                <w:szCs w:val="20"/>
                <w:rtl w:val="0"/>
              </w:rPr>
              <w:t xml:space="preserve">Kriterijus vertinamas PĮP pateikimo dienai</w:t>
            </w:r>
            <w:r w:rsidDel="00000000" w:rsidR="00000000" w:rsidRPr="00000000">
              <w:rPr>
                <w:rtl w:val="0"/>
              </w:rPr>
              <w:t xml:space="preserve">.</w:t>
            </w:r>
          </w:p>
        </w:tc>
      </w:tr>
      <w:tr>
        <w:trPr>
          <w:cantSplit w:val="0"/>
          <w:tblHeader w:val="0"/>
        </w:trPr>
        <w:tc>
          <w:tcPr>
            <w:vMerge w:val="continue"/>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0">
            <w:pPr>
              <w:jc w:val="both"/>
              <w:rPr/>
            </w:pPr>
            <w:r w:rsidDel="00000000" w:rsidR="00000000" w:rsidRPr="00000000">
              <w:rPr>
                <w:rtl w:val="0"/>
              </w:rPr>
              <w:t xml:space="preserve">Pareiškėjo steigėjas ar vadovas yra asmuo iki 29 metų (imtinai)</w:t>
            </w:r>
          </w:p>
        </w:tc>
        <w:tc>
          <w:tcPr/>
          <w:p w:rsidR="00000000" w:rsidDel="00000000" w:rsidP="00000000" w:rsidRDefault="00000000" w:rsidRPr="00000000" w14:paraId="00000061">
            <w:pPr>
              <w:jc w:val="center"/>
              <w:rPr/>
            </w:pPr>
            <w:r w:rsidDel="00000000" w:rsidR="00000000" w:rsidRPr="00000000">
              <w:rPr>
                <w:rtl w:val="0"/>
              </w:rPr>
              <w:t xml:space="preserve">5</w:t>
            </w:r>
          </w:p>
        </w:tc>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40" w:hRule="atLeast"/>
          <w:tblHeader w:val="0"/>
        </w:trPr>
        <w:tc>
          <w:tcPr>
            <w:vMerge w:val="restart"/>
          </w:tcPr>
          <w:p w:rsidR="00000000" w:rsidDel="00000000" w:rsidP="00000000" w:rsidRDefault="00000000" w:rsidRPr="00000000" w14:paraId="00000063">
            <w:pPr>
              <w:jc w:val="center"/>
              <w:rPr/>
            </w:pPr>
            <w:r w:rsidDel="00000000" w:rsidR="00000000" w:rsidRPr="00000000">
              <w:rPr>
                <w:rtl w:val="0"/>
              </w:rPr>
              <w:t xml:space="preserve">7.</w:t>
            </w:r>
          </w:p>
        </w:tc>
        <w:tc>
          <w:tcPr>
            <w:vMerge w:val="restart"/>
          </w:tcPr>
          <w:p w:rsidR="00000000" w:rsidDel="00000000" w:rsidP="00000000" w:rsidRDefault="00000000" w:rsidRPr="00000000" w14:paraId="00000064">
            <w:pPr>
              <w:jc w:val="both"/>
              <w:rPr/>
            </w:pPr>
            <w:r w:rsidDel="00000000" w:rsidR="00000000" w:rsidRPr="00000000">
              <w:rPr>
                <w:rtl w:val="0"/>
              </w:rPr>
              <w:t xml:space="preserve">Projektas įgyvendinamas kartu su partneriais.</w:t>
            </w:r>
          </w:p>
        </w:tc>
        <w:tc>
          <w:tcPr/>
          <w:p w:rsidR="00000000" w:rsidDel="00000000" w:rsidP="00000000" w:rsidRDefault="00000000" w:rsidRPr="00000000" w14:paraId="00000065">
            <w:pPr>
              <w:jc w:val="both"/>
              <w:rPr/>
            </w:pPr>
            <w:r w:rsidDel="00000000" w:rsidR="00000000" w:rsidRPr="00000000">
              <w:rPr>
                <w:rtl w:val="0"/>
              </w:rPr>
              <w:t xml:space="preserve">Projektas įgyvendinamas be partnerių</w:t>
            </w:r>
          </w:p>
        </w:tc>
        <w:tc>
          <w:tcPr/>
          <w:p w:rsidR="00000000" w:rsidDel="00000000" w:rsidP="00000000" w:rsidRDefault="00000000" w:rsidRPr="00000000" w14:paraId="00000066">
            <w:pPr>
              <w:jc w:val="center"/>
              <w:rPr/>
            </w:pPr>
            <w:r w:rsidDel="00000000" w:rsidR="00000000" w:rsidRPr="00000000">
              <w:rPr>
                <w:rtl w:val="0"/>
              </w:rPr>
              <w:t xml:space="preserve">0</w:t>
            </w:r>
          </w:p>
        </w:tc>
        <w:tc>
          <w:tcPr>
            <w:vMerge w:val="restart"/>
          </w:tcPr>
          <w:p w:rsidR="00000000" w:rsidDel="00000000" w:rsidP="00000000" w:rsidRDefault="00000000" w:rsidRPr="00000000" w14:paraId="00000067">
            <w:pPr>
              <w:jc w:val="both"/>
              <w:rPr/>
            </w:pPr>
            <w:r w:rsidDel="00000000" w:rsidR="00000000" w:rsidRPr="00000000">
              <w:rPr>
                <w:rtl w:val="0"/>
              </w:rPr>
              <w:t xml:space="preserve">Pareiškėjas PĮP nurodo partnerius ir aiškiai aprašo, kodėl tokie partneriai pasirinkti, kokias veiklas vykdys projekte ir kokia pridėtinė jų vertė. </w:t>
            </w:r>
            <w:r w:rsidDel="00000000" w:rsidR="00000000" w:rsidRPr="00000000">
              <w:rPr>
                <w:rtl w:val="0"/>
              </w:rPr>
              <w:t xml:space="preserve">Pateikiama jungtinės veiklos (partnerystės) sutartis (laisvos formos).</w:t>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pPr>
            <w:r w:rsidDel="00000000" w:rsidR="00000000" w:rsidRPr="00000000">
              <w:rPr>
                <w:i w:val="1"/>
                <w:sz w:val="20"/>
                <w:szCs w:val="20"/>
                <w:rtl w:val="0"/>
              </w:rPr>
              <w:t xml:space="preserve">Kriterijus vertinamas PĮP pateikimo dienai</w:t>
            </w:r>
            <w:r w:rsidDel="00000000" w:rsidR="00000000" w:rsidRPr="00000000">
              <w:rPr>
                <w:rtl w:val="0"/>
              </w:rPr>
              <w:t xml:space="preserve">.</w:t>
            </w:r>
          </w:p>
        </w:tc>
      </w:tr>
      <w:tr>
        <w:trPr>
          <w:cantSplit w:val="0"/>
          <w:trHeight w:val="1877.8125" w:hRule="atLeast"/>
          <w:tblHeader w:val="0"/>
        </w:trPr>
        <w:tc>
          <w:tcPr>
            <w:vMerge w:val="continue"/>
          </w:tcPr>
          <w:p w:rsidR="00000000" w:rsidDel="00000000" w:rsidP="00000000" w:rsidRDefault="00000000" w:rsidRPr="00000000" w14:paraId="0000006B">
            <w:pPr>
              <w:spacing w:after="0" w:before="0" w:line="240" w:lineRule="auto"/>
              <w:ind w:left="0" w:firstLine="0"/>
              <w:jc w:val="center"/>
              <w:rPr/>
            </w:pPr>
            <w:r w:rsidDel="00000000" w:rsidR="00000000" w:rsidRPr="00000000">
              <w:rPr>
                <w:rtl w:val="0"/>
              </w:rPr>
            </w:r>
          </w:p>
        </w:tc>
        <w:tc>
          <w:tcPr>
            <w:vMerge w:val="continue"/>
          </w:tcPr>
          <w:p w:rsidR="00000000" w:rsidDel="00000000" w:rsidP="00000000" w:rsidRDefault="00000000" w:rsidRPr="00000000" w14:paraId="0000006C">
            <w:pPr>
              <w:spacing w:after="0" w:before="0" w:line="240" w:lineRule="auto"/>
              <w:ind w:left="0" w:firstLine="0"/>
              <w:jc w:val="both"/>
              <w:rPr/>
            </w:pPr>
            <w:r w:rsidDel="00000000" w:rsidR="00000000" w:rsidRPr="00000000">
              <w:rPr>
                <w:rtl w:val="0"/>
              </w:rPr>
            </w:r>
          </w:p>
        </w:tc>
        <w:tc>
          <w:tcPr/>
          <w:p w:rsidR="00000000" w:rsidDel="00000000" w:rsidP="00000000" w:rsidRDefault="00000000" w:rsidRPr="00000000" w14:paraId="0000006D">
            <w:pPr>
              <w:jc w:val="both"/>
              <w:rPr/>
            </w:pPr>
            <w:r w:rsidDel="00000000" w:rsidR="00000000" w:rsidRPr="00000000">
              <w:rPr>
                <w:rtl w:val="0"/>
              </w:rPr>
              <w:t xml:space="preserve">Projektas įgyvendinamas su bent vienu partneriu ir yra aiškiai pagrįstas partnerio būtinumas dalyvauti projekte</w:t>
            </w:r>
          </w:p>
        </w:tc>
        <w:tc>
          <w:tcPr/>
          <w:p w:rsidR="00000000" w:rsidDel="00000000" w:rsidP="00000000" w:rsidRDefault="00000000" w:rsidRPr="00000000" w14:paraId="0000006E">
            <w:pPr>
              <w:jc w:val="center"/>
              <w:rPr/>
            </w:pPr>
            <w:r w:rsidDel="00000000" w:rsidR="00000000" w:rsidRPr="00000000">
              <w:rPr>
                <w:rtl w:val="0"/>
              </w:rPr>
              <w:t xml:space="preserve">5</w:t>
            </w:r>
          </w:p>
        </w:tc>
        <w:tc>
          <w:tcPr>
            <w:vMerge w:val="continue"/>
          </w:tcPr>
          <w:p w:rsidR="00000000" w:rsidDel="00000000" w:rsidP="00000000" w:rsidRDefault="00000000" w:rsidRPr="00000000" w14:paraId="0000006F">
            <w:pPr>
              <w:spacing w:after="0" w:before="0" w:line="240" w:lineRule="auto"/>
              <w:ind w:left="0" w:firstLine="0"/>
              <w:jc w:val="both"/>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70">
            <w:pPr>
              <w:jc w:val="right"/>
              <w:rPr>
                <w:b w:val="1"/>
              </w:rPr>
            </w:pPr>
            <w:r w:rsidDel="00000000" w:rsidR="00000000" w:rsidRPr="00000000">
              <w:rPr>
                <w:b w:val="1"/>
                <w:rtl w:val="0"/>
              </w:rPr>
              <w:t xml:space="preserve">Iš viso:</w:t>
            </w:r>
          </w:p>
        </w:tc>
        <w:tc>
          <w:tcPr/>
          <w:p w:rsidR="00000000" w:rsidDel="00000000" w:rsidP="00000000" w:rsidRDefault="00000000" w:rsidRPr="00000000" w14:paraId="00000073">
            <w:pPr>
              <w:jc w:val="center"/>
              <w:rPr>
                <w:b w:val="1"/>
              </w:rPr>
            </w:pPr>
            <w:r w:rsidDel="00000000" w:rsidR="00000000" w:rsidRPr="00000000">
              <w:rPr>
                <w:b w:val="1"/>
                <w:rtl w:val="0"/>
              </w:rPr>
              <w:t xml:space="preserve">100</w:t>
            </w:r>
          </w:p>
        </w:tc>
        <w:tc>
          <w:tcPr/>
          <w:p w:rsidR="00000000" w:rsidDel="00000000" w:rsidP="00000000" w:rsidRDefault="00000000" w:rsidRPr="00000000" w14:paraId="00000074">
            <w:pPr>
              <w:jc w:val="center"/>
              <w:rPr/>
            </w:pPr>
            <w:r w:rsidDel="00000000" w:rsidR="00000000" w:rsidRPr="00000000">
              <w:rPr>
                <w:rtl w:val="0"/>
              </w:rPr>
            </w:r>
          </w:p>
        </w:tc>
      </w:tr>
    </w:tbl>
    <w:p w:rsidR="00000000" w:rsidDel="00000000" w:rsidP="00000000" w:rsidRDefault="00000000" w:rsidRPr="00000000" w14:paraId="00000075">
      <w:pPr>
        <w:jc w:val="left"/>
        <w:rPr>
          <w:b w:val="1"/>
        </w:rPr>
      </w:pPr>
      <w:r w:rsidDel="00000000" w:rsidR="00000000" w:rsidRPr="00000000">
        <w:rPr>
          <w:rtl w:val="0"/>
        </w:rPr>
      </w:r>
    </w:p>
    <w:p w:rsidR="00000000" w:rsidDel="00000000" w:rsidP="00000000" w:rsidRDefault="00000000" w:rsidRPr="00000000" w14:paraId="00000076">
      <w:pPr>
        <w:spacing w:line="256.7994545454545" w:lineRule="auto"/>
        <w:jc w:val="both"/>
        <w:rPr>
          <w:b w:val="1"/>
          <w:sz w:val="28"/>
          <w:szCs w:val="28"/>
        </w:rPr>
      </w:pPr>
      <w:r w:rsidDel="00000000" w:rsidR="00000000" w:rsidRPr="00000000">
        <w:rPr>
          <w:rtl w:val="0"/>
        </w:rPr>
        <w:t xml:space="preserve">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r w:rsidDel="00000000" w:rsidR="00000000" w:rsidRPr="00000000">
        <w:rPr>
          <w:rtl w:val="0"/>
        </w:rPr>
      </w:r>
    </w:p>
    <w:sectPr>
      <w:headerReference r:id="rId7" w:type="default"/>
      <w:pgSz w:h="11906" w:w="16838" w:orient="landscape"/>
      <w:pgMar w:bottom="567" w:top="1701" w:left="1134" w:right="170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spacing w:after="0" w:line="240" w:lineRule="auto"/>
      <w:jc w:val="right"/>
      <w:rPr>
        <w:color w:val="000000"/>
      </w:rPr>
    </w:pPr>
    <w:r w:rsidDel="00000000" w:rsidR="00000000" w:rsidRPr="00000000">
      <w:rPr>
        <w:rtl w:val="0"/>
      </w:rPr>
      <w:tab/>
    </w:r>
    <w:r w:rsidDel="00000000" w:rsidR="00000000" w:rsidRPr="00000000">
      <w:rPr>
        <w:color w:val="000000"/>
        <w:rtl w:val="0"/>
      </w:rPr>
      <w:t xml:space="preserve">Patvirtinta Molėtų miesto vietos veiklos grupės „Molėtų aitvarai“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202</w:t>
    </w:r>
    <w:r w:rsidDel="00000000" w:rsidR="00000000" w:rsidRPr="00000000">
      <w:rPr>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tl w:val="0"/>
      </w:rPr>
      <w:t xml:space="preserve">01</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tl w:val="0"/>
      </w:rPr>
      <w:t xml:space="preserve">14</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valdybos susirinkimo protokolu Nr. VP-202</w:t>
    </w:r>
    <w:r w:rsidDel="00000000" w:rsidR="00000000" w:rsidRPr="00000000">
      <w:rPr>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tl w:val="0"/>
      </w:rPr>
      <w:t xml:space="preserve">01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t-L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370358"/>
    <w:rPr>
      <w:rFonts w:ascii="Times New Roman" w:hAnsi="Times New Roman"/>
      <w:sz w:val="24"/>
    </w:rPr>
  </w:style>
  <w:style w:type="paragraph" w:styleId="Heading1">
    <w:name w:val="heading 1"/>
    <w:basedOn w:val="Normal"/>
    <w:next w:val="Normal"/>
    <w:link w:val="Heading1Char"/>
    <w:uiPriority w:val="9"/>
    <w:qFormat w:val="1"/>
    <w:rsid w:val="007574BF"/>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7574BF"/>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7574BF"/>
    <w:pPr>
      <w:keepNext w:val="1"/>
      <w:keepLines w:val="1"/>
      <w:spacing w:after="80" w:before="160"/>
      <w:outlineLvl w:val="2"/>
    </w:pPr>
    <w:rPr>
      <w:rFonts w:asciiTheme="minorHAnsi" w:cstheme="majorBidi" w:eastAsiaTheme="majorEastAsia" w:hAnsiTheme="minorHAnsi"/>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7574BF"/>
    <w:pPr>
      <w:keepNext w:val="1"/>
      <w:keepLines w:val="1"/>
      <w:spacing w:after="40" w:before="80"/>
      <w:outlineLvl w:val="3"/>
    </w:pPr>
    <w:rPr>
      <w:rFonts w:asciiTheme="minorHAnsi" w:cstheme="majorBidi" w:eastAsiaTheme="majorEastAsia" w:hAnsiTheme="minorHAnsi"/>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7574BF"/>
    <w:pPr>
      <w:keepNext w:val="1"/>
      <w:keepLines w:val="1"/>
      <w:spacing w:after="40" w:before="80"/>
      <w:outlineLvl w:val="4"/>
    </w:pPr>
    <w:rPr>
      <w:rFonts w:asciiTheme="minorHAnsi" w:cstheme="majorBidi" w:eastAsiaTheme="majorEastAsia" w:hAnsiTheme="minorHAnsi"/>
      <w:color w:val="0f4761" w:themeColor="accent1" w:themeShade="0000BF"/>
    </w:rPr>
  </w:style>
  <w:style w:type="paragraph" w:styleId="Heading6">
    <w:name w:val="heading 6"/>
    <w:basedOn w:val="Normal"/>
    <w:next w:val="Normal"/>
    <w:link w:val="Heading6Char"/>
    <w:uiPriority w:val="9"/>
    <w:semiHidden w:val="1"/>
    <w:unhideWhenUsed w:val="1"/>
    <w:qFormat w:val="1"/>
    <w:rsid w:val="007574BF"/>
    <w:pPr>
      <w:keepNext w:val="1"/>
      <w:keepLines w:val="1"/>
      <w:spacing w:after="0" w:before="40"/>
      <w:outlineLvl w:val="5"/>
    </w:pPr>
    <w:rPr>
      <w:rFonts w:asciiTheme="minorHAnsi" w:cstheme="majorBidi" w:eastAsiaTheme="majorEastAsia" w:hAnsiTheme="minorHAnsi"/>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7574BF"/>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7574BF"/>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574BF"/>
    <w:pPr>
      <w:keepNext w:val="1"/>
      <w:keepLines w:val="1"/>
      <w:spacing w:after="0"/>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574B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574B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574B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574BF"/>
    <w:rPr>
      <w:rFonts w:cstheme="majorBidi" w:eastAsiaTheme="majorEastAsia"/>
      <w:i w:val="1"/>
      <w:iCs w:val="1"/>
      <w:color w:val="0f4761" w:themeColor="accent1" w:themeShade="0000BF"/>
      <w:sz w:val="24"/>
    </w:rPr>
  </w:style>
  <w:style w:type="character" w:styleId="Heading5Char" w:customStyle="1">
    <w:name w:val="Heading 5 Char"/>
    <w:basedOn w:val="DefaultParagraphFont"/>
    <w:link w:val="Heading5"/>
    <w:uiPriority w:val="9"/>
    <w:semiHidden w:val="1"/>
    <w:rsid w:val="007574BF"/>
    <w:rPr>
      <w:rFonts w:cstheme="majorBidi" w:eastAsiaTheme="majorEastAsia"/>
      <w:color w:val="0f4761" w:themeColor="accent1" w:themeShade="0000BF"/>
      <w:sz w:val="24"/>
    </w:rPr>
  </w:style>
  <w:style w:type="character" w:styleId="Heading6Char" w:customStyle="1">
    <w:name w:val="Heading 6 Char"/>
    <w:basedOn w:val="DefaultParagraphFont"/>
    <w:link w:val="Heading6"/>
    <w:uiPriority w:val="9"/>
    <w:semiHidden w:val="1"/>
    <w:rsid w:val="007574BF"/>
    <w:rPr>
      <w:rFonts w:cstheme="majorBidi" w:eastAsiaTheme="majorEastAsia"/>
      <w:i w:val="1"/>
      <w:iCs w:val="1"/>
      <w:color w:val="595959" w:themeColor="text1" w:themeTint="0000A6"/>
      <w:sz w:val="24"/>
    </w:rPr>
  </w:style>
  <w:style w:type="character" w:styleId="Heading7Char" w:customStyle="1">
    <w:name w:val="Heading 7 Char"/>
    <w:basedOn w:val="DefaultParagraphFont"/>
    <w:link w:val="Heading7"/>
    <w:uiPriority w:val="9"/>
    <w:semiHidden w:val="1"/>
    <w:rsid w:val="007574BF"/>
    <w:rPr>
      <w:rFonts w:cstheme="majorBidi" w:eastAsiaTheme="majorEastAsia"/>
      <w:color w:val="595959" w:themeColor="text1" w:themeTint="0000A6"/>
      <w:sz w:val="24"/>
    </w:rPr>
  </w:style>
  <w:style w:type="character" w:styleId="Heading8Char" w:customStyle="1">
    <w:name w:val="Heading 8 Char"/>
    <w:basedOn w:val="DefaultParagraphFont"/>
    <w:link w:val="Heading8"/>
    <w:uiPriority w:val="9"/>
    <w:semiHidden w:val="1"/>
    <w:rsid w:val="007574BF"/>
    <w:rPr>
      <w:rFonts w:cstheme="majorBidi" w:eastAsiaTheme="majorEastAsia"/>
      <w:i w:val="1"/>
      <w:iCs w:val="1"/>
      <w:color w:val="272727" w:themeColor="text1" w:themeTint="0000D8"/>
      <w:sz w:val="24"/>
    </w:rPr>
  </w:style>
  <w:style w:type="character" w:styleId="Heading9Char" w:customStyle="1">
    <w:name w:val="Heading 9 Char"/>
    <w:basedOn w:val="DefaultParagraphFont"/>
    <w:link w:val="Heading9"/>
    <w:uiPriority w:val="9"/>
    <w:semiHidden w:val="1"/>
    <w:rsid w:val="007574BF"/>
    <w:rPr>
      <w:rFonts w:cstheme="majorBidi" w:eastAsiaTheme="majorEastAsia"/>
      <w:color w:val="272727" w:themeColor="text1" w:themeTint="0000D8"/>
      <w:sz w:val="24"/>
    </w:rPr>
  </w:style>
  <w:style w:type="paragraph" w:styleId="Title">
    <w:name w:val="Title"/>
    <w:basedOn w:val="Normal"/>
    <w:next w:val="Normal"/>
    <w:link w:val="TitleChar"/>
    <w:uiPriority w:val="10"/>
    <w:qFormat w:val="1"/>
    <w:rsid w:val="007574BF"/>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7574BF"/>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7574BF"/>
    <w:pPr>
      <w:numPr>
        <w:ilvl w:val="1"/>
      </w:numPr>
    </w:pPr>
    <w:rPr>
      <w:rFonts w:asciiTheme="minorHAnsi" w:cstheme="majorBidi" w:eastAsiaTheme="majorEastAsia" w:hAnsiTheme="minorHAnsi"/>
      <w:color w:val="595959" w:themeColor="text1" w:themeTint="0000A6"/>
      <w:spacing w:val="15"/>
      <w:sz w:val="28"/>
      <w:szCs w:val="28"/>
    </w:rPr>
  </w:style>
  <w:style w:type="character" w:styleId="SubtitleChar" w:customStyle="1">
    <w:name w:val="Subtitle Char"/>
    <w:basedOn w:val="DefaultParagraphFont"/>
    <w:link w:val="Subtitle"/>
    <w:uiPriority w:val="11"/>
    <w:rsid w:val="007574B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574B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574BF"/>
    <w:rPr>
      <w:rFonts w:ascii="Times New Roman" w:hAnsi="Times New Roman"/>
      <w:i w:val="1"/>
      <w:iCs w:val="1"/>
      <w:color w:val="404040" w:themeColor="text1" w:themeTint="0000BF"/>
      <w:sz w:val="24"/>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val="1"/>
    <w:rsid w:val="007574BF"/>
    <w:pPr>
      <w:ind w:left="720"/>
      <w:contextualSpacing w:val="1"/>
    </w:pPr>
  </w:style>
  <w:style w:type="character" w:styleId="IntenseEmphasis">
    <w:name w:val="Intense Emphasis"/>
    <w:basedOn w:val="DefaultParagraphFont"/>
    <w:uiPriority w:val="21"/>
    <w:qFormat w:val="1"/>
    <w:rsid w:val="007574BF"/>
    <w:rPr>
      <w:i w:val="1"/>
      <w:iCs w:val="1"/>
      <w:color w:val="0f4761" w:themeColor="accent1" w:themeShade="0000BF"/>
    </w:rPr>
  </w:style>
  <w:style w:type="paragraph" w:styleId="IntenseQuote">
    <w:name w:val="Intense Quote"/>
    <w:basedOn w:val="Normal"/>
    <w:next w:val="Normal"/>
    <w:link w:val="IntenseQuoteChar"/>
    <w:uiPriority w:val="30"/>
    <w:qFormat w:val="1"/>
    <w:rsid w:val="007574B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574BF"/>
    <w:rPr>
      <w:rFonts w:ascii="Times New Roman" w:hAnsi="Times New Roman"/>
      <w:i w:val="1"/>
      <w:iCs w:val="1"/>
      <w:color w:val="0f4761" w:themeColor="accent1" w:themeShade="0000BF"/>
      <w:sz w:val="24"/>
    </w:rPr>
  </w:style>
  <w:style w:type="character" w:styleId="IntenseReference">
    <w:name w:val="Intense Reference"/>
    <w:basedOn w:val="DefaultParagraphFont"/>
    <w:uiPriority w:val="32"/>
    <w:qFormat w:val="1"/>
    <w:rsid w:val="007574BF"/>
    <w:rPr>
      <w:b w:val="1"/>
      <w:bCs w:val="1"/>
      <w:smallCaps w:val="1"/>
      <w:color w:val="0f4761" w:themeColor="accent1" w:themeShade="0000BF"/>
      <w:spacing w:val="5"/>
    </w:rPr>
  </w:style>
  <w:style w:type="paragraph" w:styleId="Header">
    <w:name w:val="header"/>
    <w:basedOn w:val="Normal"/>
    <w:link w:val="HeaderChar"/>
    <w:uiPriority w:val="99"/>
    <w:unhideWhenUsed w:val="1"/>
    <w:rsid w:val="00D03833"/>
    <w:pPr>
      <w:tabs>
        <w:tab w:val="center" w:pos="4819"/>
        <w:tab w:val="right" w:pos="9638"/>
      </w:tabs>
      <w:spacing w:after="0" w:line="240" w:lineRule="auto"/>
    </w:pPr>
  </w:style>
  <w:style w:type="character" w:styleId="HeaderChar" w:customStyle="1">
    <w:name w:val="Header Char"/>
    <w:basedOn w:val="DefaultParagraphFont"/>
    <w:link w:val="Header"/>
    <w:uiPriority w:val="99"/>
    <w:rsid w:val="00D03833"/>
    <w:rPr>
      <w:rFonts w:ascii="Times New Roman" w:hAnsi="Times New Roman"/>
      <w:sz w:val="24"/>
    </w:rPr>
  </w:style>
  <w:style w:type="paragraph" w:styleId="Footer">
    <w:name w:val="footer"/>
    <w:basedOn w:val="Normal"/>
    <w:link w:val="FooterChar"/>
    <w:uiPriority w:val="99"/>
    <w:unhideWhenUsed w:val="1"/>
    <w:rsid w:val="00D03833"/>
    <w:pPr>
      <w:tabs>
        <w:tab w:val="center" w:pos="4819"/>
        <w:tab w:val="right" w:pos="9638"/>
      </w:tabs>
      <w:spacing w:after="0" w:line="240" w:lineRule="auto"/>
    </w:pPr>
  </w:style>
  <w:style w:type="character" w:styleId="FooterChar" w:customStyle="1">
    <w:name w:val="Footer Char"/>
    <w:basedOn w:val="DefaultParagraphFont"/>
    <w:link w:val="Footer"/>
    <w:uiPriority w:val="99"/>
    <w:rsid w:val="00D03833"/>
    <w:rPr>
      <w:rFonts w:ascii="Times New Roman" w:hAnsi="Times New Roman"/>
      <w:sz w:val="24"/>
    </w:rPr>
  </w:style>
  <w:style w:type="table" w:styleId="TableGrid">
    <w:name w:val="Table Grid"/>
    <w:basedOn w:val="TableNormal"/>
    <w:uiPriority w:val="39"/>
    <w:rsid w:val="00D0383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6250CD"/>
    <w:pPr>
      <w:spacing w:after="100" w:afterAutospacing="1" w:before="100" w:beforeAutospacing="1" w:line="240" w:lineRule="auto"/>
    </w:pPr>
    <w:rPr>
      <w:rFonts w:cs="Times New Roman" w:eastAsia="Times New Roman"/>
      <w:kern w:val="0"/>
      <w:szCs w:val="24"/>
      <w:lang w:eastAsia="en-GB" w:val="en-LT"/>
    </w:rPr>
  </w:style>
  <w:style w:type="character" w:styleId="normaltextrun" w:customStyle="1">
    <w:name w:val="normaltextrun"/>
    <w:basedOn w:val="DefaultParagraphFont"/>
    <w:rsid w:val="006250CD"/>
  </w:style>
  <w:style w:type="character" w:styleId="ListParagraphChar" w:customStyle="1">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val="1"/>
    <w:rsid w:val="00BA53A7"/>
    <w:rPr>
      <w:rFonts w:ascii="Times New Roman" w:hAnsi="Times New Roman"/>
      <w:sz w:val="24"/>
    </w:rPr>
  </w:style>
  <w:style w:type="character" w:styleId="CommentReference">
    <w:name w:val="annotation reference"/>
    <w:basedOn w:val="DefaultParagraphFont"/>
    <w:uiPriority w:val="99"/>
    <w:semiHidden w:val="1"/>
    <w:unhideWhenUsed w:val="1"/>
    <w:rsid w:val="0043323B"/>
    <w:rPr>
      <w:sz w:val="16"/>
      <w:szCs w:val="16"/>
    </w:rPr>
  </w:style>
  <w:style w:type="paragraph" w:styleId="CommentText">
    <w:name w:val="annotation text"/>
    <w:basedOn w:val="Normal"/>
    <w:link w:val="CommentTextChar"/>
    <w:uiPriority w:val="99"/>
    <w:semiHidden w:val="1"/>
    <w:unhideWhenUsed w:val="1"/>
    <w:rsid w:val="0043323B"/>
    <w:pPr>
      <w:spacing w:line="240" w:lineRule="auto"/>
    </w:pPr>
    <w:rPr>
      <w:sz w:val="20"/>
      <w:szCs w:val="20"/>
    </w:rPr>
  </w:style>
  <w:style w:type="character" w:styleId="CommentTextChar" w:customStyle="1">
    <w:name w:val="Comment Text Char"/>
    <w:basedOn w:val="DefaultParagraphFont"/>
    <w:link w:val="CommentText"/>
    <w:uiPriority w:val="99"/>
    <w:semiHidden w:val="1"/>
    <w:rsid w:val="0043323B"/>
    <w:rPr>
      <w:rFonts w:ascii="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43323B"/>
    <w:rPr>
      <w:b w:val="1"/>
      <w:bCs w:val="1"/>
    </w:rPr>
  </w:style>
  <w:style w:type="character" w:styleId="CommentSubjectChar" w:customStyle="1">
    <w:name w:val="Comment Subject Char"/>
    <w:basedOn w:val="CommentTextChar"/>
    <w:link w:val="CommentSubject"/>
    <w:uiPriority w:val="99"/>
    <w:semiHidden w:val="1"/>
    <w:rsid w:val="0043323B"/>
    <w:rPr>
      <w:rFonts w:ascii="Times New Roman" w:hAnsi="Times New Roman"/>
      <w:b w:val="1"/>
      <w:bCs w:val="1"/>
      <w:sz w:val="20"/>
      <w:szCs w:val="20"/>
    </w:rPr>
  </w:style>
  <w:style w:type="paragraph" w:styleId="Subtitle">
    <w:name w:val="Subtitle"/>
    <w:basedOn w:val="Normal"/>
    <w:next w:val="Normal"/>
    <w:pPr/>
    <w:rPr>
      <w:rFonts w:ascii="Aptos" w:cs="Aptos" w:eastAsia="Aptos" w:hAnsi="Aptos"/>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aF/egGlOJNQ+iEBPyxaveq6Yw==">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2024-11-27T12:43:00Z</dcterms:created>
  <dc:creator>Aurelija Aidietė</dc:creator>
</cp:coreProperties>
</file>