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D6A3D" w14:textId="77777777" w:rsidR="00F07934" w:rsidRDefault="00F07934" w:rsidP="00F07934">
      <w:pPr>
        <w:spacing w:after="0" w:line="240" w:lineRule="auto"/>
        <w:jc w:val="right"/>
        <w:rPr>
          <w:rFonts w:ascii="Times New Roman" w:hAnsi="Times New Roman"/>
          <w:sz w:val="24"/>
          <w:szCs w:val="24"/>
          <w:shd w:val="clear" w:color="auto" w:fill="FFFFFF"/>
          <w:lang w:eastAsia="lt-LT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F07934" w:rsidRPr="004C6140" w14:paraId="5FC03A6C" w14:textId="77777777" w:rsidTr="00AB7F4C">
        <w:tc>
          <w:tcPr>
            <w:tcW w:w="222" w:type="dxa"/>
            <w:shd w:val="clear" w:color="auto" w:fill="auto"/>
          </w:tcPr>
          <w:p w14:paraId="33917F5D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6FCFE2C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153CF8BE" w14:textId="77777777" w:rsidR="00F07934" w:rsidRPr="004C6140" w:rsidRDefault="00F07934" w:rsidP="00AB7F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5F1F46E5" w14:textId="77777777" w:rsidR="00F07934" w:rsidRPr="004C6140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4DEFB008" w14:textId="18F54A57" w:rsidR="00F07934" w:rsidRPr="00EA3048" w:rsidRDefault="00602403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Radviliškio</w:t>
            </w:r>
            <w:r w:rsidR="00942B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7934"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7F4111DF" w14:textId="77777777" w:rsidR="00F07934" w:rsidRPr="00EA3048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7E579896" w14:textId="0276C324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>202</w:t>
            </w:r>
            <w:r w:rsidR="00AE25FD">
              <w:rPr>
                <w:rFonts w:ascii="Times New Roman" w:hAnsi="Times New Roman"/>
                <w:sz w:val="24"/>
                <w:szCs w:val="24"/>
              </w:rPr>
              <w:t>5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5FD">
              <w:rPr>
                <w:rFonts w:ascii="Times New Roman" w:hAnsi="Times New Roman"/>
                <w:sz w:val="24"/>
                <w:szCs w:val="24"/>
              </w:rPr>
              <w:t>kovo</w:t>
            </w:r>
            <w:r w:rsidR="00646F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mėn.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F7A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0185A703" w14:textId="38084874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posėdžio protokolu Nr.</w:t>
            </w:r>
            <w:r w:rsidR="0035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25F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7F64BC95" w14:textId="77777777" w:rsidR="00F07934" w:rsidRDefault="00F07934" w:rsidP="00AB7F4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F07934" w:rsidRPr="005A1DFA" w14:paraId="5DE05EE0" w14:textId="77777777" w:rsidTr="00AB7F4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56A39D8F" w14:textId="7FB35FD8" w:rsidR="00F07934" w:rsidRPr="005A1DFA" w:rsidRDefault="00F07934" w:rsidP="00AB7F4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4E9B5F17" wp14:editId="399BDB09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F07934" w:rsidRPr="009A2104" w14:paraId="5B04E0EB" w14:textId="77777777" w:rsidTr="00AB7F4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03A48EBF" w14:textId="36769699" w:rsidR="00F07934" w:rsidRPr="00602403" w:rsidRDefault="00845C28" w:rsidP="00AB7F4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602403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602403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602403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653585AA" w14:textId="1CA3487F" w:rsidR="00F07934" w:rsidRPr="00B75D2C" w:rsidRDefault="009A5533" w:rsidP="00AB7F4C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 xml:space="preserve">uropos </w:t>
            </w:r>
            <w:r>
              <w:rPr>
                <w:rFonts w:ascii="Times New Roman" w:hAnsi="Times New Roman"/>
                <w:b/>
              </w:rPr>
              <w:t>r</w:t>
            </w:r>
            <w:r w:rsidRPr="00B75D2C">
              <w:rPr>
                <w:rFonts w:ascii="Times New Roman" w:hAnsi="Times New Roman"/>
                <w:b/>
              </w:rPr>
              <w:t>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5155B2FB" w14:textId="77777777" w:rsidR="00F07934" w:rsidRPr="004C6140" w:rsidRDefault="00F07934" w:rsidP="00AB7F4C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E10DDA7" w14:textId="7C48AE92" w:rsidR="00942BCD" w:rsidRPr="00942BCD" w:rsidRDefault="00367953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="00942BCD"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681444DB" w14:textId="474DB333" w:rsidR="00942BCD" w:rsidRPr="00942BCD" w:rsidRDefault="00942BCD" w:rsidP="00942BC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 w:rsidR="00367953"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1435E0B0" w14:textId="77777777" w:rsidR="00F07934" w:rsidRDefault="00F07934" w:rsidP="00F0793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F988D7" w14:textId="77777777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5DA5B9D4" w14:textId="5C95684C" w:rsidR="00F07934" w:rsidRDefault="00F07934" w:rsidP="00367953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 xml:space="preserve">TIKSLĄ, 1.1.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1.1.</w:t>
      </w:r>
      <w:r w:rsidR="00942BCD" w:rsidRPr="00367953">
        <w:rPr>
          <w:rFonts w:ascii="Times New Roman" w:hAnsi="Times New Roman"/>
          <w:b/>
          <w:bCs/>
          <w:sz w:val="24"/>
          <w:szCs w:val="24"/>
        </w:rPr>
        <w:t>1.</w:t>
      </w:r>
      <w:r w:rsidRPr="00367953">
        <w:rPr>
          <w:rFonts w:ascii="Times New Roman" w:hAnsi="Times New Roman"/>
          <w:b/>
          <w:bCs/>
          <w:sz w:val="24"/>
          <w:szCs w:val="24"/>
        </w:rPr>
        <w:t xml:space="preserve"> VEIKSMĄ </w:t>
      </w:r>
      <w:r w:rsidR="00367953" w:rsidRPr="00367953">
        <w:rPr>
          <w:rFonts w:ascii="Times New Roman" w:hAnsi="Times New Roman"/>
          <w:b/>
          <w:bCs/>
          <w:sz w:val="24"/>
          <w:szCs w:val="24"/>
        </w:rPr>
        <w:t>„</w:t>
      </w:r>
      <w:r w:rsidR="00367953" w:rsidRPr="00367953">
        <w:rPr>
          <w:rFonts w:ascii="Times New Roman" w:hAnsi="Times New Roman"/>
          <w:b/>
          <w:bCs/>
          <w:sz w:val="24"/>
          <w:szCs w:val="24"/>
          <w:lang w:eastAsia="lt-LT"/>
        </w:rPr>
        <w:t>BENDRŲJŲ SOCIALINIŲ IR SOCIOKULTŪRINIŲ PASLAUGŲ TEIKIMAS SOCIALIAI PAŽEIDŽIAMIEMS IR SOCIALINĘ ATSKIRTĮ PATIRIANTIEMS ASMENIMS“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39D6E6AA" w14:textId="1DE7EEB9" w:rsidR="00F07934" w:rsidRPr="00B75D2C" w:rsidRDefault="00F07934" w:rsidP="00F079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 w:rsidR="00367953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</w:t>
      </w:r>
      <w:r w:rsidR="00AE25FD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40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F07934" w:rsidRPr="00A237A6" w14:paraId="25056C07" w14:textId="77777777" w:rsidTr="00AB7F4C">
        <w:trPr>
          <w:trHeight w:val="20"/>
        </w:trPr>
        <w:tc>
          <w:tcPr>
            <w:tcW w:w="9781" w:type="dxa"/>
          </w:tcPr>
          <w:p w14:paraId="045BC9C6" w14:textId="77777777" w:rsidR="00F07934" w:rsidRPr="00A237A6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5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10"/>
              <w:gridCol w:w="2694"/>
              <w:gridCol w:w="992"/>
              <w:gridCol w:w="992"/>
              <w:gridCol w:w="2272"/>
            </w:tblGrid>
            <w:tr w:rsidR="00F07934" w:rsidRPr="00A237A6" w14:paraId="7CCEAF11" w14:textId="77777777" w:rsidTr="008F68AC">
              <w:trPr>
                <w:trHeight w:val="2787"/>
              </w:trPr>
              <w:tc>
                <w:tcPr>
                  <w:tcW w:w="956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586561" w14:textId="0E5D7190" w:rsidR="00F07934" w:rsidRPr="00942BCD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*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projektų įgyvendinimo planų Naudos ir kokybės vertinimo kriterijai yra skirti 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sudaryti vietos plėtros projektų, prioritetinę eilę prioriteto mažėjimo tvarka. Minimaliai privaloma surinkti balų suma – 70 balų. </w:t>
                  </w:r>
                  <w:r w:rsidRPr="00942BCD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Vietos plėtros projektų įgyvendinimo planų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, kurie nesurinks  70 balų,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 xml:space="preserve">MVVG netrauks nei į </w:t>
                  </w:r>
                  <w:r w:rsidR="000263CC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R</w:t>
                  </w:r>
                  <w:r w:rsidRPr="00942BCD">
                    <w:rPr>
                      <w:rFonts w:ascii="Times New Roman" w:hAnsi="Times New Roman"/>
                      <w:i/>
                      <w:color w:val="000000"/>
                      <w:sz w:val="24"/>
                      <w:szCs w:val="24"/>
                    </w:rPr>
                    <w:t>MVVG siūlomų finansuoti vietos plėtros projektų įgyvendinimo planų sąrašą.</w:t>
                  </w:r>
                </w:p>
                <w:p w14:paraId="6A3619C5" w14:textId="77777777" w:rsidR="00F07934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14:paraId="1EBB2764" w14:textId="18294A3A" w:rsidR="00942BCD" w:rsidRPr="000A4505" w:rsidRDefault="00F07934" w:rsidP="00942BC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*TIKSLAS Nr. 1</w:t>
                  </w:r>
                  <w:r w:rsidR="00942BCD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. 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Didinti Radviliškio miesto gyventojų integraciją į visuomenę, gyventojų įsidarbinimo galimybes, verslo ir socialinio verslo kūrimą ir plėtrą</w:t>
                  </w:r>
                  <w:r w:rsidR="000263CC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  <w:r w:rsidR="000263CC"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</w:p>
                <w:p w14:paraId="200F0F67" w14:textId="0E542373" w:rsidR="00F07934" w:rsidRPr="009A5533" w:rsidRDefault="00F07934" w:rsidP="009A55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</w:rPr>
                  </w:pPr>
                  <w:r w:rsidRPr="000A4505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*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1.1. UŽDAVINĮ „</w:t>
                  </w:r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 xml:space="preserve">Skatinti asmenų socialinę </w:t>
                  </w:r>
                  <w:proofErr w:type="spellStart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įtrauktį</w:t>
                  </w:r>
                  <w:proofErr w:type="spellEnd"/>
                  <w:r w:rsidR="000263CC" w:rsidRPr="000A4505">
                    <w:rPr>
                      <w:rFonts w:ascii="Times New Roman" w:eastAsia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, sudarant sąlygas socialiai pažeidžiamų ir atskirtų asmenų socializacijai</w:t>
                  </w:r>
                  <w:r w:rsidR="00942BCD" w:rsidRPr="000A4505">
                    <w:rPr>
                      <w:rFonts w:ascii="Times New Roman" w:hAnsi="Times New Roman"/>
                      <w:bCs/>
                      <w:i/>
                      <w:sz w:val="24"/>
                      <w:szCs w:val="24"/>
                      <w:lang w:eastAsia="lt-LT"/>
                    </w:rPr>
                    <w:t>“.</w:t>
                  </w:r>
                </w:p>
              </w:tc>
            </w:tr>
            <w:tr w:rsidR="00F07934" w:rsidRPr="00A237A6" w14:paraId="322756FB" w14:textId="77777777" w:rsidTr="00AB7F4C">
              <w:trPr>
                <w:trHeight w:val="276"/>
              </w:trPr>
              <w:tc>
                <w:tcPr>
                  <w:tcW w:w="2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01F1869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Vietos plėtros projektų naudos ir kokybės vertinimo kriterijaus (toliau – kriterijus) pavadinimas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3F84A16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Kriterijaus vertinimo aspektai ir paaiškinimai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3F14F2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A13516B" w14:textId="77777777" w:rsidR="00F07934" w:rsidRPr="00A237A6" w:rsidRDefault="00F07934" w:rsidP="00AB7F4C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Pagrindimas</w:t>
                  </w:r>
                </w:p>
              </w:tc>
            </w:tr>
            <w:tr w:rsidR="00326964" w:rsidRPr="00A237A6" w14:paraId="16D89702" w14:textId="77777777" w:rsidTr="001C3EF8">
              <w:trPr>
                <w:trHeight w:val="557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A409E3F" w14:textId="5F7B351D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projektu sprendžiama vietos plėtros strategijoje identifikuota problema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C03A02C" w14:textId="66A12C18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nenurodyta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ir/ar nepagrįsta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arba nesusijusi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 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ios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su Strategijoje nurodyt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problem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, kuria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245DD4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33789" w14:textId="7FEB89B7" w:rsidR="00326964" w:rsidRPr="00023771" w:rsidRDefault="00326964" w:rsidP="00326964"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BDC26C" w14:textId="73E5A2EA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FF0000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aprašyti,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problema/-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būtų sprendžiamos, aprašyti priežastis, lėmusias projekto įgyvendinimą, kokiu būdu bus 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sprendžiama/-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 kokia/-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veikla/-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omis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ir/ar veiksmu/-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ais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aiškiai nurodyti, kokią/-</w:t>
                  </w:r>
                  <w:proofErr w:type="spellStart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ias</w:t>
                  </w:r>
                  <w:proofErr w:type="spellEnd"/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kaip Strategijoje iškeltas problemas projektas spręs.</w:t>
                  </w:r>
                </w:p>
              </w:tc>
            </w:tr>
            <w:tr w:rsidR="00326964" w:rsidRPr="00A237A6" w14:paraId="6FB2EE64" w14:textId="77777777" w:rsidTr="005D4056">
              <w:trPr>
                <w:trHeight w:val="96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72A3C1A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A508A17" w14:textId="47EC8BAA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kurias siekiama spręsti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CE4343" w14:textId="77777777" w:rsidR="00326964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72FF0" w14:textId="059E24FB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6F8C7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1807188A" w14:textId="77777777" w:rsidTr="005D4056">
              <w:trPr>
                <w:trHeight w:val="22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E25DF40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DF26494" w14:textId="77193C01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sprendžiama problema/-</w:t>
                  </w:r>
                  <w:proofErr w:type="spellStart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os</w:t>
                  </w:r>
                  <w:proofErr w:type="spellEnd"/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susijusi su bent viena Strategijoje nurodyta problema, kuri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ą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0962C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DB9E14" w14:textId="1EFD63FD" w:rsidR="00326964" w:rsidRPr="00A237A6" w:rsidRDefault="00326964" w:rsidP="005D4056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A4C312B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326964" w:rsidRPr="00A237A6" w14:paraId="6F0D75D0" w14:textId="77777777" w:rsidTr="005D4056">
              <w:trPr>
                <w:trHeight w:val="1135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3451868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C64969" w14:textId="48287330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Projektu sprendžiam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os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problemos susijusios su daugiau, nei viena Strategijoje nurodyta problema, kurias siekiama spręsti, aiškiai aprašytos ir nurodytos priežastys, lėmusios projekto įgyvendinimą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FB361C" w14:textId="77777777" w:rsidR="00326964" w:rsidRPr="00A237A6" w:rsidRDefault="00326964" w:rsidP="00326964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579879" w14:textId="44B6A18D" w:rsidR="00326964" w:rsidRPr="00A237A6" w:rsidRDefault="00326964" w:rsidP="005D4056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3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0816506" w14:textId="77777777" w:rsidR="00326964" w:rsidRPr="00A237A6" w:rsidRDefault="00326964" w:rsidP="0032696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4A0FE647" w14:textId="77777777" w:rsidTr="00816551">
              <w:trPr>
                <w:trHeight w:val="60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26D9635" w14:textId="3FE9C3B4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bookmarkStart w:id="1" w:name="_Hlk532451354"/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2.</w:t>
                  </w:r>
                  <w:r w:rsidRPr="000A22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Pareiškėjo vietos plėtros projekto kokybė (idėjos/koncepcijos vertinimas)</w:t>
                  </w:r>
                </w:p>
                <w:p w14:paraId="712873F3" w14:textId="77777777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7F5257E" w14:textId="7C3D8E49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nepagrįsti, nenuoseklūs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neveiksmingi.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2AC221F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</w:t>
                  </w:r>
                  <w:r w:rsidRPr="00A237A6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A5E6D0" w14:textId="1310EFF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7949473" w14:textId="04101F9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Vietos plėtros projekto  vertinimo metu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projektui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suteikiamas prioritetas skiriant balus, jeigu vietos plėtros projekto turinys, numatytos veiklos, planuojamas jų įgyvendinimas, laukiami rezultatai yra pagrįsti, nuoseklūs, veiksmingi. </w:t>
                  </w:r>
                  <w:r w:rsidRPr="00DE4DE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Taip pat vertinama viešai prieinama informacija: statistiniai duomenys, tyrimai ir pan.).</w:t>
                  </w:r>
                </w:p>
              </w:tc>
            </w:tr>
            <w:tr w:rsidR="0079248D" w:rsidRPr="00A237A6" w14:paraId="6E3EECAB" w14:textId="77777777" w:rsidTr="00816551">
              <w:trPr>
                <w:trHeight w:val="60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F021E36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6F4DF773" w14:textId="608892DC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iš dalies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1ADDF5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BD28D82" w14:textId="77777777" w:rsidR="0079248D" w:rsidRPr="00A237A6" w:rsidRDefault="0079248D" w:rsidP="0079248D">
                  <w:pPr>
                    <w:pStyle w:val="Sraopastraipa"/>
                    <w:widowControl w:val="0"/>
                    <w:spacing w:after="0" w:line="240" w:lineRule="auto"/>
                    <w:ind w:left="10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10</w:t>
                  </w:r>
                </w:p>
                <w:p w14:paraId="2AC1B820" w14:textId="09DCDBFC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4C17F56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79248D" w:rsidRPr="00A237A6" w14:paraId="0322D2EE" w14:textId="77777777" w:rsidTr="00816551">
              <w:trPr>
                <w:trHeight w:val="1656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F0A4192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7827C25" w14:textId="7276E400" w:rsidR="0079248D" w:rsidRPr="00A237A6" w:rsidRDefault="0079248D" w:rsidP="0079248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Vietos plėtros projekto turinys, numatytos veiklos, planuojamas jų įgyvendinimas, laukiami rezultatai yra pagrįsti, nuoseklūs, veiksmingi.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3E165E3" w14:textId="77777777" w:rsidR="0079248D" w:rsidRPr="00A237A6" w:rsidRDefault="0079248D" w:rsidP="0079248D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0EBC7D" w14:textId="278B5F3D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olor w:val="FF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561C72D" w14:textId="77777777" w:rsidR="0079248D" w:rsidRPr="00A237A6" w:rsidRDefault="0079248D" w:rsidP="0079248D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125483A5" w14:textId="77777777" w:rsidTr="00AB7F4C">
              <w:trPr>
                <w:trHeight w:val="565"/>
              </w:trPr>
              <w:tc>
                <w:tcPr>
                  <w:tcW w:w="2610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81524F" w14:textId="5CF7DC60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3.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Vietos plėtros projektas įgyvendinamas kartu su </w:t>
                  </w:r>
                  <w:r w:rsidR="00646F7A"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NVO ar socialiniais </w:t>
                  </w:r>
                  <w:r w:rsidRPr="001539C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partneriais </w:t>
                  </w:r>
                </w:p>
                <w:p w14:paraId="4E3F97C2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8ADDF70" w14:textId="1A3D2638" w:rsidR="00F07934" w:rsidRPr="001539C8" w:rsidRDefault="00F07934" w:rsidP="00646F7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be 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NVO ar socialinių  partnerių </w:t>
                  </w:r>
                </w:p>
              </w:tc>
              <w:tc>
                <w:tcPr>
                  <w:tcW w:w="99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161D674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16D0943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F094979" w14:textId="24BBA368" w:rsidR="00F07934" w:rsidRPr="00DB3055" w:rsidRDefault="00F07934" w:rsidP="005A627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Pareiškėjas turi aiškiai nurodyti ir aprašyt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skaičių, aiškiai pagrįsti jo būtinumą bei projekto veiklų pasiskirstymą tarp pareiškėjo ir partnerio/-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ių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.</w:t>
                  </w:r>
                  <w:r w:rsidR="00646F7A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 w:rsidR="00646F7A" w:rsidRPr="001539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Pateikti partnerio statusą (NVO ar </w:t>
                  </w:r>
                  <w:r w:rsidR="00646F7A" w:rsidRPr="001539C8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lastRenderedPageBreak/>
                    <w:t>socialiniai partneriai) įrodančius dokumentus.</w:t>
                  </w:r>
                </w:p>
              </w:tc>
            </w:tr>
            <w:tr w:rsidR="00F07934" w:rsidRPr="00A237A6" w14:paraId="5DCCC1E8" w14:textId="77777777" w:rsidTr="00646F7A">
              <w:trPr>
                <w:trHeight w:val="557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4B1EDE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FEC00E5" w14:textId="3FE12E8A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>Projektas įgyvendinamas su bent vienu partneriu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kuris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BEB074A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283814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A02F06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F07934" w:rsidRPr="00A237A6" w14:paraId="635AC5CF" w14:textId="77777777" w:rsidTr="00AB7F4C">
              <w:trPr>
                <w:trHeight w:val="1724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337C71D" w14:textId="77777777" w:rsidR="00F07934" w:rsidRPr="001539C8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DE513D" w14:textId="0AA938D6" w:rsidR="00F07934" w:rsidRPr="001539C8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Projektas įgyvendinamas su daugiau, nei </w:t>
                  </w:r>
                  <w:r w:rsidR="00AE25FD">
                    <w:rPr>
                      <w:rFonts w:ascii="Times New Roman" w:hAnsi="Times New Roman"/>
                      <w:sz w:val="24"/>
                      <w:szCs w:val="24"/>
                    </w:rPr>
                    <w:t>vienu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partneri</w:t>
                  </w:r>
                  <w:r w:rsidR="00AE25FD">
                    <w:rPr>
                      <w:rFonts w:ascii="Times New Roman" w:hAnsi="Times New Roman"/>
                      <w:sz w:val="24"/>
                      <w:szCs w:val="24"/>
                    </w:rPr>
                    <w:t>u</w:t>
                  </w:r>
                  <w:r w:rsidR="00646F7A" w:rsidRPr="001539C8">
                    <w:rPr>
                      <w:rFonts w:ascii="Times New Roman" w:hAnsi="Times New Roman"/>
                      <w:sz w:val="24"/>
                      <w:szCs w:val="24"/>
                    </w:rPr>
                    <w:t>, iš kurių bent vienas yra NVO ar socialinis partneris</w:t>
                  </w:r>
                  <w:r w:rsidRPr="001539C8">
                    <w:rPr>
                      <w:rFonts w:ascii="Times New Roman" w:hAnsi="Times New Roman"/>
                      <w:sz w:val="24"/>
                      <w:szCs w:val="24"/>
                    </w:rPr>
                    <w:t xml:space="preserve"> ir aiškiai pagrįstas partnerio būtinumas projekte bei numatytas projekto veiklų pasiskirstymas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4DF89B9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B33BA5" w14:textId="77777777" w:rsidR="00F07934" w:rsidRPr="001539C8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</w:pPr>
                  <w:r w:rsidRPr="001539C8"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lang w:val="en-US"/>
                    </w:rPr>
                    <w:t>20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04270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</w:p>
              </w:tc>
            </w:tr>
            <w:tr w:rsidR="005D4056" w:rsidRPr="00A237A6" w14:paraId="566D9E73" w14:textId="77777777" w:rsidTr="00412DDC">
              <w:trPr>
                <w:trHeight w:val="888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C6376DC" w14:textId="77777777" w:rsidR="005D4056" w:rsidRPr="00A237A6" w:rsidRDefault="005D4056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>4.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eastAsia="lt-LT"/>
                    </w:rPr>
                    <w:t xml:space="preserve"> Vietos plėtros projekte</w:t>
                  </w: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p</w:t>
                  </w:r>
                  <w:r w:rsidRPr="00A237A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radedamos teikti naujos socialinės paslaugos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strategijos tikslinės teritorijos mastu </w:t>
                  </w:r>
                </w:p>
                <w:p w14:paraId="7ED39588" w14:textId="504A9DF8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(laikoma, kad nauja socialinė paslauga yra tokia, kuri kvietimo paskelbimo dienai nėra teikiama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</w:t>
                  </w:r>
                  <w:r w:rsidRPr="00A237A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MVVG  teritorijoje)</w:t>
                  </w:r>
                </w:p>
                <w:p w14:paraId="161C8AC7" w14:textId="77777777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  <w:p w14:paraId="6004BE3F" w14:textId="77777777" w:rsidR="005D4056" w:rsidRPr="00A237A6" w:rsidRDefault="005D4056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A236747" w14:textId="616E3C98" w:rsidR="005D4056" w:rsidRPr="005D4056" w:rsidRDefault="005D4056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Planuojamos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teikti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socialinės paslaugos nėra naujos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B3DEC3A" w14:textId="07BE319C" w:rsidR="005D4056" w:rsidRPr="004779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</w:t>
                  </w:r>
                  <w:r w:rsidRPr="0047795F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9C5A52" w14:textId="77777777" w:rsidR="005D4056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8E88155" w14:textId="77777777" w:rsidR="00F06D59" w:rsidRDefault="005D4056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Jei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R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MVVG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teritorijoje planuojama 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pradėti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teikti 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naują/-</w:t>
                  </w:r>
                  <w:proofErr w:type="spellStart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socialinę </w:t>
                  </w:r>
                  <w:r w:rsidR="00F06D59"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paslaug</w:t>
                  </w:r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ą/-</w:t>
                  </w:r>
                  <w:proofErr w:type="spellStart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as</w:t>
                  </w:r>
                  <w:proofErr w:type="spellEnd"/>
                  <w:r w:rsidR="00F06D59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</w:p>
                <w:p w14:paraId="0FFC203E" w14:textId="7A971F68" w:rsidR="005D4056" w:rsidRPr="00A237A6" w:rsidRDefault="00F06D59" w:rsidP="00F06D5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turi būti aprašyta, remiantis kitų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M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VVG ar kitų šalių patirtimi, kodėl tokia paslauga reikalinga, sėkminga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ir t.t., kokiai tiksliniai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grupiai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/-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ėms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bus vykdoma</w:t>
                  </w:r>
                  <w:r w:rsidRPr="00A237A6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bei pagrįstas paslaugos poreikis.</w:t>
                  </w:r>
                </w:p>
              </w:tc>
            </w:tr>
            <w:tr w:rsidR="00F07934" w:rsidRPr="00A237A6" w14:paraId="6519BA34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6FFA531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711587" w14:textId="77777777" w:rsidR="00F07934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naują socialinę paslaugą ir toks paslaugos poreikis aiškiai pagrįstas  </w:t>
                  </w:r>
                </w:p>
                <w:p w14:paraId="6553B5E1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7570C6" w14:textId="77777777" w:rsidR="00F07934" w:rsidRPr="004779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F743552" w14:textId="2FE4838C" w:rsidR="00F07934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82E590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6DCE6A88" w14:textId="77777777" w:rsidTr="00AB7F4C">
              <w:trPr>
                <w:trHeight w:val="87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7094F3C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textAlignment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B316B51" w14:textId="77777777" w:rsidR="00F07934" w:rsidRPr="00A237A6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>Planuojam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a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pradėti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teikti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daugiau nei vieną </w:t>
                  </w:r>
                  <w:r w:rsidRPr="00A237A6">
                    <w:rPr>
                      <w:rFonts w:ascii="Times New Roman" w:hAnsi="Times New Roman"/>
                      <w:sz w:val="24"/>
                      <w:szCs w:val="24"/>
                    </w:rPr>
                    <w:t xml:space="preserve">naują socialinę paslaugą ir toks paslaugos poreikis aiškiai pagrįstas  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1EED6F2" w14:textId="77777777" w:rsidR="00F07934" w:rsidRPr="004779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2B8D78E" w14:textId="35F80B06" w:rsidR="00F07934" w:rsidRPr="0016265F" w:rsidRDefault="005D4056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1</w:t>
                  </w:r>
                  <w:r w:rsidR="00F07934" w:rsidRPr="0016265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325406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28496ED5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E2A3EDF" w14:textId="63382FD8" w:rsidR="003C017E" w:rsidRPr="003B4328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  <w:t xml:space="preserve">5. </w:t>
                  </w:r>
                  <w:r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Planuojamas </w:t>
                  </w:r>
                  <w:r w:rsidR="00893930" w:rsidRPr="0089393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BIVP projektų veiklų dalyviai (įskaitant visas tikslines grupes)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5BAB62C" w14:textId="6C532D79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AE25FD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2</w:t>
                  </w:r>
                  <w:r w:rsidR="00845C28">
                    <w:rPr>
                      <w:rFonts w:ascii="Times New Roman" w:hAnsi="Times New Roman"/>
                      <w:iCs/>
                      <w:sz w:val="24"/>
                      <w:szCs w:val="24"/>
                      <w:lang w:val="en-US"/>
                    </w:rPr>
                    <w:t>2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dalyvių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6EB8291" w14:textId="09F16BC3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3FC9A38" w14:textId="5E7458D2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FE47D3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B509E5" w14:textId="2200B87B" w:rsidR="003C017E" w:rsidRPr="003817C9" w:rsidRDefault="003817C9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Projekte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dalyvių skaičius. Nurodyta kiek tikslinės grupės asmenų gaus paslaugas ar dalyvaus</w:t>
                  </w:r>
                  <w:r w:rsidR="006838BC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numatytose</w:t>
                  </w:r>
                  <w:r w:rsidRPr="003817C9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veiklose.</w:t>
                  </w:r>
                </w:p>
              </w:tc>
            </w:tr>
            <w:tr w:rsidR="003817C9" w:rsidRPr="003817C9" w14:paraId="5975CB3B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BC1C2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01917C56" w14:textId="20C174D0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Suplanuotas įtraukti dalyvių skaičius ne mažiau kaip </w:t>
                  </w:r>
                  <w:r w:rsidR="00845C2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28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dalyvi</w:t>
                  </w:r>
                  <w:r w:rsidR="00814C5B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5B9322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528596A" w14:textId="308057FE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7FB298C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3817C9" w:rsidRPr="003817C9" w14:paraId="51BFF606" w14:textId="77777777" w:rsidTr="00B77F41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8A9EA6B" w14:textId="77777777" w:rsidR="003C017E" w:rsidRPr="000E087E" w:rsidRDefault="003C017E" w:rsidP="003C017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992BC40" w14:textId="186BD116" w:rsidR="003C017E" w:rsidRPr="001539C8" w:rsidRDefault="003C017E" w:rsidP="003C017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</w:pPr>
                  <w:r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Suplanuotas įtraukti dalyvių skaičius ne mažiau kaip</w:t>
                  </w:r>
                  <w:r w:rsidR="00AE25FD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3</w:t>
                  </w:r>
                  <w:r w:rsidR="00845C2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5</w:t>
                  </w:r>
                  <w:bookmarkStart w:id="2" w:name="_GoBack"/>
                  <w:bookmarkEnd w:id="2"/>
                  <w:r w:rsidR="0014537D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 xml:space="preserve"> </w:t>
                  </w:r>
                  <w:r w:rsidR="002F2BA6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dalyvi</w:t>
                  </w:r>
                  <w:r w:rsidR="00814C5B" w:rsidRPr="001539C8">
                    <w:rPr>
                      <w:rFonts w:ascii="Times New Roman" w:hAnsi="Times New Roman"/>
                      <w:iCs/>
                      <w:sz w:val="24"/>
                      <w:szCs w:val="24"/>
                    </w:rPr>
                    <w:t>ų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4CB1A1" w14:textId="77777777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4720D1" w14:textId="46BC6DBC" w:rsidR="003C017E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DC2B5AA" w14:textId="77777777" w:rsidR="003C017E" w:rsidRPr="003817C9" w:rsidRDefault="003C017E" w:rsidP="003C017E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6E7E8C1F" w14:textId="77777777" w:rsidTr="00AB7F4C">
              <w:trPr>
                <w:trHeight w:val="580"/>
              </w:trPr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2D9C304" w14:textId="032A67E4" w:rsidR="00F07934" w:rsidRPr="000E087E" w:rsidRDefault="00763517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</w:t>
                  </w:r>
                  <w:r w:rsidR="00F07934" w:rsidRPr="000E087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.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Vietos plėtros projekte numatomi naudos gavėjai yra konkrečių socialiai pažeidžiamų </w:t>
                  </w:r>
                  <w:r w:rsidR="00BE748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tikslinių </w:t>
                  </w:r>
                  <w:r w:rsidR="00F07934" w:rsidRPr="000E087E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grupių asmenys </w:t>
                  </w:r>
                  <w:r w:rsidR="00F07934" w:rsidRPr="000E087E">
                    <w:rPr>
                      <w:rFonts w:ascii="Times New Roman" w:eastAsia="Times New Roman" w:hAnsi="Times New Roman"/>
                      <w:color w:val="FF0000"/>
                      <w:sz w:val="24"/>
                      <w:szCs w:val="24"/>
                      <w:lang w:eastAsia="lt-LT"/>
                    </w:rPr>
                    <w:br/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171B419A" w14:textId="0C5C5F68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Vienos socialiai pažeidžiamos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grupės asmenys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BB07FEC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D284572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0</w:t>
                  </w:r>
                </w:p>
              </w:tc>
              <w:tc>
                <w:tcPr>
                  <w:tcW w:w="22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CFCEF8B" w14:textId="53660D23" w:rsidR="00F07934" w:rsidRPr="00A237A6" w:rsidRDefault="00763517" w:rsidP="00774359">
                  <w:pPr>
                    <w:suppressAutoHyphens/>
                    <w:spacing w:after="0" w:line="240" w:lineRule="auto"/>
                    <w:jc w:val="both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P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rojektas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 aprašytas ir pagrįstas numatomų į veiklas įtraukti </w:t>
                  </w:r>
                  <w:r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 xml:space="preserve">tikslinės grupės </w:t>
                  </w:r>
                  <w:r w:rsidRPr="000F0126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dalyvių skaičius. Nurodyta kiek tikslinės grupės asmenų gaus paslaugas ar dalyvaus tiesioginėse veiklose.</w:t>
                  </w:r>
                </w:p>
              </w:tc>
            </w:tr>
            <w:tr w:rsidR="00F07934" w:rsidRPr="00A237A6" w14:paraId="41DF4EA0" w14:textId="77777777" w:rsidTr="00AB7F4C">
              <w:trPr>
                <w:trHeight w:val="580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7D27F4B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16A27CE" w14:textId="7130368B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Dviejų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085CF38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86B78D4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  <w:t>5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071C8F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F07934" w:rsidRPr="00A237A6" w14:paraId="50772A5C" w14:textId="77777777" w:rsidTr="00AB7F4C">
              <w:trPr>
                <w:trHeight w:val="1378"/>
              </w:trPr>
              <w:tc>
                <w:tcPr>
                  <w:tcW w:w="26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ED81E34" w14:textId="77777777" w:rsidR="00F07934" w:rsidRPr="00A237A6" w:rsidRDefault="00F07934" w:rsidP="00AB7F4C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40B6EB5" w14:textId="5C792559" w:rsidR="00F07934" w:rsidRPr="00CE0C12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Cs/>
                      <w:i/>
                      <w:iCs/>
                      <w:sz w:val="24"/>
                      <w:szCs w:val="24"/>
                    </w:rPr>
                  </w:pP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>Trijų socialiai pažeidžiamų</w:t>
                  </w:r>
                  <w:r w:rsidR="00310305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tikslinės </w:t>
                  </w:r>
                  <w:r w:rsidRPr="00CE0C12">
                    <w:rPr>
                      <w:rFonts w:ascii="Times New Roman" w:eastAsia="Times New Roman" w:hAnsi="Times New Roman"/>
                      <w:sz w:val="24"/>
                      <w:szCs w:val="24"/>
                      <w:lang w:eastAsia="lt-LT"/>
                    </w:rPr>
                    <w:t xml:space="preserve"> grupių asmenys</w:t>
                  </w: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2E9F9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F6D597" w14:textId="77777777" w:rsidR="00F07934" w:rsidRPr="0016265F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val="en-US" w:eastAsia="lt-LT"/>
                    </w:rPr>
                    <w:t>10</w:t>
                  </w:r>
                </w:p>
              </w:tc>
              <w:tc>
                <w:tcPr>
                  <w:tcW w:w="2272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96CDD6B" w14:textId="77777777" w:rsidR="00F07934" w:rsidRPr="00A237A6" w:rsidRDefault="00F07934" w:rsidP="00AB7F4C">
                  <w:pPr>
                    <w:suppressAutoHyphens/>
                    <w:spacing w:after="0" w:line="240" w:lineRule="auto"/>
                    <w:jc w:val="center"/>
                    <w:textAlignment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  <w:lang w:eastAsia="lt-LT"/>
                    </w:rPr>
                  </w:pPr>
                </w:p>
              </w:tc>
            </w:tr>
            <w:bookmarkEnd w:id="1"/>
            <w:tr w:rsidR="00F07934" w:rsidRPr="00A237A6" w14:paraId="2EA613A5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A0F91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A237A6">
                    <w:rPr>
                      <w:rFonts w:ascii="Times New Roman" w:hAnsi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81CABD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4BA281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</w:p>
              </w:tc>
            </w:tr>
            <w:tr w:rsidR="00F07934" w:rsidRPr="00A237A6" w14:paraId="1B9CA9AD" w14:textId="77777777" w:rsidTr="00AB7F4C">
              <w:tc>
                <w:tcPr>
                  <w:tcW w:w="5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44C602F" w14:textId="77777777" w:rsidR="00F07934" w:rsidRPr="00A237A6" w:rsidRDefault="00F07934" w:rsidP="00AB7F4C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112AA3C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  <w:r w:rsidRPr="00A237A6">
                    <w:rPr>
                      <w:rFonts w:ascii="Times New Roman" w:hAnsi="Times New Roman"/>
                      <w:b/>
                      <w:bCs/>
                      <w:i/>
                      <w:caps/>
                      <w:sz w:val="24"/>
                      <w:szCs w:val="24"/>
                      <w:lang w:val="en-US"/>
                    </w:rPr>
                    <w:t>70</w:t>
                  </w:r>
                </w:p>
              </w:tc>
              <w:tc>
                <w:tcPr>
                  <w:tcW w:w="22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19C4B8" w14:textId="77777777" w:rsidR="00F07934" w:rsidRPr="00A237A6" w:rsidRDefault="00F07934" w:rsidP="00AB7F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i/>
                      <w:caps/>
                      <w:color w:val="FF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64261BCD" w14:textId="77777777" w:rsidR="00F07934" w:rsidRPr="00A237A6" w:rsidRDefault="00F07934" w:rsidP="00AB7F4C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F07934" w14:paraId="23EB2B0E" w14:textId="77777777" w:rsidTr="00AB7F4C">
        <w:trPr>
          <w:trHeight w:val="20"/>
        </w:trPr>
        <w:tc>
          <w:tcPr>
            <w:tcW w:w="9781" w:type="dxa"/>
          </w:tcPr>
          <w:p w14:paraId="5C0E193D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75BD90DE" w14:textId="77777777" w:rsidTr="00AB7F4C">
        <w:trPr>
          <w:trHeight w:val="20"/>
        </w:trPr>
        <w:tc>
          <w:tcPr>
            <w:tcW w:w="9781" w:type="dxa"/>
          </w:tcPr>
          <w:tbl>
            <w:tblPr>
              <w:tblStyle w:val="Lentelstinklelis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628"/>
            </w:tblGrid>
            <w:tr w:rsidR="00F07934" w:rsidRPr="008111BB" w14:paraId="09B83EC8" w14:textId="77777777" w:rsidTr="00AB7F4C">
              <w:tc>
                <w:tcPr>
                  <w:tcW w:w="9628" w:type="dxa"/>
                </w:tcPr>
                <w:p w14:paraId="0FDF6F29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Vertinimo išvada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: </w:t>
                  </w:r>
                </w:p>
              </w:tc>
            </w:tr>
            <w:tr w:rsidR="00F07934" w:rsidRPr="008111BB" w14:paraId="722A70F8" w14:textId="77777777" w:rsidTr="00AB7F4C">
              <w:tc>
                <w:tcPr>
                  <w:tcW w:w="9628" w:type="dxa"/>
                </w:tcPr>
                <w:p w14:paraId="7C4D2BAF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Vietos plėtros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projektas</w:t>
                  </w:r>
                  <w:r w:rsidRPr="008111BB">
                    <w:rPr>
                      <w:rFonts w:ascii="Times New Roman" w:hAnsi="Times New Roman"/>
                      <w:sz w:val="24"/>
                      <w:szCs w:val="24"/>
                    </w:rPr>
                    <w:t xml:space="preserve"> atitinka naudos ir kokybės vertinimo kriterijus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ir paskirta .... balų.</w:t>
                  </w:r>
                </w:p>
                <w:p w14:paraId="3791DF25" w14:textId="77777777" w:rsidR="00F07934" w:rsidRPr="008111BB" w:rsidRDefault="00F07934" w:rsidP="00AB7F4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13CD4D3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15E8148" w14:textId="77777777" w:rsidTr="00AB7F4C">
        <w:trPr>
          <w:trHeight w:val="20"/>
        </w:trPr>
        <w:tc>
          <w:tcPr>
            <w:tcW w:w="9781" w:type="dxa"/>
          </w:tcPr>
          <w:p w14:paraId="1418749D" w14:textId="77777777" w:rsidR="00F07934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93E694E" w14:textId="6EB21DE4" w:rsidR="00F07934" w:rsidRPr="008111BB" w:rsidRDefault="00F07934" w:rsidP="00AB7F4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</w:pP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lastRenderedPageBreak/>
              <w:t xml:space="preserve">Vietos plėtros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projekto 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vertintojas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/-a __________________________________________________</w:t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ab/>
            </w:r>
            <w:r w:rsidRPr="008111BB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lt-LT"/>
              </w:rPr>
              <w:t>(vardas, pavardė, parašas)</w:t>
            </w:r>
          </w:p>
          <w:p w14:paraId="3A5A9DA4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7934" w14:paraId="4D238008" w14:textId="77777777" w:rsidTr="00AB7F4C">
        <w:trPr>
          <w:trHeight w:val="20"/>
        </w:trPr>
        <w:tc>
          <w:tcPr>
            <w:tcW w:w="9781" w:type="dxa"/>
          </w:tcPr>
          <w:p w14:paraId="619285CA" w14:textId="77777777" w:rsidR="00F07934" w:rsidRPr="00CB6245" w:rsidRDefault="00F07934" w:rsidP="00AB7F4C">
            <w:pPr>
              <w:spacing w:after="0" w:line="240" w:lineRule="auto"/>
              <w:ind w:right="3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_______________________</w:t>
            </w:r>
          </w:p>
        </w:tc>
      </w:tr>
      <w:tr w:rsidR="00F07934" w14:paraId="4C12058F" w14:textId="77777777" w:rsidTr="00AB7F4C">
        <w:trPr>
          <w:trHeight w:val="20"/>
        </w:trPr>
        <w:tc>
          <w:tcPr>
            <w:tcW w:w="9781" w:type="dxa"/>
          </w:tcPr>
          <w:p w14:paraId="65F39117" w14:textId="77777777" w:rsidR="00F07934" w:rsidRPr="00CB6245" w:rsidRDefault="00F07934" w:rsidP="00AB7F4C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A6C0F7F" w14:textId="77777777" w:rsidR="00F07934" w:rsidRDefault="00F07934" w:rsidP="00F07934"/>
    <w:p w14:paraId="0F82AFDC" w14:textId="77777777" w:rsidR="005348EE" w:rsidRDefault="005348EE" w:rsidP="005348EE"/>
    <w:p w14:paraId="3E5767F3" w14:textId="010B7EBA" w:rsidR="008C74C9" w:rsidRDefault="008C74C9" w:rsidP="00F07934">
      <w:pPr>
        <w:pStyle w:val="prastasiniatinklio"/>
        <w:spacing w:before="0" w:after="0" w:line="240" w:lineRule="auto"/>
        <w:ind w:right="59"/>
      </w:pPr>
    </w:p>
    <w:sectPr w:rsidR="008C74C9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0B61"/>
    <w:rsid w:val="00013E7A"/>
    <w:rsid w:val="0002343E"/>
    <w:rsid w:val="00023771"/>
    <w:rsid w:val="000263CC"/>
    <w:rsid w:val="000A4505"/>
    <w:rsid w:val="000B388B"/>
    <w:rsid w:val="000E4E8D"/>
    <w:rsid w:val="00107024"/>
    <w:rsid w:val="00125DE8"/>
    <w:rsid w:val="0014537D"/>
    <w:rsid w:val="001539C8"/>
    <w:rsid w:val="001D140E"/>
    <w:rsid w:val="002034D7"/>
    <w:rsid w:val="00203B6F"/>
    <w:rsid w:val="00282FCD"/>
    <w:rsid w:val="002A592E"/>
    <w:rsid w:val="002B702A"/>
    <w:rsid w:val="002F2BA6"/>
    <w:rsid w:val="00310305"/>
    <w:rsid w:val="00326964"/>
    <w:rsid w:val="00355818"/>
    <w:rsid w:val="00357B7A"/>
    <w:rsid w:val="00367953"/>
    <w:rsid w:val="003817C9"/>
    <w:rsid w:val="003B4328"/>
    <w:rsid w:val="003C017E"/>
    <w:rsid w:val="00412A5A"/>
    <w:rsid w:val="00412DDC"/>
    <w:rsid w:val="004B0CBE"/>
    <w:rsid w:val="004B3925"/>
    <w:rsid w:val="004F5331"/>
    <w:rsid w:val="004F6B2A"/>
    <w:rsid w:val="00526DFC"/>
    <w:rsid w:val="005348EE"/>
    <w:rsid w:val="005A6270"/>
    <w:rsid w:val="005D4056"/>
    <w:rsid w:val="005E0CA1"/>
    <w:rsid w:val="00602403"/>
    <w:rsid w:val="00603672"/>
    <w:rsid w:val="00605599"/>
    <w:rsid w:val="00646F7A"/>
    <w:rsid w:val="00666630"/>
    <w:rsid w:val="006838BC"/>
    <w:rsid w:val="006F263E"/>
    <w:rsid w:val="00703B95"/>
    <w:rsid w:val="00735A18"/>
    <w:rsid w:val="00763517"/>
    <w:rsid w:val="00774359"/>
    <w:rsid w:val="0079248D"/>
    <w:rsid w:val="007E105C"/>
    <w:rsid w:val="00803B77"/>
    <w:rsid w:val="00814C5B"/>
    <w:rsid w:val="00845C28"/>
    <w:rsid w:val="0086603F"/>
    <w:rsid w:val="00893930"/>
    <w:rsid w:val="008C74C9"/>
    <w:rsid w:val="008D7910"/>
    <w:rsid w:val="008F68AC"/>
    <w:rsid w:val="00942BCD"/>
    <w:rsid w:val="009A2104"/>
    <w:rsid w:val="009A5533"/>
    <w:rsid w:val="00A36B80"/>
    <w:rsid w:val="00A63436"/>
    <w:rsid w:val="00AE25FD"/>
    <w:rsid w:val="00B2168C"/>
    <w:rsid w:val="00B22F23"/>
    <w:rsid w:val="00B576A7"/>
    <w:rsid w:val="00B6394D"/>
    <w:rsid w:val="00B84A10"/>
    <w:rsid w:val="00BA3784"/>
    <w:rsid w:val="00BE7480"/>
    <w:rsid w:val="00C023A2"/>
    <w:rsid w:val="00C02FDF"/>
    <w:rsid w:val="00C05D41"/>
    <w:rsid w:val="00C1121A"/>
    <w:rsid w:val="00C61518"/>
    <w:rsid w:val="00C74912"/>
    <w:rsid w:val="00C76D07"/>
    <w:rsid w:val="00C95BC5"/>
    <w:rsid w:val="00CA3C72"/>
    <w:rsid w:val="00CB6245"/>
    <w:rsid w:val="00CD00E7"/>
    <w:rsid w:val="00CD15C3"/>
    <w:rsid w:val="00CE1C9F"/>
    <w:rsid w:val="00D106F4"/>
    <w:rsid w:val="00DD181D"/>
    <w:rsid w:val="00DE0108"/>
    <w:rsid w:val="00E261BF"/>
    <w:rsid w:val="00E76686"/>
    <w:rsid w:val="00EE3B6B"/>
    <w:rsid w:val="00F04D89"/>
    <w:rsid w:val="00F06D59"/>
    <w:rsid w:val="00F07934"/>
    <w:rsid w:val="00F527A6"/>
    <w:rsid w:val="00FD5CB2"/>
    <w:rsid w:val="00FE4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F07934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4</Pages>
  <Words>4164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66</cp:revision>
  <dcterms:created xsi:type="dcterms:W3CDTF">2020-02-13T12:01:00Z</dcterms:created>
  <dcterms:modified xsi:type="dcterms:W3CDTF">2025-03-04T14:50:00Z</dcterms:modified>
</cp:coreProperties>
</file>