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78C9" w14:textId="77777777" w:rsidR="00AE709E" w:rsidRPr="00AE709E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61DE7477" w14:textId="79C6771F" w:rsidR="00CE2867" w:rsidRDefault="00AD77BF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AD77BF">
        <w:rPr>
          <w:rFonts w:ascii="Times New Roman" w:hAnsi="Times New Roman"/>
          <w:b/>
          <w:sz w:val="24"/>
          <w:szCs w:val="24"/>
        </w:rPr>
        <w:t xml:space="preserve">2022–2030 </w:t>
      </w:r>
      <w:r w:rsidR="006527E6">
        <w:rPr>
          <w:rFonts w:ascii="Times New Roman" w:hAnsi="Times New Roman"/>
          <w:b/>
          <w:sz w:val="24"/>
          <w:szCs w:val="24"/>
        </w:rPr>
        <w:t xml:space="preserve">METŲ LIETUVOS RESPUBLIKOS APLINKOS MINISTERIJOS </w:t>
      </w:r>
      <w:r w:rsidR="00C059FE">
        <w:rPr>
          <w:rFonts w:ascii="Times New Roman" w:hAnsi="Times New Roman"/>
          <w:b/>
          <w:sz w:val="24"/>
          <w:szCs w:val="24"/>
        </w:rPr>
        <w:t>APLINKOS APSAUGOS IR KLIMATO KAITOS VALDYMO PLĖTROS PROGRAMOS PAŽANGOS PRIEMONĖS NR.</w:t>
      </w:r>
      <w:r w:rsidRPr="00AD77BF">
        <w:rPr>
          <w:rFonts w:ascii="Times New Roman" w:hAnsi="Times New Roman"/>
          <w:b/>
          <w:sz w:val="24"/>
          <w:szCs w:val="24"/>
        </w:rPr>
        <w:t xml:space="preserve"> 02-001-06-06-01 „</w:t>
      </w:r>
      <w:r w:rsidR="00C059FE">
        <w:rPr>
          <w:rFonts w:ascii="Times New Roman" w:hAnsi="Times New Roman"/>
          <w:b/>
          <w:sz w:val="24"/>
          <w:szCs w:val="24"/>
        </w:rPr>
        <w:t>DIDINTI ATSPARUMĄ EKSTREMALIEMS</w:t>
      </w:r>
      <w:r w:rsidR="00CC0146">
        <w:rPr>
          <w:rFonts w:ascii="Times New Roman" w:hAnsi="Times New Roman"/>
          <w:b/>
          <w:sz w:val="24"/>
          <w:szCs w:val="24"/>
        </w:rPr>
        <w:t xml:space="preserve"> HIDROMETEOROLOGINIAMS REIŠKINIAMS</w:t>
      </w:r>
      <w:r w:rsidRPr="00AD77BF">
        <w:rPr>
          <w:rFonts w:ascii="Times New Roman" w:hAnsi="Times New Roman"/>
          <w:b/>
          <w:sz w:val="24"/>
          <w:szCs w:val="24"/>
        </w:rPr>
        <w:t xml:space="preserve">“ </w:t>
      </w:r>
      <w:r w:rsidR="00CC0146">
        <w:rPr>
          <w:rFonts w:ascii="Times New Roman" w:hAnsi="Times New Roman"/>
          <w:b/>
          <w:sz w:val="24"/>
          <w:szCs w:val="24"/>
        </w:rPr>
        <w:t>VEIKLOS</w:t>
      </w:r>
      <w:r w:rsidR="003C13E9" w:rsidRPr="003C13E9">
        <w:rPr>
          <w:rFonts w:ascii="Times New Roman" w:hAnsi="Times New Roman"/>
          <w:b/>
          <w:sz w:val="24"/>
          <w:szCs w:val="24"/>
        </w:rPr>
        <w:t xml:space="preserve"> „POTVYNIŲ RIZIKOS MAŽINIMO PRIEMONIŲ ĮGYVENDINIMAS“ PROJEKTŲ FINANSAVIMO SĄLYGŲ APRAŠ</w:t>
      </w:r>
      <w:r w:rsidR="003C13E9">
        <w:rPr>
          <w:rFonts w:ascii="Times New Roman" w:hAnsi="Times New Roman"/>
          <w:b/>
          <w:sz w:val="24"/>
          <w:szCs w:val="24"/>
        </w:rPr>
        <w:t>O</w:t>
      </w:r>
      <w:r w:rsidR="00AE709E"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 xml:space="preserve">DERINIMO PAŽYMA </w:t>
      </w:r>
    </w:p>
    <w:p w14:paraId="24D76B4A" w14:textId="773BB053" w:rsidR="002A7E95" w:rsidRDefault="002A7E95" w:rsidP="009F1293">
      <w:pPr>
        <w:pStyle w:val="BodyText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47E85411" w14:textId="7B838744" w:rsidR="002A7E95" w:rsidRDefault="00383B43" w:rsidP="002F0835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r w:rsidR="006D7D50" w:rsidRPr="004443C8">
        <w:rPr>
          <w:rFonts w:ascii="Times New Roman" w:hAnsi="Times New Roman"/>
          <w:bCs/>
          <w:i/>
          <w:iCs/>
          <w:sz w:val="24"/>
          <w:szCs w:val="24"/>
        </w:rPr>
        <w:t>esinvesticijos.lt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2F0835" w:rsidRPr="00EF127F">
          <w:rPr>
            <w:rStyle w:val="Hyperlink"/>
            <w:rFonts w:ascii="Times New Roman" w:hAnsi="Times New Roman"/>
            <w:bCs/>
            <w:sz w:val="24"/>
            <w:szCs w:val="24"/>
          </w:rPr>
          <w:t>https://esinvesticijos.lt/dokumentai/pastabos-teikiamos-iki-lapkricio-18-d-pazangos-priemones-didinti-atsparuma-ekstremaliesiems-hidrometeorologiniams-reiskiniams-veiklos-potvyniu-rizikos-mazinimo-priemoniu-igyvendinimas-projektu-finansavimo-salygu-apraso-pakeitimo-projektas</w:t>
        </w:r>
      </w:hyperlink>
      <w:r w:rsidR="002F0835">
        <w:rPr>
          <w:rFonts w:ascii="Times New Roman" w:hAnsi="Times New Roman"/>
          <w:bCs/>
          <w:sz w:val="24"/>
          <w:szCs w:val="24"/>
        </w:rPr>
        <w:t xml:space="preserve"> </w:t>
      </w:r>
      <w:r w:rsidR="002A7E95" w:rsidRPr="008A2ED9">
        <w:rPr>
          <w:rFonts w:ascii="Times New Roman" w:hAnsi="Times New Roman"/>
          <w:bCs/>
          <w:sz w:val="24"/>
          <w:szCs w:val="24"/>
        </w:rPr>
        <w:t>nuo 202</w:t>
      </w:r>
      <w:r w:rsidR="00424DCB">
        <w:rPr>
          <w:rFonts w:ascii="Times New Roman" w:hAnsi="Times New Roman"/>
          <w:bCs/>
          <w:sz w:val="24"/>
          <w:szCs w:val="24"/>
        </w:rPr>
        <w:t>5</w:t>
      </w:r>
      <w:r w:rsidR="001826A0" w:rsidRPr="008A2ED9">
        <w:rPr>
          <w:rFonts w:ascii="Times New Roman" w:hAnsi="Times New Roman"/>
          <w:bCs/>
          <w:sz w:val="24"/>
          <w:szCs w:val="24"/>
        </w:rPr>
        <w:t> 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m. </w:t>
      </w:r>
      <w:r w:rsidR="00424DCB">
        <w:rPr>
          <w:rFonts w:ascii="Times New Roman" w:hAnsi="Times New Roman"/>
          <w:bCs/>
          <w:sz w:val="24"/>
          <w:szCs w:val="24"/>
        </w:rPr>
        <w:t>lapkričio</w:t>
      </w:r>
      <w:r w:rsidR="008A2ED9">
        <w:rPr>
          <w:rFonts w:ascii="Times New Roman" w:hAnsi="Times New Roman"/>
          <w:bCs/>
          <w:sz w:val="24"/>
          <w:szCs w:val="24"/>
        </w:rPr>
        <w:t xml:space="preserve"> </w:t>
      </w:r>
      <w:r w:rsidR="00424DCB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d. </w:t>
      </w:r>
      <w:r w:rsidR="0071633A" w:rsidRPr="008A2ED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8A2ED9">
        <w:rPr>
          <w:rFonts w:ascii="Times New Roman" w:hAnsi="Times New Roman"/>
          <w:bCs/>
          <w:sz w:val="24"/>
          <w:szCs w:val="24"/>
        </w:rPr>
        <w:t>202</w:t>
      </w:r>
      <w:r w:rsidR="00BF10A8" w:rsidRPr="008A2ED9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m. </w:t>
      </w:r>
      <w:r w:rsidR="00424DCB">
        <w:rPr>
          <w:rFonts w:ascii="Times New Roman" w:hAnsi="Times New Roman"/>
          <w:bCs/>
          <w:sz w:val="24"/>
          <w:szCs w:val="24"/>
        </w:rPr>
        <w:t>lapkričio</w:t>
      </w:r>
      <w:r w:rsidR="001357BB">
        <w:rPr>
          <w:rFonts w:ascii="Times New Roman" w:hAnsi="Times New Roman"/>
          <w:bCs/>
          <w:sz w:val="24"/>
          <w:szCs w:val="24"/>
        </w:rPr>
        <w:t xml:space="preserve"> </w:t>
      </w:r>
      <w:r w:rsidR="00342AA0">
        <w:rPr>
          <w:rFonts w:ascii="Times New Roman" w:hAnsi="Times New Roman"/>
          <w:bCs/>
          <w:sz w:val="24"/>
          <w:szCs w:val="24"/>
        </w:rPr>
        <w:t>1</w:t>
      </w:r>
      <w:r w:rsidR="00424DCB">
        <w:rPr>
          <w:rFonts w:ascii="Times New Roman" w:hAnsi="Times New Roman"/>
          <w:bCs/>
          <w:sz w:val="24"/>
          <w:szCs w:val="24"/>
        </w:rPr>
        <w:t>8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8A2ED9">
        <w:rPr>
          <w:rFonts w:ascii="Times New Roman" w:hAnsi="Times New Roman"/>
          <w:bCs/>
          <w:sz w:val="24"/>
          <w:szCs w:val="24"/>
        </w:rPr>
        <w:t>.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</w:t>
      </w:r>
    </w:p>
    <w:p w14:paraId="37BF1F9A" w14:textId="77777777" w:rsidR="00152633" w:rsidRDefault="00152633" w:rsidP="002F0835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115" w:tblpY="53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5954"/>
      </w:tblGrid>
      <w:tr w:rsidR="00152633" w:rsidRPr="005D349C" w14:paraId="0E306718" w14:textId="77777777" w:rsidTr="00A1555D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6C0E4" w14:textId="77777777" w:rsidR="00152633" w:rsidRPr="004A1B88" w:rsidRDefault="00152633" w:rsidP="00A15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5662AB57" w14:textId="77777777" w:rsidR="00152633" w:rsidRPr="004A1B88" w:rsidRDefault="00152633" w:rsidP="00A15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5954" w:type="dxa"/>
          </w:tcPr>
          <w:p w14:paraId="22541182" w14:textId="77777777" w:rsidR="00152633" w:rsidRPr="005D349C" w:rsidRDefault="00152633" w:rsidP="00A15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49C">
              <w:rPr>
                <w:rFonts w:ascii="Times New Roman" w:hAnsi="Times New Roman"/>
                <w:b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152633" w14:paraId="14FCC48C" w14:textId="77777777" w:rsidTr="00A155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C667" w14:textId="77777777" w:rsidR="00152633" w:rsidRPr="002524BA" w:rsidRDefault="00152633" w:rsidP="00A15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4BA">
              <w:rPr>
                <w:rFonts w:ascii="Times New Roman" w:hAnsi="Times New Roman"/>
                <w:sz w:val="24"/>
                <w:szCs w:val="24"/>
              </w:rPr>
              <w:t>Klaipėdos miesto savivaldybės administracija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0A725BC6" w14:textId="77777777" w:rsidR="00152633" w:rsidRPr="00424DCB" w:rsidRDefault="00152633" w:rsidP="00152633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DCB">
              <w:rPr>
                <w:rFonts w:ascii="Times New Roman" w:hAnsi="Times New Roman"/>
                <w:bCs/>
                <w:sz w:val="24"/>
                <w:szCs w:val="24"/>
              </w:rPr>
              <w:t>Esant galimybei, rodiklių sąrašą siūlome papildyti rodikliu - „Apsaugota esama infrastruktūra“ (kilometrais/ vnt.).</w:t>
            </w:r>
          </w:p>
          <w:p w14:paraId="60377599" w14:textId="77777777" w:rsidR="00152633" w:rsidRPr="00424DCB" w:rsidRDefault="00152633" w:rsidP="00152633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24DCB">
              <w:rPr>
                <w:rFonts w:ascii="Times New Roman" w:hAnsi="Times New Roman"/>
                <w:bCs/>
                <w:sz w:val="24"/>
                <w:szCs w:val="24"/>
              </w:rPr>
              <w:t xml:space="preserve">Projekto vykdytojams suteikti galimybę rinktis planuojamus pasiekti rodiklius – „Apsaugota esama infrastruktūra (kilometrais/vnt.)“ arba „Gyventojai, galintys pasinaudoti apsaugos nuo potvynių priemonėmis (asmenys)“. Šiuos 1 ir 2 punkte pateiktus siūlymus buvome teikę 2024-11-11 d. raštu Nr. </w:t>
            </w:r>
            <w:r w:rsidRPr="00424D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(4.23E)-R2-3114 (raštas pridedamas).</w:t>
            </w:r>
          </w:p>
          <w:p w14:paraId="5F6F4502" w14:textId="7BBFDC46" w:rsidR="00152633" w:rsidRPr="002524BA" w:rsidRDefault="00152633" w:rsidP="00152633">
            <w:pPr>
              <w:pStyle w:val="xmsolistparagraph"/>
              <w:shd w:val="clear" w:color="auto" w:fill="FFFFFF"/>
              <w:spacing w:before="0" w:beforeAutospacing="0" w:after="0" w:afterAutospacing="0"/>
              <w:ind w:left="360"/>
              <w:rPr>
                <w:color w:val="242424"/>
              </w:rPr>
            </w:pPr>
          </w:p>
        </w:tc>
        <w:tc>
          <w:tcPr>
            <w:tcW w:w="5954" w:type="dxa"/>
          </w:tcPr>
          <w:p w14:paraId="3379AB9F" w14:textId="77777777" w:rsidR="00152633" w:rsidRDefault="00152633" w:rsidP="00A1555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7589C" w14:textId="5BA71266" w:rsidR="00152633" w:rsidRDefault="00152633" w:rsidP="00A1555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Neatsižvelgta.</w:t>
            </w:r>
          </w:p>
          <w:p w14:paraId="76CF2E50" w14:textId="77777777" w:rsidR="00152633" w:rsidRDefault="00152633" w:rsidP="00A1555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3C301" w14:textId="2C2D29BD" w:rsidR="00152633" w:rsidRDefault="00152633" w:rsidP="0015263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Tokios galimybės nėra. Stebėsenos rodikliai „</w:t>
            </w:r>
            <w:r w:rsidRPr="002524BA">
              <w:rPr>
                <w:rFonts w:ascii="Times New Roman" w:hAnsi="Times New Roman"/>
                <w:sz w:val="24"/>
                <w:szCs w:val="24"/>
              </w:rPr>
              <w:t>Gyventojai, galintys pasinaudoti apsaugos nuo potvynių priemonėmis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>
              <w:t xml:space="preserve"> </w:t>
            </w:r>
            <w:r w:rsidRPr="002524BA">
              <w:rPr>
                <w:rFonts w:ascii="Times New Roman" w:hAnsi="Times New Roman"/>
                <w:sz w:val="24"/>
                <w:szCs w:val="24"/>
              </w:rPr>
              <w:t>rezultato rodiklis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asmenys“ ir </w:t>
            </w:r>
            <w:r>
              <w:t>„</w:t>
            </w:r>
            <w:r w:rsidRPr="002524BA">
              <w:rPr>
                <w:rFonts w:ascii="Times New Roman" w:hAnsi="Times New Roman"/>
                <w:sz w:val="24"/>
                <w:szCs w:val="24"/>
              </w:rPr>
              <w:t>Naujai įrengta arba sustiprinta pakrančių ruožų, upių ir ežerų krantų apsauga nuo potvynių, produkto rodiklis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kilometrai“, investicijos šių rodiklių siekimui ir įgyvendinamos veiklos </w:t>
            </w:r>
            <w:r w:rsidRPr="002524BA">
              <w:rPr>
                <w:rFonts w:ascii="Times New Roman" w:hAnsi="Times New Roman"/>
                <w:sz w:val="24"/>
                <w:szCs w:val="24"/>
              </w:rPr>
              <w:t>patvirtint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2524BA">
              <w:rPr>
                <w:rFonts w:ascii="Times New Roman" w:hAnsi="Times New Roman"/>
                <w:sz w:val="24"/>
                <w:szCs w:val="24"/>
              </w:rPr>
              <w:t xml:space="preserve"> 2021–2027 metų Europos Sąjungos fondų investicijų programoje 2022 m. rugpjūčio 3 d. Europos Komisijos sprendimu Nr. C(2022)5742 (2023 06 05 Nr. C(2023) 3762 redakcija).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2633" w14:paraId="04DA8EB1" w14:textId="77777777" w:rsidTr="00946CEC">
        <w:trPr>
          <w:trHeight w:val="55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CF7C4" w14:textId="77777777" w:rsidR="00152633" w:rsidRPr="002524BA" w:rsidRDefault="00152633" w:rsidP="00A15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4C89E9ED" w14:textId="14EFCD8B" w:rsidR="00152633" w:rsidRPr="002524BA" w:rsidRDefault="00152633" w:rsidP="006A4D33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rPr>
                <w:rFonts w:eastAsia="Calibri"/>
                <w:lang w:eastAsia="en-US"/>
              </w:rPr>
            </w:pPr>
            <w:r w:rsidRPr="00152633">
              <w:t xml:space="preserve">Maloniai prašome paaiškinti 5.1.10.5 punktą „5.1.10.5 jeigu gyventojų skaičiavimui reikalingas modeliavimas, įrodantis rizikingą, nuolat apsemiamą grėsmės teritoriją ir jei gyventojai skaičiuojami tokiose teritorijose, pateikiamas (-i)  potvynių užtvindymo modeliavimo žemėlapis (-iai);“. Koks dokumentas turi būti pateiktas, ar turi būti perkama paslauga potvynių užtvindymo </w:t>
            </w:r>
            <w:r w:rsidRPr="00152633">
              <w:lastRenderedPageBreak/>
              <w:t>modeliavimo žemėlapiui parengti, kokios apimties ir kaip jis turėtų būti parengtas? </w:t>
            </w:r>
          </w:p>
        </w:tc>
        <w:tc>
          <w:tcPr>
            <w:tcW w:w="5954" w:type="dxa"/>
          </w:tcPr>
          <w:p w14:paraId="623EBEF6" w14:textId="3F76EA5C" w:rsidR="00152633" w:rsidRPr="00152633" w:rsidRDefault="00152633" w:rsidP="0015263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Paaiškiname, kad turi būti pateiktas potvynių užtvindymo modeliavimo žemėlapis. </w:t>
            </w:r>
            <w:r w:rsidRPr="00152633">
              <w:rPr>
                <w:rFonts w:ascii="Times New Roman" w:hAnsi="Times New Roman"/>
                <w:sz w:val="24"/>
                <w:szCs w:val="24"/>
              </w:rPr>
              <w:t>Modeliavimą gali atlikti hidraulinės inžinerijos, aplinkos inžinerijos, hidrotechninės inžinerijos ar kt. inžinerinių mokslų specialistai ar mokslininkai. Šiems darbams atlikti specialistai nėra specialiai atestuojami.</w:t>
            </w:r>
          </w:p>
          <w:p w14:paraId="2E3365F1" w14:textId="14C4D2BB" w:rsidR="00152633" w:rsidRDefault="00BD4116" w:rsidP="00946CE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Konkrečios</w:t>
            </w:r>
            <w:r w:rsidR="00152633" w:rsidRPr="00152633">
              <w:rPr>
                <w:rFonts w:ascii="Times New Roman" w:hAnsi="Times New Roman"/>
                <w:sz w:val="24"/>
                <w:szCs w:val="24"/>
              </w:rPr>
              <w:t xml:space="preserve"> modeliavimo platformos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nenurodoma </w:t>
            </w:r>
            <w:r w:rsidR="00152633" w:rsidRPr="00152633">
              <w:rPr>
                <w:rFonts w:ascii="Times New Roman" w:hAnsi="Times New Roman"/>
                <w:sz w:val="24"/>
                <w:szCs w:val="24"/>
              </w:rPr>
              <w:t>– programinė įranga nėra ribojama</w:t>
            </w:r>
            <w:r w:rsidR="00152633">
              <w:rPr>
                <w:rFonts w:ascii="Times New Roman" w:hAnsi="Times New Roman"/>
                <w:sz w:val="24"/>
                <w:szCs w:val="24"/>
              </w:rPr>
              <w:t xml:space="preserve"> (j</w:t>
            </w:r>
            <w:r w:rsidR="00152633" w:rsidRPr="00152633">
              <w:rPr>
                <w:rFonts w:ascii="Times New Roman" w:hAnsi="Times New Roman"/>
                <w:sz w:val="24"/>
                <w:szCs w:val="24"/>
              </w:rPr>
              <w:t xml:space="preserve">ų pasaulyje yra daugiau </w:t>
            </w:r>
            <w:r w:rsidR="00152633" w:rsidRPr="00152633">
              <w:rPr>
                <w:rFonts w:ascii="Times New Roman" w:hAnsi="Times New Roman"/>
                <w:sz w:val="24"/>
                <w:szCs w:val="24"/>
              </w:rPr>
              <w:lastRenderedPageBreak/>
              <w:t>nei 50, todėl vardinti netikslinga</w:t>
            </w:r>
            <w:r w:rsidR="00152633">
              <w:rPr>
                <w:rFonts w:ascii="Times New Roman" w:hAnsi="Times New Roman"/>
                <w:sz w:val="24"/>
                <w:szCs w:val="24"/>
              </w:rPr>
              <w:t>)</w:t>
            </w:r>
            <w:r w:rsidR="00152633" w:rsidRPr="001526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AC8D2AB" w14:textId="77777777" w:rsidR="00152633" w:rsidRPr="008A2ED9" w:rsidRDefault="00152633" w:rsidP="002F0835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349840FE" w14:textId="77777777" w:rsidR="00152633" w:rsidRPr="00491DDC" w:rsidRDefault="00152633" w:rsidP="002F083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52633" w:rsidRPr="00491DDC" w:rsidSect="009F1293">
      <w:headerReference w:type="default" r:id="rId9"/>
      <w:headerReference w:type="first" r:id="rId10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AD1C" w14:textId="77777777" w:rsidR="00FB5E09" w:rsidRDefault="00FB5E09" w:rsidP="00A75058">
      <w:pPr>
        <w:spacing w:after="0" w:line="240" w:lineRule="auto"/>
      </w:pPr>
      <w:r>
        <w:separator/>
      </w:r>
    </w:p>
  </w:endnote>
  <w:endnote w:type="continuationSeparator" w:id="0">
    <w:p w14:paraId="20C12F7C" w14:textId="77777777" w:rsidR="00FB5E09" w:rsidRDefault="00FB5E09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028A" w14:textId="77777777" w:rsidR="00FB5E09" w:rsidRDefault="00FB5E09" w:rsidP="00A75058">
      <w:pPr>
        <w:spacing w:after="0" w:line="240" w:lineRule="auto"/>
      </w:pPr>
      <w:r>
        <w:separator/>
      </w:r>
    </w:p>
  </w:footnote>
  <w:footnote w:type="continuationSeparator" w:id="0">
    <w:p w14:paraId="351840BD" w14:textId="77777777" w:rsidR="00FB5E09" w:rsidRDefault="00FB5E09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E3A6" w14:textId="77777777" w:rsidR="00C248B3" w:rsidRDefault="00C248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BCF"/>
    <w:multiLevelType w:val="multilevel"/>
    <w:tmpl w:val="A15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61098"/>
    <w:multiLevelType w:val="hybridMultilevel"/>
    <w:tmpl w:val="E7986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0EE9"/>
    <w:multiLevelType w:val="multilevel"/>
    <w:tmpl w:val="6C2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1440FD"/>
    <w:multiLevelType w:val="multilevel"/>
    <w:tmpl w:val="D3E2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24B0A"/>
    <w:multiLevelType w:val="hybridMultilevel"/>
    <w:tmpl w:val="E7986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31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2"/>
  </w:num>
  <w:num w:numId="2" w16cid:durableId="1482844919">
    <w:abstractNumId w:val="29"/>
  </w:num>
  <w:num w:numId="3" w16cid:durableId="2053000087">
    <w:abstractNumId w:val="15"/>
  </w:num>
  <w:num w:numId="4" w16cid:durableId="1245526864">
    <w:abstractNumId w:val="18"/>
  </w:num>
  <w:num w:numId="5" w16cid:durableId="1062367712">
    <w:abstractNumId w:val="24"/>
  </w:num>
  <w:num w:numId="6" w16cid:durableId="545605789">
    <w:abstractNumId w:val="25"/>
  </w:num>
  <w:num w:numId="7" w16cid:durableId="999233604">
    <w:abstractNumId w:val="8"/>
  </w:num>
  <w:num w:numId="8" w16cid:durableId="1938175563">
    <w:abstractNumId w:val="21"/>
  </w:num>
  <w:num w:numId="9" w16cid:durableId="62335751">
    <w:abstractNumId w:val="11"/>
  </w:num>
  <w:num w:numId="10" w16cid:durableId="731006395">
    <w:abstractNumId w:val="6"/>
  </w:num>
  <w:num w:numId="11" w16cid:durableId="512571039">
    <w:abstractNumId w:val="26"/>
  </w:num>
  <w:num w:numId="12" w16cid:durableId="49694929">
    <w:abstractNumId w:val="32"/>
  </w:num>
  <w:num w:numId="13" w16cid:durableId="1944455887">
    <w:abstractNumId w:val="30"/>
  </w:num>
  <w:num w:numId="14" w16cid:durableId="690030717">
    <w:abstractNumId w:val="7"/>
  </w:num>
  <w:num w:numId="15" w16cid:durableId="150370964">
    <w:abstractNumId w:val="9"/>
  </w:num>
  <w:num w:numId="16" w16cid:durableId="167840354">
    <w:abstractNumId w:val="20"/>
  </w:num>
  <w:num w:numId="17" w16cid:durableId="78451394">
    <w:abstractNumId w:val="27"/>
  </w:num>
  <w:num w:numId="18" w16cid:durableId="1734889784">
    <w:abstractNumId w:val="28"/>
  </w:num>
  <w:num w:numId="19" w16cid:durableId="1676883076">
    <w:abstractNumId w:val="31"/>
  </w:num>
  <w:num w:numId="20" w16cid:durableId="104086455">
    <w:abstractNumId w:val="5"/>
  </w:num>
  <w:num w:numId="21" w16cid:durableId="730930288">
    <w:abstractNumId w:val="10"/>
  </w:num>
  <w:num w:numId="22" w16cid:durableId="1885214698">
    <w:abstractNumId w:val="4"/>
  </w:num>
  <w:num w:numId="23" w16cid:durableId="908929400">
    <w:abstractNumId w:val="22"/>
  </w:num>
  <w:num w:numId="24" w16cid:durableId="334770337">
    <w:abstractNumId w:val="12"/>
  </w:num>
  <w:num w:numId="25" w16cid:durableId="1148129508">
    <w:abstractNumId w:val="23"/>
  </w:num>
  <w:num w:numId="26" w16cid:durableId="559630311">
    <w:abstractNumId w:val="19"/>
  </w:num>
  <w:num w:numId="27" w16cid:durableId="2009362295">
    <w:abstractNumId w:val="13"/>
  </w:num>
  <w:num w:numId="28" w16cid:durableId="308219072">
    <w:abstractNumId w:val="0"/>
  </w:num>
  <w:num w:numId="29" w16cid:durableId="319776654">
    <w:abstractNumId w:val="3"/>
  </w:num>
  <w:num w:numId="30" w16cid:durableId="143591770">
    <w:abstractNumId w:val="1"/>
  </w:num>
  <w:num w:numId="31" w16cid:durableId="1219047586">
    <w:abstractNumId w:val="14"/>
  </w:num>
  <w:num w:numId="32" w16cid:durableId="1487210198">
    <w:abstractNumId w:val="16"/>
  </w:num>
  <w:num w:numId="33" w16cid:durableId="55208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35AF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357BB"/>
    <w:rsid w:val="0015248B"/>
    <w:rsid w:val="00152633"/>
    <w:rsid w:val="00153518"/>
    <w:rsid w:val="00161538"/>
    <w:rsid w:val="001826A0"/>
    <w:rsid w:val="0018441F"/>
    <w:rsid w:val="00184F6E"/>
    <w:rsid w:val="001874FC"/>
    <w:rsid w:val="00194CFF"/>
    <w:rsid w:val="001A06ED"/>
    <w:rsid w:val="001A0B09"/>
    <w:rsid w:val="001A2EAB"/>
    <w:rsid w:val="001A30FA"/>
    <w:rsid w:val="001A66AD"/>
    <w:rsid w:val="001B388C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3948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24BA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B7B91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835"/>
    <w:rsid w:val="002F0F15"/>
    <w:rsid w:val="002F149B"/>
    <w:rsid w:val="002F309F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35291"/>
    <w:rsid w:val="00342AA0"/>
    <w:rsid w:val="00344B00"/>
    <w:rsid w:val="003514D5"/>
    <w:rsid w:val="00351C4F"/>
    <w:rsid w:val="00352257"/>
    <w:rsid w:val="00354320"/>
    <w:rsid w:val="00355D1F"/>
    <w:rsid w:val="00367172"/>
    <w:rsid w:val="00370411"/>
    <w:rsid w:val="00370D61"/>
    <w:rsid w:val="00372188"/>
    <w:rsid w:val="0037379B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C13E9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301"/>
    <w:rsid w:val="00414548"/>
    <w:rsid w:val="004205DF"/>
    <w:rsid w:val="00422778"/>
    <w:rsid w:val="004238CF"/>
    <w:rsid w:val="00424DCB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443C8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1DDC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0882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379C0"/>
    <w:rsid w:val="005423AC"/>
    <w:rsid w:val="005431C4"/>
    <w:rsid w:val="00544E78"/>
    <w:rsid w:val="00546B28"/>
    <w:rsid w:val="00547254"/>
    <w:rsid w:val="0054757A"/>
    <w:rsid w:val="005477BF"/>
    <w:rsid w:val="00550F3F"/>
    <w:rsid w:val="00566496"/>
    <w:rsid w:val="005677DD"/>
    <w:rsid w:val="00567A30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D349C"/>
    <w:rsid w:val="005E0E44"/>
    <w:rsid w:val="005E178D"/>
    <w:rsid w:val="005E1F0D"/>
    <w:rsid w:val="005E51B7"/>
    <w:rsid w:val="005E51CD"/>
    <w:rsid w:val="005F144D"/>
    <w:rsid w:val="005F2627"/>
    <w:rsid w:val="00602706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27E6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3FFC"/>
    <w:rsid w:val="006A411B"/>
    <w:rsid w:val="006A4D33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D7D50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5A01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2776"/>
    <w:rsid w:val="007C4523"/>
    <w:rsid w:val="007C5846"/>
    <w:rsid w:val="007D09D1"/>
    <w:rsid w:val="007D5A72"/>
    <w:rsid w:val="007D5F17"/>
    <w:rsid w:val="007D7AB5"/>
    <w:rsid w:val="007E1315"/>
    <w:rsid w:val="007E1836"/>
    <w:rsid w:val="007E6D4C"/>
    <w:rsid w:val="007F01B5"/>
    <w:rsid w:val="007F30D5"/>
    <w:rsid w:val="007F7234"/>
    <w:rsid w:val="00805002"/>
    <w:rsid w:val="00810FB1"/>
    <w:rsid w:val="0081132F"/>
    <w:rsid w:val="008113F0"/>
    <w:rsid w:val="008125E4"/>
    <w:rsid w:val="00814A96"/>
    <w:rsid w:val="008150E7"/>
    <w:rsid w:val="00817627"/>
    <w:rsid w:val="00820109"/>
    <w:rsid w:val="008203EE"/>
    <w:rsid w:val="008225DB"/>
    <w:rsid w:val="008236EB"/>
    <w:rsid w:val="008272C1"/>
    <w:rsid w:val="00827D06"/>
    <w:rsid w:val="00830784"/>
    <w:rsid w:val="00831E52"/>
    <w:rsid w:val="00832762"/>
    <w:rsid w:val="008355CA"/>
    <w:rsid w:val="00840100"/>
    <w:rsid w:val="008426DC"/>
    <w:rsid w:val="0085200C"/>
    <w:rsid w:val="00855D93"/>
    <w:rsid w:val="008614AD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2ED9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34C"/>
    <w:rsid w:val="00903808"/>
    <w:rsid w:val="00904CDA"/>
    <w:rsid w:val="00907AD6"/>
    <w:rsid w:val="00912B66"/>
    <w:rsid w:val="00913BCB"/>
    <w:rsid w:val="0091645A"/>
    <w:rsid w:val="0091786E"/>
    <w:rsid w:val="00921F28"/>
    <w:rsid w:val="00937323"/>
    <w:rsid w:val="00944F63"/>
    <w:rsid w:val="00946CEC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6AB5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70B21"/>
    <w:rsid w:val="00A70BD9"/>
    <w:rsid w:val="00A724B3"/>
    <w:rsid w:val="00A75058"/>
    <w:rsid w:val="00A75CC5"/>
    <w:rsid w:val="00A75CDD"/>
    <w:rsid w:val="00A76BB9"/>
    <w:rsid w:val="00A77DA3"/>
    <w:rsid w:val="00A80EA4"/>
    <w:rsid w:val="00A84D83"/>
    <w:rsid w:val="00A8595A"/>
    <w:rsid w:val="00A87D11"/>
    <w:rsid w:val="00A929E0"/>
    <w:rsid w:val="00AA248C"/>
    <w:rsid w:val="00AA670A"/>
    <w:rsid w:val="00AB0C82"/>
    <w:rsid w:val="00AB164F"/>
    <w:rsid w:val="00AB2D76"/>
    <w:rsid w:val="00AB6EA6"/>
    <w:rsid w:val="00AB7458"/>
    <w:rsid w:val="00AC0727"/>
    <w:rsid w:val="00AC3FDF"/>
    <w:rsid w:val="00AD0082"/>
    <w:rsid w:val="00AD470F"/>
    <w:rsid w:val="00AD77BF"/>
    <w:rsid w:val="00AE0A44"/>
    <w:rsid w:val="00AE3D71"/>
    <w:rsid w:val="00AE43CE"/>
    <w:rsid w:val="00AE709E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21282"/>
    <w:rsid w:val="00B3007B"/>
    <w:rsid w:val="00B3186B"/>
    <w:rsid w:val="00B33A77"/>
    <w:rsid w:val="00B35AC3"/>
    <w:rsid w:val="00B36E68"/>
    <w:rsid w:val="00B44FFD"/>
    <w:rsid w:val="00B461B8"/>
    <w:rsid w:val="00B537A6"/>
    <w:rsid w:val="00B57C22"/>
    <w:rsid w:val="00B65881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4116"/>
    <w:rsid w:val="00BD5B64"/>
    <w:rsid w:val="00BD72B7"/>
    <w:rsid w:val="00BD7A53"/>
    <w:rsid w:val="00BD7C2A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59FE"/>
    <w:rsid w:val="00C064E8"/>
    <w:rsid w:val="00C14DD6"/>
    <w:rsid w:val="00C17221"/>
    <w:rsid w:val="00C248B3"/>
    <w:rsid w:val="00C25688"/>
    <w:rsid w:val="00C25D4E"/>
    <w:rsid w:val="00C30018"/>
    <w:rsid w:val="00C31482"/>
    <w:rsid w:val="00C31A2C"/>
    <w:rsid w:val="00C360A7"/>
    <w:rsid w:val="00C51AE5"/>
    <w:rsid w:val="00C5372B"/>
    <w:rsid w:val="00C54D11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0146"/>
    <w:rsid w:val="00CC265D"/>
    <w:rsid w:val="00CC451A"/>
    <w:rsid w:val="00CD2BF3"/>
    <w:rsid w:val="00CD7461"/>
    <w:rsid w:val="00CE2867"/>
    <w:rsid w:val="00CE2BB3"/>
    <w:rsid w:val="00CE406C"/>
    <w:rsid w:val="00CE5AE0"/>
    <w:rsid w:val="00CF227F"/>
    <w:rsid w:val="00CF7C0E"/>
    <w:rsid w:val="00D00C4E"/>
    <w:rsid w:val="00D0161D"/>
    <w:rsid w:val="00D01FC5"/>
    <w:rsid w:val="00D02868"/>
    <w:rsid w:val="00D04631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729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2C3E"/>
    <w:rsid w:val="00E2608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B5E09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  <w:style w:type="character" w:customStyle="1" w:styleId="right">
    <w:name w:val="right"/>
    <w:basedOn w:val="DefaultParagraphFont"/>
    <w:rsid w:val="002B6C9C"/>
  </w:style>
  <w:style w:type="paragraph" w:customStyle="1" w:styleId="tactin">
    <w:name w:val="tactin"/>
    <w:basedOn w:val="Normal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0A8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82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dokumentai/pastabos-teikiamos-iki-lapkricio-18-d-pazangos-priemones-didinti-atsparuma-ekstremaliesiems-hidrometeorologiniams-reiskiniams-veiklos-potvyniu-rizikos-mazinimo-priemoniu-igyvendinimas-projektu-finansavimo-salygu-apraso-pakeitimo-projek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305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DERINIMO PAŽYMA</vt:lpstr>
      <vt:lpstr>DERINIMO PAŽYMA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Eglė Tolvaišienė</cp:lastModifiedBy>
  <cp:revision>7</cp:revision>
  <cp:lastPrinted>2017-03-21T13:26:00Z</cp:lastPrinted>
  <dcterms:created xsi:type="dcterms:W3CDTF">2025-11-19T08:45:00Z</dcterms:created>
  <dcterms:modified xsi:type="dcterms:W3CDTF">2025-12-01T08:35:00Z</dcterms:modified>
</cp:coreProperties>
</file>